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8FDC1">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rPr>
          <w:rFonts w:hint="eastAsia"/>
          <w:b/>
          <w:color w:val="auto"/>
          <w:sz w:val="56"/>
          <w:szCs w:val="20"/>
          <w:highlight w:val="none"/>
          <w:lang w:eastAsia="zh-CN"/>
        </w:rPr>
      </w:pPr>
      <w:r>
        <w:rPr>
          <w:rFonts w:hint="eastAsia" w:eastAsia="宋体"/>
          <w:b/>
          <w:color w:val="auto"/>
          <w:sz w:val="56"/>
          <w:szCs w:val="20"/>
          <w:highlight w:val="none"/>
          <w:lang w:val="en-US" w:eastAsia="zh-CN"/>
        </w:rPr>
        <w:t>卢氏县重点非煤矿山视频智能监控系统及尾矿库在线监测系统建设项目</w:t>
      </w:r>
    </w:p>
    <w:p w14:paraId="32318B05">
      <w:pPr>
        <w:pStyle w:val="12"/>
        <w:keepNext w:val="0"/>
        <w:keepLines w:val="0"/>
        <w:pageBreakBefore w:val="0"/>
        <w:kinsoku/>
        <w:wordWrap w:val="0"/>
        <w:overflowPunct/>
        <w:topLinePunct w:val="0"/>
        <w:bidi w:val="0"/>
        <w:ind w:firstLine="3132" w:firstLineChars="600"/>
        <w:jc w:val="both"/>
        <w:rPr>
          <w:rFonts w:hint="eastAsia"/>
          <w:b/>
          <w:bCs/>
          <w:color w:val="auto"/>
          <w:sz w:val="52"/>
          <w:szCs w:val="40"/>
          <w:highlight w:val="none"/>
          <w:lang w:val="en-US" w:eastAsia="zh-CN"/>
        </w:rPr>
      </w:pPr>
    </w:p>
    <w:p w14:paraId="6EF16B9F">
      <w:pPr>
        <w:pStyle w:val="12"/>
        <w:keepNext w:val="0"/>
        <w:keepLines w:val="0"/>
        <w:pageBreakBefore w:val="0"/>
        <w:kinsoku/>
        <w:wordWrap w:val="0"/>
        <w:overflowPunct/>
        <w:topLinePunct w:val="0"/>
        <w:bidi w:val="0"/>
        <w:ind w:firstLine="3132" w:firstLineChars="600"/>
        <w:jc w:val="both"/>
        <w:rPr>
          <w:rFonts w:hint="eastAsia"/>
          <w:b/>
          <w:bCs/>
          <w:color w:val="auto"/>
          <w:sz w:val="52"/>
          <w:szCs w:val="40"/>
          <w:highlight w:val="none"/>
          <w:lang w:val="en-US" w:eastAsia="zh-CN"/>
        </w:rPr>
      </w:pPr>
      <w:r>
        <w:rPr>
          <w:rFonts w:hint="eastAsia"/>
          <w:b/>
          <w:bCs/>
          <w:color w:val="auto"/>
          <w:sz w:val="52"/>
          <w:szCs w:val="40"/>
          <w:highlight w:val="none"/>
          <w:lang w:val="en-US" w:eastAsia="zh-CN"/>
        </w:rPr>
        <w:t>（一 标 段）</w:t>
      </w:r>
    </w:p>
    <w:p w14:paraId="0E8A0F75">
      <w:pPr>
        <w:rPr>
          <w:rFonts w:hint="default"/>
          <w:b/>
          <w:bCs/>
          <w:color w:val="auto"/>
          <w:sz w:val="52"/>
          <w:szCs w:val="40"/>
          <w:highlight w:val="none"/>
          <w:lang w:val="en-US" w:eastAsia="zh-CN"/>
        </w:rPr>
      </w:pPr>
    </w:p>
    <w:p w14:paraId="7AA9B9BB">
      <w:pPr>
        <w:keepNext w:val="0"/>
        <w:keepLines w:val="0"/>
        <w:pageBreakBefore w:val="0"/>
        <w:kinsoku/>
        <w:wordWrap w:val="0"/>
        <w:overflowPunct/>
        <w:topLinePunct w:val="0"/>
        <w:bidi w:val="0"/>
        <w:spacing w:before="268"/>
        <w:ind w:left="2245"/>
        <w:rPr>
          <w:b/>
          <w:color w:val="auto"/>
          <w:sz w:val="72"/>
          <w:szCs w:val="21"/>
          <w:highlight w:val="none"/>
          <w:lang w:val="en-US"/>
        </w:rPr>
      </w:pPr>
      <w:r>
        <w:rPr>
          <w:b/>
          <w:color w:val="auto"/>
          <w:sz w:val="72"/>
          <w:szCs w:val="21"/>
          <w:highlight w:val="none"/>
        </w:rPr>
        <w:t>竞争性磋商文件</w:t>
      </w:r>
    </w:p>
    <w:p w14:paraId="310E2436">
      <w:pPr>
        <w:pStyle w:val="7"/>
        <w:keepNext w:val="0"/>
        <w:keepLines w:val="0"/>
        <w:pageBreakBefore w:val="0"/>
        <w:kinsoku/>
        <w:wordWrap w:val="0"/>
        <w:overflowPunct/>
        <w:topLinePunct w:val="0"/>
        <w:bidi w:val="0"/>
        <w:spacing w:before="6"/>
        <w:ind w:left="0"/>
        <w:jc w:val="both"/>
        <w:rPr>
          <w:rFonts w:hint="eastAsia" w:ascii="宋体" w:hAnsi="宋体" w:eastAsia="宋体" w:cs="宋体"/>
          <w:b/>
          <w:bCs/>
          <w:color w:val="auto"/>
          <w:sz w:val="32"/>
          <w:szCs w:val="32"/>
          <w:highlight w:val="none"/>
          <w:lang w:val="zh-CN" w:eastAsia="zh-CN"/>
        </w:rPr>
      </w:pPr>
    </w:p>
    <w:p w14:paraId="4AD93941">
      <w:pPr>
        <w:pStyle w:val="7"/>
        <w:keepNext w:val="0"/>
        <w:keepLines w:val="0"/>
        <w:pageBreakBefore w:val="0"/>
        <w:kinsoku/>
        <w:wordWrap w:val="0"/>
        <w:overflowPunct/>
        <w:topLinePunct w:val="0"/>
        <w:bidi w:val="0"/>
        <w:spacing w:before="6"/>
        <w:ind w:left="0"/>
        <w:jc w:val="center"/>
        <w:rPr>
          <w:b/>
          <w:bCs/>
          <w:color w:val="auto"/>
          <w:sz w:val="24"/>
          <w:szCs w:val="24"/>
          <w:highlight w:val="none"/>
        </w:rPr>
      </w:pPr>
      <w:r>
        <w:rPr>
          <w:rFonts w:hint="eastAsia"/>
          <w:b/>
          <w:bCs/>
          <w:color w:val="auto"/>
          <w:sz w:val="24"/>
          <w:szCs w:val="24"/>
          <w:highlight w:val="none"/>
          <w:lang w:val="zh-CN" w:eastAsia="zh-CN"/>
        </w:rPr>
        <w:t>项目编号：三卢竞磋采购-2025-60、LSGZ[2025]129-ZC091</w:t>
      </w:r>
    </w:p>
    <w:p w14:paraId="22AAE358">
      <w:pPr>
        <w:pStyle w:val="7"/>
        <w:keepNext w:val="0"/>
        <w:keepLines w:val="0"/>
        <w:pageBreakBefore w:val="0"/>
        <w:kinsoku/>
        <w:wordWrap w:val="0"/>
        <w:overflowPunct/>
        <w:topLinePunct w:val="0"/>
        <w:bidi w:val="0"/>
        <w:ind w:left="0"/>
        <w:rPr>
          <w:b/>
          <w:bCs/>
          <w:color w:val="auto"/>
          <w:sz w:val="30"/>
          <w:highlight w:val="none"/>
        </w:rPr>
      </w:pPr>
    </w:p>
    <w:p w14:paraId="12602F4F">
      <w:pPr>
        <w:pStyle w:val="7"/>
        <w:keepNext w:val="0"/>
        <w:keepLines w:val="0"/>
        <w:pageBreakBefore w:val="0"/>
        <w:kinsoku/>
        <w:wordWrap w:val="0"/>
        <w:overflowPunct/>
        <w:topLinePunct w:val="0"/>
        <w:bidi w:val="0"/>
        <w:ind w:left="0"/>
        <w:rPr>
          <w:b/>
          <w:color w:val="auto"/>
          <w:sz w:val="30"/>
          <w:highlight w:val="none"/>
        </w:rPr>
      </w:pPr>
      <w:r>
        <w:rPr>
          <w:color w:val="auto"/>
          <w:highlight w:val="none"/>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189865</wp:posOffset>
            </wp:positionV>
            <wp:extent cx="2178685" cy="2727960"/>
            <wp:effectExtent l="0" t="0" r="12065" b="1524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2178685" cy="2727960"/>
                    </a:xfrm>
                    <a:prstGeom prst="rect">
                      <a:avLst/>
                    </a:prstGeom>
                    <a:noFill/>
                    <a:ln>
                      <a:noFill/>
                    </a:ln>
                  </pic:spPr>
                </pic:pic>
              </a:graphicData>
            </a:graphic>
          </wp:anchor>
        </w:drawing>
      </w:r>
    </w:p>
    <w:p w14:paraId="376D839D">
      <w:pPr>
        <w:pStyle w:val="7"/>
        <w:keepNext w:val="0"/>
        <w:keepLines w:val="0"/>
        <w:pageBreakBefore w:val="0"/>
        <w:kinsoku/>
        <w:wordWrap w:val="0"/>
        <w:overflowPunct/>
        <w:topLinePunct w:val="0"/>
        <w:bidi w:val="0"/>
        <w:ind w:left="0"/>
        <w:rPr>
          <w:b/>
          <w:color w:val="auto"/>
          <w:sz w:val="30"/>
          <w:highlight w:val="none"/>
        </w:rPr>
      </w:pPr>
    </w:p>
    <w:p w14:paraId="5B120B58">
      <w:pPr>
        <w:pStyle w:val="7"/>
        <w:keepNext w:val="0"/>
        <w:keepLines w:val="0"/>
        <w:pageBreakBefore w:val="0"/>
        <w:kinsoku/>
        <w:wordWrap w:val="0"/>
        <w:overflowPunct/>
        <w:topLinePunct w:val="0"/>
        <w:bidi w:val="0"/>
        <w:ind w:left="0"/>
        <w:rPr>
          <w:b/>
          <w:color w:val="auto"/>
          <w:sz w:val="30"/>
          <w:highlight w:val="none"/>
        </w:rPr>
      </w:pPr>
    </w:p>
    <w:p w14:paraId="2047B2E1">
      <w:pPr>
        <w:pStyle w:val="7"/>
        <w:keepNext w:val="0"/>
        <w:keepLines w:val="0"/>
        <w:pageBreakBefore w:val="0"/>
        <w:kinsoku/>
        <w:wordWrap w:val="0"/>
        <w:overflowPunct/>
        <w:topLinePunct w:val="0"/>
        <w:bidi w:val="0"/>
        <w:ind w:left="0"/>
        <w:rPr>
          <w:b/>
          <w:color w:val="auto"/>
          <w:sz w:val="30"/>
          <w:highlight w:val="none"/>
        </w:rPr>
      </w:pPr>
    </w:p>
    <w:p w14:paraId="6B633929">
      <w:pPr>
        <w:pStyle w:val="7"/>
        <w:keepNext w:val="0"/>
        <w:keepLines w:val="0"/>
        <w:pageBreakBefore w:val="0"/>
        <w:kinsoku/>
        <w:wordWrap w:val="0"/>
        <w:overflowPunct/>
        <w:topLinePunct w:val="0"/>
        <w:bidi w:val="0"/>
        <w:ind w:left="0"/>
        <w:rPr>
          <w:b/>
          <w:color w:val="auto"/>
          <w:sz w:val="30"/>
          <w:highlight w:val="none"/>
        </w:rPr>
      </w:pPr>
    </w:p>
    <w:p w14:paraId="10BED38D">
      <w:pPr>
        <w:pStyle w:val="7"/>
        <w:keepNext w:val="0"/>
        <w:keepLines w:val="0"/>
        <w:pageBreakBefore w:val="0"/>
        <w:kinsoku/>
        <w:wordWrap w:val="0"/>
        <w:overflowPunct/>
        <w:topLinePunct w:val="0"/>
        <w:bidi w:val="0"/>
        <w:ind w:left="0"/>
        <w:rPr>
          <w:b/>
          <w:color w:val="auto"/>
          <w:sz w:val="30"/>
          <w:highlight w:val="none"/>
        </w:rPr>
      </w:pPr>
    </w:p>
    <w:p w14:paraId="77BFE854">
      <w:pPr>
        <w:pStyle w:val="7"/>
        <w:keepNext w:val="0"/>
        <w:keepLines w:val="0"/>
        <w:pageBreakBefore w:val="0"/>
        <w:kinsoku/>
        <w:wordWrap w:val="0"/>
        <w:overflowPunct/>
        <w:topLinePunct w:val="0"/>
        <w:bidi w:val="0"/>
        <w:ind w:left="0"/>
        <w:rPr>
          <w:b/>
          <w:color w:val="auto"/>
          <w:sz w:val="30"/>
          <w:highlight w:val="none"/>
        </w:rPr>
      </w:pPr>
    </w:p>
    <w:p w14:paraId="2743539E">
      <w:pPr>
        <w:pStyle w:val="7"/>
        <w:keepNext w:val="0"/>
        <w:keepLines w:val="0"/>
        <w:pageBreakBefore w:val="0"/>
        <w:kinsoku/>
        <w:wordWrap w:val="0"/>
        <w:overflowPunct/>
        <w:topLinePunct w:val="0"/>
        <w:bidi w:val="0"/>
        <w:ind w:left="0"/>
        <w:rPr>
          <w:b/>
          <w:color w:val="auto"/>
          <w:sz w:val="30"/>
          <w:highlight w:val="none"/>
        </w:rPr>
      </w:pPr>
    </w:p>
    <w:p w14:paraId="35C7B75F">
      <w:pPr>
        <w:pStyle w:val="7"/>
        <w:keepNext w:val="0"/>
        <w:keepLines w:val="0"/>
        <w:pageBreakBefore w:val="0"/>
        <w:kinsoku/>
        <w:wordWrap w:val="0"/>
        <w:overflowPunct/>
        <w:topLinePunct w:val="0"/>
        <w:bidi w:val="0"/>
        <w:ind w:left="0"/>
        <w:rPr>
          <w:b/>
          <w:color w:val="auto"/>
          <w:sz w:val="30"/>
          <w:highlight w:val="none"/>
        </w:rPr>
      </w:pPr>
    </w:p>
    <w:p w14:paraId="08657AAF">
      <w:pPr>
        <w:pStyle w:val="7"/>
        <w:keepNext w:val="0"/>
        <w:keepLines w:val="0"/>
        <w:pageBreakBefore w:val="0"/>
        <w:kinsoku/>
        <w:wordWrap w:val="0"/>
        <w:overflowPunct/>
        <w:topLinePunct w:val="0"/>
        <w:bidi w:val="0"/>
        <w:ind w:left="0"/>
        <w:rPr>
          <w:b/>
          <w:color w:val="auto"/>
          <w:sz w:val="30"/>
          <w:highlight w:val="none"/>
        </w:rPr>
      </w:pPr>
    </w:p>
    <w:p w14:paraId="0E9A74F0">
      <w:pPr>
        <w:pStyle w:val="7"/>
        <w:keepNext w:val="0"/>
        <w:keepLines w:val="0"/>
        <w:pageBreakBefore w:val="0"/>
        <w:kinsoku/>
        <w:wordWrap w:val="0"/>
        <w:overflowPunct/>
        <w:topLinePunct w:val="0"/>
        <w:bidi w:val="0"/>
        <w:spacing w:before="12"/>
        <w:ind w:left="0"/>
        <w:rPr>
          <w:b/>
          <w:color w:val="auto"/>
          <w:sz w:val="42"/>
          <w:highlight w:val="none"/>
        </w:rPr>
      </w:pPr>
    </w:p>
    <w:p w14:paraId="32BA96F2">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b/>
          <w:color w:val="auto"/>
          <w:sz w:val="32"/>
          <w:highlight w:val="none"/>
          <w:lang w:val="en-US" w:eastAsia="zh-CN"/>
        </w:rPr>
      </w:pPr>
      <w:r>
        <w:rPr>
          <w:rFonts w:hint="eastAsia"/>
          <w:b/>
          <w:color w:val="auto"/>
          <w:sz w:val="32"/>
          <w:highlight w:val="none"/>
          <w:lang w:val="en-US" w:eastAsia="zh-CN"/>
        </w:rPr>
        <w:t xml:space="preserve">                 </w:t>
      </w:r>
    </w:p>
    <w:p w14:paraId="3B87A2B9">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val="en-US" w:eastAsia="zh-CN"/>
        </w:rPr>
      </w:pPr>
      <w:r>
        <w:rPr>
          <w:rFonts w:hint="eastAsia"/>
          <w:b/>
          <w:color w:val="auto"/>
          <w:sz w:val="32"/>
          <w:highlight w:val="none"/>
          <w:lang w:val="en-US" w:eastAsia="zh-CN"/>
        </w:rPr>
        <w:t xml:space="preserve">             </w:t>
      </w:r>
      <w:r>
        <w:rPr>
          <w:b/>
          <w:color w:val="auto"/>
          <w:sz w:val="32"/>
          <w:highlight w:val="none"/>
        </w:rPr>
        <w:t>采购人</w:t>
      </w:r>
      <w:r>
        <w:rPr>
          <w:rFonts w:hint="eastAsia"/>
          <w:b/>
          <w:color w:val="auto"/>
          <w:sz w:val="32"/>
          <w:highlight w:val="none"/>
        </w:rPr>
        <w:t>：</w:t>
      </w:r>
      <w:r>
        <w:rPr>
          <w:rFonts w:hint="eastAsia"/>
          <w:b/>
          <w:color w:val="auto"/>
          <w:sz w:val="32"/>
          <w:highlight w:val="none"/>
          <w:lang w:eastAsia="zh-CN"/>
        </w:rPr>
        <w:t>卢氏县应急管理局</w:t>
      </w:r>
    </w:p>
    <w:p w14:paraId="119D92B0">
      <w:pPr>
        <w:keepNext w:val="0"/>
        <w:keepLines w:val="0"/>
        <w:pageBreakBefore w:val="0"/>
        <w:tabs>
          <w:tab w:val="left" w:pos="2751"/>
          <w:tab w:val="left" w:pos="3555"/>
        </w:tabs>
        <w:kinsoku/>
        <w:wordWrap w:val="0"/>
        <w:overflowPunct/>
        <w:topLinePunct w:val="0"/>
        <w:bidi w:val="0"/>
        <w:spacing w:line="480" w:lineRule="auto"/>
        <w:ind w:right="2433"/>
        <w:jc w:val="center"/>
        <w:rPr>
          <w:rFonts w:hint="eastAsia" w:eastAsia="宋体"/>
          <w:b/>
          <w:color w:val="auto"/>
          <w:sz w:val="32"/>
          <w:highlight w:val="none"/>
          <w:lang w:eastAsia="zh-CN"/>
        </w:rPr>
      </w:pPr>
      <w:r>
        <w:rPr>
          <w:rFonts w:hint="eastAsia"/>
          <w:b/>
          <w:color w:val="auto"/>
          <w:sz w:val="32"/>
          <w:highlight w:val="none"/>
          <w:lang w:val="en-US" w:eastAsia="zh-CN"/>
        </w:rPr>
        <w:t xml:space="preserve">           </w:t>
      </w:r>
      <w:r>
        <w:rPr>
          <w:b/>
          <w:color w:val="auto"/>
          <w:sz w:val="32"/>
          <w:highlight w:val="none"/>
        </w:rPr>
        <w:t>代理机构</w:t>
      </w:r>
      <w:r>
        <w:rPr>
          <w:rFonts w:hint="eastAsia"/>
          <w:b/>
          <w:color w:val="auto"/>
          <w:sz w:val="32"/>
          <w:highlight w:val="none"/>
        </w:rPr>
        <w:t>：</w:t>
      </w:r>
      <w:r>
        <w:rPr>
          <w:rFonts w:hint="eastAsia"/>
          <w:b/>
          <w:color w:val="auto"/>
          <w:sz w:val="32"/>
          <w:highlight w:val="none"/>
          <w:lang w:eastAsia="zh-CN"/>
        </w:rPr>
        <w:t>河南立旭工程管理有限公司</w:t>
      </w:r>
    </w:p>
    <w:p w14:paraId="4AB7D445">
      <w:pPr>
        <w:keepNext w:val="0"/>
        <w:keepLines w:val="0"/>
        <w:pageBreakBefore w:val="0"/>
        <w:tabs>
          <w:tab w:val="left" w:pos="2751"/>
          <w:tab w:val="left" w:pos="3555"/>
        </w:tabs>
        <w:kinsoku/>
        <w:wordWrap w:val="0"/>
        <w:overflowPunct/>
        <w:topLinePunct w:val="0"/>
        <w:bidi w:val="0"/>
        <w:spacing w:line="480" w:lineRule="auto"/>
        <w:ind w:right="830"/>
        <w:jc w:val="center"/>
        <w:rPr>
          <w:b/>
          <w:color w:val="auto"/>
          <w:sz w:val="32"/>
          <w:highlight w:val="none"/>
        </w:rPr>
      </w:pPr>
      <w:r>
        <w:rPr>
          <w:rFonts w:hint="eastAsia"/>
          <w:b/>
          <w:color w:val="auto"/>
          <w:sz w:val="32"/>
          <w:highlight w:val="none"/>
          <w:lang w:val="en-US"/>
        </w:rPr>
        <w:t>二零二</w:t>
      </w:r>
      <w:r>
        <w:rPr>
          <w:rFonts w:hint="eastAsia"/>
          <w:b/>
          <w:color w:val="auto"/>
          <w:sz w:val="32"/>
          <w:highlight w:val="none"/>
          <w:lang w:val="en-US" w:eastAsia="zh-CN"/>
        </w:rPr>
        <w:t>五</w:t>
      </w:r>
      <w:r>
        <w:rPr>
          <w:b/>
          <w:color w:val="auto"/>
          <w:sz w:val="32"/>
          <w:highlight w:val="none"/>
        </w:rPr>
        <w:t>年</w:t>
      </w:r>
      <w:r>
        <w:rPr>
          <w:rFonts w:hint="eastAsia"/>
          <w:b/>
          <w:color w:val="auto"/>
          <w:sz w:val="32"/>
          <w:highlight w:val="none"/>
          <w:lang w:val="en-US" w:eastAsia="zh-CN"/>
        </w:rPr>
        <w:t>六</w:t>
      </w:r>
      <w:r>
        <w:rPr>
          <w:b/>
          <w:color w:val="auto"/>
          <w:sz w:val="32"/>
          <w:highlight w:val="none"/>
        </w:rPr>
        <w:t>月</w:t>
      </w:r>
    </w:p>
    <w:p w14:paraId="46482D77">
      <w:pPr>
        <w:keepNext w:val="0"/>
        <w:keepLines w:val="0"/>
        <w:pageBreakBefore w:val="0"/>
        <w:kinsoku/>
        <w:wordWrap w:val="0"/>
        <w:overflowPunct/>
        <w:topLinePunct w:val="0"/>
        <w:bidi w:val="0"/>
        <w:spacing w:line="364" w:lineRule="auto"/>
        <w:jc w:val="center"/>
        <w:rPr>
          <w:color w:val="auto"/>
          <w:sz w:val="32"/>
          <w:highlight w:val="none"/>
        </w:rPr>
        <w:sectPr>
          <w:footerReference r:id="rId3" w:type="default"/>
          <w:pgSz w:w="11910" w:h="16840"/>
          <w:pgMar w:top="1380" w:right="1020" w:bottom="820" w:left="1040" w:header="720" w:footer="640" w:gutter="0"/>
          <w:pgBorders>
            <w:top w:val="none" w:sz="0" w:space="0"/>
            <w:left w:val="none" w:sz="0" w:space="0"/>
            <w:bottom w:val="none" w:sz="0" w:space="0"/>
            <w:right w:val="none" w:sz="0" w:space="0"/>
          </w:pgBorders>
          <w:pgNumType w:start="1"/>
          <w:cols w:space="720" w:num="1"/>
        </w:sectPr>
      </w:pPr>
    </w:p>
    <w:p w14:paraId="7485BA11">
      <w:pPr>
        <w:keepNext w:val="0"/>
        <w:keepLines w:val="0"/>
        <w:pageBreakBefore w:val="0"/>
        <w:kinsoku/>
        <w:wordWrap w:val="0"/>
        <w:overflowPunct/>
        <w:topLinePunct w:val="0"/>
        <w:bidi w:val="0"/>
        <w:spacing w:before="12"/>
        <w:ind w:left="892" w:right="909"/>
        <w:jc w:val="center"/>
        <w:rPr>
          <w:b/>
          <w:color w:val="auto"/>
          <w:sz w:val="44"/>
          <w:highlight w:val="none"/>
        </w:rPr>
      </w:pPr>
      <w:r>
        <w:rPr>
          <w:b/>
          <w:color w:val="auto"/>
          <w:sz w:val="44"/>
          <w:highlight w:val="none"/>
        </w:rPr>
        <w:t>目</w:t>
      </w:r>
      <w:r>
        <w:rPr>
          <w:rFonts w:hint="eastAsia"/>
          <w:b/>
          <w:color w:val="auto"/>
          <w:sz w:val="44"/>
          <w:highlight w:val="none"/>
          <w:lang w:val="en-US" w:eastAsia="zh-CN"/>
        </w:rPr>
        <w:t xml:space="preserve">  </w:t>
      </w:r>
      <w:r>
        <w:rPr>
          <w:b/>
          <w:color w:val="auto"/>
          <w:sz w:val="44"/>
          <w:highlight w:val="none"/>
        </w:rPr>
        <w:t>录</w:t>
      </w:r>
    </w:p>
    <w:p w14:paraId="23F50480">
      <w:pPr>
        <w:keepNext w:val="0"/>
        <w:keepLines w:val="0"/>
        <w:pageBreakBefore w:val="0"/>
        <w:kinsoku/>
        <w:wordWrap w:val="0"/>
        <w:overflowPunct/>
        <w:topLinePunct w:val="0"/>
        <w:bidi w:val="0"/>
        <w:jc w:val="center"/>
        <w:rPr>
          <w:color w:val="auto"/>
          <w:highlight w:val="none"/>
        </w:rPr>
      </w:pPr>
    </w:p>
    <w:p w14:paraId="3312676E">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"_Toc16699" </w:instrText>
      </w:r>
      <w:r>
        <w:rPr>
          <w:color w:val="auto"/>
          <w:highlight w:val="none"/>
        </w:rPr>
        <w:fldChar w:fldCharType="separate"/>
      </w:r>
      <w:r>
        <w:rPr>
          <w:color w:val="auto"/>
          <w:sz w:val="36"/>
          <w:szCs w:val="36"/>
          <w:highlight w:val="none"/>
        </w:rPr>
        <w:t>第一章 竞争性磋商公告</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_Toc16699 </w:instrText>
      </w:r>
      <w:r>
        <w:rPr>
          <w:color w:val="auto"/>
          <w:sz w:val="36"/>
          <w:szCs w:val="36"/>
          <w:highlight w:val="none"/>
        </w:rPr>
        <w:fldChar w:fldCharType="separate"/>
      </w:r>
      <w:r>
        <w:rPr>
          <w:color w:val="auto"/>
          <w:sz w:val="36"/>
          <w:szCs w:val="36"/>
          <w:highlight w:val="none"/>
        </w:rPr>
        <w:t>1</w:t>
      </w:r>
      <w:r>
        <w:rPr>
          <w:color w:val="auto"/>
          <w:sz w:val="36"/>
          <w:szCs w:val="36"/>
          <w:highlight w:val="none"/>
        </w:rPr>
        <w:fldChar w:fldCharType="end"/>
      </w:r>
      <w:r>
        <w:rPr>
          <w:color w:val="auto"/>
          <w:sz w:val="36"/>
          <w:szCs w:val="36"/>
          <w:highlight w:val="none"/>
        </w:rPr>
        <w:fldChar w:fldCharType="end"/>
      </w:r>
    </w:p>
    <w:p w14:paraId="6800B65E">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0F54FD90">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"_Toc19177" </w:instrText>
      </w:r>
      <w:r>
        <w:rPr>
          <w:color w:val="auto"/>
          <w:highlight w:val="none"/>
        </w:rPr>
        <w:fldChar w:fldCharType="separate"/>
      </w:r>
      <w:r>
        <w:rPr>
          <w:color w:val="auto"/>
          <w:sz w:val="36"/>
          <w:szCs w:val="36"/>
          <w:highlight w:val="none"/>
        </w:rPr>
        <w:t>第二章 供应商须知</w:t>
      </w:r>
      <w:r>
        <w:rPr>
          <w:color w:val="auto"/>
          <w:sz w:val="36"/>
          <w:szCs w:val="36"/>
          <w:highlight w:val="none"/>
        </w:rPr>
        <w:tab/>
      </w:r>
      <w:r>
        <w:rPr>
          <w:rFonts w:hint="eastAsia"/>
          <w:color w:val="auto"/>
          <w:sz w:val="36"/>
          <w:szCs w:val="36"/>
          <w:highlight w:val="none"/>
          <w:lang w:val="en-US" w:eastAsia="zh-CN"/>
        </w:rPr>
        <w:t>5</w:t>
      </w:r>
      <w:r>
        <w:rPr>
          <w:color w:val="auto"/>
          <w:sz w:val="36"/>
          <w:szCs w:val="36"/>
          <w:highlight w:val="none"/>
        </w:rPr>
        <w:fldChar w:fldCharType="end"/>
      </w:r>
    </w:p>
    <w:p w14:paraId="0DFBA7DF">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11F09356">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"_Toc25877" </w:instrText>
      </w:r>
      <w:r>
        <w:rPr>
          <w:color w:val="auto"/>
          <w:highlight w:val="none"/>
        </w:rPr>
        <w:fldChar w:fldCharType="separate"/>
      </w:r>
      <w:r>
        <w:rPr>
          <w:color w:val="auto"/>
          <w:sz w:val="36"/>
          <w:szCs w:val="36"/>
          <w:highlight w:val="none"/>
        </w:rPr>
        <w:t>第三章 采购需求及参数要求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_Toc25877 </w:instrText>
      </w:r>
      <w:r>
        <w:rPr>
          <w:color w:val="auto"/>
          <w:sz w:val="36"/>
          <w:szCs w:val="36"/>
          <w:highlight w:val="none"/>
        </w:rPr>
        <w:fldChar w:fldCharType="separate"/>
      </w:r>
      <w:r>
        <w:rPr>
          <w:color w:val="auto"/>
          <w:sz w:val="36"/>
          <w:szCs w:val="36"/>
          <w:highlight w:val="none"/>
        </w:rPr>
        <w:t>23</w:t>
      </w:r>
      <w:r>
        <w:rPr>
          <w:color w:val="auto"/>
          <w:sz w:val="36"/>
          <w:szCs w:val="36"/>
          <w:highlight w:val="none"/>
        </w:rPr>
        <w:fldChar w:fldCharType="end"/>
      </w:r>
      <w:r>
        <w:rPr>
          <w:color w:val="auto"/>
          <w:sz w:val="36"/>
          <w:szCs w:val="36"/>
          <w:highlight w:val="none"/>
        </w:rPr>
        <w:fldChar w:fldCharType="end"/>
      </w:r>
    </w:p>
    <w:p w14:paraId="21816CD7">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01CAE5D9">
      <w:pPr>
        <w:pStyle w:val="16"/>
        <w:keepNext w:val="0"/>
        <w:keepLines w:val="0"/>
        <w:pageBreakBefore w:val="0"/>
        <w:tabs>
          <w:tab w:val="right" w:leader="dot" w:pos="9850"/>
        </w:tabs>
        <w:kinsoku/>
        <w:wordWrap w:val="0"/>
        <w:overflowPunct/>
        <w:topLinePunct w:val="0"/>
        <w:bidi w:val="0"/>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"_Toc30570" </w:instrText>
      </w:r>
      <w:r>
        <w:rPr>
          <w:color w:val="auto"/>
          <w:highlight w:val="none"/>
        </w:rPr>
        <w:fldChar w:fldCharType="separate"/>
      </w:r>
      <w:r>
        <w:rPr>
          <w:rFonts w:hint="eastAsia"/>
          <w:color w:val="auto"/>
          <w:sz w:val="36"/>
          <w:szCs w:val="36"/>
          <w:highlight w:val="none"/>
        </w:rPr>
        <w:t>第四章</w:t>
      </w:r>
      <w:r>
        <w:rPr>
          <w:rFonts w:hint="eastAsia"/>
          <w:color w:val="auto"/>
          <w:sz w:val="36"/>
          <w:szCs w:val="36"/>
          <w:highlight w:val="none"/>
          <w:lang w:val="en-US" w:eastAsia="zh-CN"/>
        </w:rPr>
        <w:t xml:space="preserve"> </w:t>
      </w:r>
      <w:r>
        <w:rPr>
          <w:color w:val="auto"/>
          <w:sz w:val="36"/>
          <w:szCs w:val="36"/>
          <w:highlight w:val="none"/>
        </w:rPr>
        <w:t>评审办法</w:t>
      </w:r>
      <w:r>
        <w:rPr>
          <w:color w:val="auto"/>
          <w:sz w:val="36"/>
          <w:szCs w:val="36"/>
          <w:highlight w:val="none"/>
        </w:rPr>
        <w:tab/>
      </w:r>
      <w:r>
        <w:rPr>
          <w:rFonts w:hint="eastAsia"/>
          <w:color w:val="auto"/>
          <w:sz w:val="36"/>
          <w:szCs w:val="36"/>
          <w:highlight w:val="none"/>
          <w:lang w:val="en-US" w:eastAsia="zh-CN"/>
        </w:rPr>
        <w:t>4</w:t>
      </w:r>
      <w:r>
        <w:rPr>
          <w:color w:val="auto"/>
          <w:sz w:val="36"/>
          <w:szCs w:val="36"/>
          <w:highlight w:val="none"/>
        </w:rPr>
        <w:fldChar w:fldCharType="end"/>
      </w:r>
      <w:r>
        <w:rPr>
          <w:rFonts w:hint="eastAsia"/>
          <w:color w:val="auto"/>
          <w:sz w:val="36"/>
          <w:szCs w:val="36"/>
          <w:highlight w:val="none"/>
          <w:lang w:val="en-US" w:eastAsia="zh-CN"/>
        </w:rPr>
        <w:t>4</w:t>
      </w:r>
    </w:p>
    <w:p w14:paraId="354450E0">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139BA46B">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"_Toc20625" </w:instrText>
      </w:r>
      <w:r>
        <w:rPr>
          <w:color w:val="auto"/>
          <w:highlight w:val="none"/>
        </w:rPr>
        <w:fldChar w:fldCharType="separate"/>
      </w:r>
      <w:r>
        <w:rPr>
          <w:rFonts w:hint="eastAsia"/>
          <w:color w:val="auto"/>
          <w:sz w:val="36"/>
          <w:szCs w:val="36"/>
          <w:highlight w:val="none"/>
        </w:rPr>
        <w:t>第五章 合同主要条款及格式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_Toc20625 </w:instrText>
      </w:r>
      <w:r>
        <w:rPr>
          <w:color w:val="auto"/>
          <w:sz w:val="36"/>
          <w:szCs w:val="36"/>
          <w:highlight w:val="none"/>
        </w:rPr>
        <w:fldChar w:fldCharType="separate"/>
      </w:r>
      <w:r>
        <w:rPr>
          <w:color w:val="auto"/>
          <w:sz w:val="36"/>
          <w:szCs w:val="36"/>
          <w:highlight w:val="none"/>
        </w:rPr>
        <w:t>79</w:t>
      </w:r>
      <w:r>
        <w:rPr>
          <w:color w:val="auto"/>
          <w:sz w:val="36"/>
          <w:szCs w:val="36"/>
          <w:highlight w:val="none"/>
        </w:rPr>
        <w:fldChar w:fldCharType="end"/>
      </w:r>
      <w:r>
        <w:rPr>
          <w:color w:val="auto"/>
          <w:sz w:val="36"/>
          <w:szCs w:val="36"/>
          <w:highlight w:val="none"/>
        </w:rPr>
        <w:fldChar w:fldCharType="end"/>
      </w:r>
    </w:p>
    <w:p w14:paraId="4DD809B7">
      <w:pPr>
        <w:pStyle w:val="16"/>
        <w:keepNext w:val="0"/>
        <w:keepLines w:val="0"/>
        <w:pageBreakBefore w:val="0"/>
        <w:tabs>
          <w:tab w:val="right" w:leader="dot" w:pos="9850"/>
        </w:tabs>
        <w:kinsoku/>
        <w:wordWrap w:val="0"/>
        <w:overflowPunct/>
        <w:topLinePunct w:val="0"/>
        <w:bidi w:val="0"/>
        <w:rPr>
          <w:color w:val="auto"/>
          <w:sz w:val="36"/>
          <w:szCs w:val="36"/>
          <w:highlight w:val="none"/>
        </w:rPr>
      </w:pPr>
    </w:p>
    <w:p w14:paraId="5A04157C">
      <w:pPr>
        <w:pStyle w:val="16"/>
        <w:keepNext w:val="0"/>
        <w:keepLines w:val="0"/>
        <w:pageBreakBefore w:val="0"/>
        <w:tabs>
          <w:tab w:val="right" w:leader="dot" w:pos="9850"/>
        </w:tabs>
        <w:kinsoku/>
        <w:wordWrap w:val="0"/>
        <w:overflowPunct/>
        <w:topLinePunct w:val="0"/>
        <w:bidi w:val="0"/>
        <w:rPr>
          <w:color w:val="auto"/>
          <w:sz w:val="36"/>
          <w:szCs w:val="36"/>
          <w:highlight w:val="none"/>
        </w:rPr>
      </w:pPr>
      <w:r>
        <w:rPr>
          <w:color w:val="auto"/>
          <w:highlight w:val="none"/>
        </w:rPr>
        <w:fldChar w:fldCharType="begin"/>
      </w:r>
      <w:r>
        <w:rPr>
          <w:color w:val="auto"/>
          <w:highlight w:val="none"/>
        </w:rPr>
        <w:instrText xml:space="preserve"> HYPERLINK \l "_Toc2461" </w:instrText>
      </w:r>
      <w:r>
        <w:rPr>
          <w:color w:val="auto"/>
          <w:highlight w:val="none"/>
        </w:rPr>
        <w:fldChar w:fldCharType="separate"/>
      </w:r>
      <w:r>
        <w:rPr>
          <w:rFonts w:hint="eastAsia"/>
          <w:color w:val="auto"/>
          <w:sz w:val="36"/>
          <w:szCs w:val="36"/>
          <w:highlight w:val="none"/>
        </w:rPr>
        <w:t>第六章</w:t>
      </w:r>
      <w:r>
        <w:rPr>
          <w:rFonts w:hint="eastAsia"/>
          <w:color w:val="auto"/>
          <w:sz w:val="36"/>
          <w:szCs w:val="36"/>
          <w:highlight w:val="none"/>
          <w:lang w:val="en-US" w:eastAsia="zh-CN"/>
        </w:rPr>
        <w:t xml:space="preserve"> </w:t>
      </w:r>
      <w:r>
        <w:rPr>
          <w:rFonts w:hint="eastAsia"/>
          <w:color w:val="auto"/>
          <w:sz w:val="36"/>
          <w:szCs w:val="36"/>
          <w:highlight w:val="none"/>
        </w:rPr>
        <w:t>响应文件内容及格式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_Toc2461 </w:instrText>
      </w:r>
      <w:r>
        <w:rPr>
          <w:color w:val="auto"/>
          <w:sz w:val="36"/>
          <w:szCs w:val="36"/>
          <w:highlight w:val="none"/>
        </w:rPr>
        <w:fldChar w:fldCharType="separate"/>
      </w:r>
      <w:r>
        <w:rPr>
          <w:color w:val="auto"/>
          <w:sz w:val="36"/>
          <w:szCs w:val="36"/>
          <w:highlight w:val="none"/>
        </w:rPr>
        <w:t>85</w:t>
      </w:r>
      <w:r>
        <w:rPr>
          <w:color w:val="auto"/>
          <w:sz w:val="36"/>
          <w:szCs w:val="36"/>
          <w:highlight w:val="none"/>
        </w:rPr>
        <w:fldChar w:fldCharType="end"/>
      </w:r>
      <w:r>
        <w:rPr>
          <w:color w:val="auto"/>
          <w:sz w:val="36"/>
          <w:szCs w:val="36"/>
          <w:highlight w:val="none"/>
        </w:rPr>
        <w:fldChar w:fldCharType="end"/>
      </w:r>
    </w:p>
    <w:p w14:paraId="4681A13F">
      <w:pPr>
        <w:keepNext w:val="0"/>
        <w:keepLines w:val="0"/>
        <w:pageBreakBefore w:val="0"/>
        <w:kinsoku/>
        <w:wordWrap w:val="0"/>
        <w:overflowPunct/>
        <w:topLinePunct w:val="0"/>
        <w:bidi w:val="0"/>
        <w:rPr>
          <w:color w:val="auto"/>
          <w:highlight w:val="none"/>
        </w:rPr>
        <w:sectPr>
          <w:pgSz w:w="11910" w:h="16840"/>
          <w:pgMar w:top="1360" w:right="1020" w:bottom="900" w:left="1040" w:header="0" w:footer="640" w:gutter="0"/>
          <w:pgBorders>
            <w:top w:val="none" w:sz="0" w:space="0"/>
            <w:left w:val="none" w:sz="0" w:space="0"/>
            <w:bottom w:val="none" w:sz="0" w:space="0"/>
            <w:right w:val="none" w:sz="0" w:space="0"/>
          </w:pgBorders>
          <w:cols w:space="720" w:num="1"/>
        </w:sectPr>
      </w:pPr>
      <w:r>
        <w:rPr>
          <w:color w:val="auto"/>
          <w:highlight w:val="none"/>
        </w:rPr>
        <w:fldChar w:fldCharType="end"/>
      </w:r>
    </w:p>
    <w:p w14:paraId="5F189E99">
      <w:pPr>
        <w:kinsoku/>
        <w:wordWrap w:val="0"/>
        <w:overflowPunct/>
        <w:topLinePunct w:val="0"/>
        <w:bidi w:val="0"/>
        <w:spacing w:line="480" w:lineRule="auto"/>
        <w:jc w:val="center"/>
        <w:outlineLvl w:val="0"/>
        <w:rPr>
          <w:rFonts w:hint="eastAsia" w:ascii="宋体" w:hAnsi="宋体" w:cs="宋体"/>
          <w:b/>
          <w:bCs/>
          <w:color w:val="auto"/>
          <w:sz w:val="24"/>
          <w:szCs w:val="24"/>
          <w:highlight w:val="none"/>
        </w:rPr>
      </w:pPr>
      <w:bookmarkStart w:id="0" w:name="_Toc12846"/>
      <w:bookmarkStart w:id="1" w:name="_Toc16699"/>
      <w:r>
        <w:rPr>
          <w:rFonts w:hint="eastAsia" w:ascii="宋体" w:hAnsi="宋体" w:cs="宋体"/>
          <w:b/>
          <w:bCs/>
          <w:color w:val="auto"/>
          <w:sz w:val="24"/>
          <w:szCs w:val="24"/>
          <w:highlight w:val="none"/>
        </w:rPr>
        <w:t>河南省政府采购合同融资政策告知函</w:t>
      </w:r>
      <w:bookmarkEnd w:id="0"/>
    </w:p>
    <w:p w14:paraId="5A68D841">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2620474D">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29F08D7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BC3EB64">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15F81E3E">
      <w:pPr>
        <w:pStyle w:val="2"/>
        <w:keepNext w:val="0"/>
        <w:keepLines w:val="0"/>
        <w:pageBreakBefore w:val="0"/>
        <w:kinsoku/>
        <w:wordWrap w:val="0"/>
        <w:overflowPunct/>
        <w:topLinePunct w:val="0"/>
        <w:bidi w:val="0"/>
        <w:spacing w:before="31"/>
        <w:ind w:left="3227"/>
        <w:rPr>
          <w:color w:val="auto"/>
          <w:highlight w:val="none"/>
        </w:rPr>
        <w:sectPr>
          <w:footerReference r:id="rId4" w:type="default"/>
          <w:pgSz w:w="11910" w:h="16840"/>
          <w:pgMar w:top="1340" w:right="1020" w:bottom="820" w:left="1040" w:header="0" w:footer="640" w:gutter="0"/>
          <w:pgBorders>
            <w:top w:val="none" w:sz="0" w:space="0"/>
            <w:left w:val="none" w:sz="0" w:space="0"/>
            <w:bottom w:val="none" w:sz="0" w:space="0"/>
            <w:right w:val="none" w:sz="0" w:space="0"/>
          </w:pgBorders>
          <w:pgNumType w:start="1"/>
          <w:cols w:space="720" w:num="1"/>
        </w:sectPr>
      </w:pPr>
    </w:p>
    <w:p w14:paraId="3BF05F1E">
      <w:pPr>
        <w:pStyle w:val="2"/>
        <w:keepNext w:val="0"/>
        <w:keepLines w:val="0"/>
        <w:pageBreakBefore w:val="0"/>
        <w:kinsoku/>
        <w:wordWrap w:val="0"/>
        <w:overflowPunct/>
        <w:topLinePunct w:val="0"/>
        <w:bidi w:val="0"/>
        <w:spacing w:before="31"/>
        <w:ind w:left="3227"/>
        <w:rPr>
          <w:color w:val="auto"/>
          <w:highlight w:val="none"/>
        </w:rPr>
      </w:pPr>
      <w:r>
        <w:rPr>
          <w:color w:val="auto"/>
          <w:highlight w:val="none"/>
        </w:rPr>
        <w:t>第一章 竞争性磋商公告</w:t>
      </w:r>
      <w:bookmarkEnd w:id="1"/>
    </w:p>
    <w:p w14:paraId="66434AB5">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color w:val="auto"/>
          <w:sz w:val="24"/>
          <w:szCs w:val="24"/>
          <w:highlight w:val="none"/>
        </w:rPr>
      </w:pPr>
      <w:r>
        <w:rPr>
          <w:rFonts w:hint="eastAsia"/>
          <w:color w:val="auto"/>
          <w:sz w:val="24"/>
          <w:szCs w:val="24"/>
          <w:highlight w:val="none"/>
          <w:lang w:eastAsia="zh-CN"/>
        </w:rPr>
        <w:t>河南立旭工程管理有限公司</w:t>
      </w:r>
      <w:r>
        <w:rPr>
          <w:color w:val="auto"/>
          <w:sz w:val="24"/>
          <w:szCs w:val="24"/>
          <w:highlight w:val="none"/>
        </w:rPr>
        <w:t>受</w:t>
      </w:r>
      <w:r>
        <w:rPr>
          <w:rFonts w:hint="eastAsia"/>
          <w:color w:val="auto"/>
          <w:sz w:val="24"/>
          <w:szCs w:val="24"/>
          <w:highlight w:val="none"/>
          <w:lang w:eastAsia="zh-CN"/>
        </w:rPr>
        <w:t>卢氏县应急管理局</w:t>
      </w:r>
      <w:r>
        <w:rPr>
          <w:color w:val="auto"/>
          <w:sz w:val="24"/>
          <w:szCs w:val="24"/>
          <w:highlight w:val="none"/>
        </w:rPr>
        <w:t>的委托，就</w:t>
      </w:r>
      <w:r>
        <w:rPr>
          <w:rFonts w:hint="eastAsia"/>
          <w:color w:val="auto"/>
          <w:sz w:val="24"/>
          <w:szCs w:val="24"/>
          <w:highlight w:val="none"/>
          <w:lang w:val="en-US" w:eastAsia="zh-CN"/>
        </w:rPr>
        <w:t>卢氏县重点非煤矿山视频智能监控系统及尾矿库在线监测系统建设项目</w:t>
      </w:r>
      <w:r>
        <w:rPr>
          <w:color w:val="auto"/>
          <w:sz w:val="24"/>
          <w:szCs w:val="24"/>
          <w:highlight w:val="none"/>
        </w:rPr>
        <w:t>进行竞争性磋商，欢迎符合资格条件的供应商参加磋商。</w:t>
      </w:r>
    </w:p>
    <w:p w14:paraId="25AB14FD">
      <w:pPr>
        <w:pStyle w:val="7"/>
        <w:keepNext w:val="0"/>
        <w:keepLines w:val="0"/>
        <w:pageBreakBefore w:val="0"/>
        <w:widowControl w:val="0"/>
        <w:numPr>
          <w:ilvl w:val="0"/>
          <w:numId w:val="0"/>
        </w:numPr>
        <w:tabs>
          <w:tab w:val="left" w:pos="9460"/>
        </w:tabs>
        <w:kinsoku/>
        <w:wordWrap w:val="0"/>
        <w:overflowPunct/>
        <w:topLinePunct w:val="0"/>
        <w:autoSpaceDE w:val="0"/>
        <w:autoSpaceDN w:val="0"/>
        <w:bidi w:val="0"/>
        <w:adjustRightInd w:val="0"/>
        <w:snapToGrid w:val="0"/>
        <w:spacing w:before="244" w:line="460" w:lineRule="exact"/>
        <w:ind w:leftChars="200"/>
        <w:jc w:val="both"/>
        <w:textAlignment w:val="auto"/>
        <w:rPr>
          <w:color w:val="auto"/>
          <w:sz w:val="24"/>
          <w:szCs w:val="24"/>
          <w:highlight w:val="none"/>
        </w:rPr>
      </w:pPr>
      <w:bookmarkStart w:id="2" w:name="_Toc21496_WPSOffice_Level2"/>
      <w:r>
        <w:rPr>
          <w:rFonts w:hint="eastAsia"/>
          <w:color w:val="auto"/>
          <w:sz w:val="24"/>
          <w:szCs w:val="24"/>
          <w:highlight w:val="none"/>
          <w:lang w:eastAsia="zh-CN"/>
        </w:rPr>
        <w:t>一、</w:t>
      </w:r>
      <w:r>
        <w:rPr>
          <w:rFonts w:hint="eastAsia"/>
          <w:color w:val="auto"/>
          <w:sz w:val="24"/>
          <w:szCs w:val="24"/>
          <w:highlight w:val="none"/>
        </w:rPr>
        <w:t>项目概况：</w:t>
      </w:r>
      <w:bookmarkEnd w:id="2"/>
    </w:p>
    <w:p w14:paraId="7286CD42">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2AB17BD0">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26545181">
      <w:pPr>
        <w:pStyle w:val="7"/>
        <w:keepNext w:val="0"/>
        <w:keepLines w:val="0"/>
        <w:pageBreakBefore w:val="0"/>
        <w:widowControl w:val="0"/>
        <w:kinsoku/>
        <w:wordWrap w:val="0"/>
        <w:overflowPunct/>
        <w:topLinePunct w:val="0"/>
        <w:autoSpaceDE w:val="0"/>
        <w:autoSpaceDN w:val="0"/>
        <w:bidi w:val="0"/>
        <w:spacing w:before="244" w:line="4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60D0B554">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4、采购内容: 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地下矿山卢氏柳关栾卢铅锌矿、双河金矿、蔡家锂矿、</w:t>
      </w:r>
      <w:r>
        <w:rPr>
          <w:rFonts w:hint="eastAsia"/>
          <w:bCs/>
          <w:color w:val="auto"/>
          <w:sz w:val="24"/>
          <w:szCs w:val="24"/>
          <w:highlight w:val="none"/>
        </w:rPr>
        <w:t>八宝山铁铜矿一采区</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安全监测监控系统及白马沟尾矿库、石窑沟尾矿库的在线监测系统；</w:t>
      </w:r>
      <w:r>
        <w:rPr>
          <w:rFonts w:hint="eastAsia"/>
          <w:color w:val="auto"/>
          <w:sz w:val="24"/>
          <w:szCs w:val="24"/>
          <w:highlight w:val="none"/>
        </w:rPr>
        <w:t>（</w:t>
      </w:r>
      <w:r>
        <w:rPr>
          <w:rFonts w:hint="eastAsia"/>
          <w:bCs/>
          <w:color w:val="auto"/>
          <w:sz w:val="24"/>
          <w:szCs w:val="24"/>
          <w:highlight w:val="none"/>
        </w:rPr>
        <w:t>详见第三章采购需求及参数要求）</w:t>
      </w:r>
    </w:p>
    <w:p w14:paraId="0CF55A2C">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val="en-US" w:eastAsia="zh-CN"/>
        </w:rPr>
        <w:t>标段划分：本项目共分3个标段。</w:t>
      </w:r>
    </w:p>
    <w:p w14:paraId="28E9077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一标段：卢氏柳关栾卢铅锌矿、双河金矿</w:t>
      </w:r>
    </w:p>
    <w:p w14:paraId="0B5A4D9F">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二标段：蔡家锂矿</w:t>
      </w:r>
    </w:p>
    <w:p w14:paraId="131DC783">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hint="eastAsia"/>
          <w:bCs/>
          <w:color w:val="auto"/>
          <w:sz w:val="24"/>
          <w:szCs w:val="24"/>
          <w:highlight w:val="none"/>
          <w:lang w:val="en-US" w:eastAsia="zh-CN"/>
        </w:rPr>
        <w:t>三标段：</w:t>
      </w:r>
      <w:r>
        <w:rPr>
          <w:rFonts w:hint="eastAsia"/>
          <w:bCs/>
          <w:color w:val="auto"/>
          <w:sz w:val="24"/>
          <w:szCs w:val="24"/>
          <w:highlight w:val="none"/>
        </w:rPr>
        <w:t>八宝山铁铜矿一采区、白马沟尾矿库、石窑沟尾矿库</w:t>
      </w:r>
    </w:p>
    <w:p w14:paraId="4053F071">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ascii="宋体" w:hAnsi="宋体" w:eastAsia="宋体" w:cs="宋体"/>
          <w:bCs/>
          <w:color w:val="auto"/>
          <w:sz w:val="24"/>
          <w:szCs w:val="24"/>
          <w:highlight w:val="none"/>
          <w:lang w:val="zh-CN" w:eastAsia="zh-CN" w:bidi="zh-CN"/>
        </w:rPr>
        <w:t>6、</w:t>
      </w:r>
      <w:r>
        <w:rPr>
          <w:rFonts w:hint="eastAsia" w:ascii="宋体" w:hAnsi="宋体" w:eastAsia="宋体" w:cs="宋体"/>
          <w:color w:val="auto"/>
          <w:sz w:val="24"/>
          <w:szCs w:val="24"/>
          <w:highlight w:val="none"/>
          <w:lang w:val="en-US" w:eastAsia="zh-CN"/>
        </w:rPr>
        <w:t>采购预算：¥1359972.00元（一标段：452820.00元；二标段：461000.00元；三标段：446152.00元）</w:t>
      </w:r>
    </w:p>
    <w:p w14:paraId="1B25FC96">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bCs/>
          <w:color w:val="auto"/>
          <w:sz w:val="24"/>
          <w:szCs w:val="24"/>
          <w:highlight w:val="none"/>
          <w:lang w:val="en-US"/>
        </w:rPr>
      </w:pPr>
      <w:r>
        <w:rPr>
          <w:rFonts w:ascii="宋体" w:hAnsi="宋体" w:eastAsia="宋体" w:cs="宋体"/>
          <w:bCs/>
          <w:color w:val="auto"/>
          <w:sz w:val="24"/>
          <w:szCs w:val="24"/>
          <w:highlight w:val="none"/>
          <w:lang w:val="zh-CN" w:eastAsia="zh-CN" w:bidi="zh-CN"/>
        </w:rPr>
        <w:t>7、</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35A0FAB1">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bCs/>
          <w:color w:val="auto"/>
          <w:sz w:val="24"/>
          <w:szCs w:val="24"/>
          <w:highlight w:val="none"/>
        </w:rPr>
      </w:pPr>
      <w:r>
        <w:rPr>
          <w:rFonts w:ascii="宋体" w:hAnsi="宋体" w:eastAsia="宋体" w:cs="宋体"/>
          <w:bCs/>
          <w:color w:val="auto"/>
          <w:sz w:val="24"/>
          <w:szCs w:val="24"/>
          <w:highlight w:val="none"/>
          <w:lang w:val="zh-CN" w:eastAsia="zh-CN" w:bidi="zh-CN"/>
        </w:rPr>
        <w:t>8、</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4907E2FD">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default" w:eastAsia="宋体"/>
          <w:bCs/>
          <w:color w:val="auto"/>
          <w:sz w:val="24"/>
          <w:szCs w:val="24"/>
          <w:highlight w:val="none"/>
          <w:lang w:val="en-US" w:eastAsia="zh-CN"/>
        </w:rPr>
      </w:pPr>
      <w:r>
        <w:rPr>
          <w:rFonts w:ascii="宋体" w:hAnsi="宋体" w:eastAsia="宋体" w:cs="宋体"/>
          <w:bCs/>
          <w:color w:val="auto"/>
          <w:sz w:val="24"/>
          <w:szCs w:val="24"/>
          <w:highlight w:val="none"/>
          <w:lang w:val="zh-CN" w:eastAsia="zh-CN" w:bidi="zh-CN"/>
        </w:rPr>
        <w:t>9、</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r>
        <w:rPr>
          <w:rFonts w:hint="eastAsia"/>
          <w:bCs/>
          <w:color w:val="auto"/>
          <w:sz w:val="24"/>
          <w:szCs w:val="24"/>
          <w:highlight w:val="none"/>
          <w:lang w:val="en-US" w:eastAsia="zh-CN"/>
        </w:rPr>
        <w:t>/标段</w:t>
      </w:r>
    </w:p>
    <w:p w14:paraId="747E1520">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color w:val="auto"/>
          <w:sz w:val="24"/>
          <w:szCs w:val="24"/>
          <w:highlight w:val="none"/>
        </w:rPr>
      </w:pPr>
      <w:r>
        <w:rPr>
          <w:rFonts w:ascii="宋体" w:hAnsi="宋体" w:eastAsia="宋体" w:cs="宋体"/>
          <w:color w:val="auto"/>
          <w:sz w:val="24"/>
          <w:szCs w:val="24"/>
          <w:highlight w:val="none"/>
          <w:lang w:val="zh-CN" w:eastAsia="zh-CN" w:bidi="zh-CN"/>
        </w:rPr>
        <w:t>10、</w:t>
      </w:r>
      <w:r>
        <w:rPr>
          <w:rFonts w:hint="eastAsia"/>
          <w:bCs/>
          <w:color w:val="auto"/>
          <w:sz w:val="24"/>
          <w:szCs w:val="24"/>
          <w:highlight w:val="none"/>
        </w:rPr>
        <w:t>质保期：</w:t>
      </w:r>
      <w:bookmarkStart w:id="3" w:name="_Toc25399_WPSOffice_Level2"/>
      <w:r>
        <w:rPr>
          <w:rFonts w:hint="eastAsia"/>
          <w:bCs/>
          <w:color w:val="auto"/>
          <w:sz w:val="24"/>
          <w:szCs w:val="24"/>
          <w:highlight w:val="none"/>
          <w:lang w:val="en-US" w:eastAsia="zh-CN"/>
        </w:rPr>
        <w:t>一年</w:t>
      </w:r>
    </w:p>
    <w:p w14:paraId="48B75358">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11、</w:t>
      </w:r>
      <w:r>
        <w:rPr>
          <w:rFonts w:hint="eastAsia"/>
          <w:color w:val="auto"/>
          <w:sz w:val="24"/>
          <w:szCs w:val="24"/>
          <w:highlight w:val="none"/>
        </w:rPr>
        <w:t>是否接受进口产品：否</w:t>
      </w:r>
    </w:p>
    <w:p w14:paraId="0ADFF45B">
      <w:pPr>
        <w:pStyle w:val="7"/>
        <w:keepNext w:val="0"/>
        <w:keepLines w:val="0"/>
        <w:pageBreakBefore w:val="0"/>
        <w:widowControl w:val="0"/>
        <w:numPr>
          <w:ilvl w:val="0"/>
          <w:numId w:val="0"/>
        </w:numPr>
        <w:kinsoku/>
        <w:wordWrap w:val="0"/>
        <w:overflowPunct/>
        <w:topLinePunct w:val="0"/>
        <w:autoSpaceDE w:val="0"/>
        <w:autoSpaceDN w:val="0"/>
        <w:bidi w:val="0"/>
        <w:spacing w:before="244" w:line="460" w:lineRule="exact"/>
        <w:ind w:left="0" w:leftChars="0" w:firstLine="480" w:firstLineChars="200"/>
        <w:jc w:val="both"/>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lang w:val="zh-CN" w:eastAsia="zh-CN" w:bidi="zh-CN"/>
        </w:rPr>
        <w:t>12、</w:t>
      </w:r>
      <w:r>
        <w:rPr>
          <w:rFonts w:hint="eastAsia"/>
          <w:color w:val="auto"/>
          <w:sz w:val="24"/>
          <w:szCs w:val="24"/>
          <w:highlight w:val="none"/>
        </w:rPr>
        <w:t>是否专门面</w:t>
      </w:r>
      <w:r>
        <w:rPr>
          <w:rFonts w:hint="eastAsia" w:ascii="宋体" w:hAnsi="宋体" w:eastAsia="宋体" w:cs="宋体"/>
          <w:color w:val="auto"/>
          <w:sz w:val="24"/>
          <w:szCs w:val="24"/>
          <w:highlight w:val="none"/>
          <w:lang w:val="en-US" w:eastAsia="zh-CN"/>
        </w:rPr>
        <w:t>向中小企业：否</w:t>
      </w:r>
    </w:p>
    <w:p w14:paraId="642E1A2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color w:val="auto"/>
          <w:sz w:val="24"/>
          <w:szCs w:val="24"/>
          <w:highlight w:val="none"/>
        </w:rPr>
      </w:pPr>
      <w:r>
        <w:rPr>
          <w:rFonts w:hint="eastAsia"/>
          <w:color w:val="auto"/>
          <w:sz w:val="24"/>
          <w:szCs w:val="24"/>
          <w:highlight w:val="none"/>
          <w:lang w:eastAsia="zh-CN"/>
        </w:rPr>
        <w:t>二、</w:t>
      </w:r>
      <w:r>
        <w:rPr>
          <w:color w:val="auto"/>
          <w:sz w:val="24"/>
          <w:szCs w:val="24"/>
          <w:highlight w:val="none"/>
        </w:rPr>
        <w:t>磋商响应供应商资格要求：</w:t>
      </w:r>
      <w:bookmarkEnd w:id="3"/>
    </w:p>
    <w:p w14:paraId="730B7A11">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5DFE459A">
      <w:pPr>
        <w:pStyle w:val="7"/>
        <w:keepNext w:val="0"/>
        <w:keepLines w:val="0"/>
        <w:pageBreakBefore w:val="0"/>
        <w:widowControl w:val="0"/>
        <w:numPr>
          <w:ilvl w:val="0"/>
          <w:numId w:val="0"/>
        </w:numPr>
        <w:kinsoku/>
        <w:wordWrap w:val="0"/>
        <w:overflowPunct/>
        <w:topLinePunct w:val="0"/>
        <w:autoSpaceDE w:val="0"/>
        <w:autoSpaceDN w:val="0"/>
        <w:bidi w:val="0"/>
        <w:spacing w:before="161" w:line="460" w:lineRule="exact"/>
        <w:ind w:leftChars="200"/>
        <w:textAlignment w:val="auto"/>
        <w:rPr>
          <w:rFonts w:hint="eastAsia"/>
          <w:color w:val="auto"/>
          <w:sz w:val="24"/>
          <w:szCs w:val="24"/>
          <w:highlight w:val="none"/>
        </w:rPr>
      </w:pPr>
      <w:r>
        <w:rPr>
          <w:rFonts w:hint="eastAsia"/>
          <w:color w:val="auto"/>
          <w:sz w:val="24"/>
          <w:szCs w:val="24"/>
          <w:highlight w:val="none"/>
          <w:lang w:val="en-US" w:eastAsia="zh-CN"/>
        </w:rPr>
        <w:t>（二）符合《中华人民共和国政府采购法》第二十二条规定并同时具备下列条件：</w:t>
      </w:r>
    </w:p>
    <w:p w14:paraId="37F5C4EE">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bCs/>
          <w:color w:val="auto"/>
          <w:sz w:val="24"/>
          <w:szCs w:val="24"/>
          <w:highlight w:val="none"/>
          <w:lang w:val="en-US"/>
        </w:rPr>
        <w:t>1、供应商必须是在中国境内注册的独立法人</w:t>
      </w:r>
      <w:r>
        <w:rPr>
          <w:rFonts w:hint="eastAsia"/>
          <w:bCs/>
          <w:color w:val="auto"/>
          <w:sz w:val="24"/>
          <w:szCs w:val="24"/>
          <w:highlight w:val="none"/>
          <w:lang w:val="en-US" w:eastAsia="zh-CN"/>
        </w:rPr>
        <w:t>、</w:t>
      </w:r>
      <w:r>
        <w:rPr>
          <w:rFonts w:hint="eastAsia"/>
          <w:bCs/>
          <w:color w:val="auto"/>
          <w:sz w:val="24"/>
          <w:szCs w:val="24"/>
          <w:highlight w:val="none"/>
          <w:lang w:val="en-US"/>
        </w:rPr>
        <w:t>其他组织或者自然人，具有独立承担民事责任的能力；</w:t>
      </w:r>
    </w:p>
    <w:p w14:paraId="578C59C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bCs/>
          <w:color w:val="auto"/>
          <w:sz w:val="24"/>
          <w:szCs w:val="24"/>
          <w:highlight w:val="none"/>
          <w:lang w:val="en-US"/>
        </w:rPr>
        <w:t>2、具有有效的营业执照、税务登记证、组织机构代码证(或“三证合一”的营业执照)</w:t>
      </w:r>
      <w:r>
        <w:rPr>
          <w:rFonts w:hint="eastAsia"/>
          <w:bCs/>
          <w:color w:val="auto"/>
          <w:sz w:val="24"/>
          <w:szCs w:val="24"/>
          <w:highlight w:val="none"/>
          <w:lang w:val="en-US" w:eastAsia="zh-CN"/>
        </w:rPr>
        <w:t>；</w:t>
      </w:r>
    </w:p>
    <w:p w14:paraId="3D83A3D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3、单位负责人为同一人或者存在直接控股、管理关系的不同供应商，不得参加同一合同项下的采购活动；（提供“国家企业信用信息公示系统”网页查询信息截图,查询信息</w:t>
      </w:r>
      <w:r>
        <w:rPr>
          <w:rFonts w:hint="eastAsia" w:cs="宋体"/>
          <w:bCs/>
          <w:color w:val="auto"/>
          <w:sz w:val="24"/>
          <w:szCs w:val="24"/>
          <w:highlight w:val="none"/>
          <w:lang w:val="en-US" w:eastAsia="zh-CN" w:bidi="zh-CN"/>
        </w:rPr>
        <w:t>应</w:t>
      </w:r>
      <w:r>
        <w:rPr>
          <w:rFonts w:hint="eastAsia" w:ascii="宋体" w:hAnsi="宋体" w:eastAsia="宋体" w:cs="宋体"/>
          <w:bCs/>
          <w:color w:val="auto"/>
          <w:sz w:val="24"/>
          <w:szCs w:val="24"/>
          <w:highlight w:val="none"/>
          <w:lang w:val="en-US" w:eastAsia="zh-CN" w:bidi="zh-CN"/>
        </w:rPr>
        <w:t>包含公司基本信息、股东信息及股权变更信息等相关信息</w:t>
      </w:r>
      <w:r>
        <w:rPr>
          <w:rFonts w:hint="eastAsia" w:cs="宋体"/>
          <w:bCs/>
          <w:color w:val="auto"/>
          <w:sz w:val="24"/>
          <w:szCs w:val="24"/>
          <w:highlight w:val="none"/>
          <w:lang w:val="en-US" w:eastAsia="zh-CN" w:bidi="zh-CN"/>
        </w:rPr>
        <w:t>；</w:t>
      </w:r>
      <w:r>
        <w:rPr>
          <w:rFonts w:hint="eastAsia" w:ascii="宋体" w:hAnsi="宋体" w:eastAsia="宋体" w:cs="宋体"/>
          <w:bCs/>
          <w:color w:val="auto"/>
          <w:sz w:val="24"/>
          <w:szCs w:val="24"/>
          <w:highlight w:val="none"/>
          <w:lang w:val="en-US" w:eastAsia="zh-CN" w:bidi="zh-CN"/>
        </w:rPr>
        <w:t>査询时间必须是磋商公告发布以后开标时间以前，查询结果清晰可见)；</w:t>
      </w:r>
    </w:p>
    <w:p w14:paraId="0FB7981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4、</w:t>
      </w:r>
      <w:r>
        <w:rPr>
          <w:rFonts w:hint="eastAsia"/>
          <w:bCs/>
          <w:color w:val="auto"/>
          <w:sz w:val="24"/>
          <w:szCs w:val="24"/>
          <w:highlight w:val="none"/>
          <w:lang w:val="en-US"/>
        </w:rPr>
        <w:t>具有履行本项目采购内容所必须的设备和专业技术服务能力；(提供证明材料或承诺书)</w:t>
      </w:r>
    </w:p>
    <w:p w14:paraId="71F6A1A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5、</w:t>
      </w:r>
      <w:r>
        <w:rPr>
          <w:rFonts w:hint="eastAsia"/>
          <w:bCs/>
          <w:color w:val="auto"/>
          <w:sz w:val="24"/>
          <w:szCs w:val="24"/>
          <w:highlight w:val="none"/>
          <w:lang w:val="en-US"/>
        </w:rPr>
        <w:t>具有良好的商业信誉和健全的财务会计制度，提供</w:t>
      </w:r>
      <w:r>
        <w:rPr>
          <w:rFonts w:hint="eastAsia"/>
          <w:bCs/>
          <w:color w:val="auto"/>
          <w:sz w:val="24"/>
          <w:szCs w:val="24"/>
          <w:highlight w:val="none"/>
          <w:lang w:val="en-US" w:eastAsia="zh-CN"/>
        </w:rPr>
        <w:t>2024年度财务报表或</w:t>
      </w:r>
      <w:r>
        <w:rPr>
          <w:rFonts w:hint="eastAsia"/>
          <w:bCs/>
          <w:color w:val="auto"/>
          <w:sz w:val="24"/>
          <w:szCs w:val="24"/>
          <w:highlight w:val="none"/>
          <w:lang w:val="en-US"/>
        </w:rPr>
        <w:t>第三方审计机构出具的财务报告；</w:t>
      </w:r>
      <w:r>
        <w:rPr>
          <w:rFonts w:hint="eastAsia"/>
          <w:bCs/>
          <w:color w:val="auto"/>
          <w:sz w:val="24"/>
          <w:szCs w:val="24"/>
          <w:highlight w:val="none"/>
          <w:lang w:val="en-US" w:eastAsia="zh-CN"/>
        </w:rPr>
        <w:t>2025年</w:t>
      </w:r>
      <w:r>
        <w:rPr>
          <w:rFonts w:hint="eastAsia"/>
          <w:bCs/>
          <w:color w:val="auto"/>
          <w:sz w:val="24"/>
          <w:szCs w:val="24"/>
          <w:highlight w:val="none"/>
          <w:lang w:val="en-US"/>
        </w:rPr>
        <w:t>新成立公司无审计报告应附最新的财务报表及说明；</w:t>
      </w:r>
    </w:p>
    <w:p w14:paraId="216BF95F">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hint="eastAsia" w:ascii="宋体" w:hAnsi="宋体" w:eastAsia="宋体" w:cs="宋体"/>
          <w:bCs/>
          <w:color w:val="auto"/>
          <w:sz w:val="24"/>
          <w:szCs w:val="24"/>
          <w:highlight w:val="none"/>
          <w:lang w:val="en-US" w:eastAsia="zh-CN" w:bidi="zh-CN"/>
        </w:rPr>
        <w:t>6、</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1073B21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zh-CN"/>
        </w:rPr>
        <w:t>7、</w:t>
      </w:r>
      <w:r>
        <w:rPr>
          <w:rFonts w:hint="eastAsia"/>
          <w:bCs/>
          <w:color w:val="auto"/>
          <w:sz w:val="24"/>
          <w:szCs w:val="24"/>
          <w:highlight w:val="none"/>
          <w:lang w:val="en-US"/>
        </w:rPr>
        <w:t>项目负责人为本单位正式员工（提供劳动合同）且已参加社会保险，提供近半年任意连续三个月参加社会养老保险的缴费证明（新成立企业从成立之日起计算）</w:t>
      </w:r>
      <w:r>
        <w:rPr>
          <w:rFonts w:hint="eastAsia"/>
          <w:bCs/>
          <w:color w:val="auto"/>
          <w:sz w:val="24"/>
          <w:szCs w:val="24"/>
          <w:highlight w:val="none"/>
          <w:lang w:val="en-US" w:eastAsia="zh-CN"/>
        </w:rPr>
        <w:t>；</w:t>
      </w:r>
    </w:p>
    <w:p w14:paraId="558CD619">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bCs/>
          <w:color w:val="auto"/>
          <w:sz w:val="24"/>
          <w:szCs w:val="24"/>
          <w:highlight w:val="none"/>
          <w:lang w:val="en-US"/>
        </w:rPr>
      </w:pPr>
      <w:r>
        <w:rPr>
          <w:rFonts w:ascii="宋体" w:hAnsi="宋体" w:eastAsia="宋体" w:cs="宋体"/>
          <w:bCs/>
          <w:color w:val="auto"/>
          <w:sz w:val="24"/>
          <w:szCs w:val="24"/>
          <w:highlight w:val="none"/>
          <w:lang w:val="en-US" w:eastAsia="zh-CN" w:bidi="zh-CN"/>
        </w:rPr>
        <w:t>8、</w:t>
      </w:r>
      <w:r>
        <w:rPr>
          <w:rFonts w:hint="eastAsia" w:ascii="宋体" w:hAnsi="宋体" w:eastAsia="宋体" w:cs="宋体"/>
          <w:bCs/>
          <w:color w:val="auto"/>
          <w:sz w:val="24"/>
          <w:szCs w:val="24"/>
          <w:highlight w:val="none"/>
          <w:lang w:val="en-US" w:eastAsia="zh-CN" w:bidi="zh-CN"/>
        </w:rPr>
        <w:t>参加政府采购活动前3年内在经营活动中没有</w:t>
      </w:r>
      <w:r>
        <w:rPr>
          <w:rFonts w:hint="eastAsia"/>
          <w:bCs/>
          <w:color w:val="auto"/>
          <w:sz w:val="24"/>
          <w:szCs w:val="24"/>
          <w:highlight w:val="none"/>
          <w:lang w:val="en-US"/>
        </w:rPr>
        <w:t>骗取中标、重大违法记录</w:t>
      </w:r>
      <w:r>
        <w:rPr>
          <w:rFonts w:hint="eastAsia"/>
          <w:bCs/>
          <w:color w:val="auto"/>
          <w:sz w:val="24"/>
          <w:szCs w:val="24"/>
          <w:highlight w:val="none"/>
          <w:lang w:val="en-US" w:eastAsia="zh-CN"/>
        </w:rPr>
        <w:t>、</w:t>
      </w:r>
      <w:r>
        <w:rPr>
          <w:rFonts w:hint="eastAsia"/>
          <w:bCs/>
          <w:color w:val="auto"/>
          <w:sz w:val="24"/>
          <w:szCs w:val="24"/>
          <w:highlight w:val="none"/>
          <w:lang w:val="en-US"/>
        </w:rPr>
        <w:t>严重违约等问题；</w:t>
      </w:r>
    </w:p>
    <w:p w14:paraId="1F2E2614">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color w:val="auto"/>
          <w:highlight w:val="none"/>
          <w:lang w:val="en-US"/>
        </w:rPr>
      </w:pPr>
      <w:r>
        <w:rPr>
          <w:rFonts w:hint="eastAsia" w:ascii="宋体" w:hAnsi="宋体" w:eastAsia="宋体" w:cs="宋体"/>
          <w:bCs/>
          <w:color w:val="auto"/>
          <w:sz w:val="24"/>
          <w:szCs w:val="24"/>
          <w:highlight w:val="none"/>
          <w:lang w:val="en-US" w:eastAsia="zh-CN" w:bidi="zh-CN"/>
        </w:rPr>
        <w:t>9</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参加政府采购活动前3年内无行贿犯罪记录</w:t>
      </w:r>
      <w:r>
        <w:rPr>
          <w:rFonts w:hint="eastAsia"/>
          <w:bCs/>
          <w:color w:val="auto"/>
          <w:sz w:val="24"/>
          <w:szCs w:val="24"/>
          <w:highlight w:val="none"/>
          <w:lang w:val="en-US" w:eastAsia="zh-CN"/>
        </w:rPr>
        <w:t>，</w:t>
      </w:r>
      <w:r>
        <w:rPr>
          <w:rFonts w:hint="eastAsia"/>
          <w:bCs/>
          <w:color w:val="auto"/>
          <w:sz w:val="24"/>
          <w:szCs w:val="24"/>
          <w:highlight w:val="none"/>
          <w:lang w:val="en-US"/>
        </w:rPr>
        <w:t>供应商出具</w:t>
      </w:r>
      <w:r>
        <w:rPr>
          <w:rFonts w:hint="eastAsia"/>
          <w:bCs/>
          <w:color w:val="auto"/>
          <w:sz w:val="24"/>
          <w:szCs w:val="24"/>
          <w:highlight w:val="none"/>
          <w:lang w:val="en-US" w:eastAsia="zh-CN"/>
        </w:rPr>
        <w:t>的</w:t>
      </w:r>
      <w:r>
        <w:rPr>
          <w:rFonts w:hint="eastAsia"/>
          <w:bCs/>
          <w:color w:val="auto"/>
          <w:sz w:val="24"/>
          <w:szCs w:val="24"/>
          <w:highlight w:val="none"/>
          <w:lang w:val="en-US"/>
        </w:rPr>
        <w:t>无行贿犯罪记录在中国裁判文书网自行查询或自行承诺（查询对象：企业、法定代表人</w:t>
      </w:r>
      <w:r>
        <w:rPr>
          <w:rFonts w:hint="eastAsia"/>
          <w:bCs/>
          <w:color w:val="auto"/>
          <w:sz w:val="24"/>
          <w:szCs w:val="24"/>
          <w:highlight w:val="none"/>
          <w:lang w:val="en-US" w:eastAsia="zh-CN"/>
        </w:rPr>
        <w:t>、项目负责人</w:t>
      </w:r>
      <w:r>
        <w:rPr>
          <w:rFonts w:hint="eastAsia"/>
          <w:bCs/>
          <w:color w:val="auto"/>
          <w:sz w:val="24"/>
          <w:szCs w:val="24"/>
          <w:highlight w:val="none"/>
          <w:lang w:val="en-US"/>
        </w:rPr>
        <w:t>）；</w:t>
      </w:r>
    </w:p>
    <w:p w14:paraId="350902E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bCs/>
          <w:color w:val="auto"/>
          <w:sz w:val="24"/>
          <w:szCs w:val="24"/>
          <w:highlight w:val="none"/>
          <w:lang w:val="en-US"/>
        </w:rPr>
      </w:pPr>
      <w:r>
        <w:rPr>
          <w:rFonts w:hint="eastAsia" w:cs="宋体"/>
          <w:bCs/>
          <w:color w:val="auto"/>
          <w:sz w:val="24"/>
          <w:szCs w:val="24"/>
          <w:highlight w:val="none"/>
          <w:lang w:val="en-US" w:eastAsia="zh-CN" w:bidi="zh-CN"/>
        </w:rPr>
        <w:t>10</w:t>
      </w:r>
      <w:r>
        <w:rPr>
          <w:rFonts w:ascii="宋体" w:hAnsi="宋体" w:eastAsia="宋体" w:cs="宋体"/>
          <w:bCs/>
          <w:color w:val="auto"/>
          <w:sz w:val="24"/>
          <w:szCs w:val="24"/>
          <w:highlight w:val="none"/>
          <w:lang w:val="en-US" w:eastAsia="zh-CN" w:bidi="zh-CN"/>
        </w:rPr>
        <w:t>、</w:t>
      </w:r>
      <w:r>
        <w:rPr>
          <w:rFonts w:hint="eastAsia"/>
          <w:bCs/>
          <w:color w:val="auto"/>
          <w:sz w:val="24"/>
          <w:szCs w:val="24"/>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432BC53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11</w:t>
      </w:r>
      <w:r>
        <w:rPr>
          <w:rFonts w:hint="eastAsia" w:ascii="宋体" w:hAnsi="宋体" w:eastAsia="宋体" w:cs="宋体"/>
          <w:bCs/>
          <w:color w:val="auto"/>
          <w:sz w:val="24"/>
          <w:szCs w:val="24"/>
          <w:highlight w:val="none"/>
          <w:lang w:val="en-US" w:eastAsia="zh-CN" w:bidi="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2F3AD0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2</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本次磋商实行资格后审</w:t>
      </w:r>
      <w:r>
        <w:rPr>
          <w:rFonts w:hint="eastAsia"/>
          <w:bCs/>
          <w:color w:val="auto"/>
          <w:sz w:val="24"/>
          <w:szCs w:val="24"/>
          <w:highlight w:val="none"/>
          <w:lang w:eastAsia="zh-CN"/>
        </w:rPr>
        <w:t>；</w:t>
      </w:r>
    </w:p>
    <w:p w14:paraId="56BF4BE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460" w:lineRule="exact"/>
        <w:ind w:left="-40" w:leftChars="0" w:firstLine="480" w:firstLineChars="0"/>
        <w:textAlignment w:val="auto"/>
        <w:rPr>
          <w:rFonts w:hint="eastAsia" w:eastAsia="宋体"/>
          <w:bCs/>
          <w:color w:val="auto"/>
          <w:sz w:val="24"/>
          <w:szCs w:val="24"/>
          <w:highlight w:val="none"/>
          <w:lang w:eastAsia="zh-CN"/>
        </w:rPr>
      </w:pPr>
      <w:r>
        <w:rPr>
          <w:rFonts w:ascii="宋体" w:hAnsi="宋体" w:eastAsia="宋体" w:cs="宋体"/>
          <w:bCs/>
          <w:color w:val="auto"/>
          <w:sz w:val="24"/>
          <w:szCs w:val="24"/>
          <w:highlight w:val="none"/>
          <w:lang w:val="zh-CN" w:eastAsia="zh-CN" w:bidi="zh-CN"/>
        </w:rPr>
        <w:t>1</w:t>
      </w:r>
      <w:r>
        <w:rPr>
          <w:rFonts w:hint="eastAsia" w:cs="宋体"/>
          <w:bCs/>
          <w:color w:val="auto"/>
          <w:sz w:val="24"/>
          <w:szCs w:val="24"/>
          <w:highlight w:val="none"/>
          <w:lang w:val="en-US" w:eastAsia="zh-CN" w:bidi="zh-CN"/>
        </w:rPr>
        <w:t>3</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本项目不接受联合体投标</w:t>
      </w:r>
      <w:r>
        <w:rPr>
          <w:rFonts w:hint="eastAsia"/>
          <w:bCs/>
          <w:color w:val="auto"/>
          <w:sz w:val="24"/>
          <w:szCs w:val="24"/>
          <w:highlight w:val="none"/>
          <w:lang w:eastAsia="zh-CN"/>
        </w:rPr>
        <w:t>。</w:t>
      </w:r>
    </w:p>
    <w:p w14:paraId="698309C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注：1、被列入失信被执行人及重大税收违法失信主体的企业做无效标处理。采购人或采购代理机构有权对供应商信用记录进行甄别和复查。</w:t>
      </w:r>
    </w:p>
    <w:p w14:paraId="566C40A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2、供应商可同时投报三个标段，同一供应商在三个标段中只能中一个标段。如同一供应商在三个标段的得分排名均第一时，则只推荐其为金额最大标段的中标候选人，其它标段的候选人按排名次序递补。</w:t>
      </w:r>
    </w:p>
    <w:p w14:paraId="710047A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三、磋商文件的获取</w:t>
      </w:r>
    </w:p>
    <w:p w14:paraId="41731A4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1、磋商文件下载时间：2025年06月25日00时00分至2025年07月08日08时40分</w:t>
      </w:r>
    </w:p>
    <w:p w14:paraId="22848FD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1C7C423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办理CA证书：http://www.smxgzjy.org/bwstb/23330.jhtml</w:t>
      </w:r>
    </w:p>
    <w:p w14:paraId="5BF3793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3、本项目采用全电子化招标，不再收取竞争性磋商文件费。</w:t>
      </w:r>
    </w:p>
    <w:p w14:paraId="139BAA6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35FEF83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四、供应商资料的提交</w:t>
      </w:r>
    </w:p>
    <w:p w14:paraId="7380643A">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45FB7EE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五、磋商保证金</w:t>
      </w:r>
    </w:p>
    <w:p w14:paraId="6F69799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按照《河南省财政厅关于优化政府采购营商环境有关问题的通知》（豫财购[2019]4号文）的要求本项目不再收取磋商保证金。</w:t>
      </w:r>
    </w:p>
    <w:p w14:paraId="19A205A6">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六、响应文件的递交截止时间及开评标地点</w:t>
      </w:r>
    </w:p>
    <w:p w14:paraId="0367E77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1、响应文件递交的截止时间（开标时间）：2025年07月08日08时40分</w:t>
      </w:r>
    </w:p>
    <w:p w14:paraId="55ED1C8D">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2、开标地点：卢氏县公共资源交易中心四楼第二开标室；</w:t>
      </w:r>
    </w:p>
    <w:p w14:paraId="67F118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3、评标地点：卢氏县公共资源交易中心二楼第二评标室；</w:t>
      </w:r>
    </w:p>
    <w:p w14:paraId="06BCB384">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七、其他事项</w:t>
      </w:r>
    </w:p>
    <w:p w14:paraId="6D264E79">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1、响应人应仔细阅读操作手册，在本公告中要求的截止时间前完成磋商文件下载工作。因响应人操作不当问题造成的无法下载磋商文件等一切后果，由响应人自行承担。</w:t>
      </w:r>
    </w:p>
    <w:p w14:paraId="193DB0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2、响应人递交的响应文件不论中标与否均不予退还。</w:t>
      </w:r>
    </w:p>
    <w:p w14:paraId="7D39D6A0">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3、采购人不组织投标单位踏勘现场。</w:t>
      </w:r>
    </w:p>
    <w:p w14:paraId="345DFEF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八、发布磋商公告的媒介</w:t>
      </w:r>
    </w:p>
    <w:p w14:paraId="37595125">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本次公告在《中国采购与招标网》、《中国招标投标公共服务平台》、《河南省政府采购网》、《三门峡市公共资源交易中心网》同时发布。</w:t>
      </w:r>
    </w:p>
    <w:p w14:paraId="3877884D">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九、联系方式</w:t>
      </w:r>
    </w:p>
    <w:p w14:paraId="63A75E7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监督单位：卢氏县政府采购办公室</w:t>
      </w:r>
    </w:p>
    <w:p w14:paraId="5F86AF23">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联系人：郭伟静</w:t>
      </w:r>
    </w:p>
    <w:p w14:paraId="18A980D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rPr>
        <w:t>电话：0398-7863556</w:t>
      </w:r>
    </w:p>
    <w:p w14:paraId="2D0088A2">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rPr>
      </w:pPr>
      <w:r>
        <w:rPr>
          <w:rFonts w:hint="eastAsia"/>
          <w:bCs/>
          <w:color w:val="auto"/>
          <w:sz w:val="24"/>
          <w:szCs w:val="24"/>
          <w:highlight w:val="none"/>
          <w:lang w:val="en-US" w:eastAsia="zh-CN"/>
        </w:rPr>
        <w:t>地址：卢氏县城关镇解放路中段</w:t>
      </w:r>
    </w:p>
    <w:p w14:paraId="2070F556">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监督单位：卢氏县应急管理局</w:t>
      </w:r>
    </w:p>
    <w:p w14:paraId="153028B0">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联系人：孙兵</w:t>
      </w:r>
    </w:p>
    <w:p w14:paraId="63B32628">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电话：13193966122、0398-7876088 </w:t>
      </w:r>
    </w:p>
    <w:p w14:paraId="690DFD51">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 卢氏县G209与兴贤路交叉口</w:t>
      </w:r>
    </w:p>
    <w:p w14:paraId="718A80CE">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采购人：卢氏县应急管理局</w:t>
      </w:r>
    </w:p>
    <w:p w14:paraId="638DA5B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联系人：张涛</w:t>
      </w:r>
    </w:p>
    <w:p w14:paraId="34786F08">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电话：13383985591、0398-7876010</w:t>
      </w:r>
    </w:p>
    <w:p w14:paraId="0FB0628F">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地址：卢氏县G209与兴贤路交叉口 </w:t>
      </w:r>
    </w:p>
    <w:p w14:paraId="4C356C97">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bookmarkStart w:id="4" w:name="_Toc19177"/>
      <w:r>
        <w:rPr>
          <w:rFonts w:hint="eastAsia"/>
          <w:bCs/>
          <w:color w:val="auto"/>
          <w:sz w:val="24"/>
          <w:szCs w:val="24"/>
          <w:highlight w:val="none"/>
          <w:lang w:val="en-US" w:eastAsia="zh-CN"/>
        </w:rPr>
        <w:t>代理机构：河南立旭工程管理有限公司</w:t>
      </w:r>
    </w:p>
    <w:p w14:paraId="4B31DC0B">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lang w:val="en-US" w:eastAsia="zh-CN"/>
        </w:rPr>
        <w:t>联系人：王珊</w:t>
      </w:r>
    </w:p>
    <w:p w14:paraId="179A3F2C">
      <w:pPr>
        <w:pStyle w:val="7"/>
        <w:keepNext w:val="0"/>
        <w:keepLines w:val="0"/>
        <w:pageBreakBefore w:val="0"/>
        <w:widowControl w:val="0"/>
        <w:kinsoku/>
        <w:wordWrap w:val="0"/>
        <w:overflowPunct/>
        <w:topLinePunct w:val="0"/>
        <w:autoSpaceDE w:val="0"/>
        <w:autoSpaceDN w:val="0"/>
        <w:bidi w:val="0"/>
        <w:adjustRightInd/>
        <w:snapToGrid/>
        <w:spacing w:before="161" w:line="460" w:lineRule="exact"/>
        <w:ind w:left="0" w:leftChars="0" w:firstLine="480" w:firstLineChars="200"/>
        <w:textAlignment w:val="auto"/>
        <w:rPr>
          <w:rFonts w:hint="default"/>
          <w:bCs/>
          <w:color w:val="auto"/>
          <w:sz w:val="24"/>
          <w:szCs w:val="24"/>
          <w:highlight w:val="none"/>
          <w:lang w:val="en-US" w:eastAsia="zh-CN"/>
        </w:rPr>
      </w:pPr>
      <w:r>
        <w:rPr>
          <w:rFonts w:hint="eastAsia"/>
          <w:bCs/>
          <w:color w:val="auto"/>
          <w:sz w:val="24"/>
          <w:szCs w:val="24"/>
          <w:highlight w:val="none"/>
          <w:lang w:val="en-US" w:eastAsia="zh-CN"/>
        </w:rPr>
        <w:t>电话：13030389566、0398-7879880</w:t>
      </w:r>
    </w:p>
    <w:p w14:paraId="159E0B2C">
      <w:pPr>
        <w:pStyle w:val="7"/>
        <w:keepNext w:val="0"/>
        <w:keepLines w:val="0"/>
        <w:pageBreakBefore w:val="0"/>
        <w:widowControl w:val="0"/>
        <w:kinsoku/>
        <w:wordWrap w:val="0"/>
        <w:overflowPunct/>
        <w:topLinePunct w:val="0"/>
        <w:autoSpaceDE w:val="0"/>
        <w:autoSpaceDN w:val="0"/>
        <w:bidi w:val="0"/>
        <w:spacing w:before="161" w:line="460" w:lineRule="exact"/>
        <w:ind w:left="0" w:firstLine="480" w:firstLineChars="200"/>
        <w:jc w:val="both"/>
        <w:textAlignment w:val="auto"/>
        <w:rPr>
          <w:b/>
          <w:color w:val="auto"/>
          <w:sz w:val="32"/>
          <w:highlight w:val="none"/>
        </w:rPr>
      </w:pPr>
      <w:r>
        <w:rPr>
          <w:rFonts w:hint="eastAsia"/>
          <w:bCs/>
          <w:color w:val="auto"/>
          <w:sz w:val="24"/>
          <w:szCs w:val="24"/>
          <w:highlight w:val="none"/>
          <w:lang w:val="en-US" w:eastAsia="zh-CN"/>
        </w:rPr>
        <w:t>地址：河南省安阳市林州市黄华镇国家863科技产业园青商大厦6-33号</w:t>
      </w:r>
    </w:p>
    <w:p w14:paraId="2FFDE102">
      <w:pPr>
        <w:keepNext w:val="0"/>
        <w:keepLines w:val="0"/>
        <w:pageBreakBefore w:val="0"/>
        <w:kinsoku/>
        <w:wordWrap w:val="0"/>
        <w:overflowPunct/>
        <w:topLinePunct w:val="0"/>
        <w:bidi w:val="0"/>
        <w:jc w:val="center"/>
        <w:rPr>
          <w:b/>
          <w:color w:val="auto"/>
          <w:highlight w:val="none"/>
        </w:rPr>
      </w:pPr>
      <w:r>
        <w:rPr>
          <w:b/>
          <w:color w:val="auto"/>
          <w:sz w:val="32"/>
          <w:highlight w:val="none"/>
        </w:rPr>
        <w:br w:type="page"/>
      </w:r>
      <w:r>
        <w:rPr>
          <w:b/>
          <w:color w:val="auto"/>
          <w:sz w:val="32"/>
          <w:highlight w:val="none"/>
        </w:rPr>
        <w:t>第二章 供应商须知</w:t>
      </w:r>
      <w:bookmarkEnd w:id="4"/>
    </w:p>
    <w:p w14:paraId="296FD98F">
      <w:pPr>
        <w:pStyle w:val="7"/>
        <w:keepNext w:val="0"/>
        <w:keepLines w:val="0"/>
        <w:pageBreakBefore w:val="0"/>
        <w:kinsoku/>
        <w:wordWrap w:val="0"/>
        <w:overflowPunct/>
        <w:topLinePunct w:val="0"/>
        <w:bidi w:val="0"/>
        <w:ind w:left="0"/>
        <w:rPr>
          <w:b/>
          <w:color w:val="auto"/>
          <w:sz w:val="32"/>
          <w:highlight w:val="none"/>
        </w:rPr>
      </w:pPr>
    </w:p>
    <w:p w14:paraId="6B8CFFC6">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供应商须知前附表</w:t>
      </w:r>
    </w:p>
    <w:p w14:paraId="5EF18660">
      <w:pPr>
        <w:pStyle w:val="7"/>
        <w:keepNext w:val="0"/>
        <w:keepLines w:val="0"/>
        <w:pageBreakBefore w:val="0"/>
        <w:kinsoku/>
        <w:wordWrap w:val="0"/>
        <w:overflowPunct/>
        <w:topLinePunct w:val="0"/>
        <w:bidi w:val="0"/>
        <w:spacing w:before="3"/>
        <w:ind w:left="0"/>
        <w:rPr>
          <w:b/>
          <w:color w:val="auto"/>
          <w:sz w:val="6"/>
          <w:highlight w:val="none"/>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15"/>
        <w:gridCol w:w="6768"/>
      </w:tblGrid>
      <w:tr w14:paraId="62FF7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noWrap w:val="0"/>
            <w:vAlign w:val="top"/>
          </w:tcPr>
          <w:p w14:paraId="3CE99724">
            <w:pPr>
              <w:pStyle w:val="17"/>
              <w:keepNext w:val="0"/>
              <w:keepLines w:val="0"/>
              <w:pageBreakBefore w:val="0"/>
              <w:kinsoku/>
              <w:wordWrap w:val="0"/>
              <w:overflowPunct/>
              <w:topLinePunct w:val="0"/>
              <w:bidi w:val="0"/>
              <w:spacing w:before="130"/>
              <w:ind w:left="169" w:right="158"/>
              <w:jc w:val="center"/>
              <w:rPr>
                <w:b/>
                <w:color w:val="auto"/>
                <w:sz w:val="24"/>
                <w:highlight w:val="none"/>
              </w:rPr>
            </w:pPr>
            <w:r>
              <w:rPr>
                <w:b/>
                <w:color w:val="auto"/>
                <w:sz w:val="24"/>
                <w:highlight w:val="none"/>
              </w:rPr>
              <w:t>条款号</w:t>
            </w:r>
          </w:p>
        </w:tc>
        <w:tc>
          <w:tcPr>
            <w:tcW w:w="1715" w:type="dxa"/>
            <w:noWrap w:val="0"/>
            <w:vAlign w:val="top"/>
          </w:tcPr>
          <w:p w14:paraId="2BDED24E">
            <w:pPr>
              <w:pStyle w:val="17"/>
              <w:keepNext w:val="0"/>
              <w:keepLines w:val="0"/>
              <w:pageBreakBefore w:val="0"/>
              <w:kinsoku/>
              <w:wordWrap w:val="0"/>
              <w:overflowPunct/>
              <w:topLinePunct w:val="0"/>
              <w:bidi w:val="0"/>
              <w:spacing w:before="130"/>
              <w:ind w:left="110" w:right="98"/>
              <w:jc w:val="center"/>
              <w:rPr>
                <w:b/>
                <w:color w:val="auto"/>
                <w:sz w:val="24"/>
                <w:highlight w:val="none"/>
              </w:rPr>
            </w:pPr>
            <w:r>
              <w:rPr>
                <w:b/>
                <w:color w:val="auto"/>
                <w:sz w:val="24"/>
                <w:highlight w:val="none"/>
              </w:rPr>
              <w:t>条款名称</w:t>
            </w:r>
          </w:p>
        </w:tc>
        <w:tc>
          <w:tcPr>
            <w:tcW w:w="6768" w:type="dxa"/>
            <w:noWrap w:val="0"/>
            <w:vAlign w:val="top"/>
          </w:tcPr>
          <w:p w14:paraId="67F7EDE3">
            <w:pPr>
              <w:pStyle w:val="17"/>
              <w:keepNext w:val="0"/>
              <w:keepLines w:val="0"/>
              <w:pageBreakBefore w:val="0"/>
              <w:kinsoku/>
              <w:wordWrap w:val="0"/>
              <w:overflowPunct/>
              <w:topLinePunct w:val="0"/>
              <w:bidi w:val="0"/>
              <w:spacing w:before="130"/>
              <w:ind w:left="1408" w:right="1397"/>
              <w:jc w:val="center"/>
              <w:rPr>
                <w:b/>
                <w:color w:val="auto"/>
                <w:sz w:val="24"/>
                <w:highlight w:val="none"/>
              </w:rPr>
            </w:pPr>
            <w:r>
              <w:rPr>
                <w:b/>
                <w:color w:val="auto"/>
                <w:sz w:val="24"/>
                <w:highlight w:val="none"/>
              </w:rPr>
              <w:t>编列内容</w:t>
            </w:r>
          </w:p>
        </w:tc>
      </w:tr>
      <w:tr w14:paraId="25C0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noWrap w:val="0"/>
            <w:vAlign w:val="center"/>
          </w:tcPr>
          <w:p w14:paraId="4986081D">
            <w:pPr>
              <w:pStyle w:val="17"/>
              <w:keepNext w:val="0"/>
              <w:keepLines w:val="0"/>
              <w:pageBreakBefore w:val="0"/>
              <w:kinsoku/>
              <w:wordWrap w:val="0"/>
              <w:overflowPunct/>
              <w:topLinePunct w:val="0"/>
              <w:bidi w:val="0"/>
              <w:jc w:val="center"/>
              <w:rPr>
                <w:b/>
                <w:color w:val="auto"/>
                <w:sz w:val="24"/>
                <w:highlight w:val="none"/>
              </w:rPr>
            </w:pPr>
          </w:p>
          <w:p w14:paraId="31B72A2F">
            <w:pPr>
              <w:pStyle w:val="17"/>
              <w:keepNext w:val="0"/>
              <w:keepLines w:val="0"/>
              <w:pageBreakBefore w:val="0"/>
              <w:kinsoku/>
              <w:wordWrap w:val="0"/>
              <w:overflowPunct/>
              <w:topLinePunct w:val="0"/>
              <w:bidi w:val="0"/>
              <w:jc w:val="center"/>
              <w:rPr>
                <w:b/>
                <w:color w:val="auto"/>
                <w:sz w:val="24"/>
                <w:highlight w:val="none"/>
              </w:rPr>
            </w:pPr>
          </w:p>
          <w:p w14:paraId="474F69F3">
            <w:pPr>
              <w:pStyle w:val="17"/>
              <w:keepNext w:val="0"/>
              <w:keepLines w:val="0"/>
              <w:pageBreakBefore w:val="0"/>
              <w:kinsoku/>
              <w:wordWrap w:val="0"/>
              <w:overflowPunct/>
              <w:topLinePunct w:val="0"/>
              <w:bidi w:val="0"/>
              <w:spacing w:before="11"/>
              <w:jc w:val="center"/>
              <w:rPr>
                <w:b/>
                <w:color w:val="auto"/>
                <w:sz w:val="16"/>
                <w:highlight w:val="none"/>
              </w:rPr>
            </w:pPr>
          </w:p>
          <w:p w14:paraId="749B7C1D">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1.1</w:t>
            </w:r>
          </w:p>
        </w:tc>
        <w:tc>
          <w:tcPr>
            <w:tcW w:w="1715" w:type="dxa"/>
            <w:noWrap w:val="0"/>
            <w:vAlign w:val="top"/>
          </w:tcPr>
          <w:p w14:paraId="17D979DC">
            <w:pPr>
              <w:pStyle w:val="17"/>
              <w:keepNext w:val="0"/>
              <w:keepLines w:val="0"/>
              <w:pageBreakBefore w:val="0"/>
              <w:kinsoku/>
              <w:wordWrap w:val="0"/>
              <w:overflowPunct/>
              <w:topLinePunct w:val="0"/>
              <w:bidi w:val="0"/>
              <w:rPr>
                <w:b/>
                <w:color w:val="auto"/>
                <w:sz w:val="24"/>
                <w:highlight w:val="none"/>
              </w:rPr>
            </w:pPr>
          </w:p>
          <w:p w14:paraId="2824AA8B">
            <w:pPr>
              <w:pStyle w:val="17"/>
              <w:keepNext w:val="0"/>
              <w:keepLines w:val="0"/>
              <w:pageBreakBefore w:val="0"/>
              <w:kinsoku/>
              <w:wordWrap w:val="0"/>
              <w:overflowPunct/>
              <w:topLinePunct w:val="0"/>
              <w:bidi w:val="0"/>
              <w:rPr>
                <w:b/>
                <w:color w:val="auto"/>
                <w:sz w:val="24"/>
                <w:highlight w:val="none"/>
              </w:rPr>
            </w:pPr>
          </w:p>
          <w:p w14:paraId="5776CD5C">
            <w:pPr>
              <w:pStyle w:val="17"/>
              <w:keepNext w:val="0"/>
              <w:keepLines w:val="0"/>
              <w:pageBreakBefore w:val="0"/>
              <w:kinsoku/>
              <w:wordWrap w:val="0"/>
              <w:overflowPunct/>
              <w:topLinePunct w:val="0"/>
              <w:bidi w:val="0"/>
              <w:spacing w:before="11"/>
              <w:rPr>
                <w:b/>
                <w:color w:val="auto"/>
                <w:sz w:val="16"/>
                <w:highlight w:val="none"/>
              </w:rPr>
            </w:pPr>
          </w:p>
          <w:p w14:paraId="6AD47698">
            <w:pPr>
              <w:pStyle w:val="17"/>
              <w:keepNext w:val="0"/>
              <w:keepLines w:val="0"/>
              <w:pageBreakBefore w:val="0"/>
              <w:kinsoku/>
              <w:wordWrap w:val="0"/>
              <w:overflowPunct/>
              <w:topLinePunct w:val="0"/>
              <w:bidi w:val="0"/>
              <w:spacing w:before="1"/>
              <w:ind w:left="490"/>
              <w:rPr>
                <w:color w:val="auto"/>
                <w:sz w:val="24"/>
                <w:highlight w:val="none"/>
              </w:rPr>
            </w:pPr>
            <w:r>
              <w:rPr>
                <w:color w:val="auto"/>
                <w:sz w:val="24"/>
                <w:highlight w:val="none"/>
              </w:rPr>
              <w:t>采购人</w:t>
            </w:r>
          </w:p>
        </w:tc>
        <w:tc>
          <w:tcPr>
            <w:tcW w:w="6768" w:type="dxa"/>
            <w:noWrap w:val="0"/>
            <w:vAlign w:val="center"/>
          </w:tcPr>
          <w:p w14:paraId="40626512">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采购人：卢氏县应急管理局</w:t>
            </w:r>
          </w:p>
          <w:p w14:paraId="1137BA75">
            <w:pPr>
              <w:pStyle w:val="17"/>
              <w:keepNext w:val="0"/>
              <w:keepLines w:val="0"/>
              <w:pageBreakBefore w:val="0"/>
              <w:kinsoku/>
              <w:wordWrap w:val="0"/>
              <w:overflowPunct/>
              <w:topLinePunct w:val="0"/>
              <w:bidi w:val="0"/>
              <w:spacing w:before="189"/>
              <w:ind w:left="107"/>
              <w:rPr>
                <w:rFonts w:hint="eastAsia"/>
                <w:bCs/>
                <w:color w:val="auto"/>
                <w:sz w:val="24"/>
                <w:szCs w:val="24"/>
                <w:highlight w:val="none"/>
                <w:lang w:val="en-US" w:eastAsia="zh-CN"/>
              </w:rPr>
            </w:pPr>
            <w:r>
              <w:rPr>
                <w:rFonts w:hint="eastAsia"/>
                <w:bCs/>
                <w:color w:val="auto"/>
                <w:sz w:val="24"/>
                <w:szCs w:val="24"/>
                <w:highlight w:val="none"/>
                <w:lang w:val="en-US" w:eastAsia="zh-CN"/>
              </w:rPr>
              <w:t xml:space="preserve">联系人：张涛 </w:t>
            </w:r>
          </w:p>
          <w:p w14:paraId="4FE7CCD9">
            <w:pPr>
              <w:pStyle w:val="17"/>
              <w:keepNext w:val="0"/>
              <w:keepLines w:val="0"/>
              <w:pageBreakBefore w:val="0"/>
              <w:kinsoku/>
              <w:wordWrap w:val="0"/>
              <w:overflowPunct/>
              <w:topLinePunct w:val="0"/>
              <w:bidi w:val="0"/>
              <w:spacing w:before="189"/>
              <w:ind w:left="107"/>
              <w:rPr>
                <w:rFonts w:hint="default"/>
                <w:bCs/>
                <w:color w:val="auto"/>
                <w:sz w:val="24"/>
                <w:szCs w:val="24"/>
                <w:highlight w:val="none"/>
                <w:lang w:val="en-US" w:eastAsia="zh-CN"/>
              </w:rPr>
            </w:pPr>
            <w:r>
              <w:rPr>
                <w:rFonts w:hint="eastAsia"/>
                <w:bCs/>
                <w:color w:val="auto"/>
                <w:sz w:val="24"/>
                <w:szCs w:val="24"/>
                <w:highlight w:val="none"/>
                <w:lang w:val="en-US" w:eastAsia="zh-CN"/>
              </w:rPr>
              <w:t>电话： 13383985591、0398-7876010</w:t>
            </w:r>
          </w:p>
          <w:p w14:paraId="582C62C5">
            <w:pPr>
              <w:pStyle w:val="17"/>
              <w:keepNext w:val="0"/>
              <w:keepLines w:val="0"/>
              <w:pageBreakBefore w:val="0"/>
              <w:kinsoku/>
              <w:wordWrap w:val="0"/>
              <w:overflowPunct/>
              <w:topLinePunct w:val="0"/>
              <w:bidi w:val="0"/>
              <w:spacing w:before="189"/>
              <w:ind w:left="107"/>
              <w:rPr>
                <w:rFonts w:hint="eastAsia" w:eastAsia="宋体"/>
                <w:color w:val="auto"/>
                <w:sz w:val="24"/>
                <w:highlight w:val="none"/>
                <w:lang w:val="en-US" w:eastAsia="zh-CN"/>
              </w:rPr>
            </w:pPr>
            <w:r>
              <w:rPr>
                <w:rFonts w:hint="eastAsia"/>
                <w:bCs/>
                <w:color w:val="auto"/>
                <w:sz w:val="24"/>
                <w:szCs w:val="24"/>
                <w:highlight w:val="none"/>
                <w:lang w:val="en-US" w:eastAsia="zh-CN"/>
              </w:rPr>
              <w:t xml:space="preserve">地址：卢氏县G209与兴贤路交叉口 </w:t>
            </w:r>
          </w:p>
        </w:tc>
      </w:tr>
      <w:tr w14:paraId="35E1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101" w:type="dxa"/>
            <w:noWrap w:val="0"/>
            <w:vAlign w:val="center"/>
          </w:tcPr>
          <w:p w14:paraId="22FAB610">
            <w:pPr>
              <w:pStyle w:val="17"/>
              <w:keepNext w:val="0"/>
              <w:keepLines w:val="0"/>
              <w:pageBreakBefore w:val="0"/>
              <w:kinsoku/>
              <w:wordWrap w:val="0"/>
              <w:overflowPunct/>
              <w:topLinePunct w:val="0"/>
              <w:bidi w:val="0"/>
              <w:jc w:val="center"/>
              <w:rPr>
                <w:b/>
                <w:color w:val="auto"/>
                <w:sz w:val="24"/>
                <w:highlight w:val="none"/>
              </w:rPr>
            </w:pPr>
          </w:p>
          <w:p w14:paraId="3853D109">
            <w:pPr>
              <w:pStyle w:val="17"/>
              <w:keepNext w:val="0"/>
              <w:keepLines w:val="0"/>
              <w:pageBreakBefore w:val="0"/>
              <w:kinsoku/>
              <w:wordWrap w:val="0"/>
              <w:overflowPunct/>
              <w:topLinePunct w:val="0"/>
              <w:bidi w:val="0"/>
              <w:spacing w:before="9"/>
              <w:jc w:val="center"/>
              <w:rPr>
                <w:b/>
                <w:color w:val="auto"/>
                <w:sz w:val="34"/>
                <w:highlight w:val="none"/>
              </w:rPr>
            </w:pPr>
          </w:p>
          <w:p w14:paraId="180E6103">
            <w:pPr>
              <w:pStyle w:val="17"/>
              <w:keepNext w:val="0"/>
              <w:keepLines w:val="0"/>
              <w:pageBreakBefore w:val="0"/>
              <w:kinsoku/>
              <w:wordWrap w:val="0"/>
              <w:overflowPunct/>
              <w:topLinePunct w:val="0"/>
              <w:bidi w:val="0"/>
              <w:spacing w:before="1"/>
              <w:ind w:left="369"/>
              <w:jc w:val="both"/>
              <w:rPr>
                <w:color w:val="auto"/>
                <w:sz w:val="24"/>
                <w:highlight w:val="none"/>
              </w:rPr>
            </w:pPr>
            <w:r>
              <w:rPr>
                <w:color w:val="auto"/>
                <w:sz w:val="24"/>
                <w:highlight w:val="none"/>
              </w:rPr>
              <w:t>1.2</w:t>
            </w:r>
          </w:p>
        </w:tc>
        <w:tc>
          <w:tcPr>
            <w:tcW w:w="1715" w:type="dxa"/>
            <w:noWrap w:val="0"/>
            <w:vAlign w:val="top"/>
          </w:tcPr>
          <w:p w14:paraId="59E2B940">
            <w:pPr>
              <w:pStyle w:val="17"/>
              <w:keepNext w:val="0"/>
              <w:keepLines w:val="0"/>
              <w:pageBreakBefore w:val="0"/>
              <w:kinsoku/>
              <w:wordWrap w:val="0"/>
              <w:overflowPunct/>
              <w:topLinePunct w:val="0"/>
              <w:bidi w:val="0"/>
              <w:rPr>
                <w:b/>
                <w:color w:val="auto"/>
                <w:sz w:val="24"/>
                <w:highlight w:val="none"/>
              </w:rPr>
            </w:pPr>
          </w:p>
          <w:p w14:paraId="69C84808">
            <w:pPr>
              <w:pStyle w:val="17"/>
              <w:keepNext w:val="0"/>
              <w:keepLines w:val="0"/>
              <w:pageBreakBefore w:val="0"/>
              <w:kinsoku/>
              <w:wordWrap w:val="0"/>
              <w:overflowPunct/>
              <w:topLinePunct w:val="0"/>
              <w:bidi w:val="0"/>
              <w:spacing w:before="9"/>
              <w:jc w:val="center"/>
              <w:rPr>
                <w:b/>
                <w:color w:val="auto"/>
                <w:sz w:val="34"/>
                <w:highlight w:val="none"/>
              </w:rPr>
            </w:pPr>
          </w:p>
          <w:p w14:paraId="1D023C63">
            <w:pPr>
              <w:pStyle w:val="17"/>
              <w:keepNext w:val="0"/>
              <w:keepLines w:val="0"/>
              <w:pageBreakBefore w:val="0"/>
              <w:kinsoku/>
              <w:wordWrap w:val="0"/>
              <w:overflowPunct/>
              <w:topLinePunct w:val="0"/>
              <w:bidi w:val="0"/>
              <w:spacing w:before="1"/>
              <w:ind w:left="130"/>
              <w:jc w:val="center"/>
              <w:rPr>
                <w:color w:val="auto"/>
                <w:sz w:val="24"/>
                <w:highlight w:val="none"/>
              </w:rPr>
            </w:pPr>
            <w:r>
              <w:rPr>
                <w:color w:val="auto"/>
                <w:sz w:val="24"/>
                <w:highlight w:val="none"/>
              </w:rPr>
              <w:t>代理机构</w:t>
            </w:r>
          </w:p>
        </w:tc>
        <w:tc>
          <w:tcPr>
            <w:tcW w:w="6768" w:type="dxa"/>
            <w:noWrap w:val="0"/>
            <w:vAlign w:val="top"/>
          </w:tcPr>
          <w:p w14:paraId="6F580CB4">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代理机构：河南立旭工程管理有限公司</w:t>
            </w:r>
          </w:p>
          <w:p w14:paraId="1B159AF7">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联系人：王珊</w:t>
            </w:r>
          </w:p>
          <w:p w14:paraId="656CA2AE">
            <w:pPr>
              <w:pStyle w:val="17"/>
              <w:keepNext w:val="0"/>
              <w:keepLines w:val="0"/>
              <w:pageBreakBefore w:val="0"/>
              <w:kinsoku/>
              <w:wordWrap w:val="0"/>
              <w:overflowPunct/>
              <w:topLinePunct w:val="0"/>
              <w:bidi w:val="0"/>
              <w:spacing w:before="189"/>
              <w:ind w:left="107"/>
              <w:rPr>
                <w:rFonts w:hint="eastAsia"/>
                <w:color w:val="auto"/>
                <w:sz w:val="24"/>
                <w:highlight w:val="none"/>
                <w:lang w:val="en-US" w:eastAsia="zh-CN"/>
              </w:rPr>
            </w:pPr>
            <w:r>
              <w:rPr>
                <w:rFonts w:hint="eastAsia"/>
                <w:color w:val="auto"/>
                <w:sz w:val="24"/>
                <w:highlight w:val="none"/>
                <w:lang w:val="en-US" w:eastAsia="zh-CN"/>
              </w:rPr>
              <w:t>电话：</w:t>
            </w:r>
            <w:r>
              <w:rPr>
                <w:rFonts w:hint="eastAsia"/>
                <w:bCs/>
                <w:color w:val="auto"/>
                <w:sz w:val="24"/>
                <w:szCs w:val="24"/>
                <w:highlight w:val="none"/>
                <w:lang w:val="en-US" w:eastAsia="zh-CN"/>
              </w:rPr>
              <w:t>13030389566、0398-7879880</w:t>
            </w:r>
          </w:p>
          <w:p w14:paraId="2E22A832">
            <w:pPr>
              <w:pStyle w:val="17"/>
              <w:keepNext w:val="0"/>
              <w:keepLines w:val="0"/>
              <w:pageBreakBefore w:val="0"/>
              <w:kinsoku/>
              <w:wordWrap w:val="0"/>
              <w:overflowPunct/>
              <w:topLinePunct w:val="0"/>
              <w:bidi w:val="0"/>
              <w:spacing w:before="189"/>
              <w:ind w:left="107"/>
              <w:rPr>
                <w:color w:val="auto"/>
                <w:sz w:val="24"/>
                <w:highlight w:val="none"/>
                <w:lang w:val="en-US"/>
              </w:rPr>
            </w:pPr>
            <w:r>
              <w:rPr>
                <w:rFonts w:hint="eastAsia"/>
                <w:color w:val="auto"/>
                <w:sz w:val="24"/>
                <w:highlight w:val="none"/>
                <w:lang w:val="en-US" w:eastAsia="zh-CN"/>
              </w:rPr>
              <w:t>地址：河南省安阳市林州市黄华镇国家863科技产业园青商大厦6-33号</w:t>
            </w:r>
          </w:p>
        </w:tc>
      </w:tr>
      <w:tr w14:paraId="4672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101" w:type="dxa"/>
            <w:noWrap w:val="0"/>
            <w:vAlign w:val="center"/>
          </w:tcPr>
          <w:p w14:paraId="69082B56">
            <w:pPr>
              <w:pStyle w:val="17"/>
              <w:keepNext w:val="0"/>
              <w:keepLines w:val="0"/>
              <w:pageBreakBefore w:val="0"/>
              <w:kinsoku/>
              <w:wordWrap w:val="0"/>
              <w:overflowPunct/>
              <w:topLinePunct w:val="0"/>
              <w:bidi w:val="0"/>
              <w:ind w:right="158" w:firstLine="240" w:firstLineChars="100"/>
              <w:jc w:val="center"/>
              <w:rPr>
                <w:color w:val="auto"/>
                <w:sz w:val="24"/>
                <w:highlight w:val="none"/>
              </w:rPr>
            </w:pPr>
            <w:r>
              <w:rPr>
                <w:color w:val="auto"/>
                <w:sz w:val="24"/>
                <w:highlight w:val="none"/>
              </w:rPr>
              <w:t>1.3</w:t>
            </w:r>
          </w:p>
        </w:tc>
        <w:tc>
          <w:tcPr>
            <w:tcW w:w="1715" w:type="dxa"/>
            <w:noWrap w:val="0"/>
            <w:vAlign w:val="center"/>
          </w:tcPr>
          <w:p w14:paraId="7517CA8A">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项目名称</w:t>
            </w:r>
          </w:p>
        </w:tc>
        <w:tc>
          <w:tcPr>
            <w:tcW w:w="6768" w:type="dxa"/>
            <w:noWrap w:val="0"/>
            <w:vAlign w:val="center"/>
          </w:tcPr>
          <w:p w14:paraId="2E1DB4BC">
            <w:pPr>
              <w:pStyle w:val="17"/>
              <w:keepNext w:val="0"/>
              <w:keepLines w:val="0"/>
              <w:pageBreakBefore w:val="0"/>
              <w:kinsoku/>
              <w:wordWrap w:val="0"/>
              <w:overflowPunct/>
              <w:topLinePunct w:val="0"/>
              <w:bidi w:val="0"/>
              <w:ind w:left="107" w:right="96"/>
              <w:jc w:val="both"/>
              <w:rPr>
                <w:rFonts w:hint="eastAsia" w:eastAsia="宋体"/>
                <w:color w:val="auto"/>
                <w:sz w:val="24"/>
                <w:highlight w:val="none"/>
                <w:lang w:eastAsia="zh-CN"/>
              </w:rPr>
            </w:pP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tc>
      </w:tr>
      <w:tr w14:paraId="36621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01" w:type="dxa"/>
            <w:noWrap w:val="0"/>
            <w:vAlign w:val="center"/>
          </w:tcPr>
          <w:p w14:paraId="733C0EF5">
            <w:pPr>
              <w:pStyle w:val="17"/>
              <w:keepNext w:val="0"/>
              <w:keepLines w:val="0"/>
              <w:pageBreakBefore w:val="0"/>
              <w:kinsoku/>
              <w:wordWrap w:val="0"/>
              <w:overflowPunct/>
              <w:topLinePunct w:val="0"/>
              <w:bidi w:val="0"/>
              <w:jc w:val="center"/>
              <w:rPr>
                <w:b/>
                <w:color w:val="auto"/>
                <w:sz w:val="18"/>
                <w:highlight w:val="none"/>
              </w:rPr>
            </w:pPr>
          </w:p>
          <w:p w14:paraId="33C8301C">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1.4</w:t>
            </w:r>
          </w:p>
        </w:tc>
        <w:tc>
          <w:tcPr>
            <w:tcW w:w="1715" w:type="dxa"/>
            <w:noWrap w:val="0"/>
            <w:vAlign w:val="top"/>
          </w:tcPr>
          <w:p w14:paraId="44AB0CAD">
            <w:pPr>
              <w:pStyle w:val="17"/>
              <w:keepNext w:val="0"/>
              <w:keepLines w:val="0"/>
              <w:pageBreakBefore w:val="0"/>
              <w:kinsoku/>
              <w:wordWrap w:val="0"/>
              <w:overflowPunct/>
              <w:topLinePunct w:val="0"/>
              <w:bidi w:val="0"/>
              <w:rPr>
                <w:b/>
                <w:color w:val="auto"/>
                <w:sz w:val="18"/>
                <w:highlight w:val="none"/>
              </w:rPr>
            </w:pPr>
          </w:p>
          <w:p w14:paraId="0A517280">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预算金额</w:t>
            </w:r>
          </w:p>
        </w:tc>
        <w:tc>
          <w:tcPr>
            <w:tcW w:w="6768" w:type="dxa"/>
            <w:noWrap w:val="0"/>
            <w:vAlign w:val="top"/>
          </w:tcPr>
          <w:p w14:paraId="0D522F9A">
            <w:pPr>
              <w:pStyle w:val="17"/>
              <w:keepNext w:val="0"/>
              <w:keepLines w:val="0"/>
              <w:pageBreakBefore w:val="0"/>
              <w:kinsoku/>
              <w:wordWrap w:val="0"/>
              <w:overflowPunct/>
              <w:topLinePunct w:val="0"/>
              <w:bidi w:val="0"/>
              <w:rPr>
                <w:b/>
                <w:color w:val="auto"/>
                <w:sz w:val="18"/>
                <w:highlight w:val="none"/>
              </w:rPr>
            </w:pPr>
          </w:p>
          <w:p w14:paraId="51371D89">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eastAsia="zh-CN"/>
              </w:rPr>
              <w:t>一标段：452820.00元</w:t>
            </w:r>
          </w:p>
        </w:tc>
      </w:tr>
      <w:tr w14:paraId="07E50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01" w:type="dxa"/>
            <w:noWrap w:val="0"/>
            <w:vAlign w:val="center"/>
          </w:tcPr>
          <w:p w14:paraId="393C14F6">
            <w:pPr>
              <w:pStyle w:val="17"/>
              <w:keepNext w:val="0"/>
              <w:keepLines w:val="0"/>
              <w:pageBreakBefore w:val="0"/>
              <w:kinsoku/>
              <w:wordWrap w:val="0"/>
              <w:overflowPunct/>
              <w:topLinePunct w:val="0"/>
              <w:bidi w:val="0"/>
              <w:jc w:val="center"/>
              <w:rPr>
                <w:b/>
                <w:color w:val="auto"/>
                <w:sz w:val="28"/>
                <w:highlight w:val="none"/>
              </w:rPr>
            </w:pPr>
          </w:p>
          <w:p w14:paraId="4A19AD41">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1.5</w:t>
            </w:r>
          </w:p>
        </w:tc>
        <w:tc>
          <w:tcPr>
            <w:tcW w:w="1715" w:type="dxa"/>
            <w:noWrap w:val="0"/>
            <w:vAlign w:val="top"/>
          </w:tcPr>
          <w:p w14:paraId="729E5A3D">
            <w:pPr>
              <w:pStyle w:val="17"/>
              <w:keepNext w:val="0"/>
              <w:keepLines w:val="0"/>
              <w:pageBreakBefore w:val="0"/>
              <w:kinsoku/>
              <w:wordWrap w:val="0"/>
              <w:overflowPunct/>
              <w:topLinePunct w:val="0"/>
              <w:bidi w:val="0"/>
              <w:spacing w:before="1" w:line="460" w:lineRule="exact"/>
              <w:ind w:left="490" w:right="118" w:hanging="360"/>
              <w:rPr>
                <w:color w:val="auto"/>
                <w:sz w:val="24"/>
                <w:highlight w:val="none"/>
              </w:rPr>
            </w:pPr>
            <w:r>
              <w:rPr>
                <w:color w:val="auto"/>
                <w:sz w:val="24"/>
                <w:highlight w:val="none"/>
              </w:rPr>
              <w:t>资金来源及落实情况</w:t>
            </w:r>
          </w:p>
        </w:tc>
        <w:tc>
          <w:tcPr>
            <w:tcW w:w="6768" w:type="dxa"/>
            <w:noWrap w:val="0"/>
            <w:vAlign w:val="top"/>
          </w:tcPr>
          <w:p w14:paraId="3FA24E0C">
            <w:pPr>
              <w:pStyle w:val="17"/>
              <w:keepNext w:val="0"/>
              <w:keepLines w:val="0"/>
              <w:pageBreakBefore w:val="0"/>
              <w:kinsoku/>
              <w:wordWrap w:val="0"/>
              <w:overflowPunct/>
              <w:topLinePunct w:val="0"/>
              <w:bidi w:val="0"/>
              <w:rPr>
                <w:b/>
                <w:color w:val="auto"/>
                <w:sz w:val="28"/>
                <w:highlight w:val="none"/>
              </w:rPr>
            </w:pPr>
          </w:p>
          <w:p w14:paraId="3F2E8676">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eastAsia="zh-CN"/>
              </w:rPr>
              <w:t>财政</w:t>
            </w:r>
            <w:r>
              <w:rPr>
                <w:rFonts w:hint="eastAsia"/>
                <w:color w:val="auto"/>
                <w:sz w:val="24"/>
                <w:highlight w:val="none"/>
              </w:rPr>
              <w:t>资金，已落实</w:t>
            </w:r>
          </w:p>
        </w:tc>
      </w:tr>
      <w:tr w14:paraId="7DBB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6DFCA165">
            <w:pPr>
              <w:pStyle w:val="17"/>
              <w:keepNext w:val="0"/>
              <w:keepLines w:val="0"/>
              <w:pageBreakBefore w:val="0"/>
              <w:kinsoku/>
              <w:wordWrap w:val="0"/>
              <w:overflowPunct/>
              <w:topLinePunct w:val="0"/>
              <w:bidi w:val="0"/>
              <w:spacing w:before="172"/>
              <w:ind w:left="166" w:right="158"/>
              <w:jc w:val="center"/>
              <w:rPr>
                <w:color w:val="auto"/>
                <w:sz w:val="24"/>
                <w:highlight w:val="none"/>
              </w:rPr>
            </w:pPr>
            <w:r>
              <w:rPr>
                <w:color w:val="auto"/>
                <w:sz w:val="24"/>
                <w:highlight w:val="none"/>
              </w:rPr>
              <w:t>1.6</w:t>
            </w:r>
          </w:p>
        </w:tc>
        <w:tc>
          <w:tcPr>
            <w:tcW w:w="1715" w:type="dxa"/>
            <w:noWrap w:val="0"/>
            <w:vAlign w:val="center"/>
          </w:tcPr>
          <w:p w14:paraId="50A0A80A">
            <w:pPr>
              <w:pStyle w:val="17"/>
              <w:keepNext w:val="0"/>
              <w:keepLines w:val="0"/>
              <w:pageBreakBefore w:val="0"/>
              <w:kinsoku/>
              <w:wordWrap w:val="0"/>
              <w:overflowPunct/>
              <w:topLinePunct w:val="0"/>
              <w:bidi w:val="0"/>
              <w:ind w:right="100" w:rightChars="0"/>
              <w:jc w:val="center"/>
              <w:rPr>
                <w:color w:val="auto"/>
                <w:sz w:val="24"/>
                <w:highlight w:val="none"/>
              </w:rPr>
            </w:pPr>
            <w:r>
              <w:rPr>
                <w:rFonts w:hint="eastAsia"/>
                <w:color w:val="auto"/>
                <w:sz w:val="24"/>
                <w:highlight w:val="none"/>
                <w:lang w:val="en-US" w:eastAsia="zh-CN"/>
              </w:rPr>
              <w:t>采购内容</w:t>
            </w:r>
          </w:p>
        </w:tc>
        <w:tc>
          <w:tcPr>
            <w:tcW w:w="6768" w:type="dxa"/>
            <w:noWrap w:val="0"/>
            <w:vAlign w:val="top"/>
          </w:tcPr>
          <w:p w14:paraId="3E0F7FC2">
            <w:pPr>
              <w:pStyle w:val="17"/>
              <w:keepNext w:val="0"/>
              <w:keepLines w:val="0"/>
              <w:pageBreakBefore w:val="0"/>
              <w:kinsoku/>
              <w:wordWrap w:val="0"/>
              <w:overflowPunct/>
              <w:topLinePunct w:val="0"/>
              <w:bidi w:val="0"/>
              <w:spacing w:line="460" w:lineRule="atLeast"/>
              <w:ind w:left="107" w:leftChars="0" w:right="-29" w:rightChars="0"/>
              <w:rPr>
                <w:color w:val="auto"/>
                <w:sz w:val="24"/>
                <w:highlight w:val="none"/>
              </w:rPr>
            </w:pPr>
            <w:r>
              <w:rPr>
                <w:rFonts w:hint="eastAsia"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地下矿山卢氏柳关栾卢铅锌矿、双河金矿</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w:t>
            </w:r>
          </w:p>
        </w:tc>
      </w:tr>
      <w:tr w14:paraId="2B0B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101" w:type="dxa"/>
            <w:noWrap w:val="0"/>
            <w:vAlign w:val="center"/>
          </w:tcPr>
          <w:p w14:paraId="41630263">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1.7</w:t>
            </w:r>
          </w:p>
        </w:tc>
        <w:tc>
          <w:tcPr>
            <w:tcW w:w="1715" w:type="dxa"/>
            <w:noWrap w:val="0"/>
            <w:vAlign w:val="center"/>
          </w:tcPr>
          <w:p w14:paraId="3CE294D2">
            <w:pPr>
              <w:pStyle w:val="17"/>
              <w:keepNext w:val="0"/>
              <w:keepLines w:val="0"/>
              <w:pageBreakBefore w:val="0"/>
              <w:kinsoku/>
              <w:wordWrap w:val="0"/>
              <w:overflowPunct/>
              <w:topLinePunct w:val="0"/>
              <w:bidi w:val="0"/>
              <w:spacing w:before="190"/>
              <w:ind w:right="100"/>
              <w:jc w:val="center"/>
              <w:rPr>
                <w:color w:val="auto"/>
                <w:sz w:val="24"/>
                <w:highlight w:val="none"/>
              </w:rPr>
            </w:pPr>
            <w:r>
              <w:rPr>
                <w:rFonts w:hint="eastAsia"/>
                <w:color w:val="auto"/>
                <w:sz w:val="24"/>
                <w:highlight w:val="none"/>
              </w:rPr>
              <w:t>供</w:t>
            </w:r>
            <w:r>
              <w:rPr>
                <w:color w:val="auto"/>
                <w:sz w:val="24"/>
                <w:highlight w:val="none"/>
              </w:rPr>
              <w:t>货期</w:t>
            </w:r>
          </w:p>
        </w:tc>
        <w:tc>
          <w:tcPr>
            <w:tcW w:w="6768" w:type="dxa"/>
            <w:noWrap w:val="0"/>
            <w:vAlign w:val="center"/>
          </w:tcPr>
          <w:p w14:paraId="1B35A68C">
            <w:pPr>
              <w:pStyle w:val="17"/>
              <w:keepNext w:val="0"/>
              <w:keepLines w:val="0"/>
              <w:pageBreakBefore w:val="0"/>
              <w:kinsoku/>
              <w:wordWrap w:val="0"/>
              <w:overflowPunct/>
              <w:topLinePunct w:val="0"/>
              <w:bidi w:val="0"/>
              <w:spacing w:before="190"/>
              <w:ind w:firstLine="240" w:firstLineChars="100"/>
              <w:jc w:val="both"/>
              <w:rPr>
                <w:color w:val="auto"/>
                <w:sz w:val="24"/>
                <w:highlight w:val="none"/>
              </w:rPr>
            </w:pPr>
            <w:r>
              <w:rPr>
                <w:rFonts w:hint="eastAsia"/>
                <w:color w:val="auto"/>
                <w:sz w:val="24"/>
                <w:highlight w:val="none"/>
                <w:lang w:val="en-US"/>
              </w:rPr>
              <w:t>合同签订后</w:t>
            </w:r>
            <w:r>
              <w:rPr>
                <w:rFonts w:hint="eastAsia"/>
                <w:color w:val="auto"/>
                <w:sz w:val="24"/>
                <w:highlight w:val="none"/>
                <w:lang w:val="en-US" w:eastAsia="zh-CN"/>
              </w:rPr>
              <w:t>30日历天</w:t>
            </w:r>
            <w:r>
              <w:rPr>
                <w:rFonts w:hint="eastAsia"/>
                <w:color w:val="auto"/>
                <w:sz w:val="24"/>
                <w:highlight w:val="none"/>
                <w:lang w:val="en-US"/>
              </w:rPr>
              <w:t>内供货并安装、调试完毕至正常运行</w:t>
            </w:r>
          </w:p>
        </w:tc>
      </w:tr>
      <w:tr w14:paraId="7419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noWrap w:val="0"/>
            <w:vAlign w:val="center"/>
          </w:tcPr>
          <w:p w14:paraId="29FFED92">
            <w:pPr>
              <w:pStyle w:val="17"/>
              <w:keepNext w:val="0"/>
              <w:keepLines w:val="0"/>
              <w:pageBreakBefore w:val="0"/>
              <w:kinsoku/>
              <w:wordWrap w:val="0"/>
              <w:overflowPunct/>
              <w:topLinePunct w:val="0"/>
              <w:bidi w:val="0"/>
              <w:spacing w:before="190"/>
              <w:ind w:right="158"/>
              <w:jc w:val="center"/>
              <w:rPr>
                <w:color w:val="auto"/>
                <w:sz w:val="24"/>
                <w:highlight w:val="none"/>
              </w:rPr>
            </w:pPr>
            <w:r>
              <w:rPr>
                <w:color w:val="auto"/>
                <w:sz w:val="24"/>
                <w:highlight w:val="none"/>
              </w:rPr>
              <w:t>1.8</w:t>
            </w:r>
          </w:p>
        </w:tc>
        <w:tc>
          <w:tcPr>
            <w:tcW w:w="1715" w:type="dxa"/>
            <w:noWrap w:val="0"/>
            <w:vAlign w:val="top"/>
          </w:tcPr>
          <w:p w14:paraId="438134A0">
            <w:pPr>
              <w:pStyle w:val="17"/>
              <w:keepNext w:val="0"/>
              <w:keepLines w:val="0"/>
              <w:pageBreakBefore w:val="0"/>
              <w:kinsoku/>
              <w:wordWrap w:val="0"/>
              <w:overflowPunct/>
              <w:topLinePunct w:val="0"/>
              <w:bidi w:val="0"/>
              <w:spacing w:before="1"/>
              <w:rPr>
                <w:b/>
                <w:color w:val="auto"/>
                <w:sz w:val="28"/>
                <w:highlight w:val="none"/>
              </w:rPr>
            </w:pPr>
          </w:p>
          <w:p w14:paraId="2E0CA8CB">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质保期</w:t>
            </w:r>
          </w:p>
        </w:tc>
        <w:tc>
          <w:tcPr>
            <w:tcW w:w="6768" w:type="dxa"/>
            <w:noWrap w:val="0"/>
            <w:vAlign w:val="top"/>
          </w:tcPr>
          <w:p w14:paraId="15B2F18A">
            <w:pPr>
              <w:pStyle w:val="17"/>
              <w:keepNext w:val="0"/>
              <w:keepLines w:val="0"/>
              <w:pageBreakBefore w:val="0"/>
              <w:kinsoku/>
              <w:wordWrap w:val="0"/>
              <w:overflowPunct/>
              <w:topLinePunct w:val="0"/>
              <w:bidi w:val="0"/>
              <w:rPr>
                <w:color w:val="auto"/>
                <w:sz w:val="24"/>
                <w:highlight w:val="none"/>
                <w:lang w:val="en-US"/>
              </w:rPr>
            </w:pPr>
          </w:p>
          <w:p w14:paraId="3AE6035C">
            <w:pPr>
              <w:pStyle w:val="17"/>
              <w:keepNext w:val="0"/>
              <w:keepLines w:val="0"/>
              <w:pageBreakBefore w:val="0"/>
              <w:kinsoku/>
              <w:wordWrap w:val="0"/>
              <w:overflowPunct/>
              <w:topLinePunct w:val="0"/>
              <w:bidi w:val="0"/>
              <w:ind w:firstLine="240" w:firstLineChars="100"/>
              <w:rPr>
                <w:color w:val="auto"/>
                <w:sz w:val="24"/>
                <w:highlight w:val="none"/>
                <w:lang w:val="en-US"/>
              </w:rPr>
            </w:pPr>
            <w:r>
              <w:rPr>
                <w:rFonts w:hint="eastAsia"/>
                <w:color w:val="auto"/>
                <w:sz w:val="24"/>
                <w:highlight w:val="none"/>
                <w:lang w:val="en-US" w:eastAsia="zh-CN"/>
              </w:rPr>
              <w:t>一</w:t>
            </w:r>
            <w:r>
              <w:rPr>
                <w:rFonts w:hint="eastAsia"/>
                <w:color w:val="auto"/>
                <w:sz w:val="24"/>
                <w:highlight w:val="none"/>
                <w:lang w:val="en-US"/>
              </w:rPr>
              <w:t>年</w:t>
            </w:r>
          </w:p>
        </w:tc>
      </w:tr>
      <w:tr w14:paraId="4882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1" w:type="dxa"/>
            <w:noWrap w:val="0"/>
            <w:vAlign w:val="center"/>
          </w:tcPr>
          <w:p w14:paraId="2026F5E1">
            <w:pPr>
              <w:pStyle w:val="17"/>
              <w:keepNext w:val="0"/>
              <w:keepLines w:val="0"/>
              <w:pageBreakBefore w:val="0"/>
              <w:kinsoku/>
              <w:wordWrap w:val="0"/>
              <w:overflowPunct/>
              <w:topLinePunct w:val="0"/>
              <w:bidi w:val="0"/>
              <w:ind w:right="158"/>
              <w:jc w:val="center"/>
              <w:rPr>
                <w:color w:val="auto"/>
                <w:sz w:val="24"/>
                <w:highlight w:val="none"/>
              </w:rPr>
            </w:pPr>
            <w:r>
              <w:rPr>
                <w:color w:val="auto"/>
                <w:sz w:val="24"/>
                <w:highlight w:val="none"/>
              </w:rPr>
              <w:t>1.9</w:t>
            </w:r>
          </w:p>
        </w:tc>
        <w:tc>
          <w:tcPr>
            <w:tcW w:w="1715" w:type="dxa"/>
            <w:noWrap w:val="0"/>
            <w:vAlign w:val="center"/>
          </w:tcPr>
          <w:p w14:paraId="335DAC61">
            <w:pPr>
              <w:pStyle w:val="17"/>
              <w:keepNext w:val="0"/>
              <w:keepLines w:val="0"/>
              <w:pageBreakBefore w:val="0"/>
              <w:kinsoku/>
              <w:wordWrap w:val="0"/>
              <w:overflowPunct/>
              <w:topLinePunct w:val="0"/>
              <w:bidi w:val="0"/>
              <w:ind w:right="100"/>
              <w:jc w:val="center"/>
              <w:rPr>
                <w:color w:val="auto"/>
                <w:sz w:val="24"/>
                <w:highlight w:val="none"/>
              </w:rPr>
            </w:pPr>
            <w:r>
              <w:rPr>
                <w:color w:val="auto"/>
                <w:sz w:val="24"/>
                <w:highlight w:val="none"/>
              </w:rPr>
              <w:t>质量要求</w:t>
            </w:r>
          </w:p>
        </w:tc>
        <w:tc>
          <w:tcPr>
            <w:tcW w:w="6768" w:type="dxa"/>
            <w:noWrap w:val="0"/>
            <w:vAlign w:val="center"/>
          </w:tcPr>
          <w:p w14:paraId="15690E0D">
            <w:pPr>
              <w:pStyle w:val="17"/>
              <w:keepNext w:val="0"/>
              <w:keepLines w:val="0"/>
              <w:pageBreakBefore w:val="0"/>
              <w:kinsoku/>
              <w:wordWrap w:val="0"/>
              <w:overflowPunct/>
              <w:topLinePunct w:val="0"/>
              <w:bidi w:val="0"/>
              <w:ind w:firstLine="240" w:firstLineChars="100"/>
              <w:jc w:val="both"/>
              <w:rPr>
                <w:color w:val="auto"/>
                <w:sz w:val="24"/>
                <w:highlight w:val="none"/>
                <w:lang w:val="en-US"/>
              </w:rPr>
            </w:pPr>
            <w:r>
              <w:rPr>
                <w:rFonts w:hint="eastAsia" w:eastAsia="宋体"/>
                <w:color w:val="auto"/>
                <w:sz w:val="24"/>
                <w:highlight w:val="none"/>
                <w:lang w:eastAsia="zh-CN"/>
              </w:rPr>
              <w:t>合格且满足采购人需求</w:t>
            </w:r>
            <w:r>
              <w:rPr>
                <w:rFonts w:hint="eastAsia"/>
                <w:bCs/>
                <w:color w:val="auto"/>
                <w:sz w:val="24"/>
                <w:szCs w:val="24"/>
                <w:highlight w:val="none"/>
                <w:lang w:eastAsia="zh-CN"/>
              </w:rPr>
              <w:t>，</w:t>
            </w:r>
            <w:r>
              <w:rPr>
                <w:rFonts w:hint="eastAsia"/>
                <w:bCs/>
                <w:color w:val="auto"/>
                <w:sz w:val="24"/>
                <w:szCs w:val="24"/>
                <w:highlight w:val="none"/>
                <w:lang w:val="en-US" w:eastAsia="zh-CN"/>
              </w:rPr>
              <w:t>并通过验收</w:t>
            </w:r>
          </w:p>
        </w:tc>
      </w:tr>
      <w:tr w14:paraId="41A4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32F19DA4">
            <w:pPr>
              <w:pStyle w:val="17"/>
              <w:keepNext w:val="0"/>
              <w:keepLines w:val="0"/>
              <w:pageBreakBefore w:val="0"/>
              <w:kinsoku/>
              <w:wordWrap w:val="0"/>
              <w:overflowPunct/>
              <w:topLinePunct w:val="0"/>
              <w:bidi w:val="0"/>
              <w:jc w:val="center"/>
              <w:rPr>
                <w:b/>
                <w:color w:val="auto"/>
                <w:sz w:val="19"/>
                <w:highlight w:val="none"/>
              </w:rPr>
            </w:pPr>
          </w:p>
          <w:p w14:paraId="68BF4CBB">
            <w:pPr>
              <w:pStyle w:val="17"/>
              <w:keepNext w:val="0"/>
              <w:keepLines w:val="0"/>
              <w:pageBreakBefore w:val="0"/>
              <w:kinsoku/>
              <w:wordWrap w:val="0"/>
              <w:overflowPunct/>
              <w:topLinePunct w:val="0"/>
              <w:bidi w:val="0"/>
              <w:ind w:left="166" w:right="158"/>
              <w:jc w:val="center"/>
              <w:rPr>
                <w:color w:val="auto"/>
                <w:sz w:val="24"/>
                <w:highlight w:val="none"/>
              </w:rPr>
            </w:pPr>
            <w:r>
              <w:rPr>
                <w:color w:val="auto"/>
                <w:sz w:val="24"/>
                <w:highlight w:val="none"/>
              </w:rPr>
              <w:t>2.0</w:t>
            </w:r>
          </w:p>
        </w:tc>
        <w:tc>
          <w:tcPr>
            <w:tcW w:w="1715" w:type="dxa"/>
            <w:noWrap w:val="0"/>
            <w:vAlign w:val="center"/>
          </w:tcPr>
          <w:p w14:paraId="22982E8C">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rPr>
              <w:t>供应商资格要求</w:t>
            </w:r>
          </w:p>
        </w:tc>
        <w:tc>
          <w:tcPr>
            <w:tcW w:w="6768" w:type="dxa"/>
            <w:noWrap w:val="0"/>
            <w:vAlign w:val="top"/>
          </w:tcPr>
          <w:p w14:paraId="2DC12A80">
            <w:pPr>
              <w:pStyle w:val="7"/>
              <w:keepNext w:val="0"/>
              <w:keepLines w:val="0"/>
              <w:pageBreakBefore w:val="0"/>
              <w:widowControl w:val="0"/>
              <w:numPr>
                <w:ilvl w:val="0"/>
                <w:numId w:val="0"/>
              </w:numPr>
              <w:kinsoku/>
              <w:wordWrap w:val="0"/>
              <w:overflowPunct/>
              <w:topLinePunct w:val="0"/>
              <w:autoSpaceDE w:val="0"/>
              <w:autoSpaceDN w:val="0"/>
              <w:bidi w:val="0"/>
              <w:spacing w:before="161" w:line="600" w:lineRule="exact"/>
              <w:ind w:firstLine="240" w:firstLineChars="100"/>
              <w:textAlignment w:val="auto"/>
              <w:rPr>
                <w:rFonts w:hint="eastAsia" w:eastAsia="宋体"/>
                <w:color w:val="auto"/>
                <w:sz w:val="24"/>
                <w:highlight w:val="none"/>
                <w:lang w:eastAsia="zh-CN"/>
              </w:rPr>
            </w:pPr>
            <w:r>
              <w:rPr>
                <w:rFonts w:hint="eastAsia"/>
                <w:color w:val="auto"/>
                <w:highlight w:val="none"/>
                <w:lang w:val="en-US" w:eastAsia="zh-CN"/>
              </w:rPr>
              <w:t>详见竞争性磋商公告</w:t>
            </w:r>
          </w:p>
        </w:tc>
      </w:tr>
      <w:tr w14:paraId="7583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14:paraId="0B814E0C">
            <w:pPr>
              <w:pStyle w:val="17"/>
              <w:keepNext w:val="0"/>
              <w:keepLines w:val="0"/>
              <w:pageBreakBefore w:val="0"/>
              <w:kinsoku/>
              <w:wordWrap w:val="0"/>
              <w:overflowPunct/>
              <w:topLinePunct w:val="0"/>
              <w:bidi w:val="0"/>
              <w:spacing w:before="130"/>
              <w:ind w:left="107"/>
              <w:jc w:val="center"/>
              <w:rPr>
                <w:color w:val="auto"/>
                <w:sz w:val="24"/>
                <w:highlight w:val="none"/>
              </w:rPr>
            </w:pPr>
            <w:r>
              <w:rPr>
                <w:rFonts w:hint="eastAsia"/>
                <w:color w:val="auto"/>
                <w:sz w:val="24"/>
                <w:highlight w:val="none"/>
                <w:lang w:val="en-US"/>
              </w:rPr>
              <w:t>2.1</w:t>
            </w:r>
          </w:p>
        </w:tc>
        <w:tc>
          <w:tcPr>
            <w:tcW w:w="1715" w:type="dxa"/>
            <w:noWrap w:val="0"/>
            <w:vAlign w:val="top"/>
          </w:tcPr>
          <w:p w14:paraId="5D07A9E1">
            <w:pPr>
              <w:pStyle w:val="17"/>
              <w:keepNext w:val="0"/>
              <w:keepLines w:val="0"/>
              <w:pageBreakBefore w:val="0"/>
              <w:kinsoku/>
              <w:wordWrap w:val="0"/>
              <w:overflowPunct/>
              <w:topLinePunct w:val="0"/>
              <w:bidi w:val="0"/>
              <w:spacing w:before="128" w:line="360" w:lineRule="auto"/>
              <w:ind w:left="130" w:right="118"/>
              <w:jc w:val="center"/>
              <w:rPr>
                <w:color w:val="auto"/>
                <w:sz w:val="24"/>
                <w:highlight w:val="none"/>
              </w:rPr>
            </w:pPr>
            <w:r>
              <w:rPr>
                <w:color w:val="auto"/>
                <w:sz w:val="24"/>
                <w:highlight w:val="none"/>
              </w:rPr>
              <w:t>磋商响应供应商提出问题的</w:t>
            </w:r>
          </w:p>
          <w:p w14:paraId="75FE16C8">
            <w:pPr>
              <w:pStyle w:val="17"/>
              <w:keepNext w:val="0"/>
              <w:keepLines w:val="0"/>
              <w:pageBreakBefore w:val="0"/>
              <w:kinsoku/>
              <w:wordWrap w:val="0"/>
              <w:overflowPunct/>
              <w:topLinePunct w:val="0"/>
              <w:bidi w:val="0"/>
              <w:spacing w:line="307" w:lineRule="exact"/>
              <w:ind w:left="110" w:right="100"/>
              <w:jc w:val="center"/>
              <w:rPr>
                <w:color w:val="auto"/>
                <w:sz w:val="24"/>
                <w:highlight w:val="none"/>
              </w:rPr>
            </w:pPr>
            <w:r>
              <w:rPr>
                <w:color w:val="auto"/>
                <w:sz w:val="24"/>
                <w:highlight w:val="none"/>
              </w:rPr>
              <w:t>截止时间</w:t>
            </w:r>
          </w:p>
        </w:tc>
        <w:tc>
          <w:tcPr>
            <w:tcW w:w="6768" w:type="dxa"/>
            <w:noWrap w:val="0"/>
            <w:vAlign w:val="top"/>
          </w:tcPr>
          <w:p w14:paraId="5276BA37">
            <w:pPr>
              <w:pStyle w:val="17"/>
              <w:keepNext w:val="0"/>
              <w:keepLines w:val="0"/>
              <w:pageBreakBefore w:val="0"/>
              <w:kinsoku/>
              <w:wordWrap w:val="0"/>
              <w:overflowPunct/>
              <w:topLinePunct w:val="0"/>
              <w:bidi w:val="0"/>
              <w:spacing w:before="12"/>
              <w:rPr>
                <w:b/>
                <w:color w:val="auto"/>
                <w:sz w:val="21"/>
                <w:highlight w:val="none"/>
              </w:rPr>
            </w:pPr>
          </w:p>
          <w:p w14:paraId="4FF888BE">
            <w:pPr>
              <w:pStyle w:val="17"/>
              <w:keepNext w:val="0"/>
              <w:keepLines w:val="0"/>
              <w:pageBreakBefore w:val="0"/>
              <w:kinsoku/>
              <w:wordWrap w:val="0"/>
              <w:overflowPunct/>
              <w:topLinePunct w:val="0"/>
              <w:bidi w:val="0"/>
              <w:ind w:left="107"/>
              <w:rPr>
                <w:rFonts w:hint="default" w:eastAsia="宋体"/>
                <w:color w:val="auto"/>
                <w:highlight w:val="none"/>
                <w:lang w:val="en-US" w:eastAsia="zh-CN"/>
              </w:rPr>
            </w:pPr>
            <w:r>
              <w:rPr>
                <w:color w:val="auto"/>
                <w:sz w:val="24"/>
                <w:highlight w:val="none"/>
              </w:rPr>
              <w:t>递交磋商响应文件截止之日 3 日前</w:t>
            </w:r>
          </w:p>
        </w:tc>
      </w:tr>
      <w:tr w14:paraId="2E70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D9C4D89">
            <w:pPr>
              <w:pStyle w:val="17"/>
              <w:keepNext w:val="0"/>
              <w:keepLines w:val="0"/>
              <w:pageBreakBefore w:val="0"/>
              <w:kinsoku/>
              <w:wordWrap w:val="0"/>
              <w:overflowPunct/>
              <w:topLinePunct w:val="0"/>
              <w:bidi w:val="0"/>
              <w:rPr>
                <w:b/>
                <w:color w:val="auto"/>
                <w:sz w:val="24"/>
                <w:highlight w:val="none"/>
              </w:rPr>
            </w:pPr>
          </w:p>
          <w:p w14:paraId="75F4DAD3">
            <w:pPr>
              <w:pStyle w:val="17"/>
              <w:keepNext w:val="0"/>
              <w:keepLines w:val="0"/>
              <w:pageBreakBefore w:val="0"/>
              <w:kinsoku/>
              <w:wordWrap w:val="0"/>
              <w:overflowPunct/>
              <w:topLinePunct w:val="0"/>
              <w:bidi w:val="0"/>
              <w:spacing w:before="12"/>
              <w:rPr>
                <w:b/>
                <w:color w:val="auto"/>
                <w:sz w:val="21"/>
                <w:highlight w:val="none"/>
              </w:rPr>
            </w:pPr>
          </w:p>
          <w:p w14:paraId="752D1CBC">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2.2</w:t>
            </w:r>
          </w:p>
        </w:tc>
        <w:tc>
          <w:tcPr>
            <w:tcW w:w="1715" w:type="dxa"/>
            <w:noWrap w:val="0"/>
            <w:vAlign w:val="top"/>
          </w:tcPr>
          <w:p w14:paraId="21C55F60">
            <w:pPr>
              <w:pStyle w:val="17"/>
              <w:keepNext w:val="0"/>
              <w:keepLines w:val="0"/>
              <w:pageBreakBefore w:val="0"/>
              <w:kinsoku/>
              <w:wordWrap w:val="0"/>
              <w:overflowPunct/>
              <w:topLinePunct w:val="0"/>
              <w:bidi w:val="0"/>
              <w:spacing w:before="57" w:line="460" w:lineRule="atLeast"/>
              <w:ind w:left="250" w:right="238"/>
              <w:rPr>
                <w:color w:val="auto"/>
                <w:sz w:val="24"/>
                <w:highlight w:val="none"/>
              </w:rPr>
            </w:pPr>
            <w:r>
              <w:rPr>
                <w:color w:val="auto"/>
                <w:sz w:val="24"/>
                <w:highlight w:val="none"/>
              </w:rPr>
              <w:t>采购人书面澄清的时间</w:t>
            </w:r>
          </w:p>
        </w:tc>
        <w:tc>
          <w:tcPr>
            <w:tcW w:w="6768" w:type="dxa"/>
            <w:noWrap w:val="0"/>
            <w:vAlign w:val="top"/>
          </w:tcPr>
          <w:p w14:paraId="3740A955">
            <w:pPr>
              <w:pStyle w:val="17"/>
              <w:keepNext w:val="0"/>
              <w:keepLines w:val="0"/>
              <w:pageBreakBefore w:val="0"/>
              <w:kinsoku/>
              <w:wordWrap w:val="0"/>
              <w:overflowPunct/>
              <w:topLinePunct w:val="0"/>
              <w:bidi w:val="0"/>
              <w:spacing w:before="4"/>
              <w:rPr>
                <w:b/>
                <w:color w:val="auto"/>
                <w:sz w:val="34"/>
                <w:highlight w:val="none"/>
              </w:rPr>
            </w:pPr>
          </w:p>
          <w:p w14:paraId="71882FEF">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递交磋商响应文件截止之日 2 日前</w:t>
            </w:r>
          </w:p>
        </w:tc>
      </w:tr>
      <w:tr w14:paraId="5A1C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33761707">
            <w:pPr>
              <w:pStyle w:val="17"/>
              <w:keepNext w:val="0"/>
              <w:keepLines w:val="0"/>
              <w:pageBreakBefore w:val="0"/>
              <w:kinsoku/>
              <w:wordWrap w:val="0"/>
              <w:overflowPunct/>
              <w:topLinePunct w:val="0"/>
              <w:bidi w:val="0"/>
              <w:spacing w:before="4"/>
              <w:rPr>
                <w:b/>
                <w:color w:val="auto"/>
                <w:sz w:val="34"/>
                <w:highlight w:val="none"/>
              </w:rPr>
            </w:pPr>
          </w:p>
          <w:p w14:paraId="25356A6E">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2.3</w:t>
            </w:r>
          </w:p>
        </w:tc>
        <w:tc>
          <w:tcPr>
            <w:tcW w:w="1715" w:type="dxa"/>
            <w:noWrap w:val="0"/>
            <w:vAlign w:val="top"/>
          </w:tcPr>
          <w:p w14:paraId="0A8E6C0E">
            <w:pPr>
              <w:pStyle w:val="17"/>
              <w:keepNext w:val="0"/>
              <w:keepLines w:val="0"/>
              <w:pageBreakBefore w:val="0"/>
              <w:kinsoku/>
              <w:wordWrap w:val="0"/>
              <w:overflowPunct/>
              <w:topLinePunct w:val="0"/>
              <w:bidi w:val="0"/>
              <w:spacing w:before="193"/>
              <w:ind w:left="110" w:right="100"/>
              <w:jc w:val="center"/>
              <w:rPr>
                <w:color w:val="auto"/>
                <w:sz w:val="24"/>
                <w:highlight w:val="none"/>
              </w:rPr>
            </w:pPr>
            <w:r>
              <w:rPr>
                <w:color w:val="auto"/>
                <w:sz w:val="24"/>
                <w:highlight w:val="none"/>
              </w:rPr>
              <w:t>磋商截止时间</w:t>
            </w:r>
          </w:p>
        </w:tc>
        <w:tc>
          <w:tcPr>
            <w:tcW w:w="6768" w:type="dxa"/>
            <w:noWrap w:val="0"/>
            <w:vAlign w:val="top"/>
          </w:tcPr>
          <w:p w14:paraId="428A31F8">
            <w:pPr>
              <w:pStyle w:val="17"/>
              <w:keepNext w:val="0"/>
              <w:keepLines w:val="0"/>
              <w:pageBreakBefore w:val="0"/>
              <w:kinsoku/>
              <w:wordWrap w:val="0"/>
              <w:overflowPunct/>
              <w:topLinePunct w:val="0"/>
              <w:bidi w:val="0"/>
              <w:spacing w:before="193"/>
              <w:ind w:left="107"/>
              <w:rPr>
                <w:color w:val="auto"/>
                <w:sz w:val="24"/>
                <w:highlight w:val="none"/>
              </w:rPr>
            </w:pPr>
            <w:r>
              <w:rPr>
                <w:rFonts w:hint="eastAsia"/>
                <w:color w:val="auto"/>
                <w:sz w:val="24"/>
                <w:highlight w:val="none"/>
                <w:lang w:val="en-US" w:eastAsia="zh-CN"/>
              </w:rPr>
              <w:t>2025年07月08日08时40分</w:t>
            </w:r>
          </w:p>
        </w:tc>
      </w:tr>
      <w:tr w14:paraId="0EC1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628C53FB">
            <w:pPr>
              <w:pStyle w:val="17"/>
              <w:keepNext w:val="0"/>
              <w:keepLines w:val="0"/>
              <w:pageBreakBefore w:val="0"/>
              <w:kinsoku/>
              <w:wordWrap w:val="0"/>
              <w:overflowPunct/>
              <w:topLinePunct w:val="0"/>
              <w:bidi w:val="0"/>
              <w:spacing w:before="193"/>
              <w:ind w:left="166" w:right="158"/>
              <w:jc w:val="center"/>
              <w:rPr>
                <w:color w:val="auto"/>
                <w:sz w:val="24"/>
                <w:highlight w:val="none"/>
                <w:lang w:val="en-US"/>
              </w:rPr>
            </w:pPr>
            <w:r>
              <w:rPr>
                <w:color w:val="auto"/>
                <w:sz w:val="24"/>
                <w:highlight w:val="none"/>
              </w:rPr>
              <w:t>2.4</w:t>
            </w:r>
          </w:p>
        </w:tc>
        <w:tc>
          <w:tcPr>
            <w:tcW w:w="1715" w:type="dxa"/>
            <w:noWrap w:val="0"/>
            <w:vAlign w:val="top"/>
          </w:tcPr>
          <w:p w14:paraId="748FA026">
            <w:pPr>
              <w:pStyle w:val="17"/>
              <w:keepNext w:val="0"/>
              <w:keepLines w:val="0"/>
              <w:pageBreakBefore w:val="0"/>
              <w:kinsoku/>
              <w:wordWrap w:val="0"/>
              <w:overflowPunct/>
              <w:topLinePunct w:val="0"/>
              <w:bidi w:val="0"/>
              <w:spacing w:before="7"/>
              <w:rPr>
                <w:b/>
                <w:color w:val="auto"/>
                <w:sz w:val="18"/>
                <w:highlight w:val="none"/>
              </w:rPr>
            </w:pPr>
          </w:p>
          <w:p w14:paraId="70C3C0E3">
            <w:pPr>
              <w:pStyle w:val="17"/>
              <w:keepNext w:val="0"/>
              <w:keepLines w:val="0"/>
              <w:pageBreakBefore w:val="0"/>
              <w:kinsoku/>
              <w:wordWrap w:val="0"/>
              <w:overflowPunct/>
              <w:topLinePunct w:val="0"/>
              <w:bidi w:val="0"/>
              <w:ind w:left="110" w:right="100"/>
              <w:jc w:val="center"/>
              <w:rPr>
                <w:color w:val="auto"/>
                <w:sz w:val="24"/>
                <w:highlight w:val="none"/>
              </w:rPr>
            </w:pPr>
            <w:r>
              <w:rPr>
                <w:color w:val="auto"/>
                <w:sz w:val="24"/>
                <w:highlight w:val="none"/>
              </w:rPr>
              <w:t>磋商有效期</w:t>
            </w:r>
          </w:p>
        </w:tc>
        <w:tc>
          <w:tcPr>
            <w:tcW w:w="6768" w:type="dxa"/>
            <w:noWrap w:val="0"/>
            <w:vAlign w:val="top"/>
          </w:tcPr>
          <w:p w14:paraId="2E513D53">
            <w:pPr>
              <w:pStyle w:val="17"/>
              <w:keepNext w:val="0"/>
              <w:keepLines w:val="0"/>
              <w:pageBreakBefore w:val="0"/>
              <w:kinsoku/>
              <w:wordWrap w:val="0"/>
              <w:overflowPunct/>
              <w:topLinePunct w:val="0"/>
              <w:bidi w:val="0"/>
              <w:spacing w:before="7"/>
              <w:rPr>
                <w:b/>
                <w:color w:val="auto"/>
                <w:sz w:val="18"/>
                <w:highlight w:val="none"/>
              </w:rPr>
            </w:pPr>
          </w:p>
          <w:p w14:paraId="3B11728C">
            <w:pPr>
              <w:pStyle w:val="17"/>
              <w:keepNext w:val="0"/>
              <w:keepLines w:val="0"/>
              <w:pageBreakBefore w:val="0"/>
              <w:kinsoku/>
              <w:wordWrap w:val="0"/>
              <w:overflowPunct/>
              <w:topLinePunct w:val="0"/>
              <w:bidi w:val="0"/>
              <w:ind w:left="107"/>
              <w:rPr>
                <w:color w:val="auto"/>
                <w:sz w:val="24"/>
                <w:highlight w:val="none"/>
              </w:rPr>
            </w:pPr>
            <w:r>
              <w:rPr>
                <w:color w:val="auto"/>
                <w:sz w:val="24"/>
                <w:highlight w:val="none"/>
              </w:rPr>
              <w:t>60 日历天</w:t>
            </w:r>
          </w:p>
        </w:tc>
      </w:tr>
      <w:tr w14:paraId="4932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1" w:type="dxa"/>
            <w:noWrap w:val="0"/>
            <w:vAlign w:val="top"/>
          </w:tcPr>
          <w:p w14:paraId="40B6B789">
            <w:pPr>
              <w:pStyle w:val="17"/>
              <w:keepNext w:val="0"/>
              <w:keepLines w:val="0"/>
              <w:pageBreakBefore w:val="0"/>
              <w:kinsoku/>
              <w:wordWrap w:val="0"/>
              <w:overflowPunct/>
              <w:topLinePunct w:val="0"/>
              <w:bidi w:val="0"/>
              <w:spacing w:before="7"/>
              <w:rPr>
                <w:b/>
                <w:color w:val="auto"/>
                <w:sz w:val="18"/>
                <w:highlight w:val="none"/>
              </w:rPr>
            </w:pPr>
          </w:p>
          <w:p w14:paraId="6AEC8EFF">
            <w:pPr>
              <w:pStyle w:val="17"/>
              <w:keepNext w:val="0"/>
              <w:keepLines w:val="0"/>
              <w:pageBreakBefore w:val="0"/>
              <w:kinsoku/>
              <w:wordWrap w:val="0"/>
              <w:overflowPunct/>
              <w:topLinePunct w:val="0"/>
              <w:bidi w:val="0"/>
              <w:ind w:left="166" w:right="158"/>
              <w:jc w:val="center"/>
              <w:rPr>
                <w:color w:val="auto"/>
                <w:sz w:val="24"/>
                <w:highlight w:val="none"/>
                <w:lang w:val="en-US"/>
              </w:rPr>
            </w:pPr>
            <w:r>
              <w:rPr>
                <w:color w:val="auto"/>
                <w:sz w:val="24"/>
                <w:highlight w:val="none"/>
              </w:rPr>
              <w:t>2.5</w:t>
            </w:r>
          </w:p>
        </w:tc>
        <w:tc>
          <w:tcPr>
            <w:tcW w:w="1715" w:type="dxa"/>
            <w:noWrap w:val="0"/>
            <w:vAlign w:val="top"/>
          </w:tcPr>
          <w:p w14:paraId="2F715082">
            <w:pPr>
              <w:pStyle w:val="17"/>
              <w:keepNext w:val="0"/>
              <w:keepLines w:val="0"/>
              <w:pageBreakBefore w:val="0"/>
              <w:kinsoku/>
              <w:wordWrap w:val="0"/>
              <w:overflowPunct/>
              <w:topLinePunct w:val="0"/>
              <w:bidi w:val="0"/>
              <w:jc w:val="center"/>
              <w:rPr>
                <w:b/>
                <w:color w:val="auto"/>
                <w:sz w:val="24"/>
                <w:highlight w:val="none"/>
              </w:rPr>
            </w:pPr>
          </w:p>
          <w:p w14:paraId="5BFAE1CD">
            <w:pPr>
              <w:pStyle w:val="17"/>
              <w:keepNext w:val="0"/>
              <w:keepLines w:val="0"/>
              <w:pageBreakBefore w:val="0"/>
              <w:kinsoku/>
              <w:wordWrap w:val="0"/>
              <w:overflowPunct/>
              <w:topLinePunct w:val="0"/>
              <w:bidi w:val="0"/>
              <w:jc w:val="center"/>
              <w:rPr>
                <w:b/>
                <w:color w:val="auto"/>
                <w:sz w:val="24"/>
                <w:highlight w:val="none"/>
              </w:rPr>
            </w:pPr>
          </w:p>
          <w:p w14:paraId="779B4FD9">
            <w:pPr>
              <w:pStyle w:val="17"/>
              <w:keepNext w:val="0"/>
              <w:keepLines w:val="0"/>
              <w:pageBreakBefore w:val="0"/>
              <w:kinsoku/>
              <w:wordWrap w:val="0"/>
              <w:overflowPunct/>
              <w:topLinePunct w:val="0"/>
              <w:bidi w:val="0"/>
              <w:spacing w:before="1"/>
              <w:ind w:right="100"/>
              <w:jc w:val="center"/>
              <w:rPr>
                <w:color w:val="auto"/>
                <w:sz w:val="24"/>
                <w:highlight w:val="none"/>
              </w:rPr>
            </w:pPr>
            <w:r>
              <w:rPr>
                <w:color w:val="auto"/>
                <w:sz w:val="24"/>
                <w:highlight w:val="none"/>
              </w:rPr>
              <w:t>磋商保证金</w:t>
            </w:r>
          </w:p>
        </w:tc>
        <w:tc>
          <w:tcPr>
            <w:tcW w:w="6768" w:type="dxa"/>
            <w:noWrap w:val="0"/>
            <w:vAlign w:val="top"/>
          </w:tcPr>
          <w:p w14:paraId="60E20D8F">
            <w:pPr>
              <w:pStyle w:val="17"/>
              <w:keepNext w:val="0"/>
              <w:keepLines w:val="0"/>
              <w:pageBreakBefore w:val="0"/>
              <w:kinsoku/>
              <w:wordWrap w:val="0"/>
              <w:overflowPunct/>
              <w:topLinePunct w:val="0"/>
              <w:bidi w:val="0"/>
              <w:spacing w:before="103" w:line="500" w:lineRule="exact"/>
              <w:rPr>
                <w:color w:val="auto"/>
                <w:sz w:val="24"/>
                <w:highlight w:val="none"/>
              </w:rPr>
            </w:pPr>
            <w:r>
              <w:rPr>
                <w:rFonts w:hint="eastAsia"/>
                <w:color w:val="auto"/>
                <w:sz w:val="24"/>
                <w:highlight w:val="none"/>
              </w:rPr>
              <w:t>按照《河南省财政厅关于优化政府采购营商环境有关问题的通知》（豫财购[2019]4号文）的要求本项目不再收取投标保证金</w:t>
            </w:r>
          </w:p>
        </w:tc>
      </w:tr>
      <w:tr w14:paraId="03D4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01" w:type="dxa"/>
            <w:noWrap w:val="0"/>
            <w:vAlign w:val="top"/>
          </w:tcPr>
          <w:p w14:paraId="619D5662">
            <w:pPr>
              <w:pStyle w:val="17"/>
              <w:keepNext w:val="0"/>
              <w:keepLines w:val="0"/>
              <w:pageBreakBefore w:val="0"/>
              <w:kinsoku/>
              <w:wordWrap w:val="0"/>
              <w:overflowPunct/>
              <w:topLinePunct w:val="0"/>
              <w:bidi w:val="0"/>
              <w:jc w:val="center"/>
              <w:rPr>
                <w:b/>
                <w:color w:val="auto"/>
                <w:sz w:val="24"/>
                <w:highlight w:val="none"/>
              </w:rPr>
            </w:pPr>
          </w:p>
          <w:p w14:paraId="3028A2AB">
            <w:pPr>
              <w:pStyle w:val="17"/>
              <w:keepNext w:val="0"/>
              <w:keepLines w:val="0"/>
              <w:pageBreakBefore w:val="0"/>
              <w:kinsoku/>
              <w:wordWrap w:val="0"/>
              <w:overflowPunct/>
              <w:topLinePunct w:val="0"/>
              <w:bidi w:val="0"/>
              <w:jc w:val="center"/>
              <w:rPr>
                <w:b/>
                <w:color w:val="auto"/>
                <w:sz w:val="24"/>
                <w:highlight w:val="none"/>
              </w:rPr>
            </w:pPr>
          </w:p>
          <w:p w14:paraId="128564B7">
            <w:pPr>
              <w:pStyle w:val="17"/>
              <w:keepNext w:val="0"/>
              <w:keepLines w:val="0"/>
              <w:pageBreakBefore w:val="0"/>
              <w:kinsoku/>
              <w:wordWrap w:val="0"/>
              <w:overflowPunct/>
              <w:topLinePunct w:val="0"/>
              <w:bidi w:val="0"/>
              <w:spacing w:before="1"/>
              <w:ind w:right="158"/>
              <w:jc w:val="center"/>
              <w:rPr>
                <w:color w:val="auto"/>
                <w:sz w:val="24"/>
                <w:highlight w:val="none"/>
                <w:lang w:val="en-US"/>
              </w:rPr>
            </w:pPr>
            <w:r>
              <w:rPr>
                <w:color w:val="auto"/>
                <w:sz w:val="24"/>
                <w:highlight w:val="none"/>
              </w:rPr>
              <w:t>2.6</w:t>
            </w:r>
          </w:p>
        </w:tc>
        <w:tc>
          <w:tcPr>
            <w:tcW w:w="1715" w:type="dxa"/>
            <w:noWrap w:val="0"/>
            <w:vAlign w:val="top"/>
          </w:tcPr>
          <w:p w14:paraId="5546CD8D">
            <w:pPr>
              <w:pStyle w:val="17"/>
              <w:keepNext w:val="0"/>
              <w:keepLines w:val="0"/>
              <w:pageBreakBefore w:val="0"/>
              <w:kinsoku/>
              <w:wordWrap w:val="0"/>
              <w:overflowPunct/>
              <w:topLinePunct w:val="0"/>
              <w:bidi w:val="0"/>
              <w:spacing w:before="130" w:line="357" w:lineRule="auto"/>
              <w:ind w:left="130" w:right="118"/>
              <w:jc w:val="center"/>
              <w:rPr>
                <w:color w:val="auto"/>
                <w:sz w:val="24"/>
                <w:highlight w:val="none"/>
              </w:rPr>
            </w:pPr>
            <w:r>
              <w:rPr>
                <w:color w:val="auto"/>
                <w:sz w:val="24"/>
                <w:highlight w:val="none"/>
              </w:rPr>
              <w:t>近年完成的类似项目的年份</w:t>
            </w:r>
          </w:p>
          <w:p w14:paraId="032E3914">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要求</w:t>
            </w:r>
          </w:p>
        </w:tc>
        <w:tc>
          <w:tcPr>
            <w:tcW w:w="6768" w:type="dxa"/>
            <w:noWrap w:val="0"/>
            <w:vAlign w:val="top"/>
          </w:tcPr>
          <w:p w14:paraId="55ACA940">
            <w:pPr>
              <w:pStyle w:val="17"/>
              <w:keepNext w:val="0"/>
              <w:keepLines w:val="0"/>
              <w:pageBreakBefore w:val="0"/>
              <w:kinsoku/>
              <w:wordWrap w:val="0"/>
              <w:overflowPunct/>
              <w:topLinePunct w:val="0"/>
              <w:bidi w:val="0"/>
              <w:rPr>
                <w:b/>
                <w:color w:val="auto"/>
                <w:sz w:val="24"/>
                <w:highlight w:val="none"/>
              </w:rPr>
            </w:pPr>
          </w:p>
          <w:p w14:paraId="4119B2B8">
            <w:pPr>
              <w:pStyle w:val="17"/>
              <w:keepNext w:val="0"/>
              <w:keepLines w:val="0"/>
              <w:pageBreakBefore w:val="0"/>
              <w:kinsoku/>
              <w:wordWrap w:val="0"/>
              <w:overflowPunct/>
              <w:topLinePunct w:val="0"/>
              <w:bidi w:val="0"/>
              <w:spacing w:before="11"/>
              <w:rPr>
                <w:b/>
                <w:color w:val="auto"/>
                <w:sz w:val="21"/>
                <w:highlight w:val="none"/>
              </w:rPr>
            </w:pPr>
          </w:p>
          <w:p w14:paraId="6923C03B">
            <w:pPr>
              <w:pStyle w:val="17"/>
              <w:keepNext w:val="0"/>
              <w:keepLines w:val="0"/>
              <w:pageBreakBefore w:val="0"/>
              <w:kinsoku/>
              <w:wordWrap w:val="0"/>
              <w:overflowPunct/>
              <w:topLinePunct w:val="0"/>
              <w:bidi w:val="0"/>
              <w:spacing w:before="1"/>
              <w:ind w:left="107"/>
              <w:rPr>
                <w:color w:val="auto"/>
                <w:sz w:val="24"/>
                <w:highlight w:val="none"/>
              </w:rPr>
            </w:pPr>
            <w:r>
              <w:rPr>
                <w:color w:val="auto"/>
                <w:sz w:val="24"/>
                <w:highlight w:val="none"/>
              </w:rPr>
              <w:t>20</w:t>
            </w:r>
            <w:r>
              <w:rPr>
                <w:rFonts w:hint="eastAsia"/>
                <w:color w:val="auto"/>
                <w:sz w:val="24"/>
                <w:highlight w:val="none"/>
                <w:lang w:val="en-US" w:eastAsia="zh-CN"/>
              </w:rPr>
              <w:t>22</w:t>
            </w:r>
            <w:r>
              <w:rPr>
                <w:color w:val="auto"/>
                <w:sz w:val="24"/>
                <w:highlight w:val="none"/>
              </w:rPr>
              <w:t>年</w:t>
            </w:r>
            <w:r>
              <w:rPr>
                <w:rFonts w:hint="eastAsia"/>
                <w:color w:val="auto"/>
                <w:sz w:val="24"/>
                <w:highlight w:val="none"/>
                <w:lang w:val="en-US"/>
              </w:rPr>
              <w:t>01</w:t>
            </w:r>
            <w:r>
              <w:rPr>
                <w:color w:val="auto"/>
                <w:sz w:val="24"/>
                <w:highlight w:val="none"/>
              </w:rPr>
              <w:t>月</w:t>
            </w:r>
            <w:r>
              <w:rPr>
                <w:rFonts w:hint="eastAsia"/>
                <w:color w:val="auto"/>
                <w:sz w:val="24"/>
                <w:highlight w:val="none"/>
                <w:lang w:val="en-US"/>
              </w:rPr>
              <w:t>0</w:t>
            </w:r>
            <w:r>
              <w:rPr>
                <w:color w:val="auto"/>
                <w:sz w:val="24"/>
                <w:highlight w:val="none"/>
              </w:rPr>
              <w:t>1日以来</w:t>
            </w:r>
            <w:r>
              <w:rPr>
                <w:rFonts w:hint="eastAsia"/>
                <w:color w:val="auto"/>
                <w:sz w:val="24"/>
                <w:highlight w:val="none"/>
                <w:lang w:val="en-US" w:eastAsia="zh-CN"/>
              </w:rPr>
              <w:t>同</w:t>
            </w:r>
            <w:r>
              <w:rPr>
                <w:rFonts w:hint="eastAsia"/>
                <w:color w:val="auto"/>
                <w:sz w:val="24"/>
                <w:highlight w:val="none"/>
                <w:lang w:eastAsia="zh-CN"/>
              </w:rPr>
              <w:t>类项目</w:t>
            </w:r>
          </w:p>
        </w:tc>
      </w:tr>
      <w:tr w14:paraId="28AE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top"/>
          </w:tcPr>
          <w:p w14:paraId="0EA7D442">
            <w:pPr>
              <w:pStyle w:val="17"/>
              <w:keepNext w:val="0"/>
              <w:keepLines w:val="0"/>
              <w:pageBreakBefore w:val="0"/>
              <w:kinsoku/>
              <w:wordWrap w:val="0"/>
              <w:overflowPunct/>
              <w:topLinePunct w:val="0"/>
              <w:bidi w:val="0"/>
              <w:rPr>
                <w:b/>
                <w:color w:val="auto"/>
                <w:sz w:val="24"/>
                <w:highlight w:val="none"/>
              </w:rPr>
            </w:pPr>
          </w:p>
          <w:p w14:paraId="5F477C80">
            <w:pPr>
              <w:pStyle w:val="17"/>
              <w:keepNext w:val="0"/>
              <w:keepLines w:val="0"/>
              <w:pageBreakBefore w:val="0"/>
              <w:kinsoku/>
              <w:wordWrap w:val="0"/>
              <w:overflowPunct/>
              <w:topLinePunct w:val="0"/>
              <w:bidi w:val="0"/>
              <w:spacing w:before="11"/>
              <w:rPr>
                <w:b/>
                <w:color w:val="auto"/>
                <w:sz w:val="21"/>
                <w:highlight w:val="none"/>
              </w:rPr>
            </w:pPr>
          </w:p>
          <w:p w14:paraId="20C9B48F">
            <w:pPr>
              <w:pStyle w:val="17"/>
              <w:keepNext w:val="0"/>
              <w:keepLines w:val="0"/>
              <w:pageBreakBefore w:val="0"/>
              <w:kinsoku/>
              <w:wordWrap w:val="0"/>
              <w:overflowPunct/>
              <w:topLinePunct w:val="0"/>
              <w:bidi w:val="0"/>
              <w:spacing w:before="1"/>
              <w:ind w:left="166" w:right="158"/>
              <w:jc w:val="center"/>
              <w:rPr>
                <w:color w:val="auto"/>
                <w:sz w:val="24"/>
                <w:highlight w:val="none"/>
              </w:rPr>
            </w:pPr>
            <w:r>
              <w:rPr>
                <w:color w:val="auto"/>
                <w:sz w:val="24"/>
                <w:highlight w:val="none"/>
              </w:rPr>
              <w:t>2.7</w:t>
            </w:r>
          </w:p>
        </w:tc>
        <w:tc>
          <w:tcPr>
            <w:tcW w:w="1715" w:type="dxa"/>
            <w:noWrap w:val="0"/>
            <w:vAlign w:val="top"/>
          </w:tcPr>
          <w:p w14:paraId="55AFDB17">
            <w:pPr>
              <w:pStyle w:val="17"/>
              <w:keepNext w:val="0"/>
              <w:keepLines w:val="0"/>
              <w:pageBreakBefore w:val="0"/>
              <w:kinsoku/>
              <w:wordWrap w:val="0"/>
              <w:overflowPunct/>
              <w:topLinePunct w:val="0"/>
              <w:bidi w:val="0"/>
              <w:spacing w:before="2"/>
              <w:rPr>
                <w:b/>
                <w:color w:val="auto"/>
                <w:sz w:val="30"/>
                <w:highlight w:val="none"/>
              </w:rPr>
            </w:pPr>
          </w:p>
          <w:p w14:paraId="2BCF04C9">
            <w:pPr>
              <w:pStyle w:val="17"/>
              <w:keepNext w:val="0"/>
              <w:keepLines w:val="0"/>
              <w:pageBreakBefore w:val="0"/>
              <w:kinsoku/>
              <w:wordWrap w:val="0"/>
              <w:overflowPunct/>
              <w:topLinePunct w:val="0"/>
              <w:bidi w:val="0"/>
              <w:spacing w:line="357" w:lineRule="auto"/>
              <w:ind w:left="610" w:right="238" w:hanging="360"/>
              <w:rPr>
                <w:color w:val="auto"/>
                <w:sz w:val="24"/>
                <w:highlight w:val="none"/>
              </w:rPr>
            </w:pPr>
            <w:r>
              <w:rPr>
                <w:rFonts w:hint="eastAsia"/>
                <w:color w:val="auto"/>
                <w:sz w:val="24"/>
                <w:highlight w:val="none"/>
              </w:rPr>
              <w:t>响应文件签</w:t>
            </w:r>
            <w:r>
              <w:rPr>
                <w:color w:val="auto"/>
                <w:sz w:val="24"/>
                <w:highlight w:val="none"/>
              </w:rPr>
              <w:t>章要求</w:t>
            </w:r>
          </w:p>
        </w:tc>
        <w:tc>
          <w:tcPr>
            <w:tcW w:w="6768" w:type="dxa"/>
            <w:noWrap w:val="0"/>
            <w:vAlign w:val="top"/>
          </w:tcPr>
          <w:p w14:paraId="74A80D8F">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1、供应商在生成电子化响应文件后，应对电子化响应文件进行签章，未进行签章的视为无效投标。</w:t>
            </w:r>
          </w:p>
          <w:p w14:paraId="11DA1701">
            <w:pPr>
              <w:pStyle w:val="17"/>
              <w:keepNext w:val="0"/>
              <w:keepLines w:val="0"/>
              <w:pageBreakBefore w:val="0"/>
              <w:kinsoku/>
              <w:wordWrap w:val="0"/>
              <w:overflowPunct/>
              <w:topLinePunct w:val="0"/>
              <w:bidi w:val="0"/>
              <w:spacing w:before="3"/>
              <w:ind w:left="107"/>
              <w:rPr>
                <w:rFonts w:hint="eastAsia" w:eastAsia="宋体"/>
                <w:color w:val="auto"/>
                <w:sz w:val="24"/>
                <w:highlight w:val="none"/>
                <w:lang w:eastAsia="zh-CN"/>
              </w:rPr>
            </w:pPr>
            <w:r>
              <w:rPr>
                <w:rFonts w:hint="eastAsia" w:eastAsia="宋体"/>
                <w:color w:val="auto"/>
                <w:sz w:val="24"/>
                <w:highlight w:val="none"/>
                <w:lang w:eastAsia="zh-CN"/>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2DFF4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52FD5430">
            <w:pPr>
              <w:pStyle w:val="17"/>
              <w:keepNext w:val="0"/>
              <w:keepLines w:val="0"/>
              <w:pageBreakBefore w:val="0"/>
              <w:kinsoku/>
              <w:wordWrap w:val="0"/>
              <w:overflowPunct/>
              <w:topLinePunct w:val="0"/>
              <w:bidi w:val="0"/>
              <w:rPr>
                <w:b/>
                <w:color w:val="auto"/>
                <w:sz w:val="24"/>
                <w:highlight w:val="none"/>
              </w:rPr>
            </w:pPr>
          </w:p>
          <w:p w14:paraId="7B5C4E3D">
            <w:pPr>
              <w:pStyle w:val="17"/>
              <w:keepNext w:val="0"/>
              <w:keepLines w:val="0"/>
              <w:pageBreakBefore w:val="0"/>
              <w:kinsoku/>
              <w:wordWrap w:val="0"/>
              <w:overflowPunct/>
              <w:topLinePunct w:val="0"/>
              <w:bidi w:val="0"/>
              <w:rPr>
                <w:b/>
                <w:color w:val="auto"/>
                <w:sz w:val="24"/>
                <w:highlight w:val="none"/>
              </w:rPr>
            </w:pPr>
          </w:p>
          <w:p w14:paraId="5E91B6BA">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2.8</w:t>
            </w:r>
          </w:p>
        </w:tc>
        <w:tc>
          <w:tcPr>
            <w:tcW w:w="1715" w:type="dxa"/>
            <w:noWrap w:val="0"/>
            <w:vAlign w:val="top"/>
          </w:tcPr>
          <w:p w14:paraId="6C10AAA5">
            <w:pPr>
              <w:pStyle w:val="17"/>
              <w:keepNext w:val="0"/>
              <w:keepLines w:val="0"/>
              <w:pageBreakBefore w:val="0"/>
              <w:kinsoku/>
              <w:wordWrap w:val="0"/>
              <w:overflowPunct/>
              <w:topLinePunct w:val="0"/>
              <w:bidi w:val="0"/>
              <w:jc w:val="center"/>
              <w:rPr>
                <w:b/>
                <w:color w:val="auto"/>
                <w:sz w:val="24"/>
                <w:highlight w:val="none"/>
              </w:rPr>
            </w:pPr>
          </w:p>
          <w:p w14:paraId="01445CAA">
            <w:pPr>
              <w:pStyle w:val="17"/>
              <w:keepNext w:val="0"/>
              <w:keepLines w:val="0"/>
              <w:pageBreakBefore w:val="0"/>
              <w:kinsoku/>
              <w:wordWrap w:val="0"/>
              <w:overflowPunct/>
              <w:topLinePunct w:val="0"/>
              <w:bidi w:val="0"/>
              <w:spacing w:before="194" w:line="357" w:lineRule="auto"/>
              <w:ind w:right="118"/>
              <w:jc w:val="both"/>
              <w:rPr>
                <w:color w:val="auto"/>
                <w:sz w:val="24"/>
                <w:highlight w:val="none"/>
              </w:rPr>
            </w:pPr>
            <w:r>
              <w:rPr>
                <w:color w:val="auto"/>
                <w:sz w:val="24"/>
                <w:highlight w:val="none"/>
              </w:rPr>
              <w:t>电子化磋商响应文件的格式及上传</w:t>
            </w:r>
          </w:p>
        </w:tc>
        <w:tc>
          <w:tcPr>
            <w:tcW w:w="6768" w:type="dxa"/>
            <w:noWrap w:val="0"/>
            <w:vAlign w:val="top"/>
          </w:tcPr>
          <w:p w14:paraId="779C1CA2">
            <w:pPr>
              <w:pStyle w:val="17"/>
              <w:keepNext w:val="0"/>
              <w:keepLines w:val="0"/>
              <w:pageBreakBefore w:val="0"/>
              <w:kinsoku/>
              <w:wordWrap w:val="0"/>
              <w:overflowPunct/>
              <w:topLinePunct w:val="0"/>
              <w:bidi w:val="0"/>
              <w:spacing w:line="460" w:lineRule="atLeast"/>
              <w:ind w:left="107" w:right="96"/>
              <w:rPr>
                <w:color w:val="auto"/>
                <w:sz w:val="24"/>
                <w:highlight w:val="none"/>
              </w:rPr>
            </w:pPr>
            <w:r>
              <w:rPr>
                <w:rFonts w:hint="eastAsia"/>
                <w:color w:val="auto"/>
                <w:sz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2C77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7C51EADF">
            <w:pPr>
              <w:pStyle w:val="17"/>
              <w:keepNext w:val="0"/>
              <w:keepLines w:val="0"/>
              <w:pageBreakBefore w:val="0"/>
              <w:kinsoku/>
              <w:wordWrap w:val="0"/>
              <w:overflowPunct/>
              <w:topLinePunct w:val="0"/>
              <w:bidi w:val="0"/>
              <w:jc w:val="center"/>
              <w:rPr>
                <w:b/>
                <w:color w:val="auto"/>
                <w:sz w:val="24"/>
                <w:highlight w:val="none"/>
              </w:rPr>
            </w:pPr>
          </w:p>
          <w:p w14:paraId="1D843B81">
            <w:pPr>
              <w:pStyle w:val="17"/>
              <w:keepNext w:val="0"/>
              <w:keepLines w:val="0"/>
              <w:pageBreakBefore w:val="0"/>
              <w:kinsoku/>
              <w:wordWrap w:val="0"/>
              <w:overflowPunct/>
              <w:topLinePunct w:val="0"/>
              <w:bidi w:val="0"/>
              <w:jc w:val="center"/>
              <w:rPr>
                <w:b/>
                <w:color w:val="auto"/>
                <w:sz w:val="24"/>
                <w:highlight w:val="none"/>
              </w:rPr>
            </w:pPr>
          </w:p>
          <w:p w14:paraId="79321CA7">
            <w:pPr>
              <w:pStyle w:val="17"/>
              <w:keepNext w:val="0"/>
              <w:keepLines w:val="0"/>
              <w:pageBreakBefore w:val="0"/>
              <w:kinsoku/>
              <w:wordWrap w:val="0"/>
              <w:overflowPunct/>
              <w:topLinePunct w:val="0"/>
              <w:bidi w:val="0"/>
              <w:jc w:val="center"/>
              <w:rPr>
                <w:b/>
                <w:color w:val="auto"/>
                <w:sz w:val="24"/>
                <w:highlight w:val="none"/>
              </w:rPr>
            </w:pPr>
          </w:p>
          <w:p w14:paraId="6576AB98">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2.9</w:t>
            </w:r>
          </w:p>
        </w:tc>
        <w:tc>
          <w:tcPr>
            <w:tcW w:w="1715" w:type="dxa"/>
            <w:noWrap w:val="0"/>
            <w:vAlign w:val="top"/>
          </w:tcPr>
          <w:p w14:paraId="439E9CDA">
            <w:pPr>
              <w:pStyle w:val="17"/>
              <w:keepNext w:val="0"/>
              <w:keepLines w:val="0"/>
              <w:pageBreakBefore w:val="0"/>
              <w:kinsoku/>
              <w:wordWrap w:val="0"/>
              <w:overflowPunct/>
              <w:topLinePunct w:val="0"/>
              <w:bidi w:val="0"/>
              <w:rPr>
                <w:b/>
                <w:color w:val="auto"/>
                <w:sz w:val="28"/>
                <w:highlight w:val="none"/>
              </w:rPr>
            </w:pPr>
          </w:p>
          <w:p w14:paraId="746D6C9B">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rFonts w:hint="eastAsia"/>
                <w:color w:val="auto"/>
                <w:sz w:val="24"/>
                <w:highlight w:val="none"/>
              </w:rPr>
              <w:t>开标</w:t>
            </w:r>
            <w:r>
              <w:rPr>
                <w:color w:val="auto"/>
                <w:sz w:val="24"/>
                <w:highlight w:val="none"/>
              </w:rPr>
              <w:t>时间和地点</w:t>
            </w:r>
          </w:p>
        </w:tc>
        <w:tc>
          <w:tcPr>
            <w:tcW w:w="6768" w:type="dxa"/>
            <w:noWrap w:val="0"/>
            <w:vAlign w:val="center"/>
          </w:tcPr>
          <w:p w14:paraId="0F10C551">
            <w:pPr>
              <w:pStyle w:val="17"/>
              <w:keepNext w:val="0"/>
              <w:keepLines w:val="0"/>
              <w:pageBreakBefore w:val="0"/>
              <w:kinsoku/>
              <w:wordWrap w:val="0"/>
              <w:overflowPunct/>
              <w:topLinePunct w:val="0"/>
              <w:bidi w:val="0"/>
              <w:spacing w:before="1" w:line="460" w:lineRule="atLeast"/>
              <w:ind w:right="96"/>
              <w:jc w:val="both"/>
              <w:rPr>
                <w:color w:val="auto"/>
                <w:sz w:val="24"/>
                <w:highlight w:val="none"/>
                <w:lang w:val="en-US"/>
              </w:rPr>
            </w:pPr>
            <w:r>
              <w:rPr>
                <w:rFonts w:hint="eastAsia"/>
                <w:color w:val="auto"/>
                <w:sz w:val="24"/>
                <w:highlight w:val="none"/>
                <w:lang w:val="en-US"/>
              </w:rPr>
              <w:t>开标地点：卢氏县公共资源交易中心</w:t>
            </w:r>
            <w:r>
              <w:rPr>
                <w:rFonts w:hint="eastAsia"/>
                <w:color w:val="auto"/>
                <w:sz w:val="24"/>
                <w:highlight w:val="none"/>
                <w:lang w:val="en-US" w:eastAsia="zh-CN"/>
              </w:rPr>
              <w:t>四</w:t>
            </w:r>
            <w:r>
              <w:rPr>
                <w:rFonts w:hint="eastAsia"/>
                <w:color w:val="auto"/>
                <w:sz w:val="24"/>
                <w:highlight w:val="none"/>
                <w:lang w:val="en-US"/>
              </w:rPr>
              <w:t>楼第</w:t>
            </w:r>
            <w:r>
              <w:rPr>
                <w:rFonts w:hint="eastAsia"/>
                <w:color w:val="auto"/>
                <w:sz w:val="24"/>
                <w:highlight w:val="none"/>
                <w:lang w:val="en-US" w:eastAsia="zh-CN"/>
              </w:rPr>
              <w:t>二</w:t>
            </w:r>
            <w:r>
              <w:rPr>
                <w:rFonts w:hint="eastAsia"/>
                <w:color w:val="auto"/>
                <w:sz w:val="24"/>
                <w:highlight w:val="none"/>
                <w:lang w:val="en-US"/>
              </w:rPr>
              <w:t>开标室；</w:t>
            </w:r>
          </w:p>
          <w:p w14:paraId="0E58F930">
            <w:pPr>
              <w:pStyle w:val="17"/>
              <w:keepNext w:val="0"/>
              <w:keepLines w:val="0"/>
              <w:pageBreakBefore w:val="0"/>
              <w:kinsoku/>
              <w:wordWrap w:val="0"/>
              <w:overflowPunct/>
              <w:topLinePunct w:val="0"/>
              <w:bidi w:val="0"/>
              <w:spacing w:before="1" w:line="460" w:lineRule="atLeast"/>
              <w:ind w:right="96"/>
              <w:jc w:val="both"/>
              <w:rPr>
                <w:color w:val="auto"/>
                <w:sz w:val="24"/>
                <w:highlight w:val="none"/>
              </w:rPr>
            </w:pPr>
            <w:r>
              <w:rPr>
                <w:rFonts w:hint="eastAsia"/>
                <w:color w:val="auto"/>
                <w:sz w:val="24"/>
                <w:highlight w:val="none"/>
                <w:lang w:val="en-US"/>
              </w:rPr>
              <w:t>评标地点：卢氏县公共资源交易中心</w:t>
            </w:r>
            <w:r>
              <w:rPr>
                <w:rFonts w:hint="eastAsia"/>
                <w:color w:val="auto"/>
                <w:sz w:val="24"/>
                <w:highlight w:val="none"/>
                <w:lang w:val="en-US" w:eastAsia="zh-CN"/>
              </w:rPr>
              <w:t>二</w:t>
            </w:r>
            <w:r>
              <w:rPr>
                <w:rFonts w:hint="eastAsia"/>
                <w:color w:val="auto"/>
                <w:sz w:val="24"/>
                <w:highlight w:val="none"/>
                <w:lang w:val="en-US"/>
              </w:rPr>
              <w:t>楼第</w:t>
            </w:r>
            <w:r>
              <w:rPr>
                <w:rFonts w:hint="eastAsia"/>
                <w:color w:val="auto"/>
                <w:sz w:val="24"/>
                <w:highlight w:val="none"/>
                <w:lang w:val="en-US" w:eastAsia="zh-CN"/>
              </w:rPr>
              <w:t>二评</w:t>
            </w:r>
            <w:r>
              <w:rPr>
                <w:rFonts w:hint="eastAsia"/>
                <w:color w:val="auto"/>
                <w:sz w:val="24"/>
                <w:highlight w:val="none"/>
                <w:lang w:val="en-US"/>
              </w:rPr>
              <w:t>标室；</w:t>
            </w:r>
          </w:p>
        </w:tc>
      </w:tr>
      <w:tr w14:paraId="765C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433A7BC">
            <w:pPr>
              <w:pStyle w:val="17"/>
              <w:keepNext w:val="0"/>
              <w:keepLines w:val="0"/>
              <w:pageBreakBefore w:val="0"/>
              <w:kinsoku/>
              <w:wordWrap w:val="0"/>
              <w:overflowPunct/>
              <w:topLinePunct w:val="0"/>
              <w:bidi w:val="0"/>
              <w:rPr>
                <w:b/>
                <w:color w:val="auto"/>
                <w:sz w:val="24"/>
                <w:highlight w:val="none"/>
              </w:rPr>
            </w:pPr>
          </w:p>
          <w:p w14:paraId="320A333F">
            <w:pPr>
              <w:pStyle w:val="17"/>
              <w:keepNext w:val="0"/>
              <w:keepLines w:val="0"/>
              <w:pageBreakBefore w:val="0"/>
              <w:kinsoku/>
              <w:wordWrap w:val="0"/>
              <w:overflowPunct/>
              <w:topLinePunct w:val="0"/>
              <w:bidi w:val="0"/>
              <w:rPr>
                <w:b/>
                <w:color w:val="auto"/>
                <w:highlight w:val="none"/>
              </w:rPr>
            </w:pPr>
          </w:p>
          <w:p w14:paraId="4630E191">
            <w:pPr>
              <w:pStyle w:val="17"/>
              <w:keepNext w:val="0"/>
              <w:keepLines w:val="0"/>
              <w:pageBreakBefore w:val="0"/>
              <w:kinsoku/>
              <w:wordWrap w:val="0"/>
              <w:overflowPunct/>
              <w:topLinePunct w:val="0"/>
              <w:bidi w:val="0"/>
              <w:ind w:left="348"/>
              <w:rPr>
                <w:color w:val="auto"/>
                <w:sz w:val="24"/>
                <w:highlight w:val="none"/>
              </w:rPr>
            </w:pPr>
            <w:r>
              <w:rPr>
                <w:color w:val="auto"/>
                <w:sz w:val="24"/>
                <w:highlight w:val="none"/>
              </w:rPr>
              <w:t>3.0</w:t>
            </w:r>
          </w:p>
        </w:tc>
        <w:tc>
          <w:tcPr>
            <w:tcW w:w="1715" w:type="dxa"/>
            <w:noWrap w:val="0"/>
            <w:vAlign w:val="center"/>
          </w:tcPr>
          <w:p w14:paraId="357512DE">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磋商顺序</w:t>
            </w:r>
          </w:p>
        </w:tc>
        <w:tc>
          <w:tcPr>
            <w:tcW w:w="6768" w:type="dxa"/>
            <w:noWrap w:val="0"/>
            <w:vAlign w:val="center"/>
          </w:tcPr>
          <w:p w14:paraId="7B5584FA">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按电子化磋商响应文件上传的顺序磋商。</w:t>
            </w:r>
          </w:p>
        </w:tc>
      </w:tr>
      <w:tr w14:paraId="401C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01" w:type="dxa"/>
            <w:noWrap w:val="0"/>
            <w:vAlign w:val="center"/>
          </w:tcPr>
          <w:p w14:paraId="2D2B3FFC">
            <w:pPr>
              <w:pStyle w:val="17"/>
              <w:keepNext w:val="0"/>
              <w:keepLines w:val="0"/>
              <w:pageBreakBefore w:val="0"/>
              <w:kinsoku/>
              <w:wordWrap w:val="0"/>
              <w:overflowPunct/>
              <w:topLinePunct w:val="0"/>
              <w:bidi w:val="0"/>
              <w:spacing w:line="360" w:lineRule="auto"/>
              <w:ind w:left="490" w:right="358" w:hanging="120"/>
              <w:jc w:val="both"/>
              <w:rPr>
                <w:color w:val="auto"/>
                <w:sz w:val="24"/>
                <w:highlight w:val="none"/>
              </w:rPr>
            </w:pPr>
            <w:r>
              <w:rPr>
                <w:color w:val="auto"/>
                <w:sz w:val="24"/>
                <w:highlight w:val="none"/>
              </w:rPr>
              <w:t>3.1</w:t>
            </w:r>
          </w:p>
        </w:tc>
        <w:tc>
          <w:tcPr>
            <w:tcW w:w="1715" w:type="dxa"/>
            <w:noWrap w:val="0"/>
            <w:vAlign w:val="top"/>
          </w:tcPr>
          <w:p w14:paraId="5F3629AE">
            <w:pPr>
              <w:pStyle w:val="17"/>
              <w:keepNext w:val="0"/>
              <w:keepLines w:val="0"/>
              <w:pageBreakBefore w:val="0"/>
              <w:kinsoku/>
              <w:wordWrap w:val="0"/>
              <w:overflowPunct/>
              <w:topLinePunct w:val="0"/>
              <w:bidi w:val="0"/>
              <w:spacing w:before="12"/>
              <w:rPr>
                <w:b/>
                <w:color w:val="auto"/>
                <w:sz w:val="27"/>
                <w:highlight w:val="none"/>
              </w:rPr>
            </w:pPr>
          </w:p>
          <w:p w14:paraId="7C163500">
            <w:pPr>
              <w:pStyle w:val="17"/>
              <w:keepNext w:val="0"/>
              <w:keepLines w:val="0"/>
              <w:pageBreakBefore w:val="0"/>
              <w:kinsoku/>
              <w:wordWrap w:val="0"/>
              <w:overflowPunct/>
              <w:topLinePunct w:val="0"/>
              <w:bidi w:val="0"/>
              <w:spacing w:line="360" w:lineRule="auto"/>
              <w:ind w:left="490" w:right="358" w:hanging="120"/>
              <w:rPr>
                <w:color w:val="auto"/>
                <w:sz w:val="24"/>
                <w:highlight w:val="none"/>
              </w:rPr>
            </w:pPr>
            <w:r>
              <w:rPr>
                <w:color w:val="auto"/>
                <w:sz w:val="24"/>
                <w:highlight w:val="none"/>
              </w:rPr>
              <w:t>磋商小组的组建</w:t>
            </w:r>
          </w:p>
        </w:tc>
        <w:tc>
          <w:tcPr>
            <w:tcW w:w="6768" w:type="dxa"/>
            <w:noWrap w:val="0"/>
            <w:vAlign w:val="top"/>
          </w:tcPr>
          <w:p w14:paraId="367A3BFA">
            <w:pPr>
              <w:pStyle w:val="17"/>
              <w:keepNext w:val="0"/>
              <w:keepLines w:val="0"/>
              <w:pageBreakBefore w:val="0"/>
              <w:kinsoku/>
              <w:wordWrap w:val="0"/>
              <w:overflowPunct/>
              <w:topLinePunct w:val="0"/>
              <w:bidi w:val="0"/>
              <w:spacing w:before="130"/>
              <w:ind w:left="107"/>
              <w:rPr>
                <w:color w:val="auto"/>
                <w:sz w:val="24"/>
                <w:highlight w:val="none"/>
              </w:rPr>
            </w:pPr>
            <w:r>
              <w:rPr>
                <w:color w:val="auto"/>
                <w:spacing w:val="-7"/>
                <w:sz w:val="24"/>
                <w:highlight w:val="none"/>
              </w:rPr>
              <w:t xml:space="preserve">磋商小组成员为 </w:t>
            </w:r>
            <w:r>
              <w:rPr>
                <w:color w:val="auto"/>
                <w:sz w:val="24"/>
                <w:highlight w:val="none"/>
              </w:rPr>
              <w:t>3</w:t>
            </w:r>
            <w:r>
              <w:rPr>
                <w:color w:val="auto"/>
                <w:spacing w:val="-12"/>
                <w:sz w:val="24"/>
                <w:highlight w:val="none"/>
              </w:rPr>
              <w:t xml:space="preserve"> 人，采购人代表 </w:t>
            </w:r>
            <w:r>
              <w:rPr>
                <w:color w:val="auto"/>
                <w:sz w:val="24"/>
                <w:highlight w:val="none"/>
              </w:rPr>
              <w:t>1</w:t>
            </w:r>
            <w:r>
              <w:rPr>
                <w:color w:val="auto"/>
                <w:spacing w:val="-6"/>
                <w:sz w:val="24"/>
                <w:highlight w:val="none"/>
              </w:rPr>
              <w:t xml:space="preserve"> 人，其余技术、经济等方</w:t>
            </w:r>
          </w:p>
          <w:p w14:paraId="1E51614A">
            <w:pPr>
              <w:pStyle w:val="17"/>
              <w:keepNext w:val="0"/>
              <w:keepLines w:val="0"/>
              <w:pageBreakBefore w:val="0"/>
              <w:kinsoku/>
              <w:wordWrap w:val="0"/>
              <w:overflowPunct/>
              <w:topLinePunct w:val="0"/>
              <w:bidi w:val="0"/>
              <w:spacing w:before="23" w:line="460" w:lineRule="exact"/>
              <w:ind w:left="107" w:right="40"/>
              <w:rPr>
                <w:color w:val="auto"/>
                <w:sz w:val="24"/>
                <w:highlight w:val="none"/>
              </w:rPr>
            </w:pPr>
            <w:r>
              <w:rPr>
                <w:color w:val="auto"/>
                <w:sz w:val="24"/>
                <w:highlight w:val="none"/>
              </w:rPr>
              <w:t>面的专家 2 人从</w:t>
            </w:r>
            <w:r>
              <w:rPr>
                <w:rFonts w:hint="eastAsia"/>
                <w:color w:val="auto"/>
                <w:sz w:val="24"/>
                <w:highlight w:val="none"/>
                <w:lang w:eastAsia="zh-CN"/>
              </w:rPr>
              <w:t>相关</w:t>
            </w:r>
            <w:r>
              <w:rPr>
                <w:color w:val="auto"/>
                <w:sz w:val="24"/>
                <w:highlight w:val="none"/>
              </w:rPr>
              <w:t>评标专家库中随机抽取。</w:t>
            </w:r>
          </w:p>
        </w:tc>
      </w:tr>
      <w:tr w14:paraId="1482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01" w:type="dxa"/>
            <w:noWrap w:val="0"/>
            <w:vAlign w:val="center"/>
          </w:tcPr>
          <w:p w14:paraId="5D90C128">
            <w:pPr>
              <w:pStyle w:val="17"/>
              <w:keepNext w:val="0"/>
              <w:keepLines w:val="0"/>
              <w:pageBreakBefore w:val="0"/>
              <w:kinsoku/>
              <w:wordWrap w:val="0"/>
              <w:overflowPunct/>
              <w:topLinePunct w:val="0"/>
              <w:bidi w:val="0"/>
              <w:jc w:val="center"/>
              <w:rPr>
                <w:color w:val="auto"/>
                <w:sz w:val="24"/>
                <w:highlight w:val="none"/>
              </w:rPr>
            </w:pPr>
            <w:r>
              <w:rPr>
                <w:color w:val="auto"/>
                <w:sz w:val="24"/>
                <w:highlight w:val="none"/>
              </w:rPr>
              <w:t>3.2</w:t>
            </w:r>
          </w:p>
        </w:tc>
        <w:tc>
          <w:tcPr>
            <w:tcW w:w="1715" w:type="dxa"/>
            <w:noWrap w:val="0"/>
            <w:vAlign w:val="top"/>
          </w:tcPr>
          <w:p w14:paraId="025E5800">
            <w:pPr>
              <w:pStyle w:val="17"/>
              <w:keepNext w:val="0"/>
              <w:keepLines w:val="0"/>
              <w:pageBreakBefore w:val="0"/>
              <w:kinsoku/>
              <w:wordWrap w:val="0"/>
              <w:overflowPunct/>
              <w:topLinePunct w:val="0"/>
              <w:bidi w:val="0"/>
              <w:spacing w:before="129" w:line="357" w:lineRule="auto"/>
              <w:ind w:left="130" w:right="118"/>
              <w:jc w:val="center"/>
              <w:rPr>
                <w:color w:val="auto"/>
                <w:sz w:val="24"/>
                <w:highlight w:val="none"/>
              </w:rPr>
            </w:pPr>
            <w:r>
              <w:rPr>
                <w:color w:val="auto"/>
                <w:sz w:val="24"/>
                <w:highlight w:val="none"/>
              </w:rPr>
              <w:t>是否授权磋商专家确定成交</w:t>
            </w:r>
          </w:p>
          <w:p w14:paraId="27D5107A">
            <w:pPr>
              <w:pStyle w:val="17"/>
              <w:keepNext w:val="0"/>
              <w:keepLines w:val="0"/>
              <w:pageBreakBefore w:val="0"/>
              <w:kinsoku/>
              <w:wordWrap w:val="0"/>
              <w:overflowPunct/>
              <w:topLinePunct w:val="0"/>
              <w:bidi w:val="0"/>
              <w:spacing w:before="3"/>
              <w:ind w:left="110" w:right="100"/>
              <w:jc w:val="center"/>
              <w:rPr>
                <w:color w:val="auto"/>
                <w:sz w:val="24"/>
                <w:highlight w:val="none"/>
              </w:rPr>
            </w:pPr>
            <w:r>
              <w:rPr>
                <w:color w:val="auto"/>
                <w:sz w:val="24"/>
                <w:highlight w:val="none"/>
              </w:rPr>
              <w:t>供应商</w:t>
            </w:r>
          </w:p>
        </w:tc>
        <w:tc>
          <w:tcPr>
            <w:tcW w:w="6768" w:type="dxa"/>
            <w:noWrap w:val="0"/>
            <w:vAlign w:val="center"/>
          </w:tcPr>
          <w:p w14:paraId="466A1875">
            <w:pPr>
              <w:pStyle w:val="17"/>
              <w:keepNext w:val="0"/>
              <w:keepLines w:val="0"/>
              <w:pageBreakBefore w:val="0"/>
              <w:kinsoku/>
              <w:wordWrap w:val="0"/>
              <w:overflowPunct/>
              <w:topLinePunct w:val="0"/>
              <w:bidi w:val="0"/>
              <w:ind w:left="107"/>
              <w:jc w:val="both"/>
              <w:rPr>
                <w:color w:val="auto"/>
                <w:sz w:val="24"/>
                <w:highlight w:val="none"/>
              </w:rPr>
            </w:pPr>
            <w:r>
              <w:rPr>
                <w:rFonts w:hint="eastAsia"/>
                <w:color w:val="auto"/>
                <w:sz w:val="24"/>
                <w:highlight w:val="none"/>
              </w:rPr>
              <w:t>否，由磋商小组按照评审得分由高到</w:t>
            </w:r>
            <w:r>
              <w:rPr>
                <w:rFonts w:hint="eastAsia"/>
                <w:color w:val="auto"/>
                <w:sz w:val="24"/>
                <w:highlight w:val="none"/>
                <w:lang w:eastAsia="zh-CN"/>
              </w:rPr>
              <w:t>低</w:t>
            </w:r>
            <w:r>
              <w:rPr>
                <w:rFonts w:hint="eastAsia"/>
                <w:color w:val="auto"/>
                <w:sz w:val="24"/>
                <w:highlight w:val="none"/>
              </w:rPr>
              <w:t>推荐3名成交候选供应商</w:t>
            </w:r>
          </w:p>
        </w:tc>
      </w:tr>
      <w:tr w14:paraId="48EE5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101" w:type="dxa"/>
            <w:noWrap w:val="0"/>
            <w:vAlign w:val="top"/>
          </w:tcPr>
          <w:p w14:paraId="432C6157">
            <w:pPr>
              <w:pStyle w:val="17"/>
              <w:keepNext w:val="0"/>
              <w:keepLines w:val="0"/>
              <w:pageBreakBefore w:val="0"/>
              <w:kinsoku/>
              <w:wordWrap w:val="0"/>
              <w:overflowPunct/>
              <w:topLinePunct w:val="0"/>
              <w:bidi w:val="0"/>
              <w:rPr>
                <w:b/>
                <w:color w:val="auto"/>
                <w:sz w:val="24"/>
                <w:highlight w:val="none"/>
              </w:rPr>
            </w:pPr>
          </w:p>
          <w:p w14:paraId="184B53F4">
            <w:pPr>
              <w:pStyle w:val="17"/>
              <w:keepNext w:val="0"/>
              <w:keepLines w:val="0"/>
              <w:pageBreakBefore w:val="0"/>
              <w:kinsoku/>
              <w:wordWrap w:val="0"/>
              <w:overflowPunct/>
              <w:topLinePunct w:val="0"/>
              <w:bidi w:val="0"/>
              <w:spacing w:before="11"/>
              <w:rPr>
                <w:b/>
                <w:color w:val="auto"/>
                <w:sz w:val="21"/>
                <w:highlight w:val="none"/>
              </w:rPr>
            </w:pPr>
          </w:p>
          <w:p w14:paraId="2B31CBA9">
            <w:pPr>
              <w:pStyle w:val="17"/>
              <w:keepNext w:val="0"/>
              <w:keepLines w:val="0"/>
              <w:pageBreakBefore w:val="0"/>
              <w:kinsoku/>
              <w:wordWrap w:val="0"/>
              <w:overflowPunct/>
              <w:topLinePunct w:val="0"/>
              <w:bidi w:val="0"/>
              <w:ind w:left="369"/>
              <w:rPr>
                <w:color w:val="auto"/>
                <w:sz w:val="24"/>
                <w:highlight w:val="none"/>
              </w:rPr>
            </w:pPr>
            <w:r>
              <w:rPr>
                <w:color w:val="auto"/>
                <w:sz w:val="24"/>
                <w:highlight w:val="none"/>
              </w:rPr>
              <w:t>3.3</w:t>
            </w:r>
          </w:p>
        </w:tc>
        <w:tc>
          <w:tcPr>
            <w:tcW w:w="1715" w:type="dxa"/>
            <w:noWrap w:val="0"/>
            <w:vAlign w:val="center"/>
          </w:tcPr>
          <w:p w14:paraId="395D342A">
            <w:pPr>
              <w:pStyle w:val="17"/>
              <w:keepNext w:val="0"/>
              <w:keepLines w:val="0"/>
              <w:pageBreakBefore w:val="0"/>
              <w:kinsoku/>
              <w:wordWrap w:val="0"/>
              <w:overflowPunct/>
              <w:topLinePunct w:val="0"/>
              <w:bidi w:val="0"/>
              <w:jc w:val="center"/>
              <w:rPr>
                <w:b/>
                <w:color w:val="auto"/>
                <w:sz w:val="20"/>
                <w:highlight w:val="none"/>
              </w:rPr>
            </w:pPr>
          </w:p>
          <w:p w14:paraId="715F7C18">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验收及</w:t>
            </w:r>
            <w:r>
              <w:rPr>
                <w:color w:val="auto"/>
                <w:sz w:val="24"/>
                <w:highlight w:val="none"/>
              </w:rPr>
              <w:t>付款方式</w:t>
            </w:r>
          </w:p>
        </w:tc>
        <w:tc>
          <w:tcPr>
            <w:tcW w:w="6768" w:type="dxa"/>
            <w:noWrap w:val="0"/>
            <w:vAlign w:val="top"/>
          </w:tcPr>
          <w:p w14:paraId="38778FBF">
            <w:pPr>
              <w:pStyle w:val="17"/>
              <w:keepNext w:val="0"/>
              <w:keepLines w:val="0"/>
              <w:pageBreakBefore w:val="0"/>
              <w:kinsoku/>
              <w:wordWrap w:val="0"/>
              <w:overflowPunct/>
              <w:topLinePunct w:val="0"/>
              <w:bidi w:val="0"/>
              <w:rPr>
                <w:b/>
                <w:color w:val="auto"/>
                <w:sz w:val="20"/>
                <w:highlight w:val="none"/>
              </w:rPr>
            </w:pPr>
          </w:p>
          <w:p w14:paraId="6C66B896">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1、</w:t>
            </w:r>
            <w:r>
              <w:rPr>
                <w:rFonts w:hint="eastAsia"/>
                <w:color w:val="auto"/>
                <w:sz w:val="24"/>
                <w:highlight w:val="none"/>
              </w:rPr>
              <w:t>合同签订</w:t>
            </w:r>
            <w:r>
              <w:rPr>
                <w:rFonts w:hint="eastAsia"/>
                <w:color w:val="auto"/>
                <w:sz w:val="24"/>
                <w:highlight w:val="none"/>
                <w:lang w:val="en-US" w:eastAsia="zh-CN"/>
              </w:rPr>
              <w:t>供货完成，验收合格后按卢氏县财政资金相关管理规定100%支付</w:t>
            </w:r>
            <w:r>
              <w:rPr>
                <w:rFonts w:hint="eastAsia"/>
                <w:color w:val="auto"/>
                <w:sz w:val="24"/>
                <w:highlight w:val="none"/>
              </w:rPr>
              <w:t>。</w:t>
            </w:r>
          </w:p>
          <w:p w14:paraId="1496F99E">
            <w:pPr>
              <w:pStyle w:val="17"/>
              <w:keepNext w:val="0"/>
              <w:keepLines w:val="0"/>
              <w:pageBreakBefore w:val="0"/>
              <w:kinsoku/>
              <w:wordWrap w:val="0"/>
              <w:overflowPunct/>
              <w:topLinePunct w:val="0"/>
              <w:bidi w:val="0"/>
              <w:ind w:left="107"/>
              <w:rPr>
                <w:color w:val="auto"/>
                <w:sz w:val="24"/>
                <w:highlight w:val="none"/>
              </w:rPr>
            </w:pPr>
            <w:r>
              <w:rPr>
                <w:rFonts w:hint="eastAsia"/>
                <w:color w:val="auto"/>
                <w:sz w:val="24"/>
                <w:highlight w:val="none"/>
                <w:lang w:val="en-US"/>
              </w:rPr>
              <w:t>2、</w:t>
            </w:r>
            <w:r>
              <w:rPr>
                <w:rFonts w:hint="eastAsia"/>
                <w:color w:val="auto"/>
                <w:sz w:val="24"/>
                <w:highlight w:val="none"/>
              </w:rPr>
              <w:t>按标书技术参数和国家行业标准进行验收</w:t>
            </w:r>
          </w:p>
        </w:tc>
      </w:tr>
      <w:tr w14:paraId="6661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101" w:type="dxa"/>
            <w:noWrap w:val="0"/>
            <w:vAlign w:val="center"/>
          </w:tcPr>
          <w:p w14:paraId="5E4A534B">
            <w:pPr>
              <w:pStyle w:val="17"/>
              <w:keepNext w:val="0"/>
              <w:keepLines w:val="0"/>
              <w:pageBreakBefore w:val="0"/>
              <w:kinsoku/>
              <w:wordWrap w:val="0"/>
              <w:overflowPunct/>
              <w:topLinePunct w:val="0"/>
              <w:bidi w:val="0"/>
              <w:jc w:val="center"/>
              <w:rPr>
                <w:b/>
                <w:color w:val="auto"/>
                <w:sz w:val="20"/>
                <w:highlight w:val="none"/>
              </w:rPr>
            </w:pPr>
          </w:p>
          <w:p w14:paraId="2D11E988">
            <w:pPr>
              <w:pStyle w:val="17"/>
              <w:keepNext w:val="0"/>
              <w:keepLines w:val="0"/>
              <w:pageBreakBefore w:val="0"/>
              <w:kinsoku/>
              <w:wordWrap w:val="0"/>
              <w:overflowPunct/>
              <w:topLinePunct w:val="0"/>
              <w:bidi w:val="0"/>
              <w:ind w:left="369"/>
              <w:jc w:val="both"/>
              <w:rPr>
                <w:color w:val="auto"/>
                <w:sz w:val="24"/>
                <w:highlight w:val="none"/>
              </w:rPr>
            </w:pPr>
            <w:r>
              <w:rPr>
                <w:color w:val="auto"/>
                <w:sz w:val="24"/>
                <w:highlight w:val="none"/>
              </w:rPr>
              <w:t>3.4</w:t>
            </w:r>
          </w:p>
        </w:tc>
        <w:tc>
          <w:tcPr>
            <w:tcW w:w="1715" w:type="dxa"/>
            <w:noWrap w:val="0"/>
            <w:vAlign w:val="top"/>
          </w:tcPr>
          <w:p w14:paraId="19F2B8A8">
            <w:pPr>
              <w:pStyle w:val="17"/>
              <w:keepNext w:val="0"/>
              <w:keepLines w:val="0"/>
              <w:pageBreakBefore w:val="0"/>
              <w:kinsoku/>
              <w:wordWrap w:val="0"/>
              <w:overflowPunct/>
              <w:topLinePunct w:val="0"/>
              <w:bidi w:val="0"/>
              <w:spacing w:before="1"/>
              <w:rPr>
                <w:b/>
                <w:color w:val="auto"/>
                <w:sz w:val="28"/>
                <w:highlight w:val="none"/>
              </w:rPr>
            </w:pPr>
          </w:p>
          <w:p w14:paraId="13E2795E">
            <w:pPr>
              <w:pStyle w:val="17"/>
              <w:keepNext w:val="0"/>
              <w:keepLines w:val="0"/>
              <w:pageBreakBefore w:val="0"/>
              <w:kinsoku/>
              <w:wordWrap w:val="0"/>
              <w:overflowPunct/>
              <w:topLinePunct w:val="0"/>
              <w:bidi w:val="0"/>
              <w:ind w:left="110" w:right="100"/>
              <w:jc w:val="center"/>
              <w:rPr>
                <w:color w:val="auto"/>
                <w:sz w:val="24"/>
                <w:highlight w:val="none"/>
              </w:rPr>
            </w:pPr>
            <w:r>
              <w:rPr>
                <w:rFonts w:hint="eastAsia"/>
                <w:color w:val="auto"/>
                <w:sz w:val="24"/>
                <w:highlight w:val="none"/>
              </w:rPr>
              <w:t>代理</w:t>
            </w:r>
            <w:r>
              <w:rPr>
                <w:color w:val="auto"/>
                <w:sz w:val="24"/>
                <w:highlight w:val="none"/>
              </w:rPr>
              <w:t>服务费</w:t>
            </w:r>
          </w:p>
        </w:tc>
        <w:tc>
          <w:tcPr>
            <w:tcW w:w="6768" w:type="dxa"/>
            <w:noWrap w:val="0"/>
            <w:vAlign w:val="top"/>
          </w:tcPr>
          <w:p w14:paraId="58070B00">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color w:val="auto"/>
                <w:sz w:val="24"/>
                <w:highlight w:val="none"/>
              </w:rPr>
              <w:t>招标代理服务收费参照豫招协[2023]002号《河南省招标代理服务收费指导意见》规定的收费标准收取中标服务费。本项目为政府采购货物类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5260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24A4E5DC">
            <w:pPr>
              <w:pStyle w:val="17"/>
              <w:keepNext w:val="0"/>
              <w:keepLines w:val="0"/>
              <w:pageBreakBefore w:val="0"/>
              <w:kinsoku/>
              <w:wordWrap w:val="0"/>
              <w:overflowPunct/>
              <w:topLinePunct w:val="0"/>
              <w:bidi w:val="0"/>
              <w:spacing w:before="1"/>
              <w:rPr>
                <w:b/>
                <w:color w:val="auto"/>
                <w:sz w:val="28"/>
                <w:highlight w:val="none"/>
              </w:rPr>
            </w:pPr>
          </w:p>
          <w:p w14:paraId="2285FDCD">
            <w:pPr>
              <w:pStyle w:val="17"/>
              <w:keepNext w:val="0"/>
              <w:keepLines w:val="0"/>
              <w:pageBreakBefore w:val="0"/>
              <w:kinsoku/>
              <w:wordWrap w:val="0"/>
              <w:overflowPunct/>
              <w:topLinePunct w:val="0"/>
              <w:bidi w:val="0"/>
              <w:ind w:left="369"/>
              <w:rPr>
                <w:color w:val="auto"/>
                <w:sz w:val="24"/>
                <w:highlight w:val="none"/>
                <w:lang w:val="en-US"/>
              </w:rPr>
            </w:pPr>
            <w:r>
              <w:rPr>
                <w:color w:val="auto"/>
                <w:sz w:val="24"/>
                <w:highlight w:val="none"/>
              </w:rPr>
              <w:t>3.</w:t>
            </w:r>
            <w:r>
              <w:rPr>
                <w:rFonts w:hint="eastAsia"/>
                <w:color w:val="auto"/>
                <w:sz w:val="24"/>
                <w:highlight w:val="none"/>
                <w:lang w:val="en-US"/>
              </w:rPr>
              <w:t>5</w:t>
            </w:r>
          </w:p>
        </w:tc>
        <w:tc>
          <w:tcPr>
            <w:tcW w:w="1715" w:type="dxa"/>
            <w:noWrap w:val="0"/>
            <w:vAlign w:val="top"/>
          </w:tcPr>
          <w:p w14:paraId="610ADFA3">
            <w:pPr>
              <w:pStyle w:val="17"/>
              <w:keepNext w:val="0"/>
              <w:keepLines w:val="0"/>
              <w:pageBreakBefore w:val="0"/>
              <w:kinsoku/>
              <w:wordWrap w:val="0"/>
              <w:overflowPunct/>
              <w:topLinePunct w:val="0"/>
              <w:bidi w:val="0"/>
              <w:rPr>
                <w:b/>
                <w:color w:val="auto"/>
                <w:sz w:val="24"/>
                <w:highlight w:val="none"/>
              </w:rPr>
            </w:pPr>
          </w:p>
          <w:p w14:paraId="2BC54C7E">
            <w:pPr>
              <w:pStyle w:val="17"/>
              <w:keepNext w:val="0"/>
              <w:keepLines w:val="0"/>
              <w:pageBreakBefore w:val="0"/>
              <w:kinsoku/>
              <w:wordWrap w:val="0"/>
              <w:overflowPunct/>
              <w:topLinePunct w:val="0"/>
              <w:bidi w:val="0"/>
              <w:rPr>
                <w:b/>
                <w:color w:val="auto"/>
                <w:sz w:val="24"/>
                <w:highlight w:val="none"/>
              </w:rPr>
            </w:pPr>
          </w:p>
          <w:p w14:paraId="6C659500">
            <w:pPr>
              <w:pStyle w:val="17"/>
              <w:keepNext w:val="0"/>
              <w:keepLines w:val="0"/>
              <w:pageBreakBefore w:val="0"/>
              <w:kinsoku/>
              <w:wordWrap w:val="0"/>
              <w:overflowPunct/>
              <w:topLinePunct w:val="0"/>
              <w:bidi w:val="0"/>
              <w:spacing w:before="204"/>
              <w:ind w:left="110" w:right="100"/>
              <w:jc w:val="center"/>
              <w:rPr>
                <w:color w:val="auto"/>
                <w:sz w:val="24"/>
                <w:highlight w:val="none"/>
              </w:rPr>
            </w:pPr>
            <w:r>
              <w:rPr>
                <w:color w:val="auto"/>
                <w:sz w:val="24"/>
                <w:highlight w:val="none"/>
              </w:rPr>
              <w:t>采购预算价</w:t>
            </w:r>
          </w:p>
        </w:tc>
        <w:tc>
          <w:tcPr>
            <w:tcW w:w="6768" w:type="dxa"/>
            <w:noWrap w:val="0"/>
            <w:vAlign w:val="top"/>
          </w:tcPr>
          <w:p w14:paraId="634324FE">
            <w:pPr>
              <w:pStyle w:val="17"/>
              <w:keepNext w:val="0"/>
              <w:keepLines w:val="0"/>
              <w:pageBreakBefore w:val="0"/>
              <w:kinsoku/>
              <w:wordWrap w:val="0"/>
              <w:overflowPunct/>
              <w:topLinePunct w:val="0"/>
              <w:bidi w:val="0"/>
              <w:spacing w:before="1" w:line="460" w:lineRule="exact"/>
              <w:ind w:right="2" w:firstLine="480" w:firstLineChars="200"/>
              <w:rPr>
                <w:rFonts w:hint="eastAsia" w:ascii="宋体" w:hAnsi="宋体" w:eastAsia="宋体" w:cs="宋体"/>
                <w:color w:val="auto"/>
                <w:sz w:val="24"/>
                <w:highlight w:val="none"/>
                <w:lang w:val="en-US" w:eastAsia="zh-CN"/>
              </w:rPr>
            </w:pPr>
            <w:r>
              <w:rPr>
                <w:color w:val="auto"/>
                <w:sz w:val="24"/>
                <w:highlight w:val="none"/>
              </w:rPr>
              <w:t>本项目采购预算价：</w:t>
            </w:r>
            <w:r>
              <w:rPr>
                <w:rFonts w:hint="eastAsia"/>
                <w:color w:val="auto"/>
                <w:sz w:val="24"/>
                <w:highlight w:val="none"/>
                <w:lang w:val="en-US" w:eastAsia="zh-CN"/>
              </w:rPr>
              <w:t>一标段：452820.00元；</w:t>
            </w:r>
          </w:p>
          <w:p w14:paraId="4163C35F">
            <w:pPr>
              <w:pStyle w:val="17"/>
              <w:keepNext w:val="0"/>
              <w:keepLines w:val="0"/>
              <w:pageBreakBefore w:val="0"/>
              <w:kinsoku/>
              <w:wordWrap w:val="0"/>
              <w:overflowPunct/>
              <w:topLinePunct w:val="0"/>
              <w:bidi w:val="0"/>
              <w:spacing w:before="1" w:line="460" w:lineRule="exact"/>
              <w:ind w:left="107" w:right="2"/>
              <w:rPr>
                <w:color w:val="auto"/>
                <w:sz w:val="24"/>
                <w:highlight w:val="none"/>
              </w:rPr>
            </w:pPr>
            <w:r>
              <w:rPr>
                <w:rFonts w:hint="eastAsia" w:ascii="宋体" w:hAnsi="宋体" w:eastAsia="宋体" w:cs="宋体"/>
                <w:color w:val="auto"/>
                <w:sz w:val="24"/>
                <w:highlight w:val="none"/>
                <w:lang w:val="en-US" w:eastAsia="zh-CN"/>
              </w:rPr>
              <w:t>凡磋商响应供应商磋商报价超出“采购预算价”</w:t>
            </w:r>
            <w:r>
              <w:rPr>
                <w:color w:val="auto"/>
                <w:sz w:val="24"/>
                <w:highlight w:val="none"/>
              </w:rPr>
              <w:t>的，该磋商响应供应商的磋商响应文件应作无效标处理。</w:t>
            </w:r>
          </w:p>
        </w:tc>
      </w:tr>
      <w:tr w14:paraId="1F01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top"/>
          </w:tcPr>
          <w:p w14:paraId="4DE3D0F1">
            <w:pPr>
              <w:pStyle w:val="17"/>
              <w:keepNext w:val="0"/>
              <w:keepLines w:val="0"/>
              <w:pageBreakBefore w:val="0"/>
              <w:kinsoku/>
              <w:wordWrap w:val="0"/>
              <w:overflowPunct/>
              <w:topLinePunct w:val="0"/>
              <w:bidi w:val="0"/>
              <w:rPr>
                <w:b/>
                <w:color w:val="auto"/>
                <w:sz w:val="24"/>
                <w:highlight w:val="none"/>
              </w:rPr>
            </w:pPr>
          </w:p>
          <w:p w14:paraId="5BDD0150">
            <w:pPr>
              <w:pStyle w:val="17"/>
              <w:keepNext w:val="0"/>
              <w:keepLines w:val="0"/>
              <w:pageBreakBefore w:val="0"/>
              <w:kinsoku/>
              <w:wordWrap w:val="0"/>
              <w:overflowPunct/>
              <w:topLinePunct w:val="0"/>
              <w:bidi w:val="0"/>
              <w:rPr>
                <w:b/>
                <w:color w:val="auto"/>
                <w:sz w:val="24"/>
                <w:highlight w:val="none"/>
              </w:rPr>
            </w:pPr>
          </w:p>
          <w:p w14:paraId="2CA166B4">
            <w:pPr>
              <w:pStyle w:val="17"/>
              <w:keepNext w:val="0"/>
              <w:keepLines w:val="0"/>
              <w:pageBreakBefore w:val="0"/>
              <w:kinsoku/>
              <w:wordWrap w:val="0"/>
              <w:overflowPunct/>
              <w:topLinePunct w:val="0"/>
              <w:bidi w:val="0"/>
              <w:spacing w:before="204"/>
              <w:ind w:left="369"/>
              <w:rPr>
                <w:color w:val="auto"/>
                <w:sz w:val="24"/>
                <w:highlight w:val="none"/>
              </w:rPr>
            </w:pPr>
            <w:r>
              <w:rPr>
                <w:color w:val="auto"/>
                <w:sz w:val="24"/>
                <w:highlight w:val="none"/>
              </w:rPr>
              <w:t>3.</w:t>
            </w:r>
            <w:r>
              <w:rPr>
                <w:rFonts w:hint="eastAsia"/>
                <w:color w:val="auto"/>
                <w:sz w:val="24"/>
                <w:highlight w:val="none"/>
                <w:lang w:val="en-US"/>
              </w:rPr>
              <w:t>6</w:t>
            </w:r>
          </w:p>
        </w:tc>
        <w:tc>
          <w:tcPr>
            <w:tcW w:w="1715" w:type="dxa"/>
            <w:noWrap w:val="0"/>
            <w:vAlign w:val="center"/>
          </w:tcPr>
          <w:p w14:paraId="4F341523">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color w:val="auto"/>
                <w:sz w:val="24"/>
                <w:highlight w:val="none"/>
              </w:rPr>
              <w:t>解释权</w:t>
            </w:r>
          </w:p>
        </w:tc>
        <w:tc>
          <w:tcPr>
            <w:tcW w:w="6768" w:type="dxa"/>
            <w:noWrap w:val="0"/>
            <w:vAlign w:val="center"/>
          </w:tcPr>
          <w:p w14:paraId="7CEC4D20">
            <w:pPr>
              <w:keepNext w:val="0"/>
              <w:keepLines w:val="0"/>
              <w:pageBreakBefore w:val="0"/>
              <w:kinsoku/>
              <w:wordWrap w:val="0"/>
              <w:overflowPunct/>
              <w:topLinePunct w:val="0"/>
              <w:bidi w:val="0"/>
              <w:adjustRightInd w:val="0"/>
              <w:spacing w:line="480" w:lineRule="exact"/>
              <w:ind w:firstLine="240" w:firstLineChars="100"/>
              <w:textAlignment w:val="baseline"/>
              <w:rPr>
                <w:color w:val="auto"/>
                <w:sz w:val="24"/>
                <w:highlight w:val="none"/>
              </w:rPr>
            </w:pPr>
            <w:r>
              <w:rPr>
                <w:rFonts w:hint="eastAsia"/>
                <w:color w:val="auto"/>
                <w:sz w:val="24"/>
                <w:highlight w:val="none"/>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6F0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14:paraId="44DB857B">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3.7</w:t>
            </w:r>
          </w:p>
        </w:tc>
        <w:tc>
          <w:tcPr>
            <w:tcW w:w="1715" w:type="dxa"/>
            <w:noWrap w:val="0"/>
            <w:vAlign w:val="center"/>
          </w:tcPr>
          <w:p w14:paraId="0E3712A2">
            <w:pPr>
              <w:keepNext w:val="0"/>
              <w:keepLines w:val="0"/>
              <w:pageBreakBefore w:val="0"/>
              <w:kinsoku/>
              <w:wordWrap w:val="0"/>
              <w:overflowPunct/>
              <w:topLinePunct w:val="0"/>
              <w:bidi w:val="0"/>
              <w:adjustRightInd w:val="0"/>
              <w:spacing w:line="480" w:lineRule="exact"/>
              <w:ind w:firstLine="480" w:firstLineChars="200"/>
              <w:textAlignment w:val="baseline"/>
              <w:rPr>
                <w:color w:val="auto"/>
                <w:sz w:val="24"/>
                <w:highlight w:val="none"/>
              </w:rPr>
            </w:pPr>
            <w:r>
              <w:rPr>
                <w:rFonts w:hint="eastAsia"/>
                <w:color w:val="auto"/>
                <w:sz w:val="24"/>
                <w:highlight w:val="none"/>
              </w:rPr>
              <w:t>报价</w:t>
            </w:r>
          </w:p>
        </w:tc>
        <w:tc>
          <w:tcPr>
            <w:tcW w:w="6768" w:type="dxa"/>
            <w:noWrap w:val="0"/>
            <w:vAlign w:val="center"/>
          </w:tcPr>
          <w:p w14:paraId="53D5CBA3">
            <w:pPr>
              <w:pStyle w:val="18"/>
              <w:keepNext w:val="0"/>
              <w:keepLines w:val="0"/>
              <w:pageBreakBefore w:val="0"/>
              <w:numPr>
                <w:ilvl w:val="0"/>
                <w:numId w:val="0"/>
              </w:numPr>
              <w:kinsoku/>
              <w:wordWrap w:val="0"/>
              <w:overflowPunct/>
              <w:topLinePunct w:val="0"/>
              <w:bidi w:val="0"/>
              <w:ind w:left="0" w:leftChars="0"/>
              <w:outlineLvl w:val="0"/>
              <w:rPr>
                <w:rFonts w:ascii="宋体" w:hAnsi="宋体"/>
                <w:color w:val="auto"/>
                <w:kern w:val="2"/>
                <w:sz w:val="24"/>
                <w:szCs w:val="24"/>
                <w:highlight w:val="none"/>
                <w:lang w:val="en-US"/>
              </w:rPr>
            </w:pPr>
            <w:r>
              <w:rPr>
                <w:rFonts w:ascii="宋体" w:hAnsi="宋体" w:eastAsia="宋体" w:cs="宋体"/>
                <w:b w:val="0"/>
                <w:bCs w:val="0"/>
                <w:color w:val="auto"/>
                <w:kern w:val="2"/>
                <w:sz w:val="24"/>
                <w:szCs w:val="24"/>
                <w:highlight w:val="none"/>
                <w:lang w:val="en-US" w:eastAsia="zh-CN" w:bidi="zh-CN"/>
              </w:rPr>
              <w:t>1、</w:t>
            </w:r>
            <w:r>
              <w:rPr>
                <w:rFonts w:hint="eastAsia" w:ascii="宋体" w:hAnsi="宋体"/>
                <w:color w:val="auto"/>
                <w:kern w:val="2"/>
                <w:sz w:val="24"/>
                <w:szCs w:val="24"/>
                <w:highlight w:val="none"/>
                <w:lang w:val="en-US"/>
              </w:rPr>
              <w:t>本次竞争性磋商</w:t>
            </w:r>
            <w:r>
              <w:rPr>
                <w:rFonts w:ascii="宋体" w:hAnsi="宋体"/>
                <w:color w:val="auto"/>
                <w:kern w:val="2"/>
                <w:sz w:val="24"/>
                <w:szCs w:val="24"/>
                <w:highlight w:val="none"/>
                <w:lang w:val="en-US"/>
              </w:rPr>
              <w:t>采取两轮报价</w:t>
            </w:r>
            <w:r>
              <w:rPr>
                <w:rFonts w:hint="eastAsia" w:ascii="宋体" w:hAnsi="宋体"/>
                <w:color w:val="auto"/>
                <w:kern w:val="2"/>
                <w:sz w:val="24"/>
                <w:szCs w:val="24"/>
                <w:highlight w:val="none"/>
                <w:lang w:val="en-US"/>
              </w:rPr>
              <w:t>：第一轮报价直接填报于磋商响应文件中，</w:t>
            </w:r>
            <w:r>
              <w:rPr>
                <w:rFonts w:ascii="宋体" w:hAnsi="宋体"/>
                <w:color w:val="auto"/>
                <w:kern w:val="2"/>
                <w:sz w:val="24"/>
                <w:szCs w:val="24"/>
                <w:highlight w:val="none"/>
                <w:lang w:val="en-US"/>
              </w:rPr>
              <w:t>综合评标基本完毕后进行第二轮报价</w:t>
            </w:r>
            <w:r>
              <w:rPr>
                <w:rFonts w:hint="eastAsia" w:ascii="宋体" w:hAnsi="宋体"/>
                <w:color w:val="auto"/>
                <w:kern w:val="2"/>
                <w:sz w:val="24"/>
                <w:szCs w:val="24"/>
                <w:highlight w:val="none"/>
                <w:lang w:val="en-US"/>
              </w:rPr>
              <w:t>。</w:t>
            </w:r>
          </w:p>
          <w:p w14:paraId="33A2ACA5">
            <w:pPr>
              <w:pStyle w:val="18"/>
              <w:keepNext w:val="0"/>
              <w:keepLines w:val="0"/>
              <w:pageBreakBefore w:val="0"/>
              <w:numPr>
                <w:ilvl w:val="0"/>
                <w:numId w:val="0"/>
              </w:numPr>
              <w:kinsoku/>
              <w:wordWrap w:val="0"/>
              <w:overflowPunct/>
              <w:topLinePunct w:val="0"/>
              <w:bidi w:val="0"/>
              <w:ind w:left="0" w:leftChars="0"/>
              <w:outlineLvl w:val="0"/>
              <w:rPr>
                <w:color w:val="auto"/>
                <w:sz w:val="24"/>
                <w:highlight w:val="none"/>
              </w:rPr>
            </w:pPr>
            <w:r>
              <w:rPr>
                <w:rFonts w:ascii="宋体" w:hAnsi="宋体" w:eastAsia="宋体" w:cs="宋体"/>
                <w:b w:val="0"/>
                <w:bCs w:val="0"/>
                <w:color w:val="auto"/>
                <w:sz w:val="24"/>
                <w:szCs w:val="20"/>
                <w:highlight w:val="none"/>
                <w:lang w:val="zh-CN" w:eastAsia="zh-CN" w:bidi="zh-CN"/>
              </w:rPr>
              <w:t>2、</w:t>
            </w:r>
            <w:r>
              <w:rPr>
                <w:rFonts w:hint="eastAsia" w:ascii="宋体" w:hAnsi="宋体"/>
                <w:color w:val="auto"/>
                <w:kern w:val="2"/>
                <w:sz w:val="24"/>
                <w:szCs w:val="24"/>
                <w:highlight w:val="none"/>
                <w:lang w:val="en-US"/>
              </w:rPr>
              <w:t>供应商所报总价包含此项目中采购、安装、调试、运输、税金、培训、售后等所有费用。</w:t>
            </w:r>
          </w:p>
        </w:tc>
      </w:tr>
      <w:tr w14:paraId="4468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339D8973">
            <w:pPr>
              <w:pStyle w:val="17"/>
              <w:keepNext w:val="0"/>
              <w:keepLines w:val="0"/>
              <w:pageBreakBefore w:val="0"/>
              <w:kinsoku/>
              <w:wordWrap w:val="0"/>
              <w:overflowPunct/>
              <w:topLinePunct w:val="0"/>
              <w:bidi w:val="0"/>
              <w:spacing w:before="1"/>
              <w:ind w:left="166" w:right="158"/>
              <w:jc w:val="center"/>
              <w:rPr>
                <w:color w:val="auto"/>
                <w:sz w:val="24"/>
                <w:highlight w:val="none"/>
                <w:lang w:val="en-US"/>
              </w:rPr>
            </w:pPr>
            <w:r>
              <w:rPr>
                <w:rFonts w:hint="eastAsia"/>
                <w:color w:val="auto"/>
                <w:sz w:val="24"/>
                <w:highlight w:val="none"/>
                <w:lang w:val="en-US"/>
              </w:rPr>
              <w:t>3.8</w:t>
            </w:r>
          </w:p>
        </w:tc>
        <w:tc>
          <w:tcPr>
            <w:tcW w:w="1715" w:type="dxa"/>
            <w:noWrap w:val="0"/>
            <w:vAlign w:val="center"/>
          </w:tcPr>
          <w:p w14:paraId="5B4AEB93">
            <w:pPr>
              <w:keepNext w:val="0"/>
              <w:keepLines w:val="0"/>
              <w:pageBreakBefore w:val="0"/>
              <w:kinsoku/>
              <w:wordWrap w:val="0"/>
              <w:overflowPunct/>
              <w:topLinePunct w:val="0"/>
              <w:bidi w:val="0"/>
              <w:adjustRightInd w:val="0"/>
              <w:spacing w:line="480" w:lineRule="exact"/>
              <w:jc w:val="center"/>
              <w:textAlignment w:val="baseline"/>
              <w:rPr>
                <w:color w:val="auto"/>
                <w:sz w:val="24"/>
                <w:highlight w:val="none"/>
              </w:rPr>
            </w:pPr>
            <w:r>
              <w:rPr>
                <w:rFonts w:hint="eastAsia" w:ascii="宋体" w:hAnsi="宋体" w:eastAsia="宋体" w:cs="宋体"/>
                <w:color w:val="auto"/>
                <w:sz w:val="24"/>
                <w:szCs w:val="22"/>
                <w:highlight w:val="none"/>
                <w:lang w:val="en-US" w:eastAsia="zh-CN" w:bidi="zh-CN"/>
              </w:rPr>
              <w:t>采购标的所属行业</w:t>
            </w:r>
          </w:p>
        </w:tc>
        <w:tc>
          <w:tcPr>
            <w:tcW w:w="6768" w:type="dxa"/>
            <w:noWrap w:val="0"/>
            <w:vAlign w:val="center"/>
          </w:tcPr>
          <w:p w14:paraId="3FC23BEF">
            <w:pPr>
              <w:keepNext w:val="0"/>
              <w:keepLines w:val="0"/>
              <w:pageBreakBefore w:val="0"/>
              <w:kinsoku/>
              <w:wordWrap w:val="0"/>
              <w:overflowPunct/>
              <w:topLinePunct w:val="0"/>
              <w:bidi w:val="0"/>
              <w:adjustRightInd w:val="0"/>
              <w:spacing w:line="480" w:lineRule="exact"/>
              <w:ind w:firstLine="240" w:firstLineChars="1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划定标准为：信息传输、软件和信息技术服务业</w:t>
            </w:r>
          </w:p>
          <w:p w14:paraId="626170A2">
            <w:pPr>
              <w:keepNext w:val="0"/>
              <w:keepLines w:val="0"/>
              <w:pageBreakBefore w:val="0"/>
              <w:kinsoku/>
              <w:wordWrap w:val="0"/>
              <w:overflowPunct/>
              <w:topLinePunct w:val="0"/>
              <w:bidi w:val="0"/>
              <w:adjustRightInd w:val="0"/>
              <w:spacing w:line="480" w:lineRule="exact"/>
              <w:ind w:firstLine="240" w:firstLineChars="100"/>
              <w:textAlignment w:val="baseline"/>
              <w:rPr>
                <w:rFonts w:ascii="宋体" w:hAnsi="宋体"/>
                <w:color w:val="auto"/>
                <w:sz w:val="24"/>
                <w:highlight w:val="none"/>
              </w:rPr>
            </w:pPr>
            <w:r>
              <w:rPr>
                <w:rFonts w:hint="eastAsia" w:ascii="宋体" w:hAnsi="宋体" w:eastAsia="宋体" w:cs="宋体"/>
                <w:color w:val="auto"/>
                <w:sz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016B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01" w:type="dxa"/>
            <w:noWrap w:val="0"/>
            <w:vAlign w:val="center"/>
          </w:tcPr>
          <w:p w14:paraId="1C9AC06F">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3.9</w:t>
            </w:r>
          </w:p>
        </w:tc>
        <w:tc>
          <w:tcPr>
            <w:tcW w:w="1715" w:type="dxa"/>
            <w:noWrap w:val="0"/>
            <w:vAlign w:val="center"/>
          </w:tcPr>
          <w:p w14:paraId="75248A7D">
            <w:pPr>
              <w:keepNext w:val="0"/>
              <w:keepLines w:val="0"/>
              <w:pageBreakBefore w:val="0"/>
              <w:kinsoku/>
              <w:wordWrap w:val="0"/>
              <w:overflowPunct/>
              <w:topLinePunct w:val="0"/>
              <w:autoSpaceDE w:val="0"/>
              <w:autoSpaceDN w:val="0"/>
              <w:bidi w:val="0"/>
              <w:adjustRightInd w:val="0"/>
              <w:spacing w:line="360" w:lineRule="auto"/>
              <w:jc w:val="center"/>
              <w:rPr>
                <w:rFonts w:hint="eastAsia"/>
                <w:color w:val="auto"/>
                <w:sz w:val="24"/>
                <w:highlight w:val="none"/>
              </w:rPr>
            </w:pPr>
            <w:r>
              <w:rPr>
                <w:rFonts w:hint="eastAsia" w:ascii="宋体" w:hAnsi="宋体" w:eastAsia="宋体" w:cs="宋体"/>
                <w:color w:val="auto"/>
                <w:sz w:val="24"/>
                <w:highlight w:val="none"/>
              </w:rPr>
              <w:t>磋商响应文件副本份数及其他要求</w:t>
            </w:r>
          </w:p>
        </w:tc>
        <w:tc>
          <w:tcPr>
            <w:tcW w:w="6768" w:type="dxa"/>
            <w:noWrap w:val="0"/>
            <w:vAlign w:val="center"/>
          </w:tcPr>
          <w:p w14:paraId="5A5D0E25">
            <w:pPr>
              <w:pStyle w:val="18"/>
              <w:keepNext w:val="0"/>
              <w:keepLines w:val="0"/>
              <w:pageBreakBefore w:val="0"/>
              <w:numPr>
                <w:ilvl w:val="0"/>
                <w:numId w:val="0"/>
              </w:numPr>
              <w:kinsoku/>
              <w:wordWrap w:val="0"/>
              <w:overflowPunct/>
              <w:topLinePunct w:val="0"/>
              <w:bidi w:val="0"/>
              <w:outlineLvl w:val="0"/>
              <w:rPr>
                <w:rFonts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1、本项目采用电子招标，根据三门峡市公共资源交易中心系统编制响应文件，供应商需用CA在电子平台上传电子响应文件；</w:t>
            </w:r>
          </w:p>
          <w:p w14:paraId="535E4CF9">
            <w:pPr>
              <w:pStyle w:val="18"/>
              <w:keepNext w:val="0"/>
              <w:keepLines w:val="0"/>
              <w:pageBreakBefore w:val="0"/>
              <w:numPr>
                <w:ilvl w:val="0"/>
                <w:numId w:val="0"/>
              </w:numPr>
              <w:kinsoku/>
              <w:wordWrap w:val="0"/>
              <w:overflowPunct/>
              <w:topLinePunct w:val="0"/>
              <w:bidi w:val="0"/>
              <w:outlineLvl w:val="0"/>
              <w:rPr>
                <w:rFonts w:hint="eastAsia" w:ascii="宋体" w:hAnsi="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2、开标时不再递交纸质响应文件，中标单位领取成交通知书时提交</w:t>
            </w:r>
            <w:r>
              <w:rPr>
                <w:rFonts w:hint="eastAsia" w:ascii="宋体" w:hAnsi="宋体" w:eastAsia="宋体" w:cs="宋体"/>
                <w:color w:val="auto"/>
                <w:kern w:val="2"/>
                <w:sz w:val="24"/>
                <w:szCs w:val="24"/>
                <w:highlight w:val="none"/>
                <w:lang w:val="en-US" w:eastAsia="zh-CN"/>
              </w:rPr>
              <w:t>贰</w:t>
            </w:r>
            <w:r>
              <w:rPr>
                <w:rFonts w:hint="eastAsia" w:ascii="宋体" w:hAnsi="宋体" w:eastAsia="宋体" w:cs="宋体"/>
                <w:color w:val="auto"/>
                <w:kern w:val="2"/>
                <w:sz w:val="24"/>
                <w:szCs w:val="24"/>
                <w:highlight w:val="none"/>
                <w:lang w:val="en-US"/>
              </w:rPr>
              <w:t>份纸质响应文件，响应文件应按以下要求装订：胶装（不得采用活页装订），应有目录，并逐页标注连续页码，需加盖公章。</w:t>
            </w:r>
          </w:p>
        </w:tc>
      </w:tr>
      <w:tr w14:paraId="6416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1101" w:type="dxa"/>
            <w:noWrap w:val="0"/>
            <w:vAlign w:val="center"/>
          </w:tcPr>
          <w:p w14:paraId="27171F21">
            <w:pPr>
              <w:pStyle w:val="17"/>
              <w:keepNext w:val="0"/>
              <w:keepLines w:val="0"/>
              <w:pageBreakBefore w:val="0"/>
              <w:kinsoku/>
              <w:wordWrap w:val="0"/>
              <w:overflowPunct/>
              <w:topLinePunct w:val="0"/>
              <w:bidi w:val="0"/>
              <w:spacing w:before="1"/>
              <w:ind w:left="166" w:right="158"/>
              <w:jc w:val="center"/>
              <w:rPr>
                <w:rFonts w:hint="default" w:eastAsia="宋体"/>
                <w:color w:val="auto"/>
                <w:sz w:val="24"/>
                <w:highlight w:val="none"/>
                <w:lang w:val="en-US" w:eastAsia="zh-CN"/>
              </w:rPr>
            </w:pPr>
            <w:r>
              <w:rPr>
                <w:rFonts w:hint="eastAsia"/>
                <w:color w:val="auto"/>
                <w:sz w:val="24"/>
                <w:highlight w:val="none"/>
                <w:lang w:val="en-US" w:eastAsia="zh-CN"/>
              </w:rPr>
              <w:t>4.0</w:t>
            </w:r>
          </w:p>
        </w:tc>
        <w:tc>
          <w:tcPr>
            <w:tcW w:w="1715" w:type="dxa"/>
            <w:noWrap w:val="0"/>
            <w:vAlign w:val="center"/>
          </w:tcPr>
          <w:p w14:paraId="13D8A478">
            <w:pPr>
              <w:keepNext w:val="0"/>
              <w:keepLines w:val="0"/>
              <w:pageBreakBefore w:val="0"/>
              <w:kinsoku/>
              <w:wordWrap w:val="0"/>
              <w:overflowPunct/>
              <w:topLinePunct w:val="0"/>
              <w:autoSpaceDE w:val="0"/>
              <w:autoSpaceDN w:val="0"/>
              <w:bidi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电子化交易</w:t>
            </w:r>
          </w:p>
          <w:p w14:paraId="1619C2DB">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黑体"/>
                <w:color w:val="auto"/>
                <w:kern w:val="0"/>
                <w:sz w:val="28"/>
                <w:szCs w:val="28"/>
                <w:highlight w:val="none"/>
                <w:lang w:val="zh-CN" w:eastAsia="zh-CN" w:bidi="zh-CN"/>
              </w:rPr>
            </w:pPr>
            <w:r>
              <w:rPr>
                <w:rFonts w:hint="eastAsia" w:ascii="宋体" w:hAnsi="宋体" w:cs="宋体"/>
                <w:color w:val="auto"/>
                <w:sz w:val="24"/>
                <w:szCs w:val="24"/>
                <w:highlight w:val="none"/>
              </w:rPr>
              <w:t>注意事项</w:t>
            </w:r>
          </w:p>
        </w:tc>
        <w:tc>
          <w:tcPr>
            <w:tcW w:w="6768" w:type="dxa"/>
            <w:noWrap w:val="0"/>
            <w:vAlign w:val="center"/>
          </w:tcPr>
          <w:p w14:paraId="410E26C1">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2353734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452716B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3D06F81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7A0E3349">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68957FF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2A9D77F8">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5D479CEE">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5215107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51CBCC8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2927F97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7D3BC20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EE25154">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00029C8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7EC5FF0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7F7FE4B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F1D5A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E0A124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6F5C620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153DDD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5F94BF4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048DFB1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1A7F7122">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5C7AC6B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02558F3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88B1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6F8CB2C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4C41C8A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0E1012C0">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34615C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5010572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58EA08C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C023C97">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6A60774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1F129170">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8"/>
                <w:szCs w:val="28"/>
                <w:highlight w:val="none"/>
                <w:lang w:val="en-US" w:eastAsia="zh-CN" w:bidi="zh-CN"/>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44A30DD6">
      <w:pPr>
        <w:pStyle w:val="5"/>
        <w:keepNext w:val="0"/>
        <w:keepLines w:val="0"/>
        <w:pageBreakBefore w:val="0"/>
        <w:kinsoku/>
        <w:wordWrap w:val="0"/>
        <w:overflowPunct/>
        <w:topLinePunct w:val="0"/>
        <w:bidi w:val="0"/>
        <w:spacing w:before="66"/>
        <w:ind w:left="0" w:right="105"/>
        <w:jc w:val="both"/>
        <w:rPr>
          <w:color w:val="auto"/>
          <w:highlight w:val="none"/>
        </w:rPr>
        <w:sectPr>
          <w:footerReference r:id="rId5" w:type="default"/>
          <w:pgSz w:w="11910" w:h="16840"/>
          <w:pgMar w:top="1340" w:right="1020" w:bottom="820" w:left="1040" w:header="0" w:footer="640" w:gutter="0"/>
          <w:pgBorders>
            <w:top w:val="none" w:sz="0" w:space="0"/>
            <w:left w:val="none" w:sz="0" w:space="0"/>
            <w:bottom w:val="none" w:sz="0" w:space="0"/>
            <w:right w:val="none" w:sz="0" w:space="0"/>
          </w:pgBorders>
          <w:pgNumType w:fmt="decimal" w:start="1"/>
          <w:cols w:space="720" w:num="1"/>
        </w:sectPr>
      </w:pPr>
    </w:p>
    <w:p w14:paraId="11B4992B">
      <w:pPr>
        <w:pStyle w:val="5"/>
        <w:keepNext w:val="0"/>
        <w:keepLines w:val="0"/>
        <w:pageBreakBefore w:val="0"/>
        <w:kinsoku/>
        <w:wordWrap w:val="0"/>
        <w:overflowPunct/>
        <w:topLinePunct w:val="0"/>
        <w:bidi w:val="0"/>
        <w:spacing w:before="244"/>
        <w:ind w:left="320"/>
        <w:jc w:val="center"/>
        <w:rPr>
          <w:color w:val="auto"/>
          <w:highlight w:val="none"/>
        </w:rPr>
      </w:pPr>
      <w:r>
        <w:rPr>
          <w:color w:val="auto"/>
          <w:highlight w:val="none"/>
        </w:rPr>
        <w:t>供应商须知</w:t>
      </w:r>
    </w:p>
    <w:p w14:paraId="15E8930F">
      <w:pPr>
        <w:pStyle w:val="18"/>
        <w:keepNext w:val="0"/>
        <w:keepLines w:val="0"/>
        <w:pageBreakBefore w:val="0"/>
        <w:kinsoku/>
        <w:wordWrap w:val="0"/>
        <w:overflowPunct/>
        <w:topLinePunct w:val="0"/>
        <w:bidi w:val="0"/>
        <w:spacing w:line="360" w:lineRule="auto"/>
        <w:ind w:left="0" w:firstLine="482" w:firstLineChars="200"/>
        <w:outlineLvl w:val="0"/>
        <w:rPr>
          <w:rFonts w:ascii="宋体" w:hAnsi="宋体"/>
          <w:b/>
          <w:bCs/>
          <w:color w:val="auto"/>
          <w:sz w:val="24"/>
          <w:szCs w:val="24"/>
          <w:highlight w:val="none"/>
        </w:rPr>
      </w:pPr>
      <w:bookmarkStart w:id="5" w:name="_Toc20123_WPSOffice_Level2"/>
      <w:bookmarkStart w:id="6" w:name="_Toc487498474"/>
      <w:bookmarkStart w:id="7" w:name="_Toc488504474"/>
      <w:bookmarkStart w:id="8" w:name="_Toc455080108"/>
      <w:bookmarkStart w:id="9" w:name="_Toc22449"/>
      <w:bookmarkStart w:id="10" w:name="_Toc7628"/>
      <w:r>
        <w:rPr>
          <w:rFonts w:hint="eastAsia" w:ascii="宋体" w:hAnsi="宋体"/>
          <w:b/>
          <w:bCs/>
          <w:color w:val="auto"/>
          <w:sz w:val="24"/>
          <w:szCs w:val="24"/>
          <w:highlight w:val="none"/>
        </w:rPr>
        <w:t>1. 总则</w:t>
      </w:r>
      <w:bookmarkEnd w:id="5"/>
      <w:bookmarkEnd w:id="6"/>
      <w:bookmarkEnd w:id="7"/>
      <w:bookmarkEnd w:id="8"/>
      <w:bookmarkEnd w:id="9"/>
      <w:bookmarkEnd w:id="10"/>
    </w:p>
    <w:p w14:paraId="6F6DB57E">
      <w:pPr>
        <w:keepNext w:val="0"/>
        <w:keepLines w:val="0"/>
        <w:pageBreakBefore w:val="0"/>
        <w:kinsoku/>
        <w:wordWrap w:val="0"/>
        <w:overflowPunct/>
        <w:topLinePunct w:val="0"/>
        <w:bidi w:val="0"/>
        <w:ind w:firstLine="480" w:firstLineChars="200"/>
        <w:rPr>
          <w:color w:val="auto"/>
          <w:sz w:val="24"/>
          <w:highlight w:val="none"/>
        </w:rPr>
      </w:pPr>
      <w:bookmarkStart w:id="11" w:name="_Toc464035510"/>
      <w:bookmarkStart w:id="12" w:name="_Toc463701031"/>
      <w:bookmarkStart w:id="13" w:name="_Toc21496_WPSOffice_Level3"/>
      <w:bookmarkStart w:id="14" w:name="_Toc1172"/>
      <w:bookmarkStart w:id="15" w:name="_Toc274409866"/>
      <w:bookmarkStart w:id="16" w:name="_Toc10273"/>
      <w:bookmarkStart w:id="17" w:name="_Toc21458"/>
      <w:bookmarkStart w:id="18" w:name="_Toc31404"/>
      <w:bookmarkStart w:id="19" w:name="_Toc281380952"/>
      <w:bookmarkStart w:id="20" w:name="_Toc15709"/>
      <w:bookmarkStart w:id="21" w:name="_Toc455080109"/>
      <w:bookmarkStart w:id="22" w:name="_Toc29023"/>
      <w:bookmarkStart w:id="23" w:name="_Toc318450675"/>
      <w:bookmarkStart w:id="24" w:name="_Toc144974499"/>
      <w:bookmarkStart w:id="25" w:name="_Toc152045531"/>
      <w:bookmarkStart w:id="26" w:name="_Toc152042307"/>
      <w:r>
        <w:rPr>
          <w:rFonts w:hint="eastAsia"/>
          <w:color w:val="auto"/>
          <w:sz w:val="24"/>
          <w:highlight w:val="none"/>
        </w:rPr>
        <w:t>1.1 适用范围</w:t>
      </w:r>
      <w:bookmarkEnd w:id="11"/>
      <w:bookmarkEnd w:id="12"/>
      <w:bookmarkEnd w:id="13"/>
      <w:bookmarkEnd w:id="14"/>
      <w:bookmarkEnd w:id="15"/>
      <w:bookmarkEnd w:id="16"/>
      <w:bookmarkEnd w:id="17"/>
      <w:bookmarkEnd w:id="18"/>
      <w:bookmarkEnd w:id="19"/>
      <w:bookmarkEnd w:id="20"/>
      <w:bookmarkEnd w:id="21"/>
      <w:bookmarkEnd w:id="22"/>
      <w:bookmarkEnd w:id="23"/>
    </w:p>
    <w:p w14:paraId="6ED6C8F9">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1.1.1根据《中华人民共和国政府采购法》等有关法律、法规和规章的规定，编制本项目磋商文件。</w:t>
      </w:r>
    </w:p>
    <w:p w14:paraId="28DC4872">
      <w:pPr>
        <w:keepNext w:val="0"/>
        <w:keepLines w:val="0"/>
        <w:pageBreakBefore w:val="0"/>
        <w:kinsoku/>
        <w:wordWrap w:val="0"/>
        <w:overflowPunct/>
        <w:topLinePunct w:val="0"/>
        <w:bidi w:val="0"/>
        <w:ind w:firstLine="480" w:firstLineChars="200"/>
        <w:rPr>
          <w:color w:val="auto"/>
          <w:sz w:val="24"/>
          <w:highlight w:val="none"/>
        </w:rPr>
      </w:pPr>
      <w:bookmarkStart w:id="27" w:name="_Toc464035511"/>
      <w:bookmarkStart w:id="28" w:name="_Toc30891"/>
      <w:bookmarkStart w:id="29" w:name="_Toc710"/>
      <w:bookmarkStart w:id="30" w:name="_Toc2929"/>
      <w:bookmarkStart w:id="31" w:name="_Toc25399_WPSOffice_Level3"/>
      <w:bookmarkStart w:id="32" w:name="_Toc274409867"/>
      <w:bookmarkStart w:id="33" w:name="_Toc281405468"/>
      <w:bookmarkStart w:id="34" w:name="_Toc318450676"/>
      <w:bookmarkStart w:id="35" w:name="_Toc455080110"/>
      <w:bookmarkStart w:id="36" w:name="_Toc25773"/>
      <w:bookmarkStart w:id="37" w:name="_Toc3336"/>
      <w:bookmarkStart w:id="38" w:name="_Toc463701032"/>
      <w:bookmarkStart w:id="39" w:name="_Toc32619"/>
      <w:r>
        <w:rPr>
          <w:rFonts w:hint="eastAsia"/>
          <w:color w:val="auto"/>
          <w:sz w:val="24"/>
          <w:highlight w:val="none"/>
        </w:rPr>
        <w:t>1.2 采购项目说明</w:t>
      </w:r>
      <w:bookmarkEnd w:id="27"/>
      <w:bookmarkEnd w:id="28"/>
      <w:bookmarkEnd w:id="29"/>
      <w:bookmarkEnd w:id="30"/>
      <w:bookmarkEnd w:id="31"/>
      <w:bookmarkEnd w:id="32"/>
      <w:bookmarkEnd w:id="33"/>
      <w:bookmarkEnd w:id="34"/>
      <w:bookmarkEnd w:id="35"/>
      <w:bookmarkEnd w:id="36"/>
      <w:bookmarkEnd w:id="37"/>
      <w:bookmarkEnd w:id="38"/>
      <w:bookmarkEnd w:id="39"/>
    </w:p>
    <w:p w14:paraId="0D236710">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1.2.1 本项目采购人：见供应商须知前附表。</w:t>
      </w:r>
    </w:p>
    <w:p w14:paraId="1C4D2D0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1.2.2 本项目采购代理机构：见供应商须知前附表。</w:t>
      </w:r>
    </w:p>
    <w:p w14:paraId="4CC655A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1.2.3 本项目名称：见供应商须知前附表。</w:t>
      </w:r>
    </w:p>
    <w:p w14:paraId="06BCBDB0">
      <w:pPr>
        <w:keepNext w:val="0"/>
        <w:keepLines w:val="0"/>
        <w:pageBreakBefore w:val="0"/>
        <w:kinsoku/>
        <w:wordWrap w:val="0"/>
        <w:overflowPunct/>
        <w:topLinePunct w:val="0"/>
        <w:bidi w:val="0"/>
        <w:ind w:firstLine="480" w:firstLineChars="200"/>
        <w:rPr>
          <w:color w:val="auto"/>
          <w:sz w:val="24"/>
          <w:highlight w:val="none"/>
        </w:rPr>
      </w:pPr>
      <w:bookmarkStart w:id="40" w:name="_Toc16931"/>
      <w:bookmarkStart w:id="41" w:name="_Toc1373"/>
      <w:bookmarkStart w:id="42" w:name="_Toc281405469"/>
      <w:bookmarkStart w:id="43" w:name="_Toc455080111"/>
      <w:bookmarkStart w:id="44" w:name="_Toc17016"/>
      <w:bookmarkStart w:id="45" w:name="_Toc318450677"/>
      <w:bookmarkStart w:id="46" w:name="_Toc18960"/>
      <w:bookmarkStart w:id="47" w:name="_Toc274409868"/>
      <w:bookmarkStart w:id="48" w:name="_Toc31122_WPSOffice_Level3"/>
      <w:bookmarkStart w:id="49" w:name="_Toc3477"/>
      <w:bookmarkStart w:id="50" w:name="_Toc464035512"/>
      <w:bookmarkStart w:id="51" w:name="_Toc4952"/>
      <w:bookmarkStart w:id="52" w:name="_Toc463701033"/>
      <w:r>
        <w:rPr>
          <w:rFonts w:hint="eastAsia"/>
          <w:color w:val="auto"/>
          <w:sz w:val="24"/>
          <w:highlight w:val="none"/>
        </w:rPr>
        <w:t>1.3 定义及解释</w:t>
      </w:r>
      <w:bookmarkEnd w:id="40"/>
      <w:bookmarkEnd w:id="41"/>
      <w:bookmarkEnd w:id="42"/>
      <w:bookmarkEnd w:id="43"/>
      <w:bookmarkEnd w:id="44"/>
      <w:bookmarkEnd w:id="45"/>
      <w:bookmarkEnd w:id="46"/>
      <w:bookmarkEnd w:id="47"/>
      <w:bookmarkEnd w:id="48"/>
      <w:bookmarkEnd w:id="49"/>
      <w:bookmarkEnd w:id="50"/>
      <w:bookmarkEnd w:id="51"/>
      <w:bookmarkEnd w:id="52"/>
    </w:p>
    <w:p w14:paraId="17F75D8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1.3.1采购人：依法进行政府采购的国家机关、事业单位、团体组织。</w:t>
      </w:r>
    </w:p>
    <w:p w14:paraId="67A1279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1.3.2采购代理机构：取得政府采购招标代理资质，受采购人委托组织招标活动的社会中介组织。</w:t>
      </w:r>
    </w:p>
    <w:p w14:paraId="785A4A8A">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1.3.3服务：系指根据本磋商文件规定供应商须承担的方案编制以及其他类似的义务等。</w:t>
      </w:r>
    </w:p>
    <w:p w14:paraId="37E30A9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1.3.4供应商：供应商是响应磋商文件、参加磋商竞争的中华人民共和国境内的法人、其它组织。</w:t>
      </w:r>
    </w:p>
    <w:p w14:paraId="60095272">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1.3.5响应文件：指供应商根据磋商文件提交的所有文件。</w:t>
      </w:r>
    </w:p>
    <w:p w14:paraId="587CF89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1.3.6磋商小组：依据</w:t>
      </w:r>
      <w:r>
        <w:rPr>
          <w:rFonts w:hint="eastAsia"/>
          <w:color w:val="auto"/>
          <w:sz w:val="24"/>
          <w:highlight w:val="none"/>
          <w:lang w:bidi="en-US"/>
        </w:rPr>
        <w:t>《中华人民共和国政府采购法》及有关法律、法规的规定依法组建的专门负责本次评标工作的临时机构</w:t>
      </w:r>
      <w:r>
        <w:rPr>
          <w:rFonts w:hint="eastAsia"/>
          <w:color w:val="auto"/>
          <w:sz w:val="24"/>
          <w:highlight w:val="none"/>
        </w:rPr>
        <w:t>。</w:t>
      </w:r>
    </w:p>
    <w:p w14:paraId="36C1878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1.3.7偏离：响应文件的响应相对于磋商文件要求的偏差，该偏差优于磋商文件要求的为正偏离；劣于的，为负偏离。</w:t>
      </w:r>
    </w:p>
    <w:p w14:paraId="367104A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1.3.8“日期”或“天”：指日历天。</w:t>
      </w:r>
    </w:p>
    <w:p w14:paraId="535EE20F">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1.3.9合同：指依据本次采购招标结果签订的协议或合约文件。</w:t>
      </w:r>
    </w:p>
    <w:p w14:paraId="667C52C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1.3.10磋商文件中的标题或题名仅起引导作用，而不应视为对磋商文件内容的理解和解释。</w:t>
      </w:r>
    </w:p>
    <w:bookmarkEnd w:id="24"/>
    <w:bookmarkEnd w:id="25"/>
    <w:bookmarkEnd w:id="26"/>
    <w:p w14:paraId="1689B584">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53" w:name="_Toc455080112"/>
      <w:bookmarkStart w:id="54" w:name="_Toc16470"/>
      <w:bookmarkStart w:id="55" w:name="_Toc464035513"/>
      <w:bookmarkStart w:id="56" w:name="_Toc152045532"/>
      <w:bookmarkStart w:id="57" w:name="_Toc19363"/>
      <w:bookmarkStart w:id="58" w:name="_Toc144974500"/>
      <w:bookmarkStart w:id="59" w:name="_Toc27407"/>
      <w:bookmarkStart w:id="60" w:name="_Toc152042308"/>
      <w:bookmarkStart w:id="61" w:name="_Toc21766"/>
      <w:bookmarkStart w:id="62" w:name="_Toc463701034"/>
      <w:bookmarkStart w:id="63" w:name="_Toc3626_WPSOffice_Level3"/>
      <w:bookmarkStart w:id="64" w:name="_Toc318450678"/>
      <w:bookmarkStart w:id="65" w:name="_Toc12752"/>
      <w:bookmarkStart w:id="66" w:name="_Toc14043"/>
      <w:r>
        <w:rPr>
          <w:rFonts w:hint="eastAsia"/>
          <w:color w:val="auto"/>
          <w:sz w:val="24"/>
          <w:highlight w:val="none"/>
        </w:rPr>
        <w:t>1.4 采购内容、数量，供货日期和质量要求</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47A9AF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1.4.1 本次采购内容、数量：见供应商须知前附表。</w:t>
      </w:r>
    </w:p>
    <w:p w14:paraId="272C96C1">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1.4.2 本项目的供货日期：见供应商须知前附表。</w:t>
      </w:r>
    </w:p>
    <w:p w14:paraId="047265E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1.4.3 本项目的质量要求：见供应商须知前附表。</w:t>
      </w:r>
    </w:p>
    <w:p w14:paraId="58038F08">
      <w:pPr>
        <w:keepNext w:val="0"/>
        <w:keepLines w:val="0"/>
        <w:pageBreakBefore w:val="0"/>
        <w:kinsoku/>
        <w:wordWrap w:val="0"/>
        <w:overflowPunct/>
        <w:topLinePunct w:val="0"/>
        <w:bidi w:val="0"/>
        <w:ind w:firstLine="480" w:firstLineChars="200"/>
        <w:rPr>
          <w:color w:val="auto"/>
          <w:sz w:val="24"/>
          <w:highlight w:val="none"/>
        </w:rPr>
      </w:pPr>
      <w:bookmarkStart w:id="67" w:name="_Toc463701037"/>
      <w:bookmarkStart w:id="68" w:name="_Toc7579_WPSOffice_Level3"/>
      <w:bookmarkStart w:id="69" w:name="_Toc152045536"/>
      <w:bookmarkStart w:id="70" w:name="_Toc318450681"/>
      <w:bookmarkStart w:id="71" w:name="_Toc455080115"/>
      <w:bookmarkStart w:id="72" w:name="_Toc20145"/>
      <w:bookmarkStart w:id="73" w:name="_Toc2622"/>
      <w:bookmarkStart w:id="74" w:name="_Toc152042312"/>
      <w:bookmarkStart w:id="75" w:name="_Toc144974504"/>
      <w:bookmarkStart w:id="76" w:name="_Toc464035516"/>
      <w:bookmarkStart w:id="77" w:name="_Toc5402"/>
      <w:bookmarkStart w:id="78" w:name="_Toc6014"/>
      <w:bookmarkStart w:id="79" w:name="_Toc8055"/>
      <w:bookmarkStart w:id="80" w:name="_Toc32053"/>
      <w:r>
        <w:rPr>
          <w:rFonts w:hint="eastAsia"/>
          <w:color w:val="auto"/>
          <w:sz w:val="24"/>
          <w:highlight w:val="none"/>
        </w:rPr>
        <w:t>1.</w:t>
      </w:r>
      <w:r>
        <w:rPr>
          <w:rFonts w:hint="eastAsia"/>
          <w:color w:val="auto"/>
          <w:sz w:val="24"/>
          <w:highlight w:val="none"/>
          <w:lang w:val="en-US"/>
        </w:rPr>
        <w:t>5</w:t>
      </w:r>
      <w:r>
        <w:rPr>
          <w:rFonts w:hint="eastAsia"/>
          <w:color w:val="auto"/>
          <w:sz w:val="24"/>
          <w:highlight w:val="none"/>
        </w:rPr>
        <w:t>保密</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C791118">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参与磋商活动的各方应对磋商文件和响应文件中的商业和技术等秘密保密，违者应对由此造成的后果承担法律责任。 </w:t>
      </w:r>
    </w:p>
    <w:p w14:paraId="539107E4">
      <w:pPr>
        <w:keepNext w:val="0"/>
        <w:keepLines w:val="0"/>
        <w:pageBreakBefore w:val="0"/>
        <w:kinsoku/>
        <w:wordWrap w:val="0"/>
        <w:overflowPunct/>
        <w:topLinePunct w:val="0"/>
        <w:bidi w:val="0"/>
        <w:ind w:firstLine="480" w:firstLineChars="200"/>
        <w:rPr>
          <w:color w:val="auto"/>
          <w:sz w:val="24"/>
          <w:highlight w:val="none"/>
        </w:rPr>
      </w:pPr>
      <w:bookmarkStart w:id="81" w:name="_Toc144974505"/>
      <w:bookmarkStart w:id="82" w:name="_Toc30747"/>
      <w:bookmarkStart w:id="83" w:name="_Toc152042313"/>
      <w:bookmarkStart w:id="84" w:name="_Toc25517"/>
      <w:bookmarkStart w:id="85" w:name="_Toc19210_WPSOffice_Level3"/>
      <w:bookmarkStart w:id="86" w:name="_Toc464035517"/>
      <w:bookmarkStart w:id="87" w:name="_Toc14775"/>
      <w:bookmarkStart w:id="88" w:name="_Toc455080116"/>
      <w:bookmarkStart w:id="89" w:name="_Toc21089"/>
      <w:bookmarkStart w:id="90" w:name="_Toc318450682"/>
      <w:bookmarkStart w:id="91" w:name="_Toc152045537"/>
      <w:bookmarkStart w:id="92" w:name="_Toc3628"/>
      <w:bookmarkStart w:id="93" w:name="_Toc463701038"/>
      <w:bookmarkStart w:id="94" w:name="_Toc30583"/>
      <w:r>
        <w:rPr>
          <w:rFonts w:hint="eastAsia"/>
          <w:color w:val="auto"/>
          <w:sz w:val="24"/>
          <w:highlight w:val="none"/>
        </w:rPr>
        <w:t>1.</w:t>
      </w:r>
      <w:r>
        <w:rPr>
          <w:rFonts w:hint="eastAsia"/>
          <w:color w:val="auto"/>
          <w:sz w:val="24"/>
          <w:highlight w:val="none"/>
          <w:lang w:val="en-US"/>
        </w:rPr>
        <w:t>6</w:t>
      </w:r>
      <w:r>
        <w:rPr>
          <w:rFonts w:hint="eastAsia"/>
          <w:color w:val="auto"/>
          <w:sz w:val="24"/>
          <w:highlight w:val="none"/>
        </w:rPr>
        <w:t>语言</w:t>
      </w:r>
      <w:bookmarkEnd w:id="81"/>
      <w:r>
        <w:rPr>
          <w:rFonts w:hint="eastAsia"/>
          <w:color w:val="auto"/>
          <w:sz w:val="24"/>
          <w:highlight w:val="none"/>
        </w:rPr>
        <w:t>文字</w:t>
      </w:r>
      <w:bookmarkEnd w:id="82"/>
      <w:bookmarkEnd w:id="83"/>
      <w:bookmarkEnd w:id="84"/>
      <w:bookmarkEnd w:id="85"/>
      <w:bookmarkEnd w:id="86"/>
      <w:bookmarkEnd w:id="87"/>
      <w:bookmarkEnd w:id="88"/>
      <w:bookmarkEnd w:id="89"/>
      <w:bookmarkEnd w:id="90"/>
      <w:bookmarkEnd w:id="91"/>
      <w:bookmarkEnd w:id="92"/>
      <w:bookmarkEnd w:id="93"/>
      <w:bookmarkEnd w:id="94"/>
    </w:p>
    <w:p w14:paraId="0F4D30CE">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除专用术语外，与磋商有关的语言均使用中文。必要时专用术语应附有中文注释，</w:t>
      </w:r>
      <w:r>
        <w:rPr>
          <w:rFonts w:hint="eastAsia"/>
          <w:color w:val="auto"/>
          <w:sz w:val="24"/>
          <w:highlight w:val="none"/>
          <w:lang w:bidi="en-US"/>
        </w:rPr>
        <w:t>对不同文字文本响应文件的解释发生异议的，以中文文本为准。</w:t>
      </w:r>
    </w:p>
    <w:p w14:paraId="7D7AFD15">
      <w:pPr>
        <w:keepNext w:val="0"/>
        <w:keepLines w:val="0"/>
        <w:pageBreakBefore w:val="0"/>
        <w:kinsoku/>
        <w:wordWrap w:val="0"/>
        <w:overflowPunct/>
        <w:topLinePunct w:val="0"/>
        <w:bidi w:val="0"/>
        <w:spacing w:line="360" w:lineRule="auto"/>
        <w:ind w:firstLine="480" w:firstLineChars="200"/>
        <w:rPr>
          <w:color w:val="auto"/>
          <w:sz w:val="24"/>
          <w:highlight w:val="none"/>
        </w:rPr>
      </w:pPr>
      <w:bookmarkStart w:id="95" w:name="_Toc455080117"/>
      <w:bookmarkStart w:id="96" w:name="_Toc464035518"/>
      <w:bookmarkStart w:id="97" w:name="_Toc318450683"/>
      <w:bookmarkStart w:id="98" w:name="_Toc32507"/>
      <w:bookmarkStart w:id="99" w:name="_Toc4237"/>
      <w:bookmarkStart w:id="100" w:name="_Toc22378"/>
      <w:bookmarkStart w:id="101" w:name="_Toc2702"/>
      <w:bookmarkStart w:id="102" w:name="_Toc24337"/>
      <w:bookmarkStart w:id="103" w:name="_Toc152045538"/>
      <w:bookmarkStart w:id="104" w:name="_Toc9446"/>
      <w:bookmarkStart w:id="105" w:name="_Toc144974506"/>
      <w:bookmarkStart w:id="106" w:name="_Toc152042314"/>
      <w:bookmarkStart w:id="107" w:name="_Toc9511_WPSOffice_Level3"/>
      <w:bookmarkStart w:id="108" w:name="_Toc463701039"/>
      <w:r>
        <w:rPr>
          <w:rFonts w:hint="eastAsia"/>
          <w:color w:val="auto"/>
          <w:sz w:val="24"/>
          <w:highlight w:val="none"/>
        </w:rPr>
        <w:t>1.</w:t>
      </w:r>
      <w:r>
        <w:rPr>
          <w:rFonts w:hint="eastAsia"/>
          <w:color w:val="auto"/>
          <w:sz w:val="24"/>
          <w:highlight w:val="none"/>
          <w:lang w:val="en-US"/>
        </w:rPr>
        <w:t>7</w:t>
      </w:r>
      <w:r>
        <w:rPr>
          <w:rFonts w:hint="eastAsia"/>
          <w:color w:val="auto"/>
          <w:sz w:val="24"/>
          <w:highlight w:val="none"/>
        </w:rPr>
        <w:t xml:space="preserve"> 计量单位</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92AC6C9">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14:paraId="063CC3EA">
      <w:pPr>
        <w:pStyle w:val="5"/>
        <w:keepNext w:val="0"/>
        <w:keepLines w:val="0"/>
        <w:pageBreakBefore w:val="0"/>
        <w:kinsoku/>
        <w:wordWrap w:val="0"/>
        <w:overflowPunct/>
        <w:topLinePunct w:val="0"/>
        <w:bidi w:val="0"/>
        <w:spacing w:before="161"/>
        <w:ind w:left="320"/>
        <w:rPr>
          <w:color w:val="auto"/>
          <w:highlight w:val="none"/>
        </w:rPr>
      </w:pPr>
      <w:bookmarkStart w:id="109" w:name="_Toc12366_WPSOffice_Level2"/>
      <w:r>
        <w:rPr>
          <w:color w:val="auto"/>
          <w:highlight w:val="none"/>
        </w:rPr>
        <w:t>2、合格的磋商响应供应商</w:t>
      </w:r>
      <w:bookmarkEnd w:id="109"/>
    </w:p>
    <w:p w14:paraId="559F12A7">
      <w:pPr>
        <w:pStyle w:val="5"/>
        <w:keepNext w:val="0"/>
        <w:keepLines w:val="0"/>
        <w:pageBreakBefore w:val="0"/>
        <w:kinsoku/>
        <w:wordWrap w:val="0"/>
        <w:overflowPunct/>
        <w:topLinePunct w:val="0"/>
        <w:bidi w:val="0"/>
        <w:spacing w:before="161"/>
        <w:rPr>
          <w:color w:val="auto"/>
          <w:highlight w:val="none"/>
        </w:rPr>
      </w:pPr>
      <w:r>
        <w:rPr>
          <w:rFonts w:hint="eastAsia"/>
          <w:b w:val="0"/>
          <w:bCs w:val="0"/>
          <w:color w:val="auto"/>
          <w:highlight w:val="none"/>
        </w:rPr>
        <w:t>见供应商须知前附表</w:t>
      </w:r>
    </w:p>
    <w:p w14:paraId="55456F1D">
      <w:pPr>
        <w:pStyle w:val="5"/>
        <w:keepNext w:val="0"/>
        <w:keepLines w:val="0"/>
        <w:pageBreakBefore w:val="0"/>
        <w:kinsoku/>
        <w:wordWrap w:val="0"/>
        <w:overflowPunct/>
        <w:topLinePunct w:val="0"/>
        <w:bidi w:val="0"/>
        <w:spacing w:before="161"/>
        <w:ind w:left="320"/>
        <w:rPr>
          <w:color w:val="auto"/>
          <w:highlight w:val="none"/>
        </w:rPr>
      </w:pPr>
      <w:bookmarkStart w:id="110" w:name="_Toc8655_WPSOffice_Level2"/>
      <w:r>
        <w:rPr>
          <w:color w:val="auto"/>
          <w:highlight w:val="none"/>
        </w:rPr>
        <w:t>3、费用</w:t>
      </w:r>
      <w:bookmarkEnd w:id="110"/>
    </w:p>
    <w:p w14:paraId="760F3E46">
      <w:pPr>
        <w:pStyle w:val="7"/>
        <w:keepNext w:val="0"/>
        <w:keepLines w:val="0"/>
        <w:pageBreakBefore w:val="0"/>
        <w:kinsoku/>
        <w:wordWrap w:val="0"/>
        <w:overflowPunct/>
        <w:topLinePunct w:val="0"/>
        <w:bidi w:val="0"/>
        <w:spacing w:before="160" w:line="364" w:lineRule="auto"/>
        <w:ind w:right="338" w:firstLine="120"/>
        <w:rPr>
          <w:color w:val="auto"/>
          <w:highlight w:val="none"/>
        </w:rPr>
      </w:pPr>
      <w:r>
        <w:rPr>
          <w:color w:val="auto"/>
          <w:highlight w:val="none"/>
        </w:rPr>
        <w:t>3.1</w:t>
      </w:r>
      <w:r>
        <w:rPr>
          <w:color w:val="auto"/>
          <w:spacing w:val="-9"/>
          <w:highlight w:val="none"/>
        </w:rPr>
        <w:t xml:space="preserve"> 磋商响应供应商应自行承担参加磋商活动有关的全部费用，采购人在任何情况下均</w:t>
      </w:r>
      <w:r>
        <w:rPr>
          <w:color w:val="auto"/>
          <w:highlight w:val="none"/>
        </w:rPr>
        <w:t>无义务和责任承担上述费用。</w:t>
      </w:r>
    </w:p>
    <w:p w14:paraId="79F9B602">
      <w:pPr>
        <w:keepNext w:val="0"/>
        <w:keepLines w:val="0"/>
        <w:pageBreakBefore w:val="0"/>
        <w:kinsoku/>
        <w:wordWrap w:val="0"/>
        <w:overflowPunct/>
        <w:topLinePunct w:val="0"/>
        <w:bidi w:val="0"/>
        <w:spacing w:before="1" w:line="364" w:lineRule="auto"/>
        <w:ind w:left="560" w:right="6753" w:hanging="240"/>
        <w:rPr>
          <w:color w:val="auto"/>
          <w:sz w:val="24"/>
          <w:highlight w:val="none"/>
        </w:rPr>
      </w:pPr>
      <w:bookmarkStart w:id="111" w:name="_Toc4976_WPSOffice_Level2"/>
      <w:r>
        <w:rPr>
          <w:b/>
          <w:color w:val="auto"/>
          <w:sz w:val="24"/>
          <w:highlight w:val="none"/>
        </w:rPr>
        <w:t>4</w:t>
      </w:r>
      <w:r>
        <w:rPr>
          <w:b/>
          <w:color w:val="auto"/>
          <w:spacing w:val="-2"/>
          <w:sz w:val="24"/>
          <w:highlight w:val="none"/>
        </w:rPr>
        <w:t>、竞争性磋商文件的构成</w:t>
      </w:r>
      <w:r>
        <w:rPr>
          <w:color w:val="auto"/>
          <w:sz w:val="24"/>
          <w:highlight w:val="none"/>
        </w:rPr>
        <w:t>第一章 竞争性磋商公告</w:t>
      </w:r>
      <w:bookmarkEnd w:id="111"/>
    </w:p>
    <w:p w14:paraId="08FF870F">
      <w:pPr>
        <w:pStyle w:val="7"/>
        <w:keepNext w:val="0"/>
        <w:keepLines w:val="0"/>
        <w:pageBreakBefore w:val="0"/>
        <w:kinsoku/>
        <w:wordWrap w:val="0"/>
        <w:overflowPunct/>
        <w:topLinePunct w:val="0"/>
        <w:bidi w:val="0"/>
        <w:spacing w:before="2" w:line="364" w:lineRule="auto"/>
        <w:ind w:left="555" w:right="5329"/>
        <w:rPr>
          <w:color w:val="auto"/>
          <w:spacing w:val="-2"/>
          <w:highlight w:val="none"/>
        </w:rPr>
      </w:pPr>
      <w:bookmarkStart w:id="112" w:name="_Toc25399_WPSOffice_Level1"/>
      <w:r>
        <w:rPr>
          <w:color w:val="auto"/>
          <w:spacing w:val="-2"/>
          <w:highlight w:val="none"/>
        </w:rPr>
        <w:t>第二章 供应商须知</w:t>
      </w:r>
    </w:p>
    <w:p w14:paraId="2657F98D">
      <w:pPr>
        <w:pStyle w:val="7"/>
        <w:keepNext w:val="0"/>
        <w:keepLines w:val="0"/>
        <w:pageBreakBefore w:val="0"/>
        <w:kinsoku/>
        <w:wordWrap w:val="0"/>
        <w:overflowPunct/>
        <w:topLinePunct w:val="0"/>
        <w:bidi w:val="0"/>
        <w:spacing w:before="2" w:line="364" w:lineRule="auto"/>
        <w:ind w:left="555" w:right="5329"/>
        <w:rPr>
          <w:color w:val="auto"/>
          <w:highlight w:val="none"/>
        </w:rPr>
      </w:pPr>
      <w:r>
        <w:rPr>
          <w:color w:val="auto"/>
          <w:highlight w:val="none"/>
        </w:rPr>
        <w:t>第三章 采购</w:t>
      </w:r>
      <w:r>
        <w:rPr>
          <w:rFonts w:hint="eastAsia"/>
          <w:color w:val="auto"/>
          <w:highlight w:val="none"/>
        </w:rPr>
        <w:t>需求及参数</w:t>
      </w:r>
      <w:r>
        <w:rPr>
          <w:color w:val="auto"/>
          <w:highlight w:val="none"/>
        </w:rPr>
        <w:t>要求</w:t>
      </w:r>
      <w:bookmarkEnd w:id="112"/>
    </w:p>
    <w:p w14:paraId="468B68B9">
      <w:pPr>
        <w:pStyle w:val="7"/>
        <w:keepNext w:val="0"/>
        <w:keepLines w:val="0"/>
        <w:pageBreakBefore w:val="0"/>
        <w:kinsoku/>
        <w:wordWrap w:val="0"/>
        <w:overflowPunct/>
        <w:topLinePunct w:val="0"/>
        <w:bidi w:val="0"/>
        <w:spacing w:before="1"/>
        <w:ind w:left="555"/>
        <w:rPr>
          <w:color w:val="auto"/>
          <w:highlight w:val="none"/>
        </w:rPr>
      </w:pPr>
      <w:bookmarkStart w:id="113" w:name="_Toc3669_WPSOffice_Level2"/>
      <w:r>
        <w:rPr>
          <w:color w:val="auto"/>
          <w:highlight w:val="none"/>
        </w:rPr>
        <w:t>第四章 评审办法</w:t>
      </w:r>
      <w:bookmarkEnd w:id="113"/>
    </w:p>
    <w:p w14:paraId="55C6E69D">
      <w:pPr>
        <w:pStyle w:val="7"/>
        <w:keepNext w:val="0"/>
        <w:keepLines w:val="0"/>
        <w:pageBreakBefore w:val="0"/>
        <w:kinsoku/>
        <w:wordWrap w:val="0"/>
        <w:overflowPunct/>
        <w:topLinePunct w:val="0"/>
        <w:bidi w:val="0"/>
        <w:spacing w:before="160"/>
        <w:ind w:left="555"/>
        <w:rPr>
          <w:color w:val="auto"/>
          <w:highlight w:val="none"/>
        </w:rPr>
      </w:pPr>
      <w:bookmarkStart w:id="114" w:name="_Toc1982_WPSOffice_Level2"/>
      <w:r>
        <w:rPr>
          <w:color w:val="auto"/>
          <w:highlight w:val="none"/>
        </w:rPr>
        <w:t>第五章 合同主要条款及格式</w:t>
      </w:r>
      <w:bookmarkEnd w:id="114"/>
    </w:p>
    <w:p w14:paraId="5FBA64E4">
      <w:pPr>
        <w:pStyle w:val="7"/>
        <w:keepNext w:val="0"/>
        <w:keepLines w:val="0"/>
        <w:pageBreakBefore w:val="0"/>
        <w:kinsoku/>
        <w:wordWrap w:val="0"/>
        <w:overflowPunct/>
        <w:topLinePunct w:val="0"/>
        <w:bidi w:val="0"/>
        <w:spacing w:before="161"/>
        <w:ind w:left="555"/>
        <w:rPr>
          <w:color w:val="auto"/>
          <w:highlight w:val="none"/>
        </w:rPr>
      </w:pPr>
      <w:bookmarkStart w:id="115" w:name="_Toc4328_WPSOffice_Level2"/>
      <w:r>
        <w:rPr>
          <w:color w:val="auto"/>
          <w:highlight w:val="none"/>
        </w:rPr>
        <w:t>第六章 电子化响应文件内容及格式</w:t>
      </w:r>
      <w:bookmarkEnd w:id="115"/>
    </w:p>
    <w:p w14:paraId="3DCC6B5B">
      <w:pPr>
        <w:pStyle w:val="5"/>
        <w:keepNext w:val="0"/>
        <w:keepLines w:val="0"/>
        <w:pageBreakBefore w:val="0"/>
        <w:kinsoku/>
        <w:wordWrap w:val="0"/>
        <w:overflowPunct/>
        <w:topLinePunct w:val="0"/>
        <w:bidi w:val="0"/>
        <w:spacing w:before="160"/>
        <w:ind w:left="320"/>
        <w:rPr>
          <w:color w:val="auto"/>
          <w:highlight w:val="none"/>
        </w:rPr>
      </w:pPr>
      <w:bookmarkStart w:id="116" w:name="_Toc20095_WPSOffice_Level3"/>
      <w:r>
        <w:rPr>
          <w:color w:val="auto"/>
          <w:highlight w:val="none"/>
        </w:rPr>
        <w:t>5、竞争性磋商文件的澄清</w:t>
      </w:r>
      <w:bookmarkEnd w:id="116"/>
    </w:p>
    <w:p w14:paraId="2DC47DA7">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sz w:val="24"/>
          <w:highlight w:val="none"/>
        </w:rPr>
      </w:pPr>
      <w:r>
        <w:rPr>
          <w:color w:val="auto"/>
          <w:spacing w:val="-2"/>
          <w:sz w:val="24"/>
          <w:highlight w:val="none"/>
        </w:rPr>
        <w:t xml:space="preserve">磋商响应供应商对磋商文件需有澄清或疑问，应在购买竞争性磋商文件后 </w:t>
      </w:r>
      <w:r>
        <w:rPr>
          <w:color w:val="auto"/>
          <w:sz w:val="24"/>
          <w:highlight w:val="none"/>
        </w:rPr>
        <w:t>3</w:t>
      </w:r>
      <w:r>
        <w:rPr>
          <w:color w:val="auto"/>
          <w:spacing w:val="-25"/>
          <w:sz w:val="24"/>
          <w:highlight w:val="none"/>
        </w:rPr>
        <w:t xml:space="preserve"> 日内</w:t>
      </w:r>
      <w:r>
        <w:rPr>
          <w:color w:val="auto"/>
          <w:spacing w:val="-2"/>
          <w:sz w:val="24"/>
          <w:highlight w:val="none"/>
        </w:rPr>
        <w:t xml:space="preserve">向采购人进行询问，采购人在收到磋商响应供应商的疑问后于 </w:t>
      </w:r>
      <w:r>
        <w:rPr>
          <w:color w:val="auto"/>
          <w:sz w:val="24"/>
          <w:highlight w:val="none"/>
        </w:rPr>
        <w:t>2</w:t>
      </w:r>
      <w:r>
        <w:rPr>
          <w:color w:val="auto"/>
          <w:spacing w:val="-6"/>
          <w:sz w:val="24"/>
          <w:highlight w:val="none"/>
        </w:rPr>
        <w:t xml:space="preserve"> 日内将视情况确定采用适当方式予以澄清或以书面形式予以答复，并在其认为必要时，将书面答复发送已购买竞争性磋商文件的所有潜在磋商响应供应商。</w:t>
      </w:r>
    </w:p>
    <w:p w14:paraId="30333AA8">
      <w:pPr>
        <w:pStyle w:val="19"/>
        <w:keepNext w:val="0"/>
        <w:keepLines w:val="0"/>
        <w:pageBreakBefore w:val="0"/>
        <w:numPr>
          <w:ilvl w:val="1"/>
          <w:numId w:val="1"/>
        </w:numPr>
        <w:tabs>
          <w:tab w:val="left" w:pos="1101"/>
        </w:tabs>
        <w:kinsoku/>
        <w:wordWrap w:val="0"/>
        <w:overflowPunct/>
        <w:topLinePunct w:val="0"/>
        <w:bidi w:val="0"/>
        <w:spacing w:before="161" w:line="364" w:lineRule="auto"/>
        <w:ind w:right="338" w:firstLine="360"/>
        <w:jc w:val="both"/>
        <w:rPr>
          <w:color w:val="auto"/>
          <w:highlight w:val="none"/>
        </w:rPr>
      </w:pPr>
      <w:r>
        <w:rPr>
          <w:color w:val="auto"/>
          <w:sz w:val="24"/>
          <w:highlight w:val="none"/>
        </w:rPr>
        <w:t>采购人将视情况在认为必要时于采购截止时间前答疑</w:t>
      </w:r>
      <w:r>
        <w:rPr>
          <w:rFonts w:hint="eastAsia"/>
          <w:color w:val="auto"/>
          <w:sz w:val="24"/>
          <w:highlight w:val="none"/>
        </w:rPr>
        <w:t>。</w:t>
      </w:r>
    </w:p>
    <w:p w14:paraId="6BAE8BF9">
      <w:pPr>
        <w:pStyle w:val="5"/>
        <w:keepNext w:val="0"/>
        <w:keepLines w:val="0"/>
        <w:pageBreakBefore w:val="0"/>
        <w:kinsoku/>
        <w:wordWrap w:val="0"/>
        <w:overflowPunct/>
        <w:topLinePunct w:val="0"/>
        <w:bidi w:val="0"/>
        <w:spacing w:before="160"/>
        <w:ind w:left="320"/>
        <w:rPr>
          <w:color w:val="auto"/>
          <w:highlight w:val="none"/>
        </w:rPr>
      </w:pPr>
      <w:bookmarkStart w:id="117" w:name="_Toc20123_WPSOffice_Level3"/>
      <w:r>
        <w:rPr>
          <w:color w:val="auto"/>
          <w:highlight w:val="none"/>
        </w:rPr>
        <w:t>6、竞争性磋商文件的修改</w:t>
      </w:r>
      <w:bookmarkEnd w:id="117"/>
    </w:p>
    <w:p w14:paraId="39F03325">
      <w:pPr>
        <w:pStyle w:val="19"/>
        <w:keepNext w:val="0"/>
        <w:keepLines w:val="0"/>
        <w:pageBreakBefore w:val="0"/>
        <w:tabs>
          <w:tab w:val="left" w:pos="1101"/>
        </w:tabs>
        <w:kinsoku/>
        <w:wordWrap w:val="0"/>
        <w:overflowPunct/>
        <w:topLinePunct w:val="0"/>
        <w:bidi w:val="0"/>
        <w:spacing w:before="161" w:line="364" w:lineRule="auto"/>
        <w:ind w:left="680" w:right="338" w:firstLine="0"/>
        <w:jc w:val="both"/>
        <w:rPr>
          <w:color w:val="auto"/>
          <w:spacing w:val="-2"/>
          <w:sz w:val="24"/>
          <w:highlight w:val="none"/>
        </w:rPr>
      </w:pPr>
      <w:r>
        <w:rPr>
          <w:color w:val="auto"/>
          <w:spacing w:val="-2"/>
          <w:sz w:val="24"/>
          <w:highlight w:val="none"/>
        </w:rPr>
        <w:t>6.1 竞争性磋商文件的修改书将构成磋商响应文件的一部分，对所有磋商响应供应商均有约束力。</w:t>
      </w:r>
    </w:p>
    <w:p w14:paraId="6740A4C7">
      <w:pPr>
        <w:pStyle w:val="19"/>
        <w:keepNext w:val="0"/>
        <w:keepLines w:val="0"/>
        <w:pageBreakBefore w:val="0"/>
        <w:tabs>
          <w:tab w:val="left" w:pos="1101"/>
        </w:tabs>
        <w:kinsoku/>
        <w:wordWrap w:val="0"/>
        <w:overflowPunct/>
        <w:topLinePunct w:val="0"/>
        <w:bidi w:val="0"/>
        <w:spacing w:before="161" w:line="364" w:lineRule="auto"/>
        <w:ind w:left="0" w:right="338" w:firstLine="241" w:firstLineChars="100"/>
        <w:jc w:val="both"/>
        <w:rPr>
          <w:b/>
          <w:bCs/>
          <w:color w:val="auto"/>
          <w:sz w:val="24"/>
          <w:szCs w:val="24"/>
          <w:highlight w:val="none"/>
        </w:rPr>
      </w:pPr>
      <w:bookmarkStart w:id="118" w:name="_Toc12366_WPSOffice_Level3"/>
      <w:r>
        <w:rPr>
          <w:b/>
          <w:bCs/>
          <w:color w:val="auto"/>
          <w:sz w:val="24"/>
          <w:szCs w:val="24"/>
          <w:highlight w:val="none"/>
        </w:rPr>
        <w:t>7、要求</w:t>
      </w:r>
      <w:bookmarkEnd w:id="118"/>
    </w:p>
    <w:p w14:paraId="45EDB548">
      <w:pPr>
        <w:pStyle w:val="7"/>
        <w:keepNext w:val="0"/>
        <w:keepLines w:val="0"/>
        <w:pageBreakBefore w:val="0"/>
        <w:kinsoku/>
        <w:wordWrap w:val="0"/>
        <w:overflowPunct/>
        <w:topLinePunct w:val="0"/>
        <w:bidi w:val="0"/>
        <w:spacing w:before="160" w:line="364" w:lineRule="auto"/>
        <w:ind w:right="338" w:firstLine="240"/>
        <w:jc w:val="both"/>
        <w:rPr>
          <w:color w:val="auto"/>
          <w:highlight w:val="none"/>
        </w:rPr>
      </w:pPr>
      <w:r>
        <w:rPr>
          <w:color w:val="auto"/>
          <w:spacing w:val="-2"/>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3D093E09">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19" w:name="_Toc8655_WPSOffice_Level3"/>
      <w:r>
        <w:rPr>
          <w:b/>
          <w:bCs/>
          <w:color w:val="auto"/>
          <w:sz w:val="24"/>
          <w:szCs w:val="24"/>
          <w:highlight w:val="none"/>
        </w:rPr>
        <w:t>8、电子化磋商响应文件的组成</w:t>
      </w:r>
      <w:bookmarkEnd w:id="119"/>
    </w:p>
    <w:p w14:paraId="2322FB60">
      <w:pPr>
        <w:pStyle w:val="19"/>
        <w:keepNext w:val="0"/>
        <w:keepLines w:val="0"/>
        <w:pageBreakBefore w:val="0"/>
        <w:tabs>
          <w:tab w:val="left" w:pos="1101"/>
        </w:tabs>
        <w:kinsoku/>
        <w:wordWrap w:val="0"/>
        <w:overflowPunct/>
        <w:topLinePunct w:val="0"/>
        <w:bidi w:val="0"/>
        <w:spacing w:line="500" w:lineRule="exact"/>
        <w:ind w:left="0" w:firstLine="480" w:firstLineChars="200"/>
        <w:jc w:val="both"/>
        <w:rPr>
          <w:color w:val="auto"/>
          <w:sz w:val="24"/>
          <w:szCs w:val="24"/>
          <w:highlight w:val="none"/>
        </w:rPr>
      </w:pPr>
      <w:r>
        <w:rPr>
          <w:rFonts w:hint="eastAsia"/>
          <w:color w:val="auto"/>
          <w:sz w:val="24"/>
          <w:szCs w:val="24"/>
          <w:highlight w:val="none"/>
        </w:rPr>
        <w:t>详见第六章响应文件内容及格式</w:t>
      </w:r>
    </w:p>
    <w:p w14:paraId="1A706AE8">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0" w:name="_Toc4976_WPSOffice_Level3"/>
      <w:r>
        <w:rPr>
          <w:b/>
          <w:bCs/>
          <w:color w:val="auto"/>
          <w:sz w:val="24"/>
          <w:szCs w:val="24"/>
          <w:highlight w:val="none"/>
        </w:rPr>
        <w:t>9、电子化磋商响应文件的格式</w:t>
      </w:r>
      <w:bookmarkEnd w:id="120"/>
    </w:p>
    <w:p w14:paraId="2ED47E79">
      <w:pPr>
        <w:pStyle w:val="7"/>
        <w:keepNext w:val="0"/>
        <w:keepLines w:val="0"/>
        <w:pageBreakBefore w:val="0"/>
        <w:kinsoku/>
        <w:wordWrap w:val="0"/>
        <w:overflowPunct/>
        <w:topLinePunct w:val="0"/>
        <w:bidi w:val="0"/>
        <w:spacing w:before="161" w:line="364" w:lineRule="auto"/>
        <w:ind w:right="337" w:firstLine="420"/>
        <w:jc w:val="both"/>
        <w:rPr>
          <w:color w:val="auto"/>
          <w:highlight w:val="none"/>
        </w:rPr>
      </w:pPr>
      <w:r>
        <w:rPr>
          <w:color w:val="auto"/>
          <w:highlight w:val="none"/>
        </w:rPr>
        <w:t>9.1</w:t>
      </w:r>
      <w:r>
        <w:rPr>
          <w:rFonts w:hint="eastAsia"/>
          <w:color w:val="auto"/>
          <w:spacing w:val="-12"/>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highlight w:val="none"/>
        </w:rPr>
        <w:t>。</w:t>
      </w:r>
    </w:p>
    <w:p w14:paraId="20D7B724">
      <w:pPr>
        <w:pStyle w:val="19"/>
        <w:keepNext w:val="0"/>
        <w:keepLines w:val="0"/>
        <w:pageBreakBefore w:val="0"/>
        <w:tabs>
          <w:tab w:val="left" w:pos="1101"/>
        </w:tabs>
        <w:kinsoku/>
        <w:wordWrap w:val="0"/>
        <w:overflowPunct/>
        <w:topLinePunct w:val="0"/>
        <w:bidi w:val="0"/>
        <w:spacing w:line="500" w:lineRule="exact"/>
        <w:ind w:left="0" w:firstLine="482" w:firstLineChars="200"/>
        <w:jc w:val="both"/>
        <w:rPr>
          <w:b/>
          <w:bCs/>
          <w:color w:val="auto"/>
          <w:sz w:val="24"/>
          <w:szCs w:val="24"/>
          <w:highlight w:val="none"/>
        </w:rPr>
      </w:pPr>
      <w:bookmarkStart w:id="121" w:name="_Toc3669_WPSOffice_Level3"/>
      <w:r>
        <w:rPr>
          <w:b/>
          <w:bCs/>
          <w:color w:val="auto"/>
          <w:sz w:val="24"/>
          <w:szCs w:val="24"/>
          <w:highlight w:val="none"/>
        </w:rPr>
        <w:t>10、电子化磋商响应文件的签署</w:t>
      </w:r>
      <w:bookmarkEnd w:id="121"/>
    </w:p>
    <w:p w14:paraId="63A08DC5">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w:t>
      </w:r>
      <w:r>
        <w:rPr>
          <w:rFonts w:hint="eastAsia"/>
          <w:color w:val="auto"/>
          <w:spacing w:val="-12"/>
          <w:highlight w:val="none"/>
        </w:rPr>
        <w:t>交易平台网首页</w:t>
      </w:r>
      <w:r>
        <w:rPr>
          <w:color w:val="auto"/>
          <w:spacing w:val="-12"/>
          <w:highlight w:val="none"/>
        </w:rPr>
        <w:t>“下载</w:t>
      </w:r>
      <w:r>
        <w:rPr>
          <w:rFonts w:hint="eastAsia"/>
          <w:color w:val="auto"/>
          <w:spacing w:val="-12"/>
          <w:highlight w:val="none"/>
        </w:rPr>
        <w:t>专区</w:t>
      </w:r>
      <w:r>
        <w:rPr>
          <w:color w:val="auto"/>
          <w:spacing w:val="-12"/>
          <w:highlight w:val="none"/>
        </w:rPr>
        <w:t>”中查看。</w:t>
      </w:r>
    </w:p>
    <w:p w14:paraId="3C433500">
      <w:pPr>
        <w:pStyle w:val="5"/>
        <w:keepNext w:val="0"/>
        <w:keepLines w:val="0"/>
        <w:pageBreakBefore w:val="0"/>
        <w:tabs>
          <w:tab w:val="left" w:pos="687"/>
        </w:tabs>
        <w:kinsoku/>
        <w:wordWrap w:val="0"/>
        <w:overflowPunct/>
        <w:topLinePunct w:val="0"/>
        <w:bidi w:val="0"/>
        <w:spacing w:before="1"/>
        <w:ind w:left="0" w:firstLine="482" w:firstLineChars="200"/>
        <w:rPr>
          <w:color w:val="auto"/>
          <w:highlight w:val="none"/>
        </w:rPr>
      </w:pPr>
      <w:bookmarkStart w:id="122" w:name="_Toc1982_WPSOffice_Level3"/>
      <w:r>
        <w:rPr>
          <w:color w:val="auto"/>
          <w:highlight w:val="none"/>
        </w:rPr>
        <w:t>11、电子化磋商响应文件的上传</w:t>
      </w:r>
      <w:bookmarkEnd w:id="122"/>
    </w:p>
    <w:p w14:paraId="3D114768">
      <w:pPr>
        <w:pStyle w:val="7"/>
        <w:keepNext w:val="0"/>
        <w:keepLines w:val="0"/>
        <w:pageBreakBefore w:val="0"/>
        <w:kinsoku/>
        <w:wordWrap w:val="0"/>
        <w:overflowPunct/>
        <w:topLinePunct w:val="0"/>
        <w:bidi w:val="0"/>
        <w:spacing w:before="161" w:line="364" w:lineRule="auto"/>
        <w:ind w:right="403" w:firstLine="420"/>
        <w:rPr>
          <w:color w:val="auto"/>
          <w:highlight w:val="none"/>
        </w:rPr>
      </w:pPr>
      <w:r>
        <w:rPr>
          <w:color w:val="auto"/>
          <w:highlight w:val="none"/>
        </w:rPr>
        <w:t>11.1</w:t>
      </w:r>
      <w:r>
        <w:rPr>
          <w:color w:val="auto"/>
          <w:spacing w:val="-9"/>
          <w:highlight w:val="none"/>
        </w:rPr>
        <w:t xml:space="preserve"> 电子化磋商响应文件应在磋商截止时间前成功上传至三门峡市公共资源电子化</w:t>
      </w:r>
      <w:r>
        <w:rPr>
          <w:color w:val="auto"/>
          <w:highlight w:val="none"/>
        </w:rPr>
        <w:t>交易系统。至磋商截止时间止，仍未上传成功的电子化磋商响应文件将不予接收。</w:t>
      </w:r>
    </w:p>
    <w:p w14:paraId="77030635">
      <w:pPr>
        <w:pStyle w:val="7"/>
        <w:keepNext w:val="0"/>
        <w:keepLines w:val="0"/>
        <w:pageBreakBefore w:val="0"/>
        <w:kinsoku/>
        <w:wordWrap w:val="0"/>
        <w:overflowPunct/>
        <w:topLinePunct w:val="0"/>
        <w:bidi w:val="0"/>
        <w:spacing w:before="1" w:line="364" w:lineRule="auto"/>
        <w:ind w:right="338" w:firstLine="420"/>
        <w:jc w:val="both"/>
        <w:rPr>
          <w:color w:val="auto"/>
          <w:highlight w:val="none"/>
        </w:rPr>
      </w:pPr>
      <w:r>
        <w:rPr>
          <w:b/>
          <w:color w:val="auto"/>
          <w:spacing w:val="-29"/>
          <w:highlight w:val="none"/>
        </w:rPr>
        <w:t>注：</w:t>
      </w:r>
      <w:r>
        <w:rPr>
          <w:color w:val="auto"/>
          <w:spacing w:val="-3"/>
          <w:highlight w:val="none"/>
        </w:rPr>
        <w:t>如按照电子化投标操作教材制作完成的电子化磋商响应文件无法上传的，磋商响</w:t>
      </w:r>
      <w:r>
        <w:rPr>
          <w:color w:val="auto"/>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0AB7117E">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3" w:name="_Toc4328_WPSOffice_Level3"/>
      <w:r>
        <w:rPr>
          <w:color w:val="auto"/>
          <w:highlight w:val="none"/>
        </w:rPr>
        <w:t>12、磋商截止时间</w:t>
      </w:r>
      <w:bookmarkEnd w:id="123"/>
    </w:p>
    <w:p w14:paraId="2731B738">
      <w:pPr>
        <w:pStyle w:val="7"/>
        <w:keepNext w:val="0"/>
        <w:keepLines w:val="0"/>
        <w:pageBreakBefore w:val="0"/>
        <w:kinsoku/>
        <w:wordWrap w:val="0"/>
        <w:overflowPunct/>
        <w:topLinePunct w:val="0"/>
        <w:bidi w:val="0"/>
        <w:spacing w:before="160"/>
        <w:ind w:left="740"/>
        <w:rPr>
          <w:color w:val="auto"/>
          <w:highlight w:val="none"/>
        </w:rPr>
      </w:pPr>
      <w:r>
        <w:rPr>
          <w:color w:val="auto"/>
          <w:highlight w:val="none"/>
        </w:rPr>
        <w:t>12.1 电子化磋商响应文件的截止时间见本须知前附表规定。</w:t>
      </w:r>
    </w:p>
    <w:p w14:paraId="33134613">
      <w:pPr>
        <w:pStyle w:val="5"/>
        <w:keepNext w:val="0"/>
        <w:keepLines w:val="0"/>
        <w:pageBreakBefore w:val="0"/>
        <w:kinsoku/>
        <w:wordWrap w:val="0"/>
        <w:overflowPunct/>
        <w:topLinePunct w:val="0"/>
        <w:bidi w:val="0"/>
        <w:spacing w:before="3"/>
        <w:ind w:left="0" w:firstLine="482" w:firstLineChars="200"/>
        <w:rPr>
          <w:color w:val="auto"/>
          <w:highlight w:val="none"/>
        </w:rPr>
      </w:pPr>
      <w:bookmarkStart w:id="124" w:name="_Toc14892_WPSOffice_Level3"/>
      <w:r>
        <w:rPr>
          <w:color w:val="auto"/>
          <w:highlight w:val="none"/>
        </w:rPr>
        <w:t>13、电子化磋商响应文件的补充、修改与撤回</w:t>
      </w:r>
      <w:bookmarkEnd w:id="124"/>
    </w:p>
    <w:p w14:paraId="159C3E2C">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color w:val="auto"/>
          <w:spacing w:val="-12"/>
          <w:highlight w:val="none"/>
        </w:rPr>
        <w:t>13.1 在磋商截止时间之后，磋商响应供应商不得补充、修改电子化磋商响应文件。</w:t>
      </w:r>
    </w:p>
    <w:p w14:paraId="5091B178">
      <w:pPr>
        <w:pStyle w:val="7"/>
        <w:keepNext w:val="0"/>
        <w:keepLines w:val="0"/>
        <w:pageBreakBefore w:val="0"/>
        <w:kinsoku/>
        <w:wordWrap w:val="0"/>
        <w:overflowPunct/>
        <w:topLinePunct w:val="0"/>
        <w:bidi w:val="0"/>
        <w:spacing w:before="161" w:line="364" w:lineRule="auto"/>
        <w:ind w:right="337"/>
        <w:jc w:val="both"/>
        <w:rPr>
          <w:b/>
          <w:bCs/>
          <w:color w:val="auto"/>
          <w:highlight w:val="none"/>
        </w:rPr>
      </w:pPr>
      <w:bookmarkStart w:id="125" w:name="_Toc16713_WPSOffice_Level3"/>
      <w:r>
        <w:rPr>
          <w:b/>
          <w:bCs/>
          <w:color w:val="auto"/>
          <w:highlight w:val="none"/>
        </w:rPr>
        <w:t>14、磋商报价</w:t>
      </w:r>
      <w:bookmarkEnd w:id="125"/>
    </w:p>
    <w:p w14:paraId="5623567F">
      <w:pPr>
        <w:pStyle w:val="7"/>
        <w:keepNext w:val="0"/>
        <w:keepLines w:val="0"/>
        <w:pageBreakBefore w:val="0"/>
        <w:kinsoku/>
        <w:wordWrap w:val="0"/>
        <w:overflowPunct/>
        <w:topLinePunct w:val="0"/>
        <w:bidi w:val="0"/>
        <w:spacing w:before="161" w:line="364" w:lineRule="auto"/>
        <w:ind w:right="337" w:firstLine="420"/>
        <w:jc w:val="both"/>
        <w:rPr>
          <w:b/>
          <w:bCs/>
          <w:color w:val="auto"/>
          <w:highlight w:val="none"/>
        </w:rPr>
      </w:pPr>
      <w:r>
        <w:rPr>
          <w:rFonts w:hint="eastAsia"/>
          <w:color w:val="auto"/>
          <w:spacing w:val="-12"/>
          <w:highlight w:val="none"/>
          <w:lang w:val="en-US"/>
        </w:rPr>
        <w:t xml:space="preserve">14.1 </w:t>
      </w:r>
      <w:r>
        <w:rPr>
          <w:color w:val="auto"/>
          <w:spacing w:val="-12"/>
          <w:highlight w:val="none"/>
        </w:rPr>
        <w:t>本次磋商采购的均须以人民币为计算单位。</w:t>
      </w:r>
    </w:p>
    <w:p w14:paraId="48832EEF">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14.2 </w:t>
      </w:r>
      <w:r>
        <w:rPr>
          <w:color w:val="auto"/>
          <w:spacing w:val="-12"/>
          <w:highlight w:val="none"/>
        </w:rPr>
        <w:t>磋商响应供应商应报出货到交货地点价。其中应包含货物价、备品备件价、检验费、包装费、装卸费、运输费、税金（含关税、增值税）、安装调试费、改造费、检测验收费等各项费用。</w:t>
      </w:r>
    </w:p>
    <w:p w14:paraId="63FC7E8D">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14.3 </w:t>
      </w:r>
      <w:r>
        <w:rPr>
          <w:color w:val="auto"/>
          <w:spacing w:val="-12"/>
          <w:highlight w:val="none"/>
        </w:rPr>
        <w:t>磋商响应供应商应充分考虑市场风险和国家政策性风险系数，根据企业具体情况在合理的范围内自主报价，但不得低于企业实际成本。</w:t>
      </w:r>
    </w:p>
    <w:p w14:paraId="5EDC1E5D">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14.4 </w:t>
      </w:r>
      <w:r>
        <w:rPr>
          <w:color w:val="auto"/>
          <w:spacing w:val="-12"/>
          <w:highlight w:val="none"/>
        </w:rPr>
        <w:t>磋商响应供应商的磋商报价应包含验收合格正式交付使用前所发生的一切费用，且磋商响应供应商只能提出一个报价，采购人不接受任何有选择的报价，最后报价不得超过项目采购预算。</w:t>
      </w:r>
    </w:p>
    <w:p w14:paraId="6FE11E3B">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 xml:space="preserve">14.5 </w:t>
      </w:r>
      <w:r>
        <w:rPr>
          <w:color w:val="auto"/>
          <w:spacing w:val="-12"/>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3DB7F7C0">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rPr>
      </w:pPr>
      <w:r>
        <w:rPr>
          <w:rFonts w:hint="eastAsia"/>
          <w:color w:val="auto"/>
          <w:spacing w:val="-12"/>
          <w:highlight w:val="none"/>
          <w:lang w:val="en-US"/>
        </w:rPr>
        <w:t>14.6</w:t>
      </w:r>
      <w:r>
        <w:rPr>
          <w:color w:val="auto"/>
          <w:spacing w:val="-12"/>
          <w:highlight w:val="none"/>
        </w:rPr>
        <w:t>本次采购为竞争性磋商采购，允许二次报价。</w:t>
      </w:r>
    </w:p>
    <w:p w14:paraId="467F7DB8">
      <w:pPr>
        <w:pStyle w:val="7"/>
        <w:keepNext w:val="0"/>
        <w:keepLines w:val="0"/>
        <w:pageBreakBefore w:val="0"/>
        <w:kinsoku/>
        <w:wordWrap w:val="0"/>
        <w:overflowPunct/>
        <w:topLinePunct w:val="0"/>
        <w:bidi w:val="0"/>
        <w:spacing w:before="161" w:line="364" w:lineRule="auto"/>
        <w:ind w:right="337" w:firstLine="241" w:firstLineChars="100"/>
        <w:jc w:val="both"/>
        <w:rPr>
          <w:b/>
          <w:bCs/>
          <w:color w:val="auto"/>
          <w:highlight w:val="none"/>
        </w:rPr>
      </w:pPr>
      <w:bookmarkStart w:id="126" w:name="_Toc28583_WPSOffice_Level3"/>
      <w:r>
        <w:rPr>
          <w:rFonts w:hint="eastAsia"/>
          <w:b/>
          <w:bCs/>
          <w:color w:val="auto"/>
          <w:highlight w:val="none"/>
          <w:lang w:val="en-US"/>
        </w:rPr>
        <w:t>15、</w:t>
      </w:r>
      <w:r>
        <w:rPr>
          <w:b/>
          <w:bCs/>
          <w:color w:val="auto"/>
          <w:highlight w:val="none"/>
        </w:rPr>
        <w:t>磋商响应供应商资格的证明文件</w:t>
      </w:r>
      <w:bookmarkEnd w:id="126"/>
    </w:p>
    <w:p w14:paraId="0831B31E">
      <w:pPr>
        <w:pStyle w:val="7"/>
        <w:keepNext w:val="0"/>
        <w:keepLines w:val="0"/>
        <w:pageBreakBefore w:val="0"/>
        <w:kinsoku/>
        <w:wordWrap w:val="0"/>
        <w:overflowPunct/>
        <w:topLinePunct w:val="0"/>
        <w:bidi w:val="0"/>
        <w:spacing w:before="161" w:line="364" w:lineRule="auto"/>
        <w:ind w:left="0" w:right="337" w:firstLine="432" w:firstLineChars="200"/>
        <w:jc w:val="both"/>
        <w:rPr>
          <w:color w:val="auto"/>
          <w:spacing w:val="-12"/>
          <w:highlight w:val="none"/>
        </w:rPr>
      </w:pPr>
      <w:r>
        <w:rPr>
          <w:rFonts w:hint="eastAsia"/>
          <w:color w:val="auto"/>
          <w:spacing w:val="-12"/>
          <w:highlight w:val="none"/>
          <w:lang w:val="en-US"/>
        </w:rPr>
        <w:t>15.1</w:t>
      </w:r>
      <w:r>
        <w:rPr>
          <w:color w:val="auto"/>
          <w:spacing w:val="-12"/>
          <w:highlight w:val="none"/>
        </w:rPr>
        <w:t>证明磋商响应供应商是有资格参加磋商的。</w:t>
      </w:r>
    </w:p>
    <w:p w14:paraId="0C2D3146">
      <w:pPr>
        <w:pStyle w:val="7"/>
        <w:keepNext w:val="0"/>
        <w:keepLines w:val="0"/>
        <w:pageBreakBefore w:val="0"/>
        <w:kinsoku/>
        <w:wordWrap w:val="0"/>
        <w:overflowPunct/>
        <w:topLinePunct w:val="0"/>
        <w:bidi w:val="0"/>
        <w:spacing w:before="161" w:line="364" w:lineRule="auto"/>
        <w:ind w:right="337" w:firstLine="216" w:firstLineChars="100"/>
        <w:jc w:val="both"/>
        <w:rPr>
          <w:color w:val="auto"/>
          <w:spacing w:val="-12"/>
          <w:highlight w:val="none"/>
        </w:rPr>
      </w:pPr>
      <w:r>
        <w:rPr>
          <w:rFonts w:hint="eastAsia"/>
          <w:color w:val="auto"/>
          <w:spacing w:val="-12"/>
          <w:highlight w:val="none"/>
          <w:lang w:val="en-US"/>
        </w:rPr>
        <w:t>15.2</w:t>
      </w:r>
      <w:r>
        <w:rPr>
          <w:color w:val="auto"/>
          <w:spacing w:val="-12"/>
          <w:highlight w:val="none"/>
        </w:rPr>
        <w:t>证明磋商响应供应商有能力履行竞争性磋商文件中合同条款和技术要求规定的由磋商响应供应商提供的服务等义务。</w:t>
      </w:r>
    </w:p>
    <w:p w14:paraId="56049703">
      <w:pPr>
        <w:pStyle w:val="5"/>
        <w:keepNext w:val="0"/>
        <w:keepLines w:val="0"/>
        <w:pageBreakBefore w:val="0"/>
        <w:kinsoku/>
        <w:wordWrap w:val="0"/>
        <w:overflowPunct/>
        <w:topLinePunct w:val="0"/>
        <w:bidi w:val="0"/>
        <w:spacing w:before="1"/>
        <w:ind w:left="0" w:firstLine="723" w:firstLineChars="300"/>
        <w:rPr>
          <w:color w:val="auto"/>
          <w:highlight w:val="none"/>
        </w:rPr>
      </w:pPr>
      <w:bookmarkStart w:id="127" w:name="_Toc29721_WPSOffice_Level3"/>
      <w:r>
        <w:rPr>
          <w:color w:val="auto"/>
          <w:highlight w:val="none"/>
        </w:rPr>
        <w:t>16、磋商保证金</w:t>
      </w:r>
      <w:bookmarkEnd w:id="127"/>
    </w:p>
    <w:p w14:paraId="3DC1B905">
      <w:pPr>
        <w:pStyle w:val="7"/>
        <w:keepNext w:val="0"/>
        <w:keepLines w:val="0"/>
        <w:pageBreakBefore w:val="0"/>
        <w:kinsoku/>
        <w:wordWrap w:val="0"/>
        <w:overflowPunct/>
        <w:topLinePunct w:val="0"/>
        <w:bidi w:val="0"/>
        <w:spacing w:before="161" w:line="364" w:lineRule="auto"/>
        <w:ind w:right="337" w:firstLine="420"/>
        <w:jc w:val="both"/>
        <w:rPr>
          <w:color w:val="auto"/>
          <w:spacing w:val="-12"/>
          <w:highlight w:val="none"/>
          <w:lang w:val="en-US"/>
        </w:rPr>
      </w:pPr>
      <w:bookmarkStart w:id="128" w:name="_Toc26640_WPSOffice_Level3"/>
      <w:r>
        <w:rPr>
          <w:rFonts w:hint="eastAsia"/>
          <w:color w:val="auto"/>
          <w:spacing w:val="-12"/>
          <w:highlight w:val="none"/>
          <w:lang w:val="en-US"/>
        </w:rPr>
        <w:t>根据《河南省财政厅关于优化政府采购营商环境有关问题的通知》（豫财购【2019】4号）第6条的规定，本项目磋商保证金不再收取，供应商须提供投标承诺书（详见第六章响应文件格式）</w:t>
      </w:r>
    </w:p>
    <w:p w14:paraId="4C2E1244">
      <w:pPr>
        <w:pStyle w:val="5"/>
        <w:keepNext w:val="0"/>
        <w:keepLines w:val="0"/>
        <w:pageBreakBefore w:val="0"/>
        <w:kinsoku/>
        <w:wordWrap w:val="0"/>
        <w:overflowPunct/>
        <w:topLinePunct w:val="0"/>
        <w:bidi w:val="0"/>
        <w:spacing w:before="1"/>
        <w:ind w:left="0" w:firstLine="723" w:firstLineChars="300"/>
        <w:rPr>
          <w:color w:val="auto"/>
          <w:highlight w:val="none"/>
        </w:rPr>
      </w:pPr>
      <w:r>
        <w:rPr>
          <w:color w:val="auto"/>
          <w:highlight w:val="none"/>
        </w:rPr>
        <w:t>17、磋商响应文件有效期</w:t>
      </w:r>
      <w:bookmarkEnd w:id="128"/>
    </w:p>
    <w:p w14:paraId="2F823941">
      <w:pPr>
        <w:pStyle w:val="19"/>
        <w:keepNext w:val="0"/>
        <w:keepLines w:val="0"/>
        <w:pageBreakBefore w:val="0"/>
        <w:numPr>
          <w:ilvl w:val="1"/>
          <w:numId w:val="2"/>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响应性文件从首次递交竞争性磋商响应文件截止时间之日起开始生效，磋商有</w:t>
      </w:r>
      <w:r>
        <w:rPr>
          <w:color w:val="auto"/>
          <w:spacing w:val="-15"/>
          <w:sz w:val="24"/>
          <w:highlight w:val="none"/>
        </w:rPr>
        <w:t xml:space="preserve">效期为 </w:t>
      </w:r>
      <w:r>
        <w:rPr>
          <w:color w:val="auto"/>
          <w:sz w:val="24"/>
          <w:highlight w:val="none"/>
        </w:rPr>
        <w:t>60</w:t>
      </w:r>
      <w:r>
        <w:rPr>
          <w:color w:val="auto"/>
          <w:spacing w:val="-8"/>
          <w:sz w:val="24"/>
          <w:highlight w:val="none"/>
        </w:rPr>
        <w:t xml:space="preserve"> 日历天，有效期短于此规定的响应文件将被视为无效文件。</w:t>
      </w:r>
    </w:p>
    <w:p w14:paraId="454A63A4">
      <w:pPr>
        <w:pStyle w:val="19"/>
        <w:keepNext w:val="0"/>
        <w:keepLines w:val="0"/>
        <w:pageBreakBefore w:val="0"/>
        <w:numPr>
          <w:ilvl w:val="1"/>
          <w:numId w:val="2"/>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33B299B4">
      <w:pPr>
        <w:pStyle w:val="5"/>
        <w:keepNext w:val="0"/>
        <w:keepLines w:val="0"/>
        <w:pageBreakBefore w:val="0"/>
        <w:kinsoku/>
        <w:wordWrap w:val="0"/>
        <w:overflowPunct/>
        <w:topLinePunct w:val="0"/>
        <w:bidi w:val="0"/>
        <w:spacing w:before="2"/>
        <w:rPr>
          <w:color w:val="auto"/>
          <w:highlight w:val="none"/>
        </w:rPr>
      </w:pPr>
      <w:bookmarkStart w:id="129" w:name="_Toc14449_WPSOffice_Level3"/>
      <w:r>
        <w:rPr>
          <w:color w:val="auto"/>
          <w:highlight w:val="none"/>
        </w:rPr>
        <w:t>18、磋商</w:t>
      </w:r>
      <w:bookmarkEnd w:id="129"/>
    </w:p>
    <w:p w14:paraId="5275B9AD">
      <w:pPr>
        <w:pStyle w:val="19"/>
        <w:keepNext w:val="0"/>
        <w:keepLines w:val="0"/>
        <w:pageBreakBefore w:val="0"/>
        <w:numPr>
          <w:ilvl w:val="1"/>
          <w:numId w:val="3"/>
        </w:numPr>
        <w:tabs>
          <w:tab w:val="left" w:pos="1281"/>
        </w:tabs>
        <w:kinsoku/>
        <w:wordWrap w:val="0"/>
        <w:overflowPunct/>
        <w:topLinePunct w:val="0"/>
        <w:bidi w:val="0"/>
        <w:spacing w:before="160"/>
        <w:rPr>
          <w:color w:val="auto"/>
          <w:sz w:val="24"/>
          <w:highlight w:val="none"/>
        </w:rPr>
      </w:pPr>
      <w:r>
        <w:rPr>
          <w:color w:val="auto"/>
          <w:sz w:val="24"/>
          <w:highlight w:val="none"/>
        </w:rPr>
        <w:t>采购人按本须知前附表规定的时间和地点磋商。</w:t>
      </w:r>
    </w:p>
    <w:p w14:paraId="0ECB141E">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磋商会议由采购代理机构主持；</w:t>
      </w:r>
    </w:p>
    <w:p w14:paraId="1A9C3F8C">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z w:val="24"/>
          <w:highlight w:val="none"/>
        </w:rPr>
        <w:t>宣布磋商会议纪律；</w:t>
      </w:r>
    </w:p>
    <w:p w14:paraId="1BDDB1BD">
      <w:pPr>
        <w:pStyle w:val="19"/>
        <w:keepNext w:val="0"/>
        <w:keepLines w:val="0"/>
        <w:pageBreakBefore w:val="0"/>
        <w:numPr>
          <w:ilvl w:val="1"/>
          <w:numId w:val="3"/>
        </w:numPr>
        <w:tabs>
          <w:tab w:val="left" w:pos="1222"/>
        </w:tabs>
        <w:kinsoku/>
        <w:wordWrap w:val="0"/>
        <w:overflowPunct/>
        <w:topLinePunct w:val="0"/>
        <w:bidi w:val="0"/>
        <w:spacing w:before="160"/>
        <w:ind w:left="1221" w:hanging="481"/>
        <w:rPr>
          <w:color w:val="auto"/>
          <w:sz w:val="24"/>
          <w:highlight w:val="none"/>
        </w:rPr>
      </w:pPr>
      <w:r>
        <w:rPr>
          <w:color w:val="auto"/>
          <w:spacing w:val="-11"/>
          <w:sz w:val="24"/>
          <w:highlight w:val="none"/>
        </w:rPr>
        <w:t>磋商时，电子招标投标交易平台自动提取所有电子化磋商响应文件，按时在线解</w:t>
      </w:r>
      <w:r>
        <w:rPr>
          <w:color w:val="auto"/>
          <w:sz w:val="24"/>
          <w:highlight w:val="none"/>
        </w:rPr>
        <w:t>密</w:t>
      </w:r>
      <w:r>
        <w:rPr>
          <w:rFonts w:hint="eastAsia"/>
          <w:color w:val="auto"/>
          <w:sz w:val="24"/>
          <w:highlight w:val="none"/>
        </w:rPr>
        <w:t>；</w:t>
      </w:r>
    </w:p>
    <w:p w14:paraId="310A6C57">
      <w:pPr>
        <w:pStyle w:val="19"/>
        <w:keepNext w:val="0"/>
        <w:keepLines w:val="0"/>
        <w:pageBreakBefore w:val="0"/>
        <w:numPr>
          <w:ilvl w:val="1"/>
          <w:numId w:val="3"/>
        </w:numPr>
        <w:tabs>
          <w:tab w:val="left" w:pos="1222"/>
        </w:tabs>
        <w:kinsoku/>
        <w:wordWrap w:val="0"/>
        <w:overflowPunct/>
        <w:topLinePunct w:val="0"/>
        <w:bidi w:val="0"/>
        <w:spacing w:before="161"/>
        <w:ind w:left="1221" w:hanging="481"/>
        <w:rPr>
          <w:color w:val="auto"/>
          <w:sz w:val="24"/>
          <w:highlight w:val="none"/>
        </w:rPr>
      </w:pPr>
      <w:r>
        <w:rPr>
          <w:color w:val="auto"/>
          <w:sz w:val="24"/>
          <w:highlight w:val="none"/>
        </w:rPr>
        <w:t>电子化磋商响应文件的有效性</w:t>
      </w:r>
    </w:p>
    <w:p w14:paraId="354117DA">
      <w:pPr>
        <w:pStyle w:val="19"/>
        <w:keepNext w:val="0"/>
        <w:keepLines w:val="0"/>
        <w:pageBreakBefore w:val="0"/>
        <w:tabs>
          <w:tab w:val="left" w:pos="1222"/>
        </w:tabs>
        <w:kinsoku/>
        <w:wordWrap w:val="0"/>
        <w:overflowPunct/>
        <w:topLinePunct w:val="0"/>
        <w:bidi w:val="0"/>
        <w:spacing w:before="161" w:line="500" w:lineRule="exact"/>
        <w:ind w:left="743" w:firstLine="0"/>
        <w:rPr>
          <w:color w:val="auto"/>
          <w:sz w:val="24"/>
          <w:highlight w:val="none"/>
        </w:rPr>
      </w:pPr>
      <w:r>
        <w:rPr>
          <w:rFonts w:hint="eastAsia"/>
          <w:color w:val="auto"/>
          <w:sz w:val="24"/>
          <w:highlight w:val="none"/>
          <w:lang w:val="en-US"/>
        </w:rPr>
        <w:t>18.5.1</w:t>
      </w:r>
      <w:r>
        <w:rPr>
          <w:color w:val="auto"/>
          <w:sz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highlight w:val="none"/>
        </w:rPr>
        <w:t>可以继续进行</w:t>
      </w:r>
      <w:r>
        <w:rPr>
          <w:color w:val="auto"/>
          <w:sz w:val="24"/>
          <w:highlight w:val="none"/>
        </w:rPr>
        <w:t>。</w:t>
      </w:r>
    </w:p>
    <w:p w14:paraId="65B2EC49">
      <w:pPr>
        <w:pStyle w:val="5"/>
        <w:keepNext w:val="0"/>
        <w:keepLines w:val="0"/>
        <w:pageBreakBefore w:val="0"/>
        <w:kinsoku/>
        <w:wordWrap w:val="0"/>
        <w:overflowPunct/>
        <w:topLinePunct w:val="0"/>
        <w:bidi w:val="0"/>
        <w:spacing w:before="3" w:line="500" w:lineRule="exact"/>
        <w:rPr>
          <w:color w:val="auto"/>
          <w:highlight w:val="none"/>
        </w:rPr>
      </w:pPr>
      <w:bookmarkStart w:id="130" w:name="_Toc29167_WPSOffice_Level3"/>
      <w:r>
        <w:rPr>
          <w:color w:val="auto"/>
          <w:highlight w:val="none"/>
        </w:rPr>
        <w:t>19、磋商小组</w:t>
      </w:r>
      <w:bookmarkEnd w:id="130"/>
    </w:p>
    <w:p w14:paraId="046DCB0E">
      <w:pPr>
        <w:pStyle w:val="19"/>
        <w:keepNext w:val="0"/>
        <w:keepLines w:val="0"/>
        <w:pageBreakBefore w:val="0"/>
        <w:numPr>
          <w:ilvl w:val="1"/>
          <w:numId w:val="4"/>
        </w:numPr>
        <w:tabs>
          <w:tab w:val="left" w:pos="1281"/>
        </w:tabs>
        <w:kinsoku/>
        <w:wordWrap w:val="0"/>
        <w:overflowPunct/>
        <w:topLinePunct w:val="0"/>
        <w:bidi w:val="0"/>
        <w:spacing w:before="161" w:line="364" w:lineRule="auto"/>
        <w:ind w:right="338" w:firstLine="420"/>
        <w:jc w:val="both"/>
        <w:rPr>
          <w:color w:val="auto"/>
          <w:sz w:val="24"/>
          <w:highlight w:val="none"/>
        </w:rPr>
      </w:pPr>
      <w:r>
        <w:rPr>
          <w:color w:val="auto"/>
          <w:spacing w:val="-9"/>
          <w:sz w:val="24"/>
          <w:highlight w:val="none"/>
        </w:rPr>
        <w:t xml:space="preserve">磋商小组由 </w:t>
      </w:r>
      <w:r>
        <w:rPr>
          <w:color w:val="auto"/>
          <w:sz w:val="24"/>
          <w:highlight w:val="none"/>
        </w:rPr>
        <w:t>3</w:t>
      </w:r>
      <w:r>
        <w:rPr>
          <w:color w:val="auto"/>
          <w:spacing w:val="-12"/>
          <w:sz w:val="24"/>
          <w:highlight w:val="none"/>
        </w:rPr>
        <w:t xml:space="preserve"> 人构成：采购人代表 </w:t>
      </w:r>
      <w:r>
        <w:rPr>
          <w:color w:val="auto"/>
          <w:sz w:val="24"/>
          <w:highlight w:val="none"/>
        </w:rPr>
        <w:t>1</w:t>
      </w:r>
      <w:r>
        <w:rPr>
          <w:color w:val="auto"/>
          <w:spacing w:val="-12"/>
          <w:sz w:val="24"/>
          <w:highlight w:val="none"/>
        </w:rPr>
        <w:t xml:space="preserve"> 人，经济、技术方面专家 </w:t>
      </w:r>
      <w:r>
        <w:rPr>
          <w:color w:val="auto"/>
          <w:sz w:val="24"/>
          <w:highlight w:val="none"/>
        </w:rPr>
        <w:t>2</w:t>
      </w:r>
      <w:r>
        <w:rPr>
          <w:color w:val="auto"/>
          <w:spacing w:val="-9"/>
          <w:sz w:val="24"/>
          <w:highlight w:val="none"/>
        </w:rPr>
        <w:t xml:space="preserve"> 人，在磋商会议开始前从</w:t>
      </w:r>
      <w:r>
        <w:rPr>
          <w:rFonts w:hint="eastAsia"/>
          <w:color w:val="auto"/>
          <w:spacing w:val="-9"/>
          <w:sz w:val="24"/>
          <w:highlight w:val="none"/>
          <w:lang w:val="en-US" w:eastAsia="zh-CN"/>
        </w:rPr>
        <w:t>相关</w:t>
      </w:r>
      <w:r>
        <w:rPr>
          <w:rFonts w:hint="eastAsia"/>
          <w:color w:val="auto"/>
          <w:spacing w:val="-9"/>
          <w:sz w:val="24"/>
          <w:highlight w:val="none"/>
        </w:rPr>
        <w:t>评标专家库随机抽取。</w:t>
      </w:r>
    </w:p>
    <w:p w14:paraId="488E7AF3">
      <w:pPr>
        <w:pStyle w:val="19"/>
        <w:keepNext w:val="0"/>
        <w:keepLines w:val="0"/>
        <w:pageBreakBefore w:val="0"/>
        <w:numPr>
          <w:ilvl w:val="1"/>
          <w:numId w:val="4"/>
        </w:numPr>
        <w:tabs>
          <w:tab w:val="left" w:pos="1281"/>
        </w:tabs>
        <w:kinsoku/>
        <w:wordWrap w:val="0"/>
        <w:overflowPunct/>
        <w:topLinePunct w:val="0"/>
        <w:bidi w:val="0"/>
        <w:spacing w:before="1" w:line="364" w:lineRule="auto"/>
        <w:ind w:right="341" w:firstLine="420"/>
        <w:jc w:val="both"/>
        <w:rPr>
          <w:color w:val="auto"/>
          <w:sz w:val="24"/>
          <w:highlight w:val="none"/>
        </w:rPr>
      </w:pPr>
      <w:r>
        <w:rPr>
          <w:color w:val="auto"/>
          <w:sz w:val="24"/>
          <w:highlight w:val="none"/>
        </w:rPr>
        <w:t>磋商小组对所有磋商响应供应商的磋商响应文件进行评审，按评审后得分由高到低顺序排列，递交给采购人。</w:t>
      </w:r>
    </w:p>
    <w:p w14:paraId="243C0D4B">
      <w:pPr>
        <w:pStyle w:val="19"/>
        <w:keepNext w:val="0"/>
        <w:keepLines w:val="0"/>
        <w:pageBreakBefore w:val="0"/>
        <w:numPr>
          <w:ilvl w:val="1"/>
          <w:numId w:val="4"/>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F352146">
      <w:pPr>
        <w:pStyle w:val="19"/>
        <w:keepNext w:val="0"/>
        <w:keepLines w:val="0"/>
        <w:pageBreakBefore w:val="0"/>
        <w:numPr>
          <w:ilvl w:val="1"/>
          <w:numId w:val="4"/>
        </w:numPr>
        <w:tabs>
          <w:tab w:val="left" w:pos="1281"/>
        </w:tabs>
        <w:kinsoku/>
        <w:wordWrap w:val="0"/>
        <w:overflowPunct/>
        <w:topLinePunct w:val="0"/>
        <w:bidi w:val="0"/>
        <w:spacing w:before="2" w:line="364" w:lineRule="auto"/>
        <w:ind w:right="338" w:firstLine="420"/>
        <w:jc w:val="both"/>
        <w:rPr>
          <w:color w:val="auto"/>
          <w:sz w:val="24"/>
          <w:highlight w:val="none"/>
        </w:rPr>
      </w:pPr>
      <w:r>
        <w:rPr>
          <w:color w:val="auto"/>
          <w:sz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7A0A9899">
      <w:pPr>
        <w:pStyle w:val="5"/>
        <w:keepNext w:val="0"/>
        <w:keepLines w:val="0"/>
        <w:pageBreakBefore w:val="0"/>
        <w:kinsoku/>
        <w:wordWrap w:val="0"/>
        <w:overflowPunct/>
        <w:topLinePunct w:val="0"/>
        <w:bidi w:val="0"/>
        <w:spacing w:before="3"/>
        <w:rPr>
          <w:color w:val="auto"/>
          <w:highlight w:val="none"/>
        </w:rPr>
      </w:pPr>
      <w:bookmarkStart w:id="131" w:name="_Toc30532_WPSOffice_Level3"/>
      <w:r>
        <w:rPr>
          <w:color w:val="auto"/>
          <w:highlight w:val="none"/>
        </w:rPr>
        <w:t>20、磋商程序</w:t>
      </w:r>
      <w:bookmarkEnd w:id="131"/>
    </w:p>
    <w:p w14:paraId="5A550338">
      <w:pPr>
        <w:pStyle w:val="19"/>
        <w:keepNext w:val="0"/>
        <w:keepLines w:val="0"/>
        <w:pageBreakBefore w:val="0"/>
        <w:numPr>
          <w:ilvl w:val="1"/>
          <w:numId w:val="5"/>
        </w:numPr>
        <w:tabs>
          <w:tab w:val="left" w:pos="1281"/>
        </w:tabs>
        <w:kinsoku/>
        <w:wordWrap w:val="0"/>
        <w:overflowPunct/>
        <w:topLinePunct w:val="0"/>
        <w:bidi w:val="0"/>
        <w:spacing w:before="161" w:line="364" w:lineRule="auto"/>
        <w:ind w:right="341" w:firstLine="420"/>
        <w:jc w:val="both"/>
        <w:rPr>
          <w:color w:val="auto"/>
          <w:sz w:val="24"/>
          <w:highlight w:val="none"/>
        </w:rPr>
      </w:pPr>
      <w:r>
        <w:rPr>
          <w:color w:val="auto"/>
          <w:sz w:val="24"/>
          <w:highlight w:val="none"/>
        </w:rPr>
        <w:t>磋商小组所有成员集中评审磋商响应文件及集中与磋商响应供应商分别进行磋商。</w:t>
      </w:r>
    </w:p>
    <w:p w14:paraId="7DE155BC">
      <w:pPr>
        <w:pStyle w:val="19"/>
        <w:keepNext w:val="0"/>
        <w:keepLines w:val="0"/>
        <w:pageBreakBefore w:val="0"/>
        <w:numPr>
          <w:ilvl w:val="1"/>
          <w:numId w:val="5"/>
        </w:numPr>
        <w:tabs>
          <w:tab w:val="left" w:pos="1281"/>
        </w:tabs>
        <w:kinsoku/>
        <w:wordWrap w:val="0"/>
        <w:overflowPunct/>
        <w:topLinePunct w:val="0"/>
        <w:bidi w:val="0"/>
        <w:spacing w:before="1" w:line="364" w:lineRule="auto"/>
        <w:ind w:right="218" w:firstLine="420"/>
        <w:rPr>
          <w:color w:val="auto"/>
          <w:highlight w:val="none"/>
        </w:rPr>
      </w:pPr>
      <w:r>
        <w:rPr>
          <w:color w:val="auto"/>
          <w:spacing w:val="-4"/>
          <w:sz w:val="24"/>
          <w:highlight w:val="none"/>
        </w:rPr>
        <w:t>磋商小组首先对所有磋商响应文件进行资格性和</w:t>
      </w:r>
      <w:r>
        <w:rPr>
          <w:rFonts w:hint="eastAsia"/>
          <w:color w:val="auto"/>
          <w:spacing w:val="-4"/>
          <w:sz w:val="24"/>
          <w:highlight w:val="none"/>
        </w:rPr>
        <w:t>初步</w:t>
      </w:r>
      <w:r>
        <w:rPr>
          <w:color w:val="auto"/>
          <w:spacing w:val="-4"/>
          <w:sz w:val="24"/>
          <w:highlight w:val="none"/>
        </w:rPr>
        <w:t xml:space="preserve">审查。资格性审查是指： </w:t>
      </w:r>
      <w:r>
        <w:rPr>
          <w:color w:val="auto"/>
          <w:spacing w:val="-2"/>
          <w:sz w:val="24"/>
          <w:highlight w:val="none"/>
        </w:rPr>
        <w:t>磋商小组按照竞争性磋商文件第</w:t>
      </w:r>
      <w:r>
        <w:rPr>
          <w:rFonts w:hint="eastAsia"/>
          <w:color w:val="auto"/>
          <w:spacing w:val="-2"/>
          <w:sz w:val="24"/>
          <w:highlight w:val="none"/>
        </w:rPr>
        <w:t>四</w:t>
      </w:r>
      <w:r>
        <w:rPr>
          <w:color w:val="auto"/>
          <w:spacing w:val="-2"/>
          <w:sz w:val="24"/>
          <w:highlight w:val="none"/>
        </w:rPr>
        <w:t>章</w:t>
      </w:r>
      <w:r>
        <w:rPr>
          <w:rFonts w:hint="eastAsia"/>
          <w:color w:val="auto"/>
          <w:spacing w:val="-2"/>
          <w:sz w:val="24"/>
          <w:highlight w:val="none"/>
        </w:rPr>
        <w:t>评审办法</w:t>
      </w:r>
      <w:r>
        <w:rPr>
          <w:color w:val="auto"/>
          <w:spacing w:val="-9"/>
          <w:sz w:val="24"/>
          <w:highlight w:val="none"/>
        </w:rPr>
        <w:t>的要求， 对磋商响应供应商进行</w:t>
      </w:r>
      <w:r>
        <w:rPr>
          <w:rFonts w:hint="eastAsia"/>
          <w:color w:val="auto"/>
          <w:spacing w:val="-9"/>
          <w:sz w:val="24"/>
          <w:highlight w:val="none"/>
        </w:rPr>
        <w:t>资格</w:t>
      </w:r>
      <w:r>
        <w:rPr>
          <w:color w:val="auto"/>
          <w:spacing w:val="-9"/>
          <w:sz w:val="24"/>
          <w:highlight w:val="none"/>
        </w:rPr>
        <w:t>审查，有一项不符合的，视为未通过资格审查，不得进入下一评</w:t>
      </w:r>
      <w:r>
        <w:rPr>
          <w:color w:val="auto"/>
          <w:spacing w:val="-10"/>
          <w:sz w:val="24"/>
          <w:highlight w:val="none"/>
        </w:rPr>
        <w:t>审过程。磋商小组按照竞争性磋商文件</w:t>
      </w:r>
      <w:r>
        <w:rPr>
          <w:rFonts w:hint="eastAsia"/>
          <w:color w:val="auto"/>
          <w:spacing w:val="-10"/>
          <w:sz w:val="24"/>
          <w:highlight w:val="none"/>
        </w:rPr>
        <w:t>及第四章评审办法中形式、响应性评审</w:t>
      </w:r>
      <w:r>
        <w:rPr>
          <w:color w:val="auto"/>
          <w:spacing w:val="-10"/>
          <w:sz w:val="24"/>
          <w:highlight w:val="none"/>
        </w:rPr>
        <w:t>的要求，对磋商响应供应商进行审查，有一项不符合的，视为未通过</w:t>
      </w:r>
      <w:r>
        <w:rPr>
          <w:rFonts w:hint="eastAsia"/>
          <w:color w:val="auto"/>
          <w:spacing w:val="-10"/>
          <w:sz w:val="24"/>
          <w:highlight w:val="none"/>
        </w:rPr>
        <w:t>初步</w:t>
      </w:r>
      <w:r>
        <w:rPr>
          <w:color w:val="auto"/>
          <w:spacing w:val="-10"/>
          <w:sz w:val="24"/>
          <w:highlight w:val="none"/>
        </w:rPr>
        <w:t>审查。未通过资格性和</w:t>
      </w:r>
      <w:r>
        <w:rPr>
          <w:rFonts w:hint="eastAsia"/>
          <w:color w:val="auto"/>
          <w:spacing w:val="-10"/>
          <w:sz w:val="24"/>
          <w:highlight w:val="none"/>
        </w:rPr>
        <w:t>初步</w:t>
      </w:r>
      <w:r>
        <w:rPr>
          <w:color w:val="auto"/>
          <w:spacing w:val="-10"/>
          <w:sz w:val="24"/>
          <w:highlight w:val="none"/>
        </w:rPr>
        <w:t>审查的磋商响应文件按无效响应处理，磋商小组应当告知提交磋商响应文件的磋商响</w:t>
      </w:r>
      <w:r>
        <w:rPr>
          <w:color w:val="auto"/>
          <w:highlight w:val="none"/>
        </w:rPr>
        <w:t>应供应商。</w:t>
      </w:r>
    </w:p>
    <w:p w14:paraId="464CA009">
      <w:pPr>
        <w:pStyle w:val="19"/>
        <w:keepNext w:val="0"/>
        <w:keepLines w:val="0"/>
        <w:pageBreakBefore w:val="0"/>
        <w:numPr>
          <w:ilvl w:val="2"/>
          <w:numId w:val="5"/>
        </w:numPr>
        <w:tabs>
          <w:tab w:val="left" w:pos="1521"/>
        </w:tabs>
        <w:kinsoku/>
        <w:wordWrap w:val="0"/>
        <w:overflowPunct/>
        <w:topLinePunct w:val="0"/>
        <w:bidi w:val="0"/>
        <w:spacing w:before="160" w:line="364" w:lineRule="auto"/>
        <w:ind w:right="341" w:firstLine="420"/>
        <w:rPr>
          <w:color w:val="auto"/>
          <w:sz w:val="24"/>
          <w:highlight w:val="none"/>
        </w:rPr>
      </w:pPr>
      <w:r>
        <w:rPr>
          <w:color w:val="auto"/>
          <w:sz w:val="24"/>
          <w:highlight w:val="none"/>
        </w:rPr>
        <w:t>允许修正磋商响应文件中不构成重大偏离的、微小的、非正规的、不一致或不规则的地方。</w:t>
      </w:r>
    </w:p>
    <w:p w14:paraId="2DE406F1">
      <w:pPr>
        <w:pStyle w:val="19"/>
        <w:keepNext w:val="0"/>
        <w:keepLines w:val="0"/>
        <w:pageBreakBefore w:val="0"/>
        <w:numPr>
          <w:ilvl w:val="2"/>
          <w:numId w:val="5"/>
        </w:numPr>
        <w:tabs>
          <w:tab w:val="left" w:pos="1581"/>
        </w:tabs>
        <w:kinsoku/>
        <w:wordWrap w:val="0"/>
        <w:overflowPunct/>
        <w:topLinePunct w:val="0"/>
        <w:bidi w:val="0"/>
        <w:spacing w:before="1" w:line="364" w:lineRule="auto"/>
        <w:ind w:right="338" w:firstLine="420"/>
        <w:rPr>
          <w:color w:val="auto"/>
          <w:sz w:val="24"/>
          <w:highlight w:val="none"/>
        </w:rPr>
      </w:pPr>
      <w:r>
        <w:rPr>
          <w:color w:val="auto"/>
          <w:spacing w:val="-1"/>
          <w:sz w:val="24"/>
          <w:highlight w:val="none"/>
        </w:rPr>
        <w:t>磋商小组判断磋商响应文件的响应性仅基于磋商响应文件本身内容而不靠外</w:t>
      </w:r>
      <w:r>
        <w:rPr>
          <w:color w:val="auto"/>
          <w:sz w:val="24"/>
          <w:highlight w:val="none"/>
        </w:rPr>
        <w:t>部证据。</w:t>
      </w:r>
    </w:p>
    <w:p w14:paraId="3CF41EFA">
      <w:pPr>
        <w:pStyle w:val="19"/>
        <w:keepNext w:val="0"/>
        <w:keepLines w:val="0"/>
        <w:pageBreakBefore w:val="0"/>
        <w:numPr>
          <w:ilvl w:val="2"/>
          <w:numId w:val="5"/>
        </w:numPr>
        <w:tabs>
          <w:tab w:val="left" w:pos="1521"/>
        </w:tabs>
        <w:kinsoku/>
        <w:wordWrap w:val="0"/>
        <w:overflowPunct/>
        <w:topLinePunct w:val="0"/>
        <w:bidi w:val="0"/>
        <w:spacing w:before="2" w:line="364" w:lineRule="auto"/>
        <w:ind w:right="341" w:firstLine="420"/>
        <w:rPr>
          <w:color w:val="auto"/>
          <w:sz w:val="24"/>
          <w:highlight w:val="none"/>
        </w:rPr>
      </w:pPr>
      <w:r>
        <w:rPr>
          <w:color w:val="auto"/>
          <w:sz w:val="24"/>
          <w:highlight w:val="none"/>
        </w:rPr>
        <w:t>实质性未响应磋商文件要求的响应将被拒绝，磋商响应供应商不得通过修正或撤消不符之处而使其响应成为实质性响应。</w:t>
      </w:r>
    </w:p>
    <w:p w14:paraId="4A2893DA">
      <w:pPr>
        <w:pStyle w:val="19"/>
        <w:keepNext w:val="0"/>
        <w:keepLines w:val="0"/>
        <w:pageBreakBefore w:val="0"/>
        <w:numPr>
          <w:ilvl w:val="2"/>
          <w:numId w:val="5"/>
        </w:numPr>
        <w:tabs>
          <w:tab w:val="left" w:pos="1521"/>
        </w:tabs>
        <w:kinsoku/>
        <w:wordWrap w:val="0"/>
        <w:overflowPunct/>
        <w:topLinePunct w:val="0"/>
        <w:bidi w:val="0"/>
        <w:spacing w:before="1" w:line="364" w:lineRule="auto"/>
        <w:ind w:right="341" w:firstLine="420"/>
        <w:rPr>
          <w:color w:val="auto"/>
          <w:sz w:val="24"/>
          <w:highlight w:val="none"/>
        </w:rPr>
      </w:pPr>
      <w:r>
        <w:rPr>
          <w:color w:val="auto"/>
          <w:sz w:val="24"/>
          <w:highlight w:val="none"/>
        </w:rPr>
        <w:t>实质性未响应是指磋商响应文件中提出了超出磋商文件中采购标的、规格型号、预算金额、采购数量、交货期、技术和服务要求等内容。</w:t>
      </w:r>
    </w:p>
    <w:p w14:paraId="1D69A90B">
      <w:pPr>
        <w:pStyle w:val="5"/>
        <w:keepNext w:val="0"/>
        <w:keepLines w:val="0"/>
        <w:pageBreakBefore w:val="0"/>
        <w:kinsoku/>
        <w:wordWrap w:val="0"/>
        <w:overflowPunct/>
        <w:topLinePunct w:val="0"/>
        <w:bidi w:val="0"/>
        <w:spacing w:before="81" w:line="500" w:lineRule="exact"/>
        <w:rPr>
          <w:color w:val="auto"/>
          <w:highlight w:val="none"/>
        </w:rPr>
      </w:pPr>
      <w:bookmarkStart w:id="132" w:name="_Toc31948_WPSOffice_Level3"/>
      <w:r>
        <w:rPr>
          <w:color w:val="auto"/>
          <w:highlight w:val="none"/>
        </w:rPr>
        <w:t>21、对磋商响应供应商的评价</w:t>
      </w:r>
      <w:bookmarkEnd w:id="132"/>
    </w:p>
    <w:p w14:paraId="453CF30D">
      <w:pPr>
        <w:pStyle w:val="19"/>
        <w:keepNext w:val="0"/>
        <w:keepLines w:val="0"/>
        <w:pageBreakBefore w:val="0"/>
        <w:numPr>
          <w:ilvl w:val="1"/>
          <w:numId w:val="6"/>
        </w:numPr>
        <w:tabs>
          <w:tab w:val="left" w:pos="1281"/>
        </w:tabs>
        <w:kinsoku/>
        <w:wordWrap w:val="0"/>
        <w:overflowPunct/>
        <w:topLinePunct w:val="0"/>
        <w:bidi w:val="0"/>
        <w:spacing w:before="160" w:line="364" w:lineRule="auto"/>
        <w:ind w:right="341" w:firstLine="420"/>
        <w:rPr>
          <w:color w:val="auto"/>
          <w:sz w:val="24"/>
          <w:highlight w:val="none"/>
        </w:rPr>
      </w:pPr>
      <w:r>
        <w:rPr>
          <w:color w:val="auto"/>
          <w:sz w:val="24"/>
          <w:highlight w:val="none"/>
        </w:rPr>
        <w:t>磋商小组只对已判定为实质性响应且通过资格审查的磋商响应文件进行详细评价和比较。</w:t>
      </w:r>
    </w:p>
    <w:p w14:paraId="28886207">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rFonts w:hint="eastAsia"/>
          <w:color w:val="auto"/>
          <w:sz w:val="24"/>
          <w:highlight w:val="none"/>
        </w:rPr>
      </w:pPr>
      <w:r>
        <w:rPr>
          <w:rFonts w:hint="eastAsia"/>
          <w:color w:val="auto"/>
          <w:sz w:val="24"/>
          <w:highlight w:val="none"/>
        </w:rPr>
        <w:t>在磋商过程中，磋商小组可以根据磋商文件和磋商情况实质性变动采购需求中的技术、服务要求以及合同草案条款，但不得变动磋商文件中的其他内容。</w:t>
      </w:r>
    </w:p>
    <w:p w14:paraId="44866367">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color w:val="auto"/>
          <w:sz w:val="24"/>
          <w:highlight w:val="none"/>
          <w:lang w:eastAsia="zh-CN"/>
        </w:rPr>
        <w:t>响应人</w:t>
      </w:r>
      <w:r>
        <w:rPr>
          <w:rFonts w:hint="eastAsia"/>
          <w:color w:val="auto"/>
          <w:sz w:val="24"/>
          <w:highlight w:val="none"/>
        </w:rPr>
        <w:t>响应文件的有效组成部分。</w:t>
      </w:r>
    </w:p>
    <w:p w14:paraId="50BB3AD1">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rFonts w:hint="eastAsia"/>
          <w:color w:val="auto"/>
          <w:sz w:val="24"/>
          <w:highlight w:val="none"/>
        </w:rPr>
        <w:t>已提交响应文件的</w:t>
      </w:r>
      <w:r>
        <w:rPr>
          <w:rFonts w:hint="eastAsia"/>
          <w:color w:val="auto"/>
          <w:sz w:val="24"/>
          <w:highlight w:val="none"/>
          <w:lang w:eastAsia="zh-CN"/>
        </w:rPr>
        <w:t>响应人</w:t>
      </w:r>
      <w:r>
        <w:rPr>
          <w:rFonts w:hint="eastAsia"/>
          <w:color w:val="auto"/>
          <w:sz w:val="24"/>
          <w:highlight w:val="none"/>
        </w:rPr>
        <w:t>，在提交最后报价之前，可以根据情况退出磋商。</w:t>
      </w:r>
    </w:p>
    <w:p w14:paraId="3D161BC3">
      <w:pPr>
        <w:pStyle w:val="19"/>
        <w:keepNext w:val="0"/>
        <w:keepLines w:val="0"/>
        <w:pageBreakBefore w:val="0"/>
        <w:numPr>
          <w:ilvl w:val="1"/>
          <w:numId w:val="6"/>
        </w:numPr>
        <w:tabs>
          <w:tab w:val="left" w:pos="1281"/>
        </w:tabs>
        <w:kinsoku/>
        <w:wordWrap w:val="0"/>
        <w:overflowPunct/>
        <w:topLinePunct w:val="0"/>
        <w:bidi w:val="0"/>
        <w:spacing w:before="1" w:line="364" w:lineRule="auto"/>
        <w:ind w:right="338" w:firstLine="420"/>
        <w:jc w:val="both"/>
        <w:rPr>
          <w:color w:val="auto"/>
          <w:sz w:val="24"/>
          <w:highlight w:val="none"/>
        </w:rPr>
      </w:pPr>
      <w:r>
        <w:rPr>
          <w:color w:val="auto"/>
          <w:sz w:val="24"/>
          <w:highlight w:val="none"/>
        </w:rPr>
        <w:t>经磋商确定最终采购需求和提交最后报价的磋商响应供应商后，磋商小组采用</w:t>
      </w:r>
      <w:r>
        <w:rPr>
          <w:color w:val="auto"/>
          <w:spacing w:val="6"/>
          <w:sz w:val="24"/>
          <w:highlight w:val="none"/>
        </w:rPr>
        <w:t>综合评分法对提交最后报价的磋商响应供应商的磋商响应文件和最后报价进行综合评分。</w:t>
      </w:r>
    </w:p>
    <w:p w14:paraId="29A2A498">
      <w:pPr>
        <w:pStyle w:val="7"/>
        <w:keepNext w:val="0"/>
        <w:keepLines w:val="0"/>
        <w:pageBreakBefore w:val="0"/>
        <w:kinsoku/>
        <w:wordWrap w:val="0"/>
        <w:overflowPunct/>
        <w:topLinePunct w:val="0"/>
        <w:bidi w:val="0"/>
        <w:spacing w:before="43" w:line="365" w:lineRule="auto"/>
        <w:ind w:left="318" w:right="340" w:firstLine="456" w:firstLineChars="200"/>
        <w:rPr>
          <w:color w:val="auto"/>
          <w:highlight w:val="none"/>
        </w:rPr>
      </w:pPr>
      <w:r>
        <w:rPr>
          <w:rFonts w:hint="eastAsia"/>
          <w:color w:val="auto"/>
          <w:spacing w:val="-6"/>
          <w:highlight w:val="none"/>
        </w:rPr>
        <w:t>21.</w:t>
      </w:r>
      <w:r>
        <w:rPr>
          <w:rFonts w:hint="eastAsia"/>
          <w:color w:val="auto"/>
          <w:spacing w:val="-6"/>
          <w:highlight w:val="none"/>
          <w:lang w:val="en-US" w:eastAsia="zh-CN"/>
        </w:rPr>
        <w:t>6</w:t>
      </w:r>
      <w:r>
        <w:rPr>
          <w:color w:val="auto"/>
          <w:spacing w:val="-6"/>
          <w:highlight w:val="none"/>
        </w:rPr>
        <w:t xml:space="preserve">磋商小组根据综合评分情况，按评审得分由高到低的顺序确定成交候选供应商， </w:t>
      </w:r>
      <w:r>
        <w:rPr>
          <w:color w:val="auto"/>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60EEAE">
      <w:pPr>
        <w:pStyle w:val="7"/>
        <w:keepNext w:val="0"/>
        <w:keepLines w:val="0"/>
        <w:pageBreakBefore w:val="0"/>
        <w:kinsoku/>
        <w:wordWrap w:val="0"/>
        <w:overflowPunct/>
        <w:topLinePunct w:val="0"/>
        <w:bidi w:val="0"/>
        <w:spacing w:before="43" w:line="365" w:lineRule="auto"/>
        <w:ind w:left="318" w:right="340" w:firstLine="480" w:firstLineChars="200"/>
        <w:rPr>
          <w:color w:val="auto"/>
          <w:highlight w:val="none"/>
        </w:rPr>
      </w:pPr>
      <w:r>
        <w:rPr>
          <w:rFonts w:hint="eastAsia"/>
          <w:color w:val="auto"/>
          <w:highlight w:val="none"/>
        </w:rPr>
        <w:t>21.</w:t>
      </w:r>
      <w:r>
        <w:rPr>
          <w:rFonts w:hint="eastAsia"/>
          <w:color w:val="auto"/>
          <w:highlight w:val="none"/>
          <w:lang w:val="en-US" w:eastAsia="zh-CN"/>
        </w:rPr>
        <w:t>7</w:t>
      </w:r>
      <w:r>
        <w:rPr>
          <w:color w:val="auto"/>
          <w:highlight w:val="none"/>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461864ED">
      <w:pPr>
        <w:pStyle w:val="5"/>
        <w:keepNext w:val="0"/>
        <w:keepLines w:val="0"/>
        <w:pageBreakBefore w:val="0"/>
        <w:kinsoku/>
        <w:wordWrap w:val="0"/>
        <w:overflowPunct/>
        <w:topLinePunct w:val="0"/>
        <w:bidi w:val="0"/>
        <w:spacing w:before="2"/>
        <w:rPr>
          <w:color w:val="auto"/>
          <w:highlight w:val="none"/>
        </w:rPr>
      </w:pPr>
      <w:bookmarkStart w:id="133" w:name="_Toc27346_WPSOffice_Level3"/>
      <w:r>
        <w:rPr>
          <w:color w:val="auto"/>
          <w:highlight w:val="none"/>
        </w:rPr>
        <w:t>22、磋商响应文件的澄清</w:t>
      </w:r>
      <w:bookmarkEnd w:id="133"/>
    </w:p>
    <w:p w14:paraId="2C0FF53F">
      <w:pPr>
        <w:pStyle w:val="19"/>
        <w:keepNext w:val="0"/>
        <w:keepLines w:val="0"/>
        <w:pageBreakBefore w:val="0"/>
        <w:numPr>
          <w:ilvl w:val="1"/>
          <w:numId w:val="7"/>
        </w:numPr>
        <w:tabs>
          <w:tab w:val="left" w:pos="1281"/>
        </w:tabs>
        <w:kinsoku/>
        <w:wordWrap w:val="0"/>
        <w:overflowPunct/>
        <w:topLinePunct w:val="0"/>
        <w:bidi w:val="0"/>
        <w:spacing w:before="160" w:line="364" w:lineRule="auto"/>
        <w:ind w:right="340" w:firstLine="420"/>
        <w:jc w:val="both"/>
        <w:rPr>
          <w:color w:val="auto"/>
          <w:sz w:val="24"/>
          <w:highlight w:val="none"/>
        </w:rPr>
      </w:pPr>
      <w:r>
        <w:rPr>
          <w:color w:val="auto"/>
          <w:sz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2ACE8A4B">
      <w:pPr>
        <w:pStyle w:val="19"/>
        <w:keepNext w:val="0"/>
        <w:keepLines w:val="0"/>
        <w:pageBreakBefore w:val="0"/>
        <w:numPr>
          <w:ilvl w:val="1"/>
          <w:numId w:val="7"/>
        </w:numPr>
        <w:tabs>
          <w:tab w:val="left" w:pos="1281"/>
        </w:tabs>
        <w:kinsoku/>
        <w:wordWrap w:val="0"/>
        <w:overflowPunct/>
        <w:topLinePunct w:val="0"/>
        <w:bidi w:val="0"/>
        <w:spacing w:before="2"/>
        <w:ind w:left="1280"/>
        <w:rPr>
          <w:color w:val="auto"/>
          <w:sz w:val="24"/>
          <w:highlight w:val="none"/>
        </w:rPr>
      </w:pPr>
      <w:r>
        <w:rPr>
          <w:color w:val="auto"/>
          <w:sz w:val="24"/>
          <w:highlight w:val="none"/>
        </w:rPr>
        <w:t>重要澄清的答复应是书面的，并由法定代表人或其委托代理人签字。</w:t>
      </w:r>
    </w:p>
    <w:p w14:paraId="162603AD">
      <w:pPr>
        <w:pStyle w:val="19"/>
        <w:keepNext w:val="0"/>
        <w:keepLines w:val="0"/>
        <w:pageBreakBefore w:val="0"/>
        <w:numPr>
          <w:ilvl w:val="1"/>
          <w:numId w:val="7"/>
        </w:numPr>
        <w:tabs>
          <w:tab w:val="left" w:pos="1281"/>
        </w:tabs>
        <w:kinsoku/>
        <w:wordWrap w:val="0"/>
        <w:overflowPunct/>
        <w:topLinePunct w:val="0"/>
        <w:bidi w:val="0"/>
        <w:spacing w:before="161" w:line="364" w:lineRule="auto"/>
        <w:ind w:right="341" w:firstLine="420"/>
        <w:rPr>
          <w:color w:val="auto"/>
          <w:sz w:val="24"/>
          <w:highlight w:val="none"/>
        </w:rPr>
      </w:pPr>
      <w:r>
        <w:rPr>
          <w:color w:val="auto"/>
          <w:sz w:val="24"/>
          <w:highlight w:val="none"/>
        </w:rPr>
        <w:t>磋商响应供应商的澄清文件是磋商响应文件的组成部分，并取代磋商响应文件中被澄清的部分。</w:t>
      </w:r>
    </w:p>
    <w:p w14:paraId="474A434D">
      <w:pPr>
        <w:pStyle w:val="19"/>
        <w:keepNext w:val="0"/>
        <w:keepLines w:val="0"/>
        <w:pageBreakBefore w:val="0"/>
        <w:numPr>
          <w:ilvl w:val="1"/>
          <w:numId w:val="7"/>
        </w:numPr>
        <w:tabs>
          <w:tab w:val="left" w:pos="1281"/>
        </w:tabs>
        <w:kinsoku/>
        <w:wordWrap w:val="0"/>
        <w:overflowPunct/>
        <w:topLinePunct w:val="0"/>
        <w:bidi w:val="0"/>
        <w:spacing w:before="1"/>
        <w:ind w:left="1280"/>
        <w:rPr>
          <w:color w:val="auto"/>
          <w:sz w:val="24"/>
          <w:highlight w:val="none"/>
        </w:rPr>
      </w:pPr>
      <w:r>
        <w:rPr>
          <w:color w:val="auto"/>
          <w:sz w:val="24"/>
          <w:highlight w:val="none"/>
        </w:rPr>
        <w:t>磋商响应文件澄清部分不得对磋商内容进行实质性修改。</w:t>
      </w:r>
    </w:p>
    <w:p w14:paraId="104D5F93">
      <w:pPr>
        <w:pStyle w:val="5"/>
        <w:keepNext w:val="0"/>
        <w:keepLines w:val="0"/>
        <w:pageBreakBefore w:val="0"/>
        <w:kinsoku/>
        <w:wordWrap w:val="0"/>
        <w:overflowPunct/>
        <w:topLinePunct w:val="0"/>
        <w:bidi w:val="0"/>
        <w:spacing w:before="160"/>
        <w:rPr>
          <w:color w:val="auto"/>
          <w:highlight w:val="none"/>
        </w:rPr>
      </w:pPr>
      <w:bookmarkStart w:id="134" w:name="_Toc10070_WPSOffice_Level3"/>
      <w:r>
        <w:rPr>
          <w:color w:val="auto"/>
          <w:highlight w:val="none"/>
        </w:rPr>
        <w:t>23、磋商原则和方法</w:t>
      </w:r>
      <w:bookmarkEnd w:id="134"/>
    </w:p>
    <w:p w14:paraId="39850DB2">
      <w:pPr>
        <w:pStyle w:val="19"/>
        <w:keepNext w:val="0"/>
        <w:keepLines w:val="0"/>
        <w:pageBreakBefore w:val="0"/>
        <w:numPr>
          <w:ilvl w:val="1"/>
          <w:numId w:val="8"/>
        </w:numPr>
        <w:tabs>
          <w:tab w:val="left" w:pos="1281"/>
        </w:tabs>
        <w:kinsoku/>
        <w:wordWrap w:val="0"/>
        <w:overflowPunct/>
        <w:topLinePunct w:val="0"/>
        <w:bidi w:val="0"/>
        <w:spacing w:before="161"/>
        <w:rPr>
          <w:color w:val="auto"/>
          <w:sz w:val="24"/>
          <w:highlight w:val="none"/>
        </w:rPr>
      </w:pPr>
      <w:r>
        <w:rPr>
          <w:color w:val="auto"/>
          <w:sz w:val="24"/>
          <w:highlight w:val="none"/>
        </w:rPr>
        <w:t>坚持公开、公平、公正的原则。</w:t>
      </w:r>
    </w:p>
    <w:p w14:paraId="73CB4280">
      <w:pPr>
        <w:pStyle w:val="19"/>
        <w:keepNext w:val="0"/>
        <w:keepLines w:val="0"/>
        <w:pageBreakBefore w:val="0"/>
        <w:numPr>
          <w:ilvl w:val="1"/>
          <w:numId w:val="8"/>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磋商在磋商小组应当集中与单一磋商响应供应商分别进行磋商，磋商小组将遵照磋商原则，公正、平等地对待所有磋商响应供应商。</w:t>
      </w:r>
    </w:p>
    <w:p w14:paraId="736282ED">
      <w:pPr>
        <w:pStyle w:val="19"/>
        <w:keepNext w:val="0"/>
        <w:keepLines w:val="0"/>
        <w:pageBreakBefore w:val="0"/>
        <w:numPr>
          <w:ilvl w:val="1"/>
          <w:numId w:val="8"/>
        </w:numPr>
        <w:tabs>
          <w:tab w:val="left" w:pos="1281"/>
        </w:tabs>
        <w:kinsoku/>
        <w:wordWrap w:val="0"/>
        <w:overflowPunct/>
        <w:topLinePunct w:val="0"/>
        <w:bidi w:val="0"/>
        <w:spacing w:before="1"/>
        <w:rPr>
          <w:color w:val="auto"/>
          <w:sz w:val="24"/>
          <w:highlight w:val="none"/>
        </w:rPr>
      </w:pPr>
      <w:r>
        <w:rPr>
          <w:color w:val="auto"/>
          <w:sz w:val="24"/>
          <w:highlight w:val="none"/>
        </w:rPr>
        <w:t>评审方法</w:t>
      </w:r>
    </w:p>
    <w:p w14:paraId="05B52BA1">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初步评审（是否响应竞争性磋商文件的要求</w:t>
      </w:r>
      <w:r>
        <w:rPr>
          <w:color w:val="auto"/>
          <w:spacing w:val="-120"/>
          <w:sz w:val="24"/>
          <w:highlight w:val="none"/>
        </w:rPr>
        <w:t>）</w:t>
      </w:r>
      <w:r>
        <w:rPr>
          <w:color w:val="auto"/>
          <w:sz w:val="24"/>
          <w:highlight w:val="none"/>
        </w:rPr>
        <w:t>，确定合格的磋商响应供应商。</w:t>
      </w:r>
    </w:p>
    <w:p w14:paraId="0B529D9F">
      <w:pPr>
        <w:pStyle w:val="19"/>
        <w:keepNext w:val="0"/>
        <w:keepLines w:val="0"/>
        <w:pageBreakBefore w:val="0"/>
        <w:numPr>
          <w:ilvl w:val="2"/>
          <w:numId w:val="8"/>
        </w:numPr>
        <w:tabs>
          <w:tab w:val="left" w:pos="1521"/>
        </w:tabs>
        <w:kinsoku/>
        <w:wordWrap w:val="0"/>
        <w:overflowPunct/>
        <w:topLinePunct w:val="0"/>
        <w:bidi w:val="0"/>
        <w:spacing w:before="161"/>
        <w:rPr>
          <w:color w:val="auto"/>
          <w:sz w:val="24"/>
          <w:highlight w:val="none"/>
        </w:rPr>
      </w:pPr>
      <w:r>
        <w:rPr>
          <w:color w:val="auto"/>
          <w:sz w:val="24"/>
          <w:highlight w:val="none"/>
        </w:rPr>
        <w:t>各磋商响应供应商依据各自情况进行最后报价。</w:t>
      </w:r>
    </w:p>
    <w:p w14:paraId="13D41CDD">
      <w:pPr>
        <w:pStyle w:val="19"/>
        <w:keepNext w:val="0"/>
        <w:keepLines w:val="0"/>
        <w:pageBreakBefore w:val="0"/>
        <w:numPr>
          <w:ilvl w:val="2"/>
          <w:numId w:val="8"/>
        </w:numPr>
        <w:tabs>
          <w:tab w:val="left" w:pos="152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经磋商确定最终采购需求和提交最后报价的磋商响应供应商，有磋商小组采用综合评分法对提交最后报价的磋商响应供应商的响应文件和最后报价进行综合评分。</w:t>
      </w:r>
    </w:p>
    <w:p w14:paraId="0E3ECEEC">
      <w:pPr>
        <w:pStyle w:val="5"/>
        <w:keepNext w:val="0"/>
        <w:keepLines w:val="0"/>
        <w:pageBreakBefore w:val="0"/>
        <w:kinsoku/>
        <w:wordWrap w:val="0"/>
        <w:overflowPunct/>
        <w:topLinePunct w:val="0"/>
        <w:bidi w:val="0"/>
        <w:spacing w:before="2"/>
        <w:rPr>
          <w:color w:val="auto"/>
          <w:highlight w:val="none"/>
        </w:rPr>
      </w:pPr>
      <w:bookmarkStart w:id="135" w:name="_Toc5813_WPSOffice_Level3"/>
      <w:r>
        <w:rPr>
          <w:color w:val="auto"/>
          <w:highlight w:val="none"/>
        </w:rPr>
        <w:t>24、</w:t>
      </w:r>
      <w:r>
        <w:rPr>
          <w:rFonts w:hint="eastAsia"/>
          <w:color w:val="auto"/>
          <w:highlight w:val="none"/>
        </w:rPr>
        <w:t>推荐</w:t>
      </w:r>
      <w:r>
        <w:rPr>
          <w:color w:val="auto"/>
          <w:highlight w:val="none"/>
        </w:rPr>
        <w:t>成交供应商</w:t>
      </w:r>
      <w:bookmarkEnd w:id="135"/>
      <w:r>
        <w:rPr>
          <w:rFonts w:hint="eastAsia"/>
          <w:color w:val="auto"/>
          <w:highlight w:val="none"/>
        </w:rPr>
        <w:t>候选人</w:t>
      </w:r>
    </w:p>
    <w:p w14:paraId="3BB33ECB">
      <w:pPr>
        <w:pStyle w:val="7"/>
        <w:keepNext w:val="0"/>
        <w:keepLines w:val="0"/>
        <w:pageBreakBefore w:val="0"/>
        <w:kinsoku/>
        <w:wordWrap w:val="0"/>
        <w:overflowPunct/>
        <w:topLinePunct w:val="0"/>
        <w:bidi w:val="0"/>
        <w:spacing w:before="160" w:line="364" w:lineRule="auto"/>
        <w:ind w:right="338" w:firstLine="420"/>
        <w:jc w:val="both"/>
        <w:rPr>
          <w:color w:val="auto"/>
          <w:highlight w:val="none"/>
        </w:rPr>
      </w:pPr>
      <w:r>
        <w:rPr>
          <w:color w:val="auto"/>
          <w:highlight w:val="none"/>
        </w:rPr>
        <w:t>24.1</w:t>
      </w:r>
      <w:r>
        <w:rPr>
          <w:color w:val="auto"/>
          <w:spacing w:val="-5"/>
          <w:highlight w:val="none"/>
        </w:rPr>
        <w:t xml:space="preserve"> 磋商小组应当根据综合评分情况，按照评审有高到低的顺序推荐</w:t>
      </w:r>
      <w:r>
        <w:rPr>
          <w:rFonts w:hint="eastAsia"/>
          <w:color w:val="auto"/>
          <w:spacing w:val="-5"/>
          <w:highlight w:val="none"/>
        </w:rPr>
        <w:t>3名</w:t>
      </w:r>
      <w:r>
        <w:rPr>
          <w:color w:val="auto"/>
          <w:spacing w:val="-5"/>
          <w:highlight w:val="none"/>
        </w:rPr>
        <w:t>成交候选供应商，并向采购人提供书面评审报告</w:t>
      </w:r>
      <w:r>
        <w:rPr>
          <w:rFonts w:hint="eastAsia"/>
          <w:color w:val="auto"/>
          <w:spacing w:val="-5"/>
          <w:highlight w:val="none"/>
        </w:rPr>
        <w:t>。</w:t>
      </w:r>
    </w:p>
    <w:p w14:paraId="270D00B1">
      <w:pPr>
        <w:pStyle w:val="5"/>
        <w:keepNext w:val="0"/>
        <w:keepLines w:val="0"/>
        <w:pageBreakBefore w:val="0"/>
        <w:kinsoku/>
        <w:wordWrap w:val="0"/>
        <w:overflowPunct/>
        <w:topLinePunct w:val="0"/>
        <w:bidi w:val="0"/>
        <w:spacing w:before="2"/>
        <w:rPr>
          <w:color w:val="auto"/>
          <w:highlight w:val="none"/>
        </w:rPr>
      </w:pPr>
      <w:bookmarkStart w:id="136" w:name="_Toc28609_WPSOffice_Level3"/>
      <w:r>
        <w:rPr>
          <w:color w:val="auto"/>
          <w:highlight w:val="none"/>
        </w:rPr>
        <w:t>25、保密及其它注意事项</w:t>
      </w:r>
      <w:bookmarkEnd w:id="136"/>
    </w:p>
    <w:p w14:paraId="249B3DA4">
      <w:pPr>
        <w:pStyle w:val="19"/>
        <w:keepNext w:val="0"/>
        <w:keepLines w:val="0"/>
        <w:pageBreakBefore w:val="0"/>
        <w:numPr>
          <w:ilvl w:val="1"/>
          <w:numId w:val="9"/>
        </w:numPr>
        <w:tabs>
          <w:tab w:val="left" w:pos="1281"/>
        </w:tabs>
        <w:kinsoku/>
        <w:wordWrap w:val="0"/>
        <w:overflowPunct/>
        <w:topLinePunct w:val="0"/>
        <w:bidi w:val="0"/>
        <w:spacing w:before="160" w:line="500" w:lineRule="exact"/>
        <w:rPr>
          <w:color w:val="auto"/>
          <w:sz w:val="24"/>
          <w:highlight w:val="none"/>
        </w:rPr>
      </w:pPr>
      <w:r>
        <w:rPr>
          <w:color w:val="auto"/>
          <w:sz w:val="24"/>
          <w:highlight w:val="none"/>
        </w:rPr>
        <w:t>评审工作是磋商工作的重要环节，评审工作在磋商小组内独立进行。</w:t>
      </w:r>
    </w:p>
    <w:p w14:paraId="2BA2EDE4">
      <w:pPr>
        <w:pStyle w:val="7"/>
        <w:keepNext w:val="0"/>
        <w:keepLines w:val="0"/>
        <w:pageBreakBefore w:val="0"/>
        <w:kinsoku/>
        <w:wordWrap w:val="0"/>
        <w:overflowPunct/>
        <w:topLinePunct w:val="0"/>
        <w:bidi w:val="0"/>
        <w:spacing w:before="43" w:line="500" w:lineRule="exact"/>
        <w:rPr>
          <w:color w:val="auto"/>
          <w:highlight w:val="none"/>
        </w:rPr>
      </w:pPr>
      <w:r>
        <w:rPr>
          <w:color w:val="auto"/>
          <w:highlight w:val="none"/>
        </w:rPr>
        <w:t>在评审期间，磋商响应供应商不得向磋商小组成员询问评审情况，不得进行影响评审结果的活动。否则其响应将会被拒绝。</w:t>
      </w:r>
    </w:p>
    <w:p w14:paraId="1602BCA7">
      <w:pPr>
        <w:pStyle w:val="19"/>
        <w:keepNext w:val="0"/>
        <w:keepLines w:val="0"/>
        <w:pageBreakBefore w:val="0"/>
        <w:numPr>
          <w:ilvl w:val="1"/>
          <w:numId w:val="9"/>
        </w:numPr>
        <w:tabs>
          <w:tab w:val="left" w:pos="1281"/>
        </w:tabs>
        <w:kinsoku/>
        <w:wordWrap w:val="0"/>
        <w:overflowPunct/>
        <w:topLinePunct w:val="0"/>
        <w:bidi w:val="0"/>
        <w:spacing w:before="160" w:line="364" w:lineRule="auto"/>
        <w:ind w:left="320" w:right="341" w:firstLine="420"/>
        <w:rPr>
          <w:color w:val="auto"/>
          <w:sz w:val="24"/>
          <w:highlight w:val="none"/>
        </w:rPr>
      </w:pPr>
      <w:r>
        <w:rPr>
          <w:color w:val="auto"/>
          <w:sz w:val="24"/>
          <w:highlight w:val="none"/>
        </w:rPr>
        <w:t>为保证评审的公正性，磋商开始后直至授予成交供应商合同，磋商小组成员不得与供应商私下交换意见。</w:t>
      </w:r>
    </w:p>
    <w:p w14:paraId="2462399C">
      <w:pPr>
        <w:pStyle w:val="19"/>
        <w:keepNext w:val="0"/>
        <w:keepLines w:val="0"/>
        <w:pageBreakBefore w:val="0"/>
        <w:numPr>
          <w:ilvl w:val="1"/>
          <w:numId w:val="9"/>
        </w:numPr>
        <w:tabs>
          <w:tab w:val="left" w:pos="1281"/>
        </w:tabs>
        <w:kinsoku/>
        <w:wordWrap w:val="0"/>
        <w:overflowPunct/>
        <w:topLinePunct w:val="0"/>
        <w:bidi w:val="0"/>
        <w:spacing w:before="1" w:line="364" w:lineRule="auto"/>
        <w:ind w:left="320" w:right="341" w:firstLine="420"/>
        <w:rPr>
          <w:color w:val="auto"/>
          <w:sz w:val="24"/>
          <w:highlight w:val="none"/>
        </w:rPr>
      </w:pPr>
      <w:r>
        <w:rPr>
          <w:color w:val="auto"/>
          <w:sz w:val="24"/>
          <w:highlight w:val="none"/>
        </w:rPr>
        <w:t>在评审工作结束后，凡与评审情况有接触的任何人不得擅自将评审情况扩散出评审人员之外。</w:t>
      </w:r>
    </w:p>
    <w:p w14:paraId="5A191D78">
      <w:pPr>
        <w:pStyle w:val="5"/>
        <w:keepNext w:val="0"/>
        <w:keepLines w:val="0"/>
        <w:pageBreakBefore w:val="0"/>
        <w:kinsoku/>
        <w:wordWrap w:val="0"/>
        <w:overflowPunct/>
        <w:topLinePunct w:val="0"/>
        <w:bidi w:val="0"/>
        <w:spacing w:before="2"/>
        <w:rPr>
          <w:color w:val="auto"/>
          <w:highlight w:val="none"/>
        </w:rPr>
      </w:pPr>
      <w:bookmarkStart w:id="137" w:name="_Toc27984_WPSOffice_Level3"/>
      <w:r>
        <w:rPr>
          <w:color w:val="auto"/>
          <w:highlight w:val="none"/>
        </w:rPr>
        <w:t>26、</w:t>
      </w:r>
      <w:r>
        <w:rPr>
          <w:rFonts w:hint="eastAsia"/>
          <w:color w:val="auto"/>
          <w:highlight w:val="none"/>
        </w:rPr>
        <w:t>定标、</w:t>
      </w:r>
      <w:r>
        <w:rPr>
          <w:color w:val="auto"/>
          <w:highlight w:val="none"/>
        </w:rPr>
        <w:t>成交通知</w:t>
      </w:r>
      <w:bookmarkEnd w:id="137"/>
    </w:p>
    <w:p w14:paraId="47E60B09">
      <w:pPr>
        <w:pStyle w:val="5"/>
        <w:keepNext w:val="0"/>
        <w:keepLines w:val="0"/>
        <w:pageBreakBefore w:val="0"/>
        <w:kinsoku/>
        <w:wordWrap w:val="0"/>
        <w:overflowPunct/>
        <w:topLinePunct w:val="0"/>
        <w:bidi w:val="0"/>
        <w:spacing w:before="2" w:line="520" w:lineRule="exact"/>
        <w:ind w:left="0" w:leftChars="0" w:firstLine="654" w:firstLineChars="300"/>
        <w:rPr>
          <w:b w:val="0"/>
          <w:bCs w:val="0"/>
          <w:color w:val="auto"/>
          <w:spacing w:val="-11"/>
          <w:szCs w:val="22"/>
          <w:highlight w:val="none"/>
        </w:rPr>
      </w:pPr>
      <w:r>
        <w:rPr>
          <w:rFonts w:hint="eastAsia"/>
          <w:b w:val="0"/>
          <w:bCs w:val="0"/>
          <w:color w:val="auto"/>
          <w:spacing w:val="-11"/>
          <w:szCs w:val="22"/>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080D620E">
      <w:pPr>
        <w:pStyle w:val="19"/>
        <w:keepNext w:val="0"/>
        <w:keepLines w:val="0"/>
        <w:pageBreakBefore w:val="0"/>
        <w:tabs>
          <w:tab w:val="left" w:pos="1281"/>
        </w:tabs>
        <w:kinsoku/>
        <w:wordWrap w:val="0"/>
        <w:overflowPunct/>
        <w:topLinePunct w:val="0"/>
        <w:bidi w:val="0"/>
        <w:spacing w:before="160" w:line="364" w:lineRule="auto"/>
        <w:ind w:left="0" w:leftChars="0" w:right="338" w:firstLine="436" w:firstLineChars="200"/>
        <w:rPr>
          <w:color w:val="auto"/>
          <w:sz w:val="24"/>
          <w:highlight w:val="none"/>
        </w:rPr>
      </w:pPr>
      <w:r>
        <w:rPr>
          <w:rFonts w:hint="eastAsia"/>
          <w:color w:val="auto"/>
          <w:spacing w:val="-11"/>
          <w:sz w:val="24"/>
          <w:highlight w:val="none"/>
        </w:rPr>
        <w:t>26.2</w:t>
      </w:r>
      <w:r>
        <w:rPr>
          <w:color w:val="auto"/>
          <w:spacing w:val="-11"/>
          <w:sz w:val="24"/>
          <w:highlight w:val="none"/>
        </w:rPr>
        <w:t>成交供应商确定后，采购人向成交供应商签发《成交通知书》，并将成交结果通</w:t>
      </w:r>
      <w:r>
        <w:rPr>
          <w:color w:val="auto"/>
          <w:sz w:val="24"/>
          <w:highlight w:val="none"/>
        </w:rPr>
        <w:t>知所有未成交的磋商响应供应商。</w:t>
      </w:r>
    </w:p>
    <w:p w14:paraId="284053F2">
      <w:pPr>
        <w:pStyle w:val="19"/>
        <w:keepNext w:val="0"/>
        <w:keepLines w:val="0"/>
        <w:pageBreakBefore w:val="0"/>
        <w:tabs>
          <w:tab w:val="left" w:pos="1281"/>
        </w:tabs>
        <w:kinsoku/>
        <w:wordWrap w:val="0"/>
        <w:overflowPunct/>
        <w:topLinePunct w:val="0"/>
        <w:bidi w:val="0"/>
        <w:spacing w:before="160" w:line="364" w:lineRule="auto"/>
        <w:ind w:left="0" w:leftChars="0" w:right="338" w:firstLine="476" w:firstLineChars="200"/>
        <w:rPr>
          <w:color w:val="auto"/>
          <w:sz w:val="24"/>
          <w:highlight w:val="none"/>
        </w:rPr>
      </w:pPr>
      <w:r>
        <w:rPr>
          <w:rFonts w:hint="eastAsia"/>
          <w:color w:val="auto"/>
          <w:spacing w:val="-1"/>
          <w:sz w:val="24"/>
          <w:highlight w:val="none"/>
        </w:rPr>
        <w:t>26.3</w:t>
      </w:r>
      <w:r>
        <w:rPr>
          <w:color w:val="auto"/>
          <w:spacing w:val="-1"/>
          <w:sz w:val="24"/>
          <w:highlight w:val="none"/>
        </w:rPr>
        <w:t xml:space="preserve">《成交通知书》作为签订合同的依据，对采购人和成交供应商均具有法律效力， </w:t>
      </w:r>
      <w:r>
        <w:rPr>
          <w:color w:val="auto"/>
          <w:sz w:val="24"/>
          <w:highlight w:val="none"/>
        </w:rPr>
        <w:t>成交通知书发出后，采购人改变成交结果或者成交供应商放弃项目，应依法承担法律责任。</w:t>
      </w:r>
    </w:p>
    <w:p w14:paraId="3E860E50">
      <w:pPr>
        <w:pStyle w:val="5"/>
        <w:keepNext w:val="0"/>
        <w:keepLines w:val="0"/>
        <w:pageBreakBefore w:val="0"/>
        <w:kinsoku/>
        <w:wordWrap w:val="0"/>
        <w:overflowPunct/>
        <w:topLinePunct w:val="0"/>
        <w:bidi w:val="0"/>
        <w:spacing w:before="2"/>
        <w:rPr>
          <w:color w:val="auto"/>
          <w:highlight w:val="none"/>
        </w:rPr>
      </w:pPr>
      <w:bookmarkStart w:id="138" w:name="_Toc8188_WPSOffice_Level3"/>
      <w:r>
        <w:rPr>
          <w:color w:val="auto"/>
          <w:highlight w:val="none"/>
        </w:rPr>
        <w:t>27、授予合同时变更数量的权力</w:t>
      </w:r>
      <w:bookmarkEnd w:id="138"/>
    </w:p>
    <w:p w14:paraId="34262080">
      <w:pPr>
        <w:pStyle w:val="7"/>
        <w:keepNext w:val="0"/>
        <w:keepLines w:val="0"/>
        <w:pageBreakBefore w:val="0"/>
        <w:kinsoku/>
        <w:wordWrap w:val="0"/>
        <w:overflowPunct/>
        <w:topLinePunct w:val="0"/>
        <w:bidi w:val="0"/>
        <w:spacing w:before="177" w:line="328" w:lineRule="auto"/>
        <w:ind w:right="341" w:firstLine="420"/>
        <w:rPr>
          <w:color w:val="auto"/>
          <w:highlight w:val="none"/>
        </w:rPr>
      </w:pPr>
      <w:r>
        <w:rPr>
          <w:color w:val="auto"/>
          <w:highlight w:val="none"/>
        </w:rPr>
        <w:t>27.1 采购人在授予合同时，保留对货物数量予以适当增减的权利。成交供应商不得在此情况下对磋商响应文件做出修改，如价格、服务承诺等。</w:t>
      </w:r>
    </w:p>
    <w:p w14:paraId="0388469D">
      <w:pPr>
        <w:pStyle w:val="5"/>
        <w:keepNext w:val="0"/>
        <w:keepLines w:val="0"/>
        <w:pageBreakBefore w:val="0"/>
        <w:kinsoku/>
        <w:wordWrap w:val="0"/>
        <w:overflowPunct/>
        <w:topLinePunct w:val="0"/>
        <w:bidi w:val="0"/>
        <w:spacing w:line="305" w:lineRule="exact"/>
        <w:rPr>
          <w:color w:val="auto"/>
          <w:highlight w:val="none"/>
        </w:rPr>
      </w:pPr>
      <w:bookmarkStart w:id="139" w:name="_Toc30112_WPSOffice_Level3"/>
      <w:r>
        <w:rPr>
          <w:color w:val="auto"/>
          <w:highlight w:val="none"/>
        </w:rPr>
        <w:t>28、签订合同</w:t>
      </w:r>
      <w:bookmarkEnd w:id="139"/>
    </w:p>
    <w:p w14:paraId="4BC017CF">
      <w:pPr>
        <w:pStyle w:val="19"/>
        <w:keepNext w:val="0"/>
        <w:keepLines w:val="0"/>
        <w:pageBreakBefore w:val="0"/>
        <w:numPr>
          <w:ilvl w:val="1"/>
          <w:numId w:val="10"/>
        </w:numPr>
        <w:tabs>
          <w:tab w:val="left" w:pos="1281"/>
        </w:tabs>
        <w:kinsoku/>
        <w:wordWrap w:val="0"/>
        <w:overflowPunct/>
        <w:topLinePunct w:val="0"/>
        <w:bidi w:val="0"/>
        <w:spacing w:before="113" w:line="328" w:lineRule="auto"/>
        <w:ind w:right="218" w:firstLine="420"/>
        <w:rPr>
          <w:color w:val="auto"/>
          <w:sz w:val="24"/>
          <w:highlight w:val="none"/>
        </w:rPr>
      </w:pPr>
      <w:r>
        <w:rPr>
          <w:color w:val="auto"/>
          <w:spacing w:val="-10"/>
          <w:sz w:val="24"/>
          <w:highlight w:val="none"/>
        </w:rPr>
        <w:t>成交供应商接到《成交通知书》后</w:t>
      </w:r>
      <w:r>
        <w:rPr>
          <w:color w:val="auto"/>
          <w:spacing w:val="-1"/>
          <w:sz w:val="24"/>
          <w:highlight w:val="none"/>
        </w:rPr>
        <w:t>按指定地点与采购人签订采购合同</w:t>
      </w:r>
      <w:r>
        <w:rPr>
          <w:rFonts w:hint="eastAsia"/>
          <w:color w:val="auto"/>
          <w:spacing w:val="-1"/>
          <w:sz w:val="24"/>
          <w:highlight w:val="none"/>
        </w:rPr>
        <w:t>；</w:t>
      </w:r>
    </w:p>
    <w:p w14:paraId="766D9560">
      <w:pPr>
        <w:pStyle w:val="19"/>
        <w:keepNext w:val="0"/>
        <w:keepLines w:val="0"/>
        <w:pageBreakBefore w:val="0"/>
        <w:numPr>
          <w:ilvl w:val="1"/>
          <w:numId w:val="10"/>
        </w:numPr>
        <w:tabs>
          <w:tab w:val="left" w:pos="1281"/>
        </w:tabs>
        <w:kinsoku/>
        <w:wordWrap w:val="0"/>
        <w:overflowPunct/>
        <w:topLinePunct w:val="0"/>
        <w:bidi w:val="0"/>
        <w:spacing w:line="328" w:lineRule="auto"/>
        <w:ind w:right="341" w:firstLine="420"/>
        <w:rPr>
          <w:color w:val="auto"/>
          <w:sz w:val="24"/>
          <w:highlight w:val="none"/>
        </w:rPr>
      </w:pPr>
      <w:r>
        <w:rPr>
          <w:color w:val="auto"/>
          <w:sz w:val="24"/>
          <w:highlight w:val="none"/>
        </w:rPr>
        <w:t>采购人签发的成交通知书、竞争性磋商文件、成交供应商的磋商响应文件及其澄清文件等，均为签订合同的依据。</w:t>
      </w:r>
    </w:p>
    <w:p w14:paraId="4F6701BB">
      <w:pPr>
        <w:pStyle w:val="19"/>
        <w:keepNext w:val="0"/>
        <w:keepLines w:val="0"/>
        <w:pageBreakBefore w:val="0"/>
        <w:numPr>
          <w:ilvl w:val="1"/>
          <w:numId w:val="10"/>
        </w:numPr>
        <w:tabs>
          <w:tab w:val="left" w:pos="1281"/>
        </w:tabs>
        <w:kinsoku/>
        <w:wordWrap w:val="0"/>
        <w:overflowPunct/>
        <w:topLinePunct w:val="0"/>
        <w:bidi w:val="0"/>
        <w:spacing w:line="328" w:lineRule="auto"/>
        <w:ind w:right="340" w:firstLine="420"/>
        <w:rPr>
          <w:color w:val="auto"/>
          <w:sz w:val="24"/>
          <w:highlight w:val="none"/>
        </w:rPr>
      </w:pPr>
      <w:r>
        <w:rPr>
          <w:color w:val="auto"/>
          <w:spacing w:val="-2"/>
          <w:sz w:val="24"/>
          <w:highlight w:val="none"/>
        </w:rPr>
        <w:t xml:space="preserve">如成交供应商拒签合同，则按违约处理，采购人对违约方收取成交金额 </w:t>
      </w:r>
      <w:r>
        <w:rPr>
          <w:color w:val="auto"/>
          <w:sz w:val="24"/>
          <w:highlight w:val="none"/>
        </w:rPr>
        <w:t>2%</w:t>
      </w:r>
      <w:r>
        <w:rPr>
          <w:color w:val="auto"/>
          <w:spacing w:val="-8"/>
          <w:sz w:val="24"/>
          <w:highlight w:val="none"/>
        </w:rPr>
        <w:t>的违</w:t>
      </w:r>
      <w:r>
        <w:rPr>
          <w:color w:val="auto"/>
          <w:sz w:val="24"/>
          <w:highlight w:val="none"/>
        </w:rPr>
        <w:t>约金。</w:t>
      </w:r>
    </w:p>
    <w:p w14:paraId="70E46921">
      <w:pPr>
        <w:pStyle w:val="5"/>
        <w:keepNext w:val="0"/>
        <w:keepLines w:val="0"/>
        <w:pageBreakBefore w:val="0"/>
        <w:kinsoku/>
        <w:wordWrap w:val="0"/>
        <w:overflowPunct/>
        <w:topLinePunct w:val="0"/>
        <w:bidi w:val="0"/>
        <w:spacing w:line="305" w:lineRule="exact"/>
        <w:rPr>
          <w:color w:val="auto"/>
          <w:highlight w:val="none"/>
        </w:rPr>
      </w:pPr>
      <w:bookmarkStart w:id="140" w:name="_Toc7342_WPSOffice_Level3"/>
      <w:r>
        <w:rPr>
          <w:rFonts w:hint="eastAsia"/>
          <w:color w:val="auto"/>
          <w:highlight w:val="none"/>
          <w:lang w:val="en-US"/>
        </w:rPr>
        <w:t>29、</w:t>
      </w:r>
      <w:r>
        <w:rPr>
          <w:color w:val="auto"/>
          <w:highlight w:val="none"/>
        </w:rPr>
        <w:t>特别注意事项：</w:t>
      </w:r>
      <w:bookmarkEnd w:id="140"/>
    </w:p>
    <w:p w14:paraId="2BE97CB1">
      <w:pPr>
        <w:pStyle w:val="19"/>
        <w:keepNext w:val="0"/>
        <w:keepLines w:val="0"/>
        <w:pageBreakBefore w:val="0"/>
        <w:numPr>
          <w:ilvl w:val="1"/>
          <w:numId w:val="11"/>
        </w:numPr>
        <w:tabs>
          <w:tab w:val="left" w:pos="1341"/>
        </w:tabs>
        <w:kinsoku/>
        <w:wordWrap w:val="0"/>
        <w:overflowPunct/>
        <w:topLinePunct w:val="0"/>
        <w:bidi w:val="0"/>
        <w:spacing w:before="113"/>
        <w:rPr>
          <w:color w:val="auto"/>
          <w:sz w:val="24"/>
          <w:highlight w:val="none"/>
        </w:rPr>
      </w:pPr>
      <w:r>
        <w:rPr>
          <w:color w:val="auto"/>
          <w:sz w:val="24"/>
          <w:highlight w:val="none"/>
        </w:rPr>
        <w:t>磋商响应供应商出现下列情形之一的，磋商小组可取消其磋商资格：</w:t>
      </w:r>
    </w:p>
    <w:p w14:paraId="0AE02616">
      <w:pPr>
        <w:pStyle w:val="19"/>
        <w:keepNext w:val="0"/>
        <w:keepLines w:val="0"/>
        <w:pageBreakBefore w:val="0"/>
        <w:numPr>
          <w:ilvl w:val="0"/>
          <w:numId w:val="12"/>
        </w:numPr>
        <w:tabs>
          <w:tab w:val="left" w:pos="1342"/>
        </w:tabs>
        <w:kinsoku/>
        <w:wordWrap w:val="0"/>
        <w:overflowPunct/>
        <w:topLinePunct w:val="0"/>
        <w:bidi w:val="0"/>
        <w:spacing w:before="112"/>
        <w:rPr>
          <w:color w:val="auto"/>
          <w:sz w:val="24"/>
          <w:highlight w:val="none"/>
        </w:rPr>
      </w:pPr>
      <w:r>
        <w:rPr>
          <w:color w:val="auto"/>
          <w:sz w:val="24"/>
          <w:highlight w:val="none"/>
        </w:rPr>
        <w:t>未按磋商文件要求和规定提交实质性响应材料的；</w:t>
      </w:r>
    </w:p>
    <w:p w14:paraId="5B85EAE4">
      <w:pPr>
        <w:pStyle w:val="19"/>
        <w:keepNext w:val="0"/>
        <w:keepLines w:val="0"/>
        <w:pageBreakBefore w:val="0"/>
        <w:numPr>
          <w:ilvl w:val="0"/>
          <w:numId w:val="12"/>
        </w:numPr>
        <w:tabs>
          <w:tab w:val="left" w:pos="1342"/>
        </w:tabs>
        <w:kinsoku/>
        <w:wordWrap w:val="0"/>
        <w:overflowPunct/>
        <w:topLinePunct w:val="0"/>
        <w:bidi w:val="0"/>
        <w:spacing w:before="113"/>
        <w:rPr>
          <w:color w:val="auto"/>
          <w:sz w:val="24"/>
          <w:highlight w:val="none"/>
        </w:rPr>
      </w:pPr>
      <w:r>
        <w:rPr>
          <w:color w:val="auto"/>
          <w:sz w:val="24"/>
          <w:highlight w:val="none"/>
        </w:rPr>
        <w:t>相互串通磋商的（有下列情形之一的，视为磋商响应供应商相互串通磋商</w:t>
      </w:r>
      <w:r>
        <w:rPr>
          <w:color w:val="auto"/>
          <w:spacing w:val="-120"/>
          <w:sz w:val="24"/>
          <w:highlight w:val="none"/>
        </w:rPr>
        <w:t>）</w:t>
      </w:r>
      <w:r>
        <w:rPr>
          <w:color w:val="auto"/>
          <w:sz w:val="24"/>
          <w:highlight w:val="none"/>
        </w:rPr>
        <w:t>；</w:t>
      </w:r>
    </w:p>
    <w:p w14:paraId="0EF4F5F4">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A、不同磋商响应供应商的响应文件由同一单位或者个人编制</w:t>
      </w:r>
    </w:p>
    <w:p w14:paraId="02F0ECB2">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B、不同磋商响应供应商委托同一单位或者个人办理磋商事宜</w:t>
      </w:r>
    </w:p>
    <w:p w14:paraId="52FB056B">
      <w:pPr>
        <w:pStyle w:val="7"/>
        <w:keepNext w:val="0"/>
        <w:keepLines w:val="0"/>
        <w:pageBreakBefore w:val="0"/>
        <w:kinsoku/>
        <w:wordWrap w:val="0"/>
        <w:overflowPunct/>
        <w:topLinePunct w:val="0"/>
        <w:bidi w:val="0"/>
        <w:spacing w:before="112"/>
        <w:ind w:left="740"/>
        <w:rPr>
          <w:color w:val="auto"/>
          <w:highlight w:val="none"/>
        </w:rPr>
      </w:pPr>
      <w:r>
        <w:rPr>
          <w:color w:val="auto"/>
          <w:highlight w:val="none"/>
        </w:rPr>
        <w:t>C、不同磋商响应供应商的响应文件载明的项目管理成员为同一人</w:t>
      </w:r>
    </w:p>
    <w:p w14:paraId="2781BCCE">
      <w:pPr>
        <w:pStyle w:val="7"/>
        <w:keepNext w:val="0"/>
        <w:keepLines w:val="0"/>
        <w:pageBreakBefore w:val="0"/>
        <w:kinsoku/>
        <w:wordWrap w:val="0"/>
        <w:overflowPunct/>
        <w:topLinePunct w:val="0"/>
        <w:bidi w:val="0"/>
        <w:spacing w:before="113"/>
        <w:ind w:left="740"/>
        <w:rPr>
          <w:color w:val="auto"/>
          <w:highlight w:val="none"/>
        </w:rPr>
      </w:pPr>
      <w:r>
        <w:rPr>
          <w:color w:val="auto"/>
          <w:highlight w:val="none"/>
        </w:rPr>
        <w:t>D、不同磋商响应供应商的响应文件异常一致或者磋商报价呈规律性差异</w:t>
      </w:r>
    </w:p>
    <w:p w14:paraId="1783A6C8">
      <w:pPr>
        <w:pStyle w:val="7"/>
        <w:keepNext w:val="0"/>
        <w:keepLines w:val="0"/>
        <w:pageBreakBefore w:val="0"/>
        <w:kinsoku/>
        <w:wordWrap w:val="0"/>
        <w:overflowPunct/>
        <w:topLinePunct w:val="0"/>
        <w:bidi w:val="0"/>
        <w:spacing w:before="113"/>
        <w:ind w:left="740"/>
        <w:rPr>
          <w:color w:val="auto"/>
          <w:highlight w:val="none"/>
        </w:rPr>
      </w:pPr>
      <w:r>
        <w:rPr>
          <w:rFonts w:hint="eastAsia"/>
          <w:color w:val="auto"/>
          <w:highlight w:val="none"/>
          <w:lang w:val="en-US"/>
        </w:rPr>
        <w:t>E</w:t>
      </w:r>
      <w:r>
        <w:rPr>
          <w:color w:val="auto"/>
          <w:highlight w:val="none"/>
        </w:rPr>
        <w:t>、不同磋商响应供应商的磋商保证金从同一单位的账户转出</w:t>
      </w:r>
    </w:p>
    <w:p w14:paraId="50468ADE">
      <w:pPr>
        <w:pStyle w:val="19"/>
        <w:keepNext w:val="0"/>
        <w:keepLines w:val="0"/>
        <w:pageBreakBefore w:val="0"/>
        <w:numPr>
          <w:ilvl w:val="1"/>
          <w:numId w:val="11"/>
        </w:numPr>
        <w:tabs>
          <w:tab w:val="left" w:pos="1341"/>
        </w:tabs>
        <w:kinsoku/>
        <w:wordWrap w:val="0"/>
        <w:overflowPunct/>
        <w:topLinePunct w:val="0"/>
        <w:bidi w:val="0"/>
        <w:spacing w:before="112"/>
        <w:rPr>
          <w:color w:val="auto"/>
          <w:sz w:val="24"/>
          <w:highlight w:val="none"/>
        </w:rPr>
      </w:pPr>
      <w:r>
        <w:rPr>
          <w:color w:val="auto"/>
          <w:sz w:val="24"/>
          <w:highlight w:val="none"/>
        </w:rPr>
        <w:t>磋商响应供应商出现下列情形之一的，将被视为非实质性响应磋商文件要求：</w:t>
      </w:r>
    </w:p>
    <w:p w14:paraId="1B46D24C">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交货（完成）期限不确切或不符合磋商文件要求的；</w:t>
      </w:r>
    </w:p>
    <w:p w14:paraId="49E2B071">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最后报价有选择性的；</w:t>
      </w:r>
    </w:p>
    <w:p w14:paraId="31F29B0D">
      <w:pPr>
        <w:pStyle w:val="19"/>
        <w:keepNext w:val="0"/>
        <w:keepLines w:val="0"/>
        <w:pageBreakBefore w:val="0"/>
        <w:numPr>
          <w:ilvl w:val="0"/>
          <w:numId w:val="13"/>
        </w:numPr>
        <w:tabs>
          <w:tab w:val="left" w:pos="1221"/>
        </w:tabs>
        <w:kinsoku/>
        <w:wordWrap w:val="0"/>
        <w:overflowPunct/>
        <w:topLinePunct w:val="0"/>
        <w:bidi w:val="0"/>
        <w:spacing w:before="113"/>
        <w:rPr>
          <w:color w:val="auto"/>
          <w:sz w:val="24"/>
          <w:highlight w:val="none"/>
        </w:rPr>
      </w:pPr>
      <w:r>
        <w:rPr>
          <w:color w:val="auto"/>
          <w:sz w:val="24"/>
          <w:highlight w:val="none"/>
        </w:rPr>
        <w:t>最后报价超过采购预算金额的；</w:t>
      </w:r>
    </w:p>
    <w:p w14:paraId="2CDF9055">
      <w:pPr>
        <w:pStyle w:val="19"/>
        <w:keepNext w:val="0"/>
        <w:keepLines w:val="0"/>
        <w:pageBreakBefore w:val="0"/>
        <w:numPr>
          <w:ilvl w:val="0"/>
          <w:numId w:val="13"/>
        </w:numPr>
        <w:tabs>
          <w:tab w:val="left" w:pos="1221"/>
        </w:tabs>
        <w:kinsoku/>
        <w:wordWrap w:val="0"/>
        <w:overflowPunct/>
        <w:topLinePunct w:val="0"/>
        <w:bidi w:val="0"/>
        <w:spacing w:before="112"/>
        <w:rPr>
          <w:color w:val="auto"/>
          <w:sz w:val="24"/>
          <w:highlight w:val="none"/>
        </w:rPr>
      </w:pPr>
      <w:r>
        <w:rPr>
          <w:color w:val="auto"/>
          <w:sz w:val="24"/>
          <w:highlight w:val="none"/>
        </w:rPr>
        <w:t>被磋商小组认定存在重大负偏离的；</w:t>
      </w:r>
    </w:p>
    <w:p w14:paraId="7676E366">
      <w:pPr>
        <w:pStyle w:val="7"/>
        <w:keepNext w:val="0"/>
        <w:keepLines w:val="0"/>
        <w:pageBreakBefore w:val="0"/>
        <w:kinsoku/>
        <w:wordWrap w:val="0"/>
        <w:overflowPunct/>
        <w:topLinePunct w:val="0"/>
        <w:bidi w:val="0"/>
        <w:spacing w:before="113" w:line="328" w:lineRule="auto"/>
        <w:ind w:right="338" w:firstLine="420"/>
        <w:jc w:val="both"/>
        <w:rPr>
          <w:color w:val="auto"/>
          <w:highlight w:val="none"/>
        </w:rPr>
      </w:pPr>
      <w:r>
        <w:rPr>
          <w:color w:val="auto"/>
          <w:spacing w:val="-11"/>
          <w:highlight w:val="none"/>
        </w:rPr>
        <w:t>注：所谓重大负偏离是指磋商响应供应商对磋商文件的响应在范围、质量、数量和交</w:t>
      </w:r>
      <w:r>
        <w:rPr>
          <w:color w:val="auto"/>
          <w:highlight w:val="none"/>
        </w:rPr>
        <w:t>货（完成）期限、技术规格要求等方面明显不能满足采购需求的。重大负偏离的认定须经磋商小组三分之二以上同意。</w:t>
      </w:r>
    </w:p>
    <w:p w14:paraId="532CFC2A">
      <w:pPr>
        <w:pStyle w:val="5"/>
        <w:keepNext w:val="0"/>
        <w:keepLines w:val="0"/>
        <w:pageBreakBefore w:val="0"/>
        <w:numPr>
          <w:ilvl w:val="0"/>
          <w:numId w:val="11"/>
        </w:numPr>
        <w:tabs>
          <w:tab w:val="left" w:pos="1222"/>
        </w:tabs>
        <w:kinsoku/>
        <w:wordWrap w:val="0"/>
        <w:overflowPunct/>
        <w:topLinePunct w:val="0"/>
        <w:bidi w:val="0"/>
        <w:spacing w:line="304" w:lineRule="exact"/>
        <w:rPr>
          <w:color w:val="auto"/>
          <w:sz w:val="22"/>
          <w:highlight w:val="none"/>
        </w:rPr>
      </w:pPr>
      <w:bookmarkStart w:id="141" w:name="_Toc7366_WPSOffice_Level3"/>
      <w:r>
        <w:rPr>
          <w:color w:val="auto"/>
          <w:highlight w:val="none"/>
        </w:rPr>
        <w:t>询问</w:t>
      </w:r>
      <w:bookmarkEnd w:id="141"/>
    </w:p>
    <w:p w14:paraId="737C3654">
      <w:pPr>
        <w:pStyle w:val="19"/>
        <w:keepNext w:val="0"/>
        <w:keepLines w:val="0"/>
        <w:pageBreakBefore w:val="0"/>
        <w:numPr>
          <w:ilvl w:val="1"/>
          <w:numId w:val="11"/>
        </w:numPr>
        <w:tabs>
          <w:tab w:val="left" w:pos="1341"/>
        </w:tabs>
        <w:kinsoku/>
        <w:wordWrap w:val="0"/>
        <w:overflowPunct/>
        <w:topLinePunct w:val="0"/>
        <w:bidi w:val="0"/>
        <w:spacing w:before="112" w:line="328" w:lineRule="auto"/>
        <w:ind w:left="320" w:right="338" w:firstLine="420"/>
        <w:rPr>
          <w:color w:val="auto"/>
          <w:sz w:val="24"/>
          <w:highlight w:val="none"/>
        </w:rPr>
      </w:pPr>
      <w:r>
        <w:rPr>
          <w:color w:val="auto"/>
          <w:spacing w:val="-1"/>
          <w:sz w:val="24"/>
          <w:highlight w:val="none"/>
        </w:rPr>
        <w:t>磋商响应供应商对采购事项有疑问，可以按照《政府采购法》的相关规定向采</w:t>
      </w:r>
      <w:r>
        <w:rPr>
          <w:color w:val="auto"/>
          <w:sz w:val="24"/>
          <w:highlight w:val="none"/>
        </w:rPr>
        <w:t>购人或采购机构提出询问。</w:t>
      </w:r>
    </w:p>
    <w:p w14:paraId="0630A68E">
      <w:pPr>
        <w:pStyle w:val="5"/>
        <w:keepNext w:val="0"/>
        <w:keepLines w:val="0"/>
        <w:pageBreakBefore w:val="0"/>
        <w:numPr>
          <w:ilvl w:val="0"/>
          <w:numId w:val="11"/>
        </w:numPr>
        <w:tabs>
          <w:tab w:val="left" w:pos="1222"/>
        </w:tabs>
        <w:kinsoku/>
        <w:wordWrap w:val="0"/>
        <w:overflowPunct/>
        <w:topLinePunct w:val="0"/>
        <w:bidi w:val="0"/>
        <w:spacing w:line="304" w:lineRule="exact"/>
        <w:rPr>
          <w:rFonts w:ascii="宋体" w:hAnsi="宋体" w:eastAsia="宋体" w:cs="宋体"/>
          <w:color w:val="auto"/>
          <w:highlight w:val="none"/>
        </w:rPr>
      </w:pPr>
      <w:r>
        <w:rPr>
          <w:rFonts w:hint="eastAsia" w:ascii="宋体" w:hAnsi="宋体" w:eastAsia="宋体" w:cs="宋体"/>
          <w:color w:val="auto"/>
          <w:highlight w:val="none"/>
        </w:rPr>
        <w:t>重新招标</w:t>
      </w:r>
    </w:p>
    <w:p w14:paraId="364441D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highlight w:val="none"/>
          <w:lang w:val="en-US" w:eastAsia="zh-CN" w:bidi="ar-SA"/>
        </w:rPr>
      </w:pPr>
      <w:bookmarkStart w:id="142" w:name="_Toc391284777"/>
      <w:bookmarkStart w:id="143" w:name="_Toc438797215"/>
      <w:bookmarkStart w:id="144" w:name="_Toc438797980"/>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14:paraId="51467A09">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 </w:t>
      </w:r>
    </w:p>
    <w:p w14:paraId="32695E45">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影响磋商公正的违法、违规行为的； </w:t>
      </w:r>
    </w:p>
    <w:p w14:paraId="74096A19">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14:paraId="3CB6F0BE">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14:paraId="115707D8">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color w:val="auto"/>
          <w:sz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w:t>
      </w:r>
      <w:r>
        <w:rPr>
          <w:rFonts w:hint="eastAsia" w:ascii="宋体" w:hAnsi="宋体" w:cs="宋体"/>
          <w:b w:val="0"/>
          <w:bCs w:val="0"/>
          <w:color w:val="auto"/>
          <w:kern w:val="1"/>
          <w:sz w:val="24"/>
          <w:szCs w:val="24"/>
          <w:highlight w:val="none"/>
          <w:lang w:val="en-US" w:eastAsia="zh-CN" w:bidi="ar-SA"/>
        </w:rPr>
        <w:t>开标的</w:t>
      </w:r>
      <w:r>
        <w:rPr>
          <w:rFonts w:hint="eastAsia" w:ascii="宋体" w:hAnsi="宋体" w:eastAsia="宋体" w:cs="宋体"/>
          <w:b w:val="0"/>
          <w:bCs w:val="0"/>
          <w:color w:val="auto"/>
          <w:kern w:val="1"/>
          <w:sz w:val="24"/>
          <w:szCs w:val="24"/>
          <w:highlight w:val="none"/>
          <w:lang w:val="en-US" w:eastAsia="zh-CN" w:bidi="ar-SA"/>
        </w:rPr>
        <w:t>供应商不足3家的，应重新组织采购，评审期间</w:t>
      </w:r>
      <w:r>
        <w:rPr>
          <w:rFonts w:hint="eastAsia" w:ascii="宋体" w:hAnsi="宋体" w:cs="宋体"/>
          <w:b w:val="0"/>
          <w:bCs w:val="0"/>
          <w:color w:val="auto"/>
          <w:kern w:val="1"/>
          <w:sz w:val="24"/>
          <w:szCs w:val="24"/>
          <w:highlight w:val="none"/>
          <w:lang w:val="en-US" w:eastAsia="zh-CN" w:bidi="ar-SA"/>
        </w:rPr>
        <w:t>通过资格审查</w:t>
      </w:r>
      <w:r>
        <w:rPr>
          <w:rFonts w:hint="eastAsia" w:ascii="宋体" w:hAnsi="宋体" w:eastAsia="宋体" w:cs="宋体"/>
          <w:b w:val="0"/>
          <w:bCs w:val="0"/>
          <w:color w:val="auto"/>
          <w:kern w:val="1"/>
          <w:sz w:val="24"/>
          <w:szCs w:val="24"/>
          <w:highlight w:val="none"/>
          <w:lang w:val="en-US" w:eastAsia="zh-CN" w:bidi="ar-SA"/>
        </w:rPr>
        <w:t>的供应商或者对磋商响应文件作出实质响应的供应商不足3家的，应重新组织采购。</w:t>
      </w:r>
      <w:bookmarkEnd w:id="142"/>
      <w:bookmarkEnd w:id="143"/>
      <w:bookmarkEnd w:id="144"/>
    </w:p>
    <w:p w14:paraId="02AFAF5A">
      <w:pPr>
        <w:pStyle w:val="5"/>
        <w:keepNext w:val="0"/>
        <w:keepLines w:val="0"/>
        <w:pageBreakBefore w:val="0"/>
        <w:numPr>
          <w:ilvl w:val="0"/>
          <w:numId w:val="11"/>
        </w:numPr>
        <w:tabs>
          <w:tab w:val="left" w:pos="1105"/>
        </w:tabs>
        <w:kinsoku/>
        <w:wordWrap w:val="0"/>
        <w:overflowPunct/>
        <w:topLinePunct w:val="0"/>
        <w:bidi w:val="0"/>
        <w:spacing w:line="305" w:lineRule="exact"/>
        <w:ind w:left="1104" w:hanging="364"/>
        <w:rPr>
          <w:color w:val="auto"/>
          <w:sz w:val="22"/>
          <w:highlight w:val="none"/>
        </w:rPr>
      </w:pPr>
      <w:bookmarkStart w:id="145" w:name="_Toc13604_WPSOffice_Level3"/>
      <w:r>
        <w:rPr>
          <w:color w:val="auto"/>
          <w:highlight w:val="none"/>
        </w:rPr>
        <w:t>质疑程序及处理</w:t>
      </w:r>
      <w:bookmarkEnd w:id="145"/>
    </w:p>
    <w:p w14:paraId="071B1C26">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38" w:firstLine="420"/>
        <w:jc w:val="both"/>
        <w:rPr>
          <w:color w:val="auto"/>
          <w:sz w:val="24"/>
          <w:highlight w:val="none"/>
        </w:rPr>
      </w:pPr>
      <w:r>
        <w:rPr>
          <w:color w:val="auto"/>
          <w:spacing w:val="-1"/>
          <w:sz w:val="24"/>
          <w:highlight w:val="none"/>
        </w:rPr>
        <w:t>若竞争性磋商响应人认为其磋商未获公平评审或磋商文件、采购过程和成交结</w:t>
      </w:r>
      <w:r>
        <w:rPr>
          <w:color w:val="auto"/>
          <w:spacing w:val="-4"/>
          <w:sz w:val="24"/>
          <w:highlight w:val="none"/>
        </w:rPr>
        <w:t xml:space="preserve">果使自己的合法权益受到损害，可以在知道或者应知其权益受到损害之日起 </w:t>
      </w:r>
      <w:r>
        <w:rPr>
          <w:color w:val="auto"/>
          <w:sz w:val="24"/>
          <w:highlight w:val="none"/>
        </w:rPr>
        <w:t>7</w:t>
      </w:r>
      <w:r>
        <w:rPr>
          <w:color w:val="auto"/>
          <w:spacing w:val="-4"/>
          <w:sz w:val="24"/>
          <w:highlight w:val="none"/>
        </w:rPr>
        <w:t xml:space="preserve"> 个工作日</w:t>
      </w:r>
      <w:r>
        <w:rPr>
          <w:color w:val="auto"/>
          <w:sz w:val="24"/>
          <w:highlight w:val="none"/>
        </w:rPr>
        <w:t>内，将质疑书原件送达采购人或采购代理机构。提出质疑期限的计算，依照下列规定办理：</w:t>
      </w:r>
    </w:p>
    <w:p w14:paraId="3C532CE4">
      <w:pPr>
        <w:pStyle w:val="7"/>
        <w:keepNext w:val="0"/>
        <w:keepLines w:val="0"/>
        <w:pageBreakBefore w:val="0"/>
        <w:kinsoku/>
        <w:wordWrap w:val="0"/>
        <w:overflowPunct/>
        <w:topLinePunct w:val="0"/>
        <w:bidi w:val="0"/>
        <w:spacing w:line="328" w:lineRule="auto"/>
        <w:ind w:right="338" w:firstLine="420"/>
        <w:rPr>
          <w:color w:val="auto"/>
          <w:highlight w:val="none"/>
        </w:rPr>
      </w:pPr>
      <w:r>
        <w:rPr>
          <w:color w:val="auto"/>
          <w:highlight w:val="none"/>
        </w:rPr>
        <w:t>（一</w:t>
      </w:r>
      <w:r>
        <w:rPr>
          <w:color w:val="auto"/>
          <w:spacing w:val="-58"/>
          <w:highlight w:val="none"/>
        </w:rPr>
        <w:t>）</w:t>
      </w:r>
      <w:r>
        <w:rPr>
          <w:color w:val="auto"/>
          <w:spacing w:val="-5"/>
          <w:highlight w:val="none"/>
        </w:rPr>
        <w:t>对可以质疑的磋商文件提出质疑的，为收到磋商文件之日或者磋商文件公告期</w:t>
      </w:r>
      <w:r>
        <w:rPr>
          <w:color w:val="auto"/>
          <w:highlight w:val="none"/>
        </w:rPr>
        <w:t>限届满之日；</w:t>
      </w:r>
    </w:p>
    <w:p w14:paraId="62B4EE55">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（二）对采购过程提出质疑的，为各采购程序环节结束之日；</w:t>
      </w:r>
    </w:p>
    <w:p w14:paraId="264B4AE7">
      <w:pPr>
        <w:pStyle w:val="7"/>
        <w:keepNext w:val="0"/>
        <w:keepLines w:val="0"/>
        <w:pageBreakBefore w:val="0"/>
        <w:kinsoku/>
        <w:wordWrap w:val="0"/>
        <w:overflowPunct/>
        <w:topLinePunct w:val="0"/>
        <w:bidi w:val="0"/>
        <w:spacing w:before="107"/>
        <w:ind w:left="740"/>
        <w:rPr>
          <w:color w:val="auto"/>
          <w:highlight w:val="none"/>
        </w:rPr>
      </w:pPr>
      <w:r>
        <w:rPr>
          <w:color w:val="auto"/>
          <w:highlight w:val="none"/>
        </w:rPr>
        <w:t>（三）对成交结果提出质疑的，为成交结果公告期限届满之日。</w:t>
      </w:r>
    </w:p>
    <w:p w14:paraId="286FD5C9">
      <w:pPr>
        <w:pStyle w:val="19"/>
        <w:keepNext w:val="0"/>
        <w:keepLines w:val="0"/>
        <w:pageBreakBefore w:val="0"/>
        <w:numPr>
          <w:ilvl w:val="1"/>
          <w:numId w:val="11"/>
        </w:numPr>
        <w:tabs>
          <w:tab w:val="left" w:pos="1341"/>
        </w:tabs>
        <w:kinsoku/>
        <w:wordWrap w:val="0"/>
        <w:overflowPunct/>
        <w:topLinePunct w:val="0"/>
        <w:bidi w:val="0"/>
        <w:spacing w:before="113" w:line="328" w:lineRule="auto"/>
        <w:ind w:left="320" w:right="340" w:firstLine="420"/>
        <w:rPr>
          <w:color w:val="auto"/>
          <w:sz w:val="24"/>
          <w:highlight w:val="none"/>
        </w:rPr>
      </w:pPr>
      <w:r>
        <w:rPr>
          <w:color w:val="auto"/>
          <w:spacing w:val="-1"/>
          <w:sz w:val="24"/>
          <w:highlight w:val="none"/>
        </w:rPr>
        <w:t>质疑书应当包括下列主要内容，并按照“谁主张、谁举证”的原则，附上相关</w:t>
      </w:r>
      <w:r>
        <w:rPr>
          <w:color w:val="auto"/>
          <w:sz w:val="24"/>
          <w:highlight w:val="none"/>
        </w:rPr>
        <w:t>证明材料。否则，采购人不予受理：</w:t>
      </w:r>
    </w:p>
    <w:p w14:paraId="1443A078">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（一</w:t>
      </w:r>
      <w:r>
        <w:rPr>
          <w:color w:val="auto"/>
          <w:spacing w:val="-24"/>
          <w:highlight w:val="none"/>
        </w:rPr>
        <w:t>）</w:t>
      </w:r>
      <w:r>
        <w:rPr>
          <w:color w:val="auto"/>
          <w:spacing w:val="-7"/>
          <w:highlight w:val="none"/>
        </w:rPr>
        <w:t>质疑磋商响应供应商全称、地址、法定代表人、联系人及联系电话、邮政编码</w:t>
      </w:r>
      <w:r>
        <w:rPr>
          <w:color w:val="auto"/>
          <w:highlight w:val="none"/>
        </w:rPr>
        <w:t>等；</w:t>
      </w:r>
    </w:p>
    <w:p w14:paraId="19375C35">
      <w:pPr>
        <w:pStyle w:val="7"/>
        <w:keepNext w:val="0"/>
        <w:keepLines w:val="0"/>
        <w:pageBreakBefore w:val="0"/>
        <w:kinsoku/>
        <w:wordWrap w:val="0"/>
        <w:overflowPunct/>
        <w:topLinePunct w:val="0"/>
        <w:bidi w:val="0"/>
        <w:spacing w:line="305" w:lineRule="exact"/>
        <w:ind w:left="740"/>
        <w:rPr>
          <w:color w:val="auto"/>
          <w:highlight w:val="none"/>
        </w:rPr>
      </w:pPr>
      <w:r>
        <w:rPr>
          <w:color w:val="auto"/>
          <w:highlight w:val="none"/>
        </w:rPr>
        <w:t>（二）被质疑采购项目的名称、编号；</w:t>
      </w:r>
    </w:p>
    <w:p w14:paraId="4B5076E6">
      <w:pPr>
        <w:pStyle w:val="7"/>
        <w:keepNext w:val="0"/>
        <w:keepLines w:val="0"/>
        <w:pageBreakBefore w:val="0"/>
        <w:kinsoku/>
        <w:wordWrap w:val="0"/>
        <w:overflowPunct/>
        <w:topLinePunct w:val="0"/>
        <w:bidi w:val="0"/>
        <w:spacing w:before="110"/>
        <w:ind w:left="740"/>
        <w:rPr>
          <w:color w:val="auto"/>
          <w:highlight w:val="none"/>
        </w:rPr>
      </w:pPr>
      <w:r>
        <w:rPr>
          <w:color w:val="auto"/>
          <w:highlight w:val="none"/>
        </w:rPr>
        <w:t>（三）质疑的具体事项、明确的请求和主张；</w:t>
      </w:r>
    </w:p>
    <w:p w14:paraId="4A85D6CD">
      <w:pPr>
        <w:pStyle w:val="7"/>
        <w:keepNext w:val="0"/>
        <w:keepLines w:val="0"/>
        <w:pageBreakBefore w:val="0"/>
        <w:kinsoku/>
        <w:wordWrap w:val="0"/>
        <w:overflowPunct/>
        <w:topLinePunct w:val="0"/>
        <w:bidi w:val="0"/>
        <w:spacing w:before="112" w:line="328" w:lineRule="auto"/>
        <w:ind w:right="338" w:firstLine="420"/>
        <w:rPr>
          <w:color w:val="auto"/>
          <w:highlight w:val="none"/>
        </w:rPr>
      </w:pPr>
      <w:r>
        <w:rPr>
          <w:color w:val="auto"/>
          <w:highlight w:val="none"/>
        </w:rPr>
        <w:t>（四）质疑所依据的法律依据（具体条款</w:t>
      </w:r>
      <w:r>
        <w:rPr>
          <w:color w:val="auto"/>
          <w:spacing w:val="-120"/>
          <w:highlight w:val="none"/>
        </w:rPr>
        <w:t>）</w:t>
      </w:r>
      <w:r>
        <w:rPr>
          <w:color w:val="auto"/>
          <w:spacing w:val="-1"/>
          <w:highlight w:val="none"/>
        </w:rPr>
        <w:t>、具体事实和具体理由。质疑书依据理由</w:t>
      </w:r>
      <w:r>
        <w:rPr>
          <w:color w:val="auto"/>
          <w:highlight w:val="none"/>
        </w:rPr>
        <w:t>部分只有主观陈述、推理、猜测等，而没有提供客观事实依据、法律依据的；</w:t>
      </w:r>
    </w:p>
    <w:p w14:paraId="2416E96C">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A3B69CF">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（六）充足有效的相关证明材料；如果涉及到产品功能或技术指标的，应出具相关制造商的证明文件；</w:t>
      </w:r>
    </w:p>
    <w:p w14:paraId="61B7C400">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（七）质疑材料中有外文资料的，应一并附上中文译本，并以中文译本为准。</w:t>
      </w:r>
    </w:p>
    <w:p w14:paraId="37D0BB67">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（八）提起质疑的日期</w:t>
      </w:r>
    </w:p>
    <w:p w14:paraId="2AF9B338">
      <w:pPr>
        <w:pStyle w:val="7"/>
        <w:keepNext w:val="0"/>
        <w:keepLines w:val="0"/>
        <w:pageBreakBefore w:val="0"/>
        <w:kinsoku/>
        <w:wordWrap w:val="0"/>
        <w:overflowPunct/>
        <w:topLinePunct w:val="0"/>
        <w:bidi w:val="0"/>
        <w:spacing w:line="328" w:lineRule="auto"/>
        <w:ind w:right="337" w:firstLine="420"/>
        <w:rPr>
          <w:color w:val="auto"/>
          <w:highlight w:val="none"/>
        </w:rPr>
      </w:pPr>
      <w:r>
        <w:rPr>
          <w:color w:val="auto"/>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CEFA19D">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磋商响应供应商委托代理人办理质疑事宜，应当提交授权委托书，并载明委托</w:t>
      </w:r>
      <w:r>
        <w:rPr>
          <w:color w:val="auto"/>
          <w:sz w:val="24"/>
          <w:highlight w:val="none"/>
        </w:rPr>
        <w:t>代理的具体权限和事项。授权委托书应当由委托人签字并加盖单位公章。</w:t>
      </w:r>
    </w:p>
    <w:p w14:paraId="02B48627">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提交质疑书时，磋商响应供应商应同时提交本人身份证，委托他人代理质疑事</w:t>
      </w:r>
      <w:r>
        <w:rPr>
          <w:color w:val="auto"/>
          <w:sz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72836EE9">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质疑书提交方式。磋商响应供应商或者其委托代理人应当当面提交质疑书及相</w:t>
      </w:r>
      <w:r>
        <w:rPr>
          <w:color w:val="auto"/>
          <w:sz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14:paraId="22C9C8C7">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sz w:val="24"/>
          <w:highlight w:val="none"/>
        </w:rPr>
      </w:pPr>
      <w:r>
        <w:rPr>
          <w:color w:val="auto"/>
          <w:spacing w:val="-1"/>
          <w:sz w:val="24"/>
          <w:highlight w:val="none"/>
        </w:rPr>
        <w:t>磋商响应供应商不得虚假质疑和恶意质疑，并对质疑内容的真实性承担责任。</w:t>
      </w:r>
      <w:r>
        <w:rPr>
          <w:color w:val="auto"/>
          <w:sz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574039FE">
      <w:pPr>
        <w:pStyle w:val="19"/>
        <w:keepNext w:val="0"/>
        <w:keepLines w:val="0"/>
        <w:pageBreakBefore w:val="0"/>
        <w:numPr>
          <w:ilvl w:val="1"/>
          <w:numId w:val="11"/>
        </w:numPr>
        <w:tabs>
          <w:tab w:val="left" w:pos="1341"/>
        </w:tabs>
        <w:kinsoku/>
        <w:wordWrap w:val="0"/>
        <w:overflowPunct/>
        <w:topLinePunct w:val="0"/>
        <w:bidi w:val="0"/>
        <w:spacing w:line="328" w:lineRule="auto"/>
        <w:ind w:left="320" w:right="218" w:firstLine="420"/>
        <w:jc w:val="both"/>
        <w:rPr>
          <w:color w:val="auto"/>
          <w:sz w:val="24"/>
          <w:highlight w:val="none"/>
        </w:rPr>
      </w:pPr>
      <w:r>
        <w:rPr>
          <w:color w:val="auto"/>
          <w:sz w:val="24"/>
          <w:highlight w:val="none"/>
        </w:rPr>
        <w:t>采购人将在收到符合上述条件的书面质疑后 7</w:t>
      </w:r>
      <w:r>
        <w:rPr>
          <w:color w:val="auto"/>
          <w:spacing w:val="-9"/>
          <w:sz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highlight w:val="none"/>
        </w:rPr>
        <w:t>管理部门审查。采购人遵循“谁过错谁负担”的原则，有过错的一方承担调查论证费用。</w:t>
      </w:r>
    </w:p>
    <w:p w14:paraId="5C5C25F9">
      <w:pPr>
        <w:pStyle w:val="19"/>
        <w:keepNext w:val="0"/>
        <w:keepLines w:val="0"/>
        <w:pageBreakBefore w:val="0"/>
        <w:numPr>
          <w:ilvl w:val="1"/>
          <w:numId w:val="11"/>
        </w:numPr>
        <w:tabs>
          <w:tab w:val="left" w:pos="1341"/>
        </w:tabs>
        <w:kinsoku/>
        <w:wordWrap w:val="0"/>
        <w:overflowPunct/>
        <w:topLinePunct w:val="0"/>
        <w:bidi w:val="0"/>
        <w:spacing w:line="328" w:lineRule="auto"/>
        <w:ind w:left="320" w:right="338" w:firstLine="420"/>
        <w:jc w:val="both"/>
        <w:rPr>
          <w:color w:val="auto"/>
          <w:highlight w:val="none"/>
        </w:rPr>
      </w:pPr>
      <w:r>
        <w:rPr>
          <w:color w:val="auto"/>
          <w:spacing w:val="-1"/>
          <w:sz w:val="24"/>
          <w:highlight w:val="none"/>
        </w:rPr>
        <w:t xml:space="preserve">质疑供应商对采购人的答复不满意以及采购人未在规定的时间内做出答复的， </w:t>
      </w:r>
      <w:r>
        <w:rPr>
          <w:color w:val="auto"/>
          <w:spacing w:val="-7"/>
          <w:sz w:val="24"/>
          <w:highlight w:val="none"/>
        </w:rPr>
        <w:t xml:space="preserve">可以在答复期满后 </w:t>
      </w:r>
      <w:r>
        <w:rPr>
          <w:color w:val="auto"/>
          <w:sz w:val="24"/>
          <w:highlight w:val="none"/>
        </w:rPr>
        <w:t>15</w:t>
      </w:r>
      <w:r>
        <w:rPr>
          <w:color w:val="auto"/>
          <w:spacing w:val="-8"/>
          <w:sz w:val="24"/>
          <w:highlight w:val="none"/>
        </w:rPr>
        <w:t xml:space="preserve"> 个工作日内向财政部门投诉。</w:t>
      </w:r>
    </w:p>
    <w:p w14:paraId="31D37EF9">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372D88C3">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2C6E42B5">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4"/>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5D16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FE287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59D7D9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0A50F8">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947A3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4EB7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233532">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2748E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C725FC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6D788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457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36FC80">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72286A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A7B50F">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D87071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0272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EB5229">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43C95">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5DD67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F2785D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4B9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66F689">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AE22BB">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EE903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A43EA2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1785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3277026">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DE5401">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40262D">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2E27ED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76D9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8DB037">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81D8D93">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9DEA4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430B32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1215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43992F3E">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420D98EC">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55AF824">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655BC6E">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E57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90F813">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37F780">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11BB1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2F3E0E9">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56CF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D992D7">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D5C92A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79575A">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0D75CBD">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0186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5BDC33">
            <w:pPr>
              <w:keepNext w:val="0"/>
              <w:keepLines w:val="0"/>
              <w:pageBreakBefore w:val="0"/>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B519B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F13BC6">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B0A82F2">
            <w:pPr>
              <w:keepNext w:val="0"/>
              <w:keepLines w:val="0"/>
              <w:pageBreakBefore w:val="0"/>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EB0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11AA025">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CD569DB">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283E2F04">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7B68E871">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8E930BB">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263363CE">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429F29B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0960C3F6">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30DAEB9D">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6DEDE616">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47357CF0">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pPr>
    </w:p>
    <w:p w14:paraId="09DE8F58">
      <w:pPr>
        <w:pStyle w:val="19"/>
        <w:keepNext w:val="0"/>
        <w:keepLines w:val="0"/>
        <w:pageBreakBefore w:val="0"/>
        <w:widowControl w:val="0"/>
        <w:numPr>
          <w:ilvl w:val="0"/>
          <w:numId w:val="0"/>
        </w:numPr>
        <w:tabs>
          <w:tab w:val="left" w:pos="1341"/>
        </w:tabs>
        <w:kinsoku/>
        <w:wordWrap w:val="0"/>
        <w:overflowPunct/>
        <w:topLinePunct w:val="0"/>
        <w:autoSpaceDE w:val="0"/>
        <w:autoSpaceDN w:val="0"/>
        <w:bidi w:val="0"/>
        <w:spacing w:line="328" w:lineRule="auto"/>
        <w:ind w:right="338" w:rightChars="0"/>
        <w:jc w:val="both"/>
        <w:rPr>
          <w:color w:val="auto"/>
          <w:highlight w:val="none"/>
        </w:rPr>
        <w:sectPr>
          <w:footerReference r:id="rId6" w:type="default"/>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0E03C65F">
      <w:pPr>
        <w:pStyle w:val="2"/>
        <w:keepNext w:val="0"/>
        <w:keepLines w:val="0"/>
        <w:pageBreakBefore w:val="0"/>
        <w:numPr>
          <w:ilvl w:val="0"/>
          <w:numId w:val="0"/>
        </w:numPr>
        <w:kinsoku/>
        <w:wordWrap w:val="0"/>
        <w:overflowPunct/>
        <w:topLinePunct w:val="0"/>
        <w:bidi w:val="0"/>
        <w:spacing w:before="31"/>
        <w:jc w:val="center"/>
        <w:rPr>
          <w:color w:val="auto"/>
          <w:highlight w:val="none"/>
        </w:rPr>
      </w:pPr>
      <w:bookmarkStart w:id="146" w:name="_Toc25877"/>
      <w:r>
        <w:rPr>
          <w:rFonts w:hint="eastAsia"/>
          <w:color w:val="auto"/>
          <w:highlight w:val="none"/>
          <w:lang w:eastAsia="zh-CN"/>
        </w:rPr>
        <w:t>第三章</w:t>
      </w:r>
      <w:r>
        <w:rPr>
          <w:rFonts w:hint="eastAsia"/>
          <w:color w:val="auto"/>
          <w:highlight w:val="none"/>
          <w:lang w:val="en-US" w:eastAsia="zh-CN"/>
        </w:rPr>
        <w:t xml:space="preserve"> </w:t>
      </w:r>
      <w:r>
        <w:rPr>
          <w:color w:val="auto"/>
          <w:highlight w:val="none"/>
        </w:rPr>
        <w:t>采购需求及参数要求</w:t>
      </w:r>
      <w:bookmarkEnd w:id="146"/>
    </w:p>
    <w:p w14:paraId="66606819">
      <w:pPr>
        <w:keepNext w:val="0"/>
        <w:keepLines w:val="0"/>
        <w:pageBreakBefore w:val="0"/>
        <w:kinsoku/>
        <w:wordWrap w:val="0"/>
        <w:overflowPunct/>
        <w:topLinePunct w:val="0"/>
        <w:bidi w:val="0"/>
        <w:rPr>
          <w:b/>
          <w:bCs/>
          <w:color w:val="auto"/>
          <w:highlight w:val="none"/>
        </w:rPr>
      </w:pPr>
    </w:p>
    <w:p w14:paraId="5397EA2E">
      <w:pPr>
        <w:pStyle w:val="19"/>
        <w:keepNext w:val="0"/>
        <w:keepLines w:val="0"/>
        <w:pageBreakBefore w:val="0"/>
        <w:numPr>
          <w:ilvl w:val="0"/>
          <w:numId w:val="0"/>
        </w:numPr>
        <w:tabs>
          <w:tab w:val="left" w:pos="1341"/>
        </w:tabs>
        <w:kinsoku/>
        <w:wordWrap w:val="0"/>
        <w:overflowPunct/>
        <w:topLinePunct w:val="0"/>
        <w:bidi w:val="0"/>
        <w:spacing w:line="328" w:lineRule="auto"/>
        <w:ind w:right="218" w:rightChars="0" w:firstLine="432" w:firstLineChars="200"/>
        <w:jc w:val="both"/>
        <w:rPr>
          <w:rFonts w:hint="eastAsia"/>
          <w:color w:val="auto"/>
          <w:spacing w:val="-12"/>
          <w:sz w:val="24"/>
          <w:highlight w:val="none"/>
          <w:lang w:val="en-US"/>
        </w:rPr>
      </w:pPr>
      <w:r>
        <w:rPr>
          <w:rFonts w:hint="eastAsia" w:ascii="宋体" w:hAnsi="宋体" w:eastAsia="宋体" w:cs="宋体"/>
          <w:color w:val="auto"/>
          <w:spacing w:val="-12"/>
          <w:sz w:val="24"/>
          <w:szCs w:val="22"/>
          <w:highlight w:val="none"/>
          <w:lang w:val="en-US" w:eastAsia="zh-CN" w:bidi="zh-CN"/>
        </w:rPr>
        <w:t>一、</w:t>
      </w:r>
      <w:r>
        <w:rPr>
          <w:rFonts w:hint="eastAsia"/>
          <w:b/>
          <w:bCs/>
          <w:color w:val="auto"/>
          <w:spacing w:val="-12"/>
          <w:sz w:val="24"/>
          <w:highlight w:val="none"/>
          <w:lang w:val="en-US"/>
        </w:rPr>
        <w:t>项目概况</w:t>
      </w:r>
      <w:r>
        <w:rPr>
          <w:rFonts w:hint="eastAsia"/>
          <w:color w:val="auto"/>
          <w:spacing w:val="-12"/>
          <w:sz w:val="24"/>
          <w:highlight w:val="none"/>
          <w:lang w:val="en-US"/>
        </w:rPr>
        <w:t>：</w:t>
      </w:r>
    </w:p>
    <w:p w14:paraId="159F9DF6">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val="en-US" w:eastAsia="zh-CN"/>
        </w:rPr>
        <w:t>卢氏县重点非煤矿山视频智能监控系统及尾矿库在线监测系统建设项目</w:t>
      </w:r>
    </w:p>
    <w:p w14:paraId="33FD05E4">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项目编号：三卢竞磋采购-2025-60、LSGZ[2025]129-ZC091</w:t>
      </w:r>
    </w:p>
    <w:p w14:paraId="08EE3A1C">
      <w:pPr>
        <w:pStyle w:val="7"/>
        <w:keepNext w:val="0"/>
        <w:keepLines w:val="0"/>
        <w:pageBreakBefore w:val="0"/>
        <w:widowControl w:val="0"/>
        <w:kinsoku/>
        <w:wordWrap w:val="0"/>
        <w:overflowPunct/>
        <w:topLinePunct w:val="0"/>
        <w:autoSpaceDE w:val="0"/>
        <w:autoSpaceDN w:val="0"/>
        <w:bidi w:val="0"/>
        <w:adjustRightInd/>
        <w:snapToGrid/>
        <w:spacing w:before="244" w:line="36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3、采购人：卢氏县应急管理局</w:t>
      </w:r>
    </w:p>
    <w:p w14:paraId="0BB90F86">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360" w:lineRule="exact"/>
        <w:ind w:firstLine="480" w:firstLineChars="200"/>
        <w:textAlignment w:val="auto"/>
        <w:rPr>
          <w:bCs/>
          <w:color w:val="auto"/>
          <w:sz w:val="24"/>
          <w:szCs w:val="24"/>
          <w:highlight w:val="none"/>
        </w:rPr>
      </w:pPr>
      <w:r>
        <w:rPr>
          <w:rFonts w:hint="eastAsia" w:ascii="宋体" w:hAnsi="宋体" w:eastAsia="宋体" w:cs="宋体"/>
          <w:color w:val="auto"/>
          <w:sz w:val="24"/>
          <w:szCs w:val="24"/>
          <w:highlight w:val="none"/>
          <w:lang w:val="en-US" w:eastAsia="zh-CN"/>
        </w:rPr>
        <w:t xml:space="preserve">4、采购内容: </w:t>
      </w:r>
      <w:r>
        <w:rPr>
          <w:rFonts w:hint="eastAsia" w:cs="宋体"/>
          <w:color w:val="auto"/>
          <w:sz w:val="24"/>
          <w:szCs w:val="24"/>
          <w:highlight w:val="none"/>
          <w:lang w:val="en-US" w:eastAsia="zh-CN"/>
        </w:rPr>
        <w:t>一标段</w:t>
      </w:r>
      <w:r>
        <w:rPr>
          <w:rFonts w:hint="eastAsia" w:ascii="宋体" w:hAnsi="宋体" w:eastAsia="宋体" w:cs="宋体"/>
          <w:color w:val="auto"/>
          <w:sz w:val="24"/>
          <w:szCs w:val="24"/>
          <w:highlight w:val="none"/>
          <w:lang w:val="en-US" w:eastAsia="zh-CN"/>
        </w:rPr>
        <w:t>主要内容为</w:t>
      </w:r>
      <w:r>
        <w:rPr>
          <w:rFonts w:hint="eastAsia"/>
          <w:bCs/>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地下矿山卢氏柳关栾卢铅锌矿、双河金矿</w:t>
      </w:r>
      <w:r>
        <w:rPr>
          <w:rFonts w:hint="eastAsia"/>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安全监测监控系统；</w:t>
      </w:r>
    </w:p>
    <w:p w14:paraId="71D081A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ascii="宋体" w:hAnsi="宋体" w:eastAsia="宋体" w:cs="宋体"/>
          <w:bCs/>
          <w:color w:val="auto"/>
          <w:sz w:val="24"/>
          <w:szCs w:val="24"/>
          <w:highlight w:val="none"/>
          <w:lang w:val="en-US" w:eastAsia="zh-CN" w:bidi="zh-CN"/>
        </w:rPr>
      </w:pPr>
      <w:r>
        <w:rPr>
          <w:rFonts w:hint="eastAsia" w:cs="宋体"/>
          <w:bCs/>
          <w:color w:val="auto"/>
          <w:sz w:val="24"/>
          <w:szCs w:val="24"/>
          <w:highlight w:val="none"/>
          <w:lang w:val="en-US" w:eastAsia="zh-CN" w:bidi="zh-CN"/>
        </w:rPr>
        <w:t>5</w:t>
      </w:r>
      <w:r>
        <w:rPr>
          <w:rFonts w:ascii="宋体" w:hAnsi="宋体" w:eastAsia="宋体" w:cs="宋体"/>
          <w:bCs/>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rPr>
        <w:t>采购预算：一标段：452820.00元</w:t>
      </w:r>
    </w:p>
    <w:p w14:paraId="2782B94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default"/>
          <w:bCs/>
          <w:color w:val="auto"/>
          <w:sz w:val="24"/>
          <w:szCs w:val="24"/>
          <w:highlight w:val="none"/>
          <w:lang w:val="en-US"/>
        </w:rPr>
      </w:pPr>
      <w:r>
        <w:rPr>
          <w:rFonts w:hint="eastAsia" w:cs="宋体"/>
          <w:bCs/>
          <w:color w:val="auto"/>
          <w:sz w:val="24"/>
          <w:szCs w:val="24"/>
          <w:highlight w:val="none"/>
          <w:lang w:val="en-US" w:eastAsia="zh-CN" w:bidi="zh-CN"/>
        </w:rPr>
        <w:t>6</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资金</w:t>
      </w:r>
      <w:r>
        <w:rPr>
          <w:rFonts w:hint="eastAsia" w:ascii="宋体" w:hAnsi="宋体" w:eastAsia="宋体" w:cs="宋体"/>
          <w:bCs/>
          <w:color w:val="auto"/>
          <w:sz w:val="24"/>
          <w:szCs w:val="24"/>
          <w:highlight w:val="none"/>
        </w:rPr>
        <w:t>来源：</w:t>
      </w:r>
      <w:r>
        <w:rPr>
          <w:rFonts w:hint="eastAsia" w:ascii="宋体" w:hAnsi="宋体" w:eastAsia="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资金，已落实</w:t>
      </w:r>
    </w:p>
    <w:p w14:paraId="69BE3197">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bCs/>
          <w:color w:val="auto"/>
          <w:sz w:val="24"/>
          <w:szCs w:val="24"/>
          <w:highlight w:val="none"/>
        </w:rPr>
      </w:pPr>
      <w:r>
        <w:rPr>
          <w:rFonts w:hint="eastAsia" w:cs="宋体"/>
          <w:bCs/>
          <w:color w:val="auto"/>
          <w:sz w:val="24"/>
          <w:szCs w:val="24"/>
          <w:highlight w:val="none"/>
          <w:lang w:val="en-US" w:eastAsia="zh-CN" w:bidi="zh-CN"/>
        </w:rPr>
        <w:t>7</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质量要求：</w:t>
      </w:r>
      <w:r>
        <w:rPr>
          <w:rFonts w:hint="eastAsia"/>
          <w:bCs/>
          <w:color w:val="auto"/>
          <w:sz w:val="24"/>
          <w:szCs w:val="24"/>
          <w:highlight w:val="none"/>
          <w:lang w:eastAsia="zh-CN"/>
        </w:rPr>
        <w:t>合格且满足采购人需求，</w:t>
      </w:r>
      <w:r>
        <w:rPr>
          <w:rFonts w:hint="eastAsia"/>
          <w:bCs/>
          <w:color w:val="auto"/>
          <w:sz w:val="24"/>
          <w:szCs w:val="24"/>
          <w:highlight w:val="none"/>
          <w:lang w:val="en-US" w:eastAsia="zh-CN"/>
        </w:rPr>
        <w:t>并通过验收</w:t>
      </w:r>
    </w:p>
    <w:p w14:paraId="1D91BA4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bCs/>
          <w:color w:val="auto"/>
          <w:sz w:val="24"/>
          <w:szCs w:val="24"/>
          <w:highlight w:val="none"/>
        </w:rPr>
      </w:pPr>
      <w:r>
        <w:rPr>
          <w:rFonts w:hint="eastAsia" w:cs="宋体"/>
          <w:bCs/>
          <w:color w:val="auto"/>
          <w:sz w:val="24"/>
          <w:szCs w:val="24"/>
          <w:highlight w:val="none"/>
          <w:lang w:val="en-US" w:eastAsia="zh-CN" w:bidi="zh-CN"/>
        </w:rPr>
        <w:t>8</w:t>
      </w:r>
      <w:r>
        <w:rPr>
          <w:rFonts w:ascii="宋体" w:hAnsi="宋体" w:eastAsia="宋体" w:cs="宋体"/>
          <w:bCs/>
          <w:color w:val="auto"/>
          <w:sz w:val="24"/>
          <w:szCs w:val="24"/>
          <w:highlight w:val="none"/>
          <w:lang w:val="zh-CN" w:eastAsia="zh-CN" w:bidi="zh-CN"/>
        </w:rPr>
        <w:t>、</w:t>
      </w:r>
      <w:r>
        <w:rPr>
          <w:rFonts w:hint="eastAsia"/>
          <w:bCs/>
          <w:color w:val="auto"/>
          <w:sz w:val="24"/>
          <w:szCs w:val="24"/>
          <w:highlight w:val="none"/>
        </w:rPr>
        <w:t>供货期：合同签订后</w:t>
      </w:r>
      <w:r>
        <w:rPr>
          <w:rFonts w:hint="eastAsia"/>
          <w:bCs/>
          <w:color w:val="auto"/>
          <w:sz w:val="24"/>
          <w:szCs w:val="24"/>
          <w:highlight w:val="none"/>
          <w:lang w:val="en-US" w:eastAsia="zh-CN"/>
        </w:rPr>
        <w:t>30</w:t>
      </w:r>
      <w:r>
        <w:rPr>
          <w:rFonts w:hint="eastAsia"/>
          <w:bCs/>
          <w:color w:val="auto"/>
          <w:sz w:val="24"/>
          <w:szCs w:val="24"/>
          <w:highlight w:val="none"/>
          <w:lang w:eastAsia="zh-CN"/>
        </w:rPr>
        <w:t>日历天</w:t>
      </w:r>
      <w:r>
        <w:rPr>
          <w:rFonts w:hint="eastAsia"/>
          <w:bCs/>
          <w:color w:val="auto"/>
          <w:sz w:val="24"/>
          <w:szCs w:val="24"/>
          <w:highlight w:val="none"/>
        </w:rPr>
        <w:t>内供货并安装、调试完毕至正常运行</w:t>
      </w:r>
    </w:p>
    <w:p w14:paraId="2E2E719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244" w:line="360" w:lineRule="exact"/>
        <w:ind w:left="0" w:leftChars="0" w:firstLine="480" w:firstLineChars="200"/>
        <w:jc w:val="both"/>
        <w:textAlignment w:val="auto"/>
        <w:rPr>
          <w:rFonts w:hint="eastAsia"/>
          <w:color w:val="auto"/>
          <w:spacing w:val="-12"/>
          <w:sz w:val="24"/>
          <w:highlight w:val="none"/>
          <w:lang w:val="en-US"/>
        </w:rPr>
      </w:pPr>
      <w:r>
        <w:rPr>
          <w:rFonts w:hint="eastAsia"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w:t>
      </w:r>
      <w:r>
        <w:rPr>
          <w:rFonts w:hint="eastAsia"/>
          <w:bCs/>
          <w:color w:val="auto"/>
          <w:sz w:val="24"/>
          <w:szCs w:val="24"/>
          <w:highlight w:val="none"/>
        </w:rPr>
        <w:t>质保期：</w:t>
      </w:r>
      <w:r>
        <w:rPr>
          <w:rFonts w:hint="eastAsia"/>
          <w:bCs/>
          <w:color w:val="auto"/>
          <w:sz w:val="24"/>
          <w:szCs w:val="24"/>
          <w:highlight w:val="none"/>
          <w:lang w:val="en-US" w:eastAsia="zh-CN"/>
        </w:rPr>
        <w:t>一年</w:t>
      </w:r>
    </w:p>
    <w:p w14:paraId="014841BE">
      <w:pPr>
        <w:pStyle w:val="19"/>
        <w:keepNext w:val="0"/>
        <w:keepLines w:val="0"/>
        <w:pageBreakBefore w:val="0"/>
        <w:tabs>
          <w:tab w:val="left" w:pos="1341"/>
        </w:tabs>
        <w:kinsoku/>
        <w:wordWrap w:val="0"/>
        <w:overflowPunct/>
        <w:topLinePunct w:val="0"/>
        <w:bidi w:val="0"/>
        <w:spacing w:line="328" w:lineRule="auto"/>
        <w:ind w:left="740" w:right="218" w:firstLine="0"/>
        <w:jc w:val="both"/>
        <w:rPr>
          <w:rFonts w:hint="eastAsia"/>
          <w:b/>
          <w:bCs/>
          <w:color w:val="auto"/>
          <w:spacing w:val="-12"/>
          <w:sz w:val="24"/>
          <w:highlight w:val="none"/>
        </w:rPr>
      </w:pPr>
    </w:p>
    <w:p w14:paraId="7CC3EEE4">
      <w:pPr>
        <w:pStyle w:val="19"/>
        <w:keepNext w:val="0"/>
        <w:keepLines w:val="0"/>
        <w:pageBreakBefore w:val="0"/>
        <w:tabs>
          <w:tab w:val="left" w:pos="1341"/>
        </w:tabs>
        <w:kinsoku/>
        <w:wordWrap w:val="0"/>
        <w:overflowPunct/>
        <w:topLinePunct w:val="0"/>
        <w:bidi w:val="0"/>
        <w:spacing w:line="328" w:lineRule="auto"/>
        <w:ind w:left="0" w:leftChars="0" w:right="218" w:firstLine="434" w:firstLineChars="200"/>
        <w:jc w:val="both"/>
        <w:rPr>
          <w:rFonts w:hint="eastAsia"/>
          <w:b/>
          <w:bCs/>
          <w:color w:val="auto"/>
          <w:spacing w:val="-12"/>
          <w:sz w:val="24"/>
          <w:highlight w:val="none"/>
        </w:rPr>
      </w:pPr>
    </w:p>
    <w:p w14:paraId="358F57DC">
      <w:pPr>
        <w:pStyle w:val="19"/>
        <w:keepNext w:val="0"/>
        <w:keepLines w:val="0"/>
        <w:pageBreakBefore w:val="0"/>
        <w:tabs>
          <w:tab w:val="left" w:pos="1341"/>
        </w:tabs>
        <w:kinsoku/>
        <w:wordWrap w:val="0"/>
        <w:overflowPunct/>
        <w:topLinePunct w:val="0"/>
        <w:bidi w:val="0"/>
        <w:spacing w:line="328" w:lineRule="auto"/>
        <w:ind w:left="0" w:leftChars="0" w:right="218" w:firstLine="434" w:firstLineChars="200"/>
        <w:jc w:val="both"/>
        <w:rPr>
          <w:rFonts w:hint="eastAsia"/>
          <w:b/>
          <w:bCs/>
          <w:color w:val="auto"/>
          <w:spacing w:val="-12"/>
          <w:sz w:val="24"/>
          <w:highlight w:val="none"/>
        </w:rPr>
      </w:pPr>
      <w:r>
        <w:rPr>
          <w:rFonts w:hint="eastAsia"/>
          <w:b/>
          <w:bCs/>
          <w:color w:val="auto"/>
          <w:spacing w:val="-12"/>
          <w:sz w:val="24"/>
          <w:highlight w:val="none"/>
        </w:rPr>
        <w:t>二、</w:t>
      </w:r>
      <w:r>
        <w:rPr>
          <w:rFonts w:hint="eastAsia"/>
          <w:b/>
          <w:bCs/>
          <w:color w:val="auto"/>
          <w:spacing w:val="-12"/>
          <w:sz w:val="24"/>
          <w:highlight w:val="none"/>
          <w:lang w:eastAsia="zh-CN"/>
        </w:rPr>
        <w:t>采购内容及参数要求</w:t>
      </w:r>
      <w:r>
        <w:rPr>
          <w:rFonts w:hint="eastAsia"/>
          <w:b/>
          <w:bCs/>
          <w:color w:val="auto"/>
          <w:spacing w:val="-12"/>
          <w:sz w:val="24"/>
          <w:highlight w:val="none"/>
        </w:rPr>
        <w:t>：</w:t>
      </w:r>
      <w:bookmarkStart w:id="147" w:name="_1656825103"/>
      <w:bookmarkEnd w:id="147"/>
      <w:bookmarkStart w:id="148" w:name="_Toc30570"/>
      <w:bookmarkStart w:id="149" w:name="_Toc2414"/>
    </w:p>
    <w:p w14:paraId="168C1887">
      <w:pPr>
        <w:keepNext w:val="0"/>
        <w:keepLines w:val="0"/>
        <w:pageBreakBefore w:val="0"/>
        <w:kinsoku/>
        <w:wordWrap w:val="0"/>
        <w:overflowPunct/>
        <w:topLinePunct w:val="0"/>
        <w:bidi w:val="0"/>
        <w:rPr>
          <w:rFonts w:hint="eastAsia"/>
          <w:color w:val="auto"/>
          <w:highlight w:val="none"/>
        </w:rPr>
      </w:pPr>
    </w:p>
    <w:tbl>
      <w:tblPr>
        <w:tblStyle w:val="14"/>
        <w:tblW w:w="13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0"/>
        <w:gridCol w:w="2160"/>
        <w:gridCol w:w="9195"/>
        <w:gridCol w:w="720"/>
        <w:gridCol w:w="660"/>
      </w:tblGrid>
      <w:tr w14:paraId="77CD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545" w:type="dxa"/>
            <w:gridSpan w:val="5"/>
            <w:tcBorders>
              <w:top w:val="nil"/>
              <w:left w:val="nil"/>
              <w:bottom w:val="single" w:color="000000" w:sz="4" w:space="0"/>
              <w:right w:val="nil"/>
            </w:tcBorders>
            <w:noWrap/>
            <w:vAlign w:val="center"/>
          </w:tcPr>
          <w:p w14:paraId="67B7E3F0">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卢氏县重点非煤矿山视频智能监控系统及尾矿库在线监测系统建设项目</w:t>
            </w:r>
          </w:p>
        </w:tc>
      </w:tr>
      <w:tr w14:paraId="449D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03A1455E">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 xml:space="preserve">一 标 段 </w:t>
            </w:r>
          </w:p>
        </w:tc>
      </w:tr>
      <w:tr w14:paraId="7E4E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4CB9625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卢氏柳关栾卢铅锌矿有限公司</w:t>
            </w:r>
          </w:p>
        </w:tc>
      </w:tr>
      <w:tr w14:paraId="6980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2234E7FB">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6FA1820D">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195"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4FC3CCCC">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72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33D59780">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6BC05199">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64F5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69628A49">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一、矿用智能视频监控系统</w:t>
            </w:r>
          </w:p>
        </w:tc>
      </w:tr>
      <w:tr w14:paraId="065D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827E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4E599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矿用隔爆摄像机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4189D3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400万矿用隔爆摄像机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内嵌深度学习算法，以海量图片及视频资源为路基，通过机器自身提取目标特征，形成深层可供学习的人脸图像，极大的提升了目标人脸的检出率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支持智能资源模式切换：全结构化、人脸抓拍、混合目标比对、道路监控、Smart事件、AI开放平台（内置安全帽检测）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具有2个RJ45网口，2个LC光纤接口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内置一颗集CPU、GPU、NPU一体化芯片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最低照度彩色不大于0.0002lx，黑白不大于0.0001 lx。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白光补光距离30米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宽动态范围120dB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摄像机应能在额定电源电压AC127V的-22%~+90%(AC100V~AC240V)范围内正常工作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具备较好的环境适应性，工作温度范围可达-30℃-60℃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需支持IK10，IP68防护等级。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防爆标志：Ex db I Mb（以防爆合格证为准）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需具备矿用产品安全标志证书。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产品需同时提供防爆合格证，CCC证书，公安部检验报告。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BD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8F4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3C60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AF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97DC7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隔爆相机专用壁挂支架</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3C761D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壁装支架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防爆壁装支架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574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B57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73E9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7153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4B294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井上重点区域摄像机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4E893A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400万像素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内置GPU芯片。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光学变倍大于23倍，最大焦距110mm。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分辨力不小于1400线（分辨率设置为2560×1440，帧率设置为25fps、码率设置为6Mbps、RJ45输出），采用红外补光的球机：可识别距设备150m的人体轮廓。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对人或车辆进入警戒区域后，设备可发出白光警示、声音警示，并启动智能跟踪功能。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最低照度：红外灯关闭：彩色≤0.005Lux，黑白模式≤0.001Lux。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球机水平手控速度不小于160°/S，垂直速度不小于120°/S，云台定位精度为±0.1°。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水平旋转范围为360°连续旋转，垂直旋转范围为-15°~90°。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支持对镜头前盖玻璃加热，去除玻璃上的冰状和水状附着物。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需具备智能分析抗干扰功能，当篮球、小狗、树叶等非人或车辆目标经过检测区域时，不会触发报警。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支持快捷配置功能，可在预览画面开启/关闭“快捷配置”页面，对曝光参数、OSD、智能资源分配模式等参数进行配置，并可一键恢复为默认设置。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支持像素显示功能，可实时显示监控画面上选定区域的水平像素大小和垂直像素大小。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应具有300个预置位，可按照所设置的预置位完成不小于8条巡航路径，可按照所设置轨迹完成4条模式路径，可实现RS485接口优先或RJ45网络接口优先控制功能。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球机应具备本机存储功能，支持SD卡热插拔，最大支持256GB。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支持采用H.265、H.264视频编码标准，H.264编码支持Baseline/Main/High Profile，音频编码支持G.711ulaw/G.711alaw/G.726/G.722.1。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当智能行为分析设置为区域入侵，越界入侵，进入区域、离开区域时，可对行人、车、自行车、电瓶车、摩托车、三轮车等进行检测设备支持行为分析触发后联动聚焦、联动目标跟踪等多种报警触发方式。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设备符合GB/T 4208-2017中IP67的规定，温度65℃、-30℃，持续24h，设备处于工作状态，过程中进行5次上下电，设备应能正常启动，试验后设备应能正常工作。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58B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236C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E56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6B9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4C1A5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球机壁挂支架</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194993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压铸纯铝合金材质，表面做喷塑处理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带有安装调试口，便于穿线、接线，及后期维修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采用铝合金精密压铸工艺，强度高，结构可靠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尺寸：306.3×97.3×182.6mm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角度：水平：360°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8C5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D66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0F8A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563B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C0D1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智慧音柱</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29A2AA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30W低功耗室外智慧音柱，待机功耗低至0.16W，高效节能。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外形尺寸应符合使用说明书要求，非金属外壳表面应无裂纹。褪色及永久性污渍，无明显并形和划痕。金属外壳表面涂覆层不应露出底层金属，并无气泡，腐蚀划痕、涂层脱落、砂眼和毛刺等。标志应清晰，不易被擦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使用直流电源供电的音柱应能承受1min的耐极性反接试验，试验后音柱应能正常工作。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内置预录语音：1、你好，垃圾请分类入桶；2、观赏草坪，请勿踩踏；3、机动车道，行人请勿进入；4、进入施工现场，请戴好安全帽，注意安全；5、警戒区域，请尽快离开；6、您已进入监控区域，你的行为将被实时记录，请注意言行举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音柱静电放电抗扰度条件试验严酷等级应符合GB/t30148-2013 中 10.3.4 的要求。试验后，音柱应能正常工作，在试验过程中，音柱的功能允许暂时受影响，但应自行恢复。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音柱绝缘电阻应不小于1M。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音柱的阻燃应符合GB 16796-2009 中5.6.3 的规定。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高温试验：温度 50℃；持续时间2h.试验后，音柱外观结构应完好，应能正常工作。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低温试验：温度-10摄氏度，持续时间2h.试验后，拾音器外观接口应完好，应能正常工作。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音柱的频率响应至少应覆盖80Hz-12KHz的频率范围。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按照GB/T 9397-2013测试规范，音柱的总谐波失真应不大于10%。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音柱在上电无声音输出的待机期间，待机功耗不应大于0.16W。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设备支持3路开关量触发播报相关音源，并支持多信号源优先级。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优先级顺序：线路输入＞触发1＞触发2＞触发3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3A4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A9BE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304E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3B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70948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接入交换机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5E52E6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提供8个千兆电口、2个千兆光口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交换容量：20 Gbps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包转发率：14.88 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支持IEEE 802.3、IEEE 802.3u、IEEE 802.3x、IEEE 802.3ab标准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支持管理平台管理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支持手机APP管理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支持安防网络拓扑管理、端口管理，支持远程升级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支持VLAN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支持SNMPv1/v2c协议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支持DHCP Snooping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支持静态链路聚合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坚固式高强度金属外壳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无风扇设计，高可靠性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安装方式：桌面式，桌面式可壁挂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供电方式：12 VDC, 1 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浪涌防护：网口6 KV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BB7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B85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562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7C2A7659">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二、矿端AI智能分析超脑</w:t>
            </w:r>
          </w:p>
        </w:tc>
      </w:tr>
      <w:tr w14:paraId="3B23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C70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424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矿端AI智能分析超脑</w:t>
            </w: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0AD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支持预览的单窗口轮巡，设备支持在多画面的固定窗口上进行轮巡预览，其他预览窗口不轮巡。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具有2个HDMI接口、2个 VGA接口、1个CVBS接口、2个RJ45千兆网络接口、2个USB2.0接口、2个USB3.0接口、1个RS232接口、1个RS485接口(可接入RS485键盘)、1个eSata接口。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具有1路音频输入接口、2路音频输出接口、16 路报警输入接口、9路报警输出接口(其中第9路支持受控直流12V输出)、具有1路直流12V输出接口(12V 1A)，可内置8块SATA接口硬盘;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具有电源指示灯、硬盘指示灯、网络指示灯、系统运行状态指示灯、报警指示灯。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支持预览时对实时视频流进行手动打标签，通过标签检索可以检索到相关的录像片段。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可同时正放或倒放32 路H.265/H.264 编码、2560×1440 格式的视频图像，或者10路H.265/H.264编码、4096×2160 格式的视频图像。最多支持32路同步回放。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在告警断网续传功能启用后，支持告警事件在NVR断网恢复后继续向中心平台发送，断网时间段内的告警事件不丢失。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采用单人单次通过检测区域，100人次正确检出是否佩戴安全帽次数不少于99次。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支持工服注册，可上传需要检测的工服图片到工服库，包含红色工服、白色工服、蓝色工服、后厨工服、工地工服等，最大支持20000个工服，对目标工服进行识别，并根据设定条件触发报警联动；可设置最多16个多边形检测区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接入普通IPC，尺寸与面积检测，支持通过视频测量目标的实际尺寸和面积，目标误差±2%。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支持导入视觉大模型进行分析，支持视频分析、图片分析、图片二次分析过滤。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引擎状态界面可显示引擎工作温度， 可查看引擎配置及利用率。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具有不低于 3个GPU芯片，支持 5种引擎功能： 人脸识别、周界防范、视频结构化、行为分析和AI算法引擎。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支持导入图片，并对图片中的数字和字母进行识别并输出结果；支持集装箱箱号识别；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识别身份证内容、输出身份证照片，识别的内容包括姓名、性别、民族、出生日期、住址、身份证号码、签发机关和有效期。支持识别图片上叠加的OSD，输出OSD信息；支持识别国内铁路车厢号；支持识别快递面单各字段内容，识别的内容包括：三段码识别、收/寄件人姓名、手机号、地址；支持识别国内船舶船身喷涂的船名 识别停车场中的车位编号。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对AI算法，1个GPU可分化成4个虚拟引擎，每个虚拟引擎支持一种AI算法；1个GPU支持4路400W摄像机的实时视频分析。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可集成第三方算法，支持算法加载，多算法仓可按需加载不同的第三方算法，可与原有算法并行运行。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支持PyTorch模型、ONNX模型、TensorFlow模型、Caffe模型、PaddlePaddle模型，能力可涵盖检测、分类、分割、关键点等。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支持插件化编排程序设置，可构建检测、分类、分割、关键点等模型串联应用。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支持音频设备与视频设备独立管理，支持网络拾音器的接入、校时；最大支持32路音频设备管理。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支持音视频动态调整组合分配功能，可将任一路音频与任一路视频组合成复合流编码。</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52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286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26E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F35DA">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23FE8">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B0CA2">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E3CE0">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82F8C">
            <w:pPr>
              <w:jc w:val="center"/>
              <w:rPr>
                <w:rFonts w:hint="eastAsia" w:ascii="宋体" w:hAnsi="宋体" w:eastAsia="宋体" w:cs="宋体"/>
                <w:i w:val="0"/>
                <w:iCs w:val="0"/>
                <w:color w:val="000000"/>
                <w:sz w:val="20"/>
                <w:szCs w:val="20"/>
                <w:highlight w:val="none"/>
                <w:u w:val="none"/>
              </w:rPr>
            </w:pPr>
          </w:p>
        </w:tc>
      </w:tr>
      <w:tr w14:paraId="4B52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39F37071">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三、矿山安全监测监控系统</w:t>
            </w:r>
          </w:p>
        </w:tc>
      </w:tr>
      <w:tr w14:paraId="6CFA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BCC1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C1B60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矿山安全监测监控管理平台服务器</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1ECCFF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2U单路标准机架式服务器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CPU：配置≥1颗，单处理器物理核心数≥16核，主频≥2.5 GHz，末级缓存容量≥32 MB，线程数≥32线程，热设计功耗≥135 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支持内存的最高速率≥3200 MHz，通道数≥4，位宽≥64；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内存：配置≥64G DDR4，≥16根内存插槽，最大支持扩展至2TB内存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硬盘：配置≥2块600G 10K SAS硬盘；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阵列卡：配置≥1张SAS_HBA卡（支持RAID 0/1/10）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PCIE扩展：最大可选支持6个PCIe扩展插槽；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网口：≥4个千兆电口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其他接口：配置≥1个千兆RJ-45管理接口，≥4个USB 3.0接口；≥1个VGA口，位于机箱后部；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电源：配置≥550W（1+1）高效铂金CRPS冗余电源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机箱规格：87.8mm(高)x 448mm(宽)x733.2mm(深)（不含侧耳）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设备重量：最大30千克（不含导轨）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BC0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4CCE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4BD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3B8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1F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矿山安全监测监控管理平台系统管理</w:t>
            </w: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08D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系统基础包，提供业务应用依赖的基础资源信息及基础服务能力，包括系统基础信息管理、地图应用服务、事件联动应用服务。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系统基础信息管理：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一、组织资源管理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1、支持组织基础信息的增删改查、导入、导出等功能；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二、区域资源管理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1、支持区域基础信息的增删改查、导入、导出等功能；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三、人员信息管理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1、支持人员信息的增删改查、导入、导出，包括人脸、指纹采集；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2、支持人员基础信息自定义扩展；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四、卡片信息管理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1、支持卡片基本信息的增删改查、导入、导出；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2、支持人员开卡、退卡、挂失、解挂、换卡及卡扇区加密；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五、车辆信息管理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1、支持车辆基本信息的增删改查、导入、导出；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六、设备信息管理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七、系统用户管理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1、支持账户基本信息和角色信息的增删改查；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2、支持配置不同角色权限，包括菜单权限、组织权限、区域权限、资源权限、功能控制权限；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3、支持用户组权限分配；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4、支持用户安全管理，可绑定用户mac地址及IP，可自行修改用户密码或者管理员重置密码；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5、支持从Windows域同步用户信息，用于域账户进行平台登录；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八、核心参数配置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1、支持首页菜单自定义展示设置；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2、支持所有设备统一校时；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3、提供账户安全设置，支持账户密码有效期设置。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图上监控：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图上监控应用以地图可视化模式为各类设备资源提供可视化展示及控制操作，在地图上可展示各类资源点的地理位置，通过接收资源点报警事件，实现报警信息可视化展示。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1、支持地图配置能力，包含在线（高德）、离线GIS地图（高德、自定义）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3、支持事件可视化监控能力，实时展示报警事件，支持历史报警事件查询；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4、支持针对移动GPS设备的轨迹回放能力，如单兵设备；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1、支持管理最大组织数2000个，组织层级最大10级；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2、支持管理最大区域数2000个，区域层级最大10级；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3、支持管理最大人员数量5万；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4、支持管理最大卡片数量5万；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5、支持管理最大车辆数量3万；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6、支持最大的在线用户数1000个，并发登录用户数50个。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备注：以上是单台服务器部署系统基础规格，超出规格需考虑分布式部署。</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9F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A2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5AF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20053">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D642E">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83CCE">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A1D92">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52A9C">
            <w:pPr>
              <w:jc w:val="center"/>
              <w:rPr>
                <w:rFonts w:hint="eastAsia" w:ascii="宋体" w:hAnsi="宋体" w:eastAsia="宋体" w:cs="宋体"/>
                <w:i w:val="0"/>
                <w:iCs w:val="0"/>
                <w:color w:val="000000"/>
                <w:sz w:val="20"/>
                <w:szCs w:val="20"/>
                <w:highlight w:val="none"/>
                <w:u w:val="none"/>
              </w:rPr>
            </w:pPr>
          </w:p>
        </w:tc>
      </w:tr>
      <w:tr w14:paraId="005F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28F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3347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矿山安全监测监控管理平台视频监控</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236A28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视频监控应用提供视频管理服务，实现视频预览、录像回放、视频上墙、视频事件监控服务能力，并且在网络带宽不足、有流量限制的网络环境下可以通过以图片替代视频的模式提供监控服务。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一、视频预览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二、录像回放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1、支持录像计划管理能力，支持实时录像计划、录像回传计划；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三、图片监控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1、支持视频预览与图片实时监控模式切换能力，实现图片监控模式；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2、支持图片查询回放能力，实现按监控点、时间段展示抓拍图片；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3、支持图片自动播放能力，支持图片自动播放速度可设置；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4、支持图片下载能力；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四、视频上墙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五、视频事件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1、支持视频事件布撤防能力，可按计划模版进行布防，事件类型包括移动侦测、视频丢失、视频遮挡、报警输入、报警输出；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1、支持监控点数量10W个（超过5000需要分布式部署）；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2、支持并发取流带宽2000M，例如以2M/路计算最大并发路数为1000路 （以千兆服务器为例，每台服务器并发取流带宽为600M，超过600M需要分布式部署）；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3、解码能力：在i7、GTX1070的PC上，解码H264、720P的视频36路；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4、支持电视墙最大场景数128个；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5、单个电视墙最大支持数量25*25个；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6、单个窗口最大分割数量16个。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837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635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55C5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0E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8570F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矿山安全监测监控管理平台视频联网</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2C920A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1、支持上下级域注册管理能力，实现平台数据级联；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2、支持资源同步能力；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3、支持级联视频点位实时预览、录像回放、录像下载、语音对讲能力；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4、支持级联视频点位设备操作控制能力；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5、支持下级平台推送到本级平台视频点位路数控制能力，通过级联点位授权路数控制；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其中第3、4点需要基于视频监控应用特性提供业务应用。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1、最大级联监控点数量20W个；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2、单个NCG信令节点：最大支持5个上级域平台、15个下级域平台；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3、支持并发取流带宽2000M，例如以2M/路计算最大并发路数为1000路 （以千兆服务器为例，每台服务器并发取流带宽为600M，超过600M需要分布式部署）。</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8D2E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ECB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82D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F6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B66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矿山安全监测监控管理平台门禁管理</w:t>
            </w: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AF2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一、提供门禁权限管理应用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1、支持按组织、人员、人员分组、门禁点维度配置权限；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2、支持设置权限有效期、计划模板、假日计划；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3、支持按人员特征属性生成人员分组，如证件类型、岗位等级、职称等；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4、支持权限增量下发、初始化下发；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5、支持按时段配置门的常开常闭状态；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6、支持认证方式设置，可按不同时段设置不同的认证方式，如刷卡+人脸、刷卡+指纹；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7、支持首卡常开，刷首卡可使门保持常开至常开时间段结束，若此期间再次刷首卡，门恢复正常状态；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8、支持特殊卡设置，包括残疾人卡（可延长开门时间）、黑名单卡（无法开门）、胁迫卡（正常开门并上报胁迫报警）、超级卡（不受限于门常闭、刷卡+密码认证需要密码确认的规则，刷卡直接开门）；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9、针对刷卡开门方式，即使卡片权限未同步到设备，也可通过中心平台完成权限认证开门。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10、支持调整已超出或即将超出设备容量的人员生物特征；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11、支持按门禁点、人员、组织、区域等多维度，综合查询权限配置、下发状态等信息；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二、提供门禁事件管理应用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1、支持配置平台接收到事件类型；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2、支持配置事件保存时长；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3、支持查询人员出入事件和设备事件；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三、提供门禁状态查看及远程控制应用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1、支持查看门禁状态，包括开关状态、在离线状态；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2、支持对门禁点反控，包括对门进行开、关、常开、常闭的反控操作；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3、支持远程呼叫应用，门禁一体机呼叫中心发起开门请求，cs客户端弹窗显示一体机视频，中心可选择接听、拒绝、开门；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四、提供人员出入记录实时展示应用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1、支持人员进出事件实时展示，包括人员基础信息、抓拍图片、进出时间、设备名称等，可全屏展示性能：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1、支持最大门禁点数量2万个；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2、门禁权限下发的性能（单个门禁点）：卡片：15-35张/秒；人脸：1-2张/秒；人脸模型：100张/秒；（依赖中心建模服务器）；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3、权限并发下载路数：单台服务器50路，最大可扩展至1000路；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4、门禁事件处理（单台服务器）：带图片：100条/秒；不带图片：1000条/秒；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5、事件最大存储数量：5000万条。</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A2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ED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3922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6E366">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B4FD4">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302CB">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7D59B">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742C1">
            <w:pPr>
              <w:jc w:val="center"/>
              <w:rPr>
                <w:rFonts w:hint="eastAsia" w:ascii="宋体" w:hAnsi="宋体" w:eastAsia="宋体" w:cs="宋体"/>
                <w:i w:val="0"/>
                <w:iCs w:val="0"/>
                <w:color w:val="000000"/>
                <w:sz w:val="20"/>
                <w:szCs w:val="20"/>
                <w:highlight w:val="none"/>
                <w:u w:val="none"/>
              </w:rPr>
            </w:pPr>
          </w:p>
        </w:tc>
      </w:tr>
      <w:tr w14:paraId="4E67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98B5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B9B63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矿山安全监测监控管理平台人员管控</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1A308A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人员布控应用以人脸识别技术为核心，通过前后端分析设备对人脸抓拍图片进行比对分析，实现人脸自动识别，以提供人员布控服务的能力。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1、支持配置重点人员识别计划、陌生人识别计划、高频人员识别计划；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2、支持接收重点人员、陌生人、高频人员实时事件；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3、支持配置行为分析规则，实现行为分析服务器的事件上报；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1、人脸库最大人脸数量30W个。（超过5W人脸需要根据项目实际情况进行评估）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2、人脸事件接收最大并发数量200条/秒。</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5A4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65B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619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C6DC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FE2FA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矿山安全监测监控管理平台AI模型管理</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43AA91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1、提供模型管理、模型下发、智能分析配置、抓图计划配置。通过将AI模型下发至设备，为设备通道配置智能分析任务，使设备拥有针对特定对象和场景的智能分析能力，能够解决碎片化场景下的智能分析问题。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2、可选择与作业监管配合使用；（作业监管场景）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3、也可选择与隐患治理配合使用。（非作业监管场景）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1、提供模型管理、模型下发、智能分析配置、抓图计划配置。通过将AI模型下发至设备，为设备通道配置智能分析任务，使设备拥有针对特定对象和场景的智能分析能力，能够解决碎片化场景下的智能分析问题。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2、可选择与作业监管配合使用；（作业监管场景）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3、也可选择与隐患治理配合使用。（非作业监管场景）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1、系统最多管理模型数量：500；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2、单服务（实例）最多支持并发的AI检测路数：100；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3、单平台最多支持AI模型管理服务组件实例数：3；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4、单平台最多支持并发的AI检测路数：300；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5、模型并发下载路数：500。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34F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05C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069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9D4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1F67D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矿山安全监测监控管理平台动环监控</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18BF7B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1、提供动环设备统一接入管理能力，包含动环设备、视频动环一体机、污染物在线检测设备；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2、提供动环监控参数配置能力，包含开关管理、OSD配置管理；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3、提供环境量实时监测能力；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4、提供环境量报警检测能力；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5、提供报警输入监控、开关控制、空调控制、SCADA控制能力；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6、提供环境量统计查询及报表展示能力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1、支持动环主机（物联监测设备）管理数量5000个；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2、支持传感器管理数量5000个；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3、支持环境量管理数量10000个；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4、设备上报数据最大并发处理数量200条/秒</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C4A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8EF6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E39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934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2860B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矿山安全监测监控管理平台设备网络管理</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24FD88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设备网络管理应用，对接入平台的视频设备，门禁设备，梯控设备，可视对讲设备进行在线巡检，及时发现故障设备和掉线设备，使运维工作更加高效，便利。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一、视频网络管理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1、支持监控摄像机、编码设备、存储设备、解码设备等物联设备在线状态、工作状态、硬盘状态、指标采集。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2、支持监控点通道的在线状态、录制状态、录像完整性、录像保存天数指标检测。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3、支持告警信息统计展现。并支持对监控点、编码设备、解码设备、视频综合矩阵、NVR/CVR、云储存、门禁设备、门禁点、读卡器、梯控设备/梯控读卡器/可视对讲的告警阈值进行配置。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4、提供视频运维报表统计能力，包含区域综合排名统计、录像完整性统计、录像存储达标统计、在线状态统计、离线时长统计报表。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6、支持海康SDK、大华SDK、ehome、isup5.0、GB28181、部标808、Open Network Video Interface、萤石、ISAPI协议。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二、门禁运维管理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1、提供门禁设备在线状态监测能力；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2、提供门禁设备运维报表统计能力；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三、可视对讲运维管理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1、提供门口机、室内机、管理机、围墙机设备在线状态监测能力；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2、提供可视对讲设备运维报表统计能力；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四、梯控运维管理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1、提供梯控主机、读卡器在线状态监测能力；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2、提供梯控设备运维报表统计能力；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五、停车场出入口运维管理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1、提供岗亭缴费终端、出入口控制设备、出入口显示设备、读卡设备在线状态监测能力；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2、提供停车场出入口设备运维报表统计能力；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六、寻车诱导运维管理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1、提供诱导管理器、车位相机、显示屏在线状态监测能力；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2、提供寻车诱导设备运维报表统计能力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1、单节点在线状态巡检效率不低于1000路/小时；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2、单节点录像情况巡检效率不低于1000路/小时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E46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995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642D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B4D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58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三层核心交换机</w:t>
            </w: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A26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三层千兆交换机(24千兆电+4万兆光)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支持更多上行接口，提供更高带宽保障，满足大型网络汇聚或中小网络核心部署需求，以及对于光电混合组网的配置需求。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实现基于硬件的IPv4/IPv6双栈平台，丰富的IPv4和IPv6三层路由协议、组播技术以及策略路由机制，为用户提供完善的IPv4/IPv6解决方案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支持虚拟化技术，就是把多台物理设备互相连接起来，使其虚拟为一台逻辑设备，用户可以将这多台设备看成一台单一设备进行管理和使用。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支持集中式MAC地址认证、802.1x认证、PORTAL认证，支持用户帐号、IP、MAC、VLAN、端口等用户标识元素的动态或静态绑定，同时实现用户策略（VLAN、QoS、ACL）的动态下发。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提供增强的ACL控制逻辑，支持超大容量的入端口和出端口ACL，并且支持基于VLAN的ACL下发，在简化用户配置过程的同时，避免了ACL资源的浪费。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具备设备级和链路级的多重可靠性保护。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支持可插拔双电源模块可靠性设计，支持电源和风扇的故障检测及告警，可以根据温度的变化自动调节风扇的转速，这些设计使设备具备了更高的可靠性。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 M-LAG 跨设备链路聚合技术，通过将两台物理设备在转发层面虚拟成一台设备来实现跨设备链路聚合，保持控制层面互相独立，提升至设备级可靠性；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尺寸（宽×高×深）：440 mm× 43.6 mm × 360 mm；标准机架高度：1U；重量：≤5.6 kg；工作温度：-5 ℃～45 ℃；工作湿度：5%～95%（非凝结）；空载功耗：Single AC：16 W ，Dual AC：18 W；整机最大功耗：Single AC：37 W， Dual AC：39 W；交换容量：688Gbps/6.88Tbps；包转发率：171Mpps/297Mpps ；端口规格：24个10/100/1000BASE-T端口，4个10G/1G BASE-X SFP+端口；电源特性：AC：100V～240V AC，50/60Hz；VLAN：支持基于端口的VLAN；支持基于MAC的VLAN；支持基于协议的VLAN；支持QinQ；支持MVRPARP：支持ARP ProxyIPv4路由：支持静态路由、RIPv1/v2、OSPF、IS-IS、BGPv4；支持等价路由、策略路由、路由策略；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IPv4基础功能：支持IPv4协议栈；IPv6路由：支持IPv6静态路由、RIPng、OSPFv3、BGP4+、IS-ISv6；支持ND、Pingv6、Telnetv6、FTPv6、TFTPv6、ICMPv6；IPv6基础功能：支持IPv6协议栈；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组播：IGMP Snooping v1/v2/v3、MLD Snooping v1/v2、组播VLAN；链路聚合：支持GE/10GE端口聚合；支持静态/动态聚合；支持跨设备聚合；端口镜像：支持本地和远程端口镜像；支持N:4端口镜像；支持流镜像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STP：支持 STP/RSTP/MSTP；ERPS：支持G.8032以太网环网协议ERPS；RRPP：支持RRPP快速环网保护协议；DHCP：支持DHCP Relay、DHCP Server；流控：支持 IEEE 802.3x 流控（全双工）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风暴控制：支持风暴控制；流量抑制：支持广播/多播/单播流量抑制；支持基于端口速率百分比的风暴抑制；支持基于PPS的风暴抑制；ACL：支持L2～L4包过滤功能；支持基于源MAC地址、目的MAC地址、源IP地址、目的IP地址；IP协议类型、TCP/UDP 端口、TCP/UDP端口范围、VLAN等定义ACL。支持基于时间段（Time Range）的ACL；支持基于端口、VLAN下发ACL；QoS：支持Diff-Serv QoS；支持802.1p/DSCP 优先级映射；支持队列调度机制（SP、WRR、SP+WRR）；支持优先级标记Mark/Remark；支持基于流的包过滤；支持基于流的流量统计；支持基于流的重定向；支持基于流的限速；堆叠：支持IRF2智能弹性架构；支持分布式设备管理，分布式链路聚合，分布式弹性路由支持通过标准以太网接口等方式进行堆叠；支持本地堆叠和远程堆叠；安全特性：用户分级管理和口令保护；支持Guest VLAN；支持IEEE 802.1X认证/集中MAC地址认证；支持AAA&amp;RADIUS认证；支持MAC地址学习数目限制；支持MAC地址黑洞；支持端口隔离；支持ARP报文限速功能；支持IP源地址保护；支持ARP入侵检测功能；支持防Dos攻击；支持SAVI源地址有效性验证；支持广播报文抑制；支持主备数据备份机制；支持SSH 2.0，为用户登录提供安全加密通道；支持SSL，保障数据传输安全；支持IP＋端口的绑定、IP+MAC的绑定、端口＋MAC的绑定、IP+MAC+端口的绑定功能 ；Console口：支持Console口；Telnet：支持Telnet；SNMP：支持SNMP V1/V2c/V3；NTP：支持NTpsFlow：支持sFlow；FTP：支持FTP；TFTP：支持TFTP；SFTP：支持SFTP；XModem：支持XModem；系统日志：支持系统工作日志；CLI：支持CLI进行配置 </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951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38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91D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0CBA7">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ABBF1">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E2753">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BA6E4">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09F7E">
            <w:pPr>
              <w:jc w:val="center"/>
              <w:rPr>
                <w:rFonts w:hint="eastAsia" w:ascii="宋体" w:hAnsi="宋体" w:eastAsia="宋体" w:cs="宋体"/>
                <w:i w:val="0"/>
                <w:iCs w:val="0"/>
                <w:color w:val="000000"/>
                <w:sz w:val="20"/>
                <w:szCs w:val="20"/>
                <w:highlight w:val="none"/>
                <w:u w:val="none"/>
              </w:rPr>
            </w:pPr>
          </w:p>
        </w:tc>
      </w:tr>
      <w:tr w14:paraId="3D43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5663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C7674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矿区辅材及其他配套设备施工及对接调试</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7B2244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矿区辅材及其他配套设备施工及对接调试，包含井下设备安装调试、立杆、布线及AI算法调试、传感器对接等技术服务。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4A2E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CDBD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944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5"/>
            <w:tcBorders>
              <w:top w:val="single" w:color="000000" w:sz="4" w:space="0"/>
              <w:left w:val="single" w:color="000000" w:sz="4" w:space="0"/>
              <w:bottom w:val="single" w:color="000000" w:sz="4" w:space="0"/>
              <w:right w:val="nil"/>
            </w:tcBorders>
            <w:noWrap/>
            <w:vAlign w:val="center"/>
          </w:tcPr>
          <w:p w14:paraId="196BA28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卢氏县双河金矿有限公司</w:t>
            </w:r>
          </w:p>
        </w:tc>
      </w:tr>
      <w:tr w14:paraId="3B77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5F940ECD">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1F7DD2B3">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产品类别</w:t>
            </w:r>
          </w:p>
        </w:tc>
        <w:tc>
          <w:tcPr>
            <w:tcW w:w="9195"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3AD0A32D">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技术规格</w:t>
            </w:r>
          </w:p>
        </w:tc>
        <w:tc>
          <w:tcPr>
            <w:tcW w:w="72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26F5AE85">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C00000"/>
            <w:noWrap w:val="0"/>
            <w:vAlign w:val="center"/>
          </w:tcPr>
          <w:p w14:paraId="4B21B301">
            <w:pPr>
              <w:keepNext w:val="0"/>
              <w:keepLines w:val="0"/>
              <w:widowControl/>
              <w:suppressLineNumbers w:val="0"/>
              <w:jc w:val="center"/>
              <w:textAlignment w:val="center"/>
              <w:rPr>
                <w:rFonts w:hint="eastAsia" w:ascii="宋体" w:hAnsi="宋体" w:eastAsia="宋体" w:cs="宋体"/>
                <w:b/>
                <w:bCs/>
                <w:i w:val="0"/>
                <w:iCs w:val="0"/>
                <w:color w:val="FFFFFF"/>
                <w:sz w:val="20"/>
                <w:szCs w:val="20"/>
                <w:highlight w:val="none"/>
                <w:u w:val="none"/>
              </w:rPr>
            </w:pPr>
            <w:r>
              <w:rPr>
                <w:rFonts w:hint="eastAsia" w:ascii="宋体" w:hAnsi="宋体" w:eastAsia="宋体" w:cs="宋体"/>
                <w:b/>
                <w:bCs/>
                <w:i w:val="0"/>
                <w:iCs w:val="0"/>
                <w:color w:val="FFFFFF"/>
                <w:kern w:val="0"/>
                <w:sz w:val="20"/>
                <w:szCs w:val="20"/>
                <w:highlight w:val="none"/>
                <w:u w:val="none"/>
                <w:lang w:val="en-US" w:eastAsia="zh-CN" w:bidi="ar"/>
              </w:rPr>
              <w:t>数量</w:t>
            </w:r>
          </w:p>
        </w:tc>
      </w:tr>
      <w:tr w14:paraId="1E09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503B1F18">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一、矿用智能视频监控系统</w:t>
            </w:r>
          </w:p>
        </w:tc>
      </w:tr>
      <w:tr w14:paraId="0934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F36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ABA2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矿用隔爆摄像机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319543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400万矿用隔爆摄像机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内嵌深度学习算法，以海量图片及视频资源为路基，通过机器自身提取目标特征，形成深层可供学习的人脸图像，极大的提升了目标人脸的检出率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支持智能资源模式切换：全结构化、人脸抓拍、混合目标比对、道路监控、Smart事件、AI开放平台（内置安全帽检测）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具有2个RJ45网口，2个LC光纤接口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内置一颗集CPU、GPU、NPU一体化芯片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最低照度彩色不大于0.0002lx，黑白不大于0.0001 lx。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白光补光距离30米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宽动态范围120dB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摄像机应能在额定电源电压AC127V的-22%~+90%(AC100V~AC240V)范围内正常工作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具备较好的环境适应性，工作温度范围可达-30℃-60℃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需支持IK10，IP68防护等级。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防爆标志：Ex db I Mb（以防爆合格证为准）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需具备矿用产品安全标志证书。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产品需同时提供防爆合格证，CCC证书，公安部检验报告。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490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708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14:paraId="2FFA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B8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F6D0F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隔爆相机专用壁挂支架</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617B29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壁装支架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防爆壁装支架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90F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D40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14:paraId="4882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B9A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250FF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井上重点区域摄像机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68D61A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400万像素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内置GPU芯片。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光学变倍大于23倍，最大焦距110mm。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分辨力不小于1400线（分辨率设置为2560×1440，帧率设置为25fps、码率设置为6Mbps、RJ45输出），采用红外补光的球机：可识别距设备150m的人体轮廓。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对人或车辆进入警戒区域后，设备可发出白光警示、声音警示，并启动智能跟踪功能。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最低照度：红外灯关闭：彩色≤0.005Lux，黑白模式≤0.001Lux。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球机水平手控速度不小于160°/S，垂直速度不小于120°/S，云台定位精度为±0.1°。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水平旋转范围为360°连续旋转，垂直旋转范围为-15°~90°。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支持对镜头前盖玻璃加热，去除玻璃上的冰状和水状附着物。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需具备智能分析抗干扰功能，当篮球、小狗、树叶等非人或车辆目标经过检测区域时，不会触发报警。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支持快捷配置功能，可在预览画面开启/关闭“快捷配置”页面，对曝光参数、OSD、智能资源分配模式等参数进行配置，并可一键恢复为默认设置。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支持像素显示功能，可实时显示监控画面上选定区域的水平像素大小和垂直像素大小。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应具有300个预置位，可按照所设置的预置位完成不小于8条巡航路径，可按照所设置轨迹完成4条模式路径，可实现RS485接口优先或RJ45网络接口优先控制功能。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球机应具备本机存储功能，支持SD卡热插拔，最大支持256GB。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支持采用H.265、H.264视频编码标准，H.264编码支持Baseline/Main/High Profile，音频编码支持G.711ulaw/G.711alaw/G.726/G.722.1。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当智能行为分析设置为区域入侵，越界入侵，进入区域、离开区域时，可对行人、车、自行车、电瓶车、摩托车、三轮车等进行检测设备支持行为分析触发后联动聚焦、联动目标跟踪等多种报警触发方式。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设备符合GB/T 4208-2017中IP67的规定，温度65℃、-30℃，持续24h，设备处于工作状态，过程中进行5次上下电，设备应能正常启动，试验后设备应能正常工作。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0120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7D9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39A6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C6F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F7261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球机壁挂支架</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48AE3B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压铸纯铝合金材质，表面做喷塑处理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带有安装调试口，便于穿线、接线，及后期维修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采用铝合金精密压铸工艺，强度高，结构可靠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尺寸：306.3×97.3×182.6mm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角度：水平：360°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5FA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74DE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5E1D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602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CC86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智慧音柱</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1561FC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30W低功耗室外智慧音柱，待机功耗低至0.16W，高效节能。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外形尺寸应符合使用说明书要求，非金属外壳表面应无裂纹。褪色及永久性污渍，无明显并形和划痕。金属外壳表面涂覆层不应露出底层金属，并无气泡，腐蚀划痕、涂层脱落、砂眼和毛刺等。标志应清晰，不易被擦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使用直流电源供电的音柱应能承受1min的耐极性反接试验，试验后音柱应能正常工作。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内置预录语音：1、你好，垃圾请分类入桶（女声）；2、观赏草坪，请勿踩踏（女声）；3、机动车道，行人请勿进入；4、进入施工现场，请戴好安全帽，注意安全；5、警戒区域，请尽快离开；6、您已进入监控区域，你的行为将被实时记录，请注意言行举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音柱静电放电抗扰度条件试验严酷等级应符合GB/t30148-2013 中 10.3.4 的要求。试验后，音柱应能正常工作，在试验过程中，音柱的功能允许暂时受影响，但应自行恢复。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音柱绝缘电阻应不小于1M。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音柱的阻燃应符合GB 16796-2009 中5.6.3 的规定。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高温试验：温度 50℃；持续时间2h.试验后，音柱外观结构应完好，应能正常工作。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低温试验：温度-10摄氏度，持续时间2h.试验后，拾音器外观接口应完好，应能正常工作。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音柱的频率响应至少应覆盖80Hz-12KHz的频率范围。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按照GB/T 9397-2013测试规范，音柱的总谐波失真应不大于10%。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音柱在上电无声音输出的待机期间，待机功耗不应大于0.16W。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设备支持3路开关量触发播报相关音源，并支持多信号源优先级。优先级顺序：线路输入＞触发1＞触发2＞触发3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A301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A94D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4909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A18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02E7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接入交换机</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5BEB1A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提供8个千兆电口、2个千兆光口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交换容量：20 Gbps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包转发率：14.88 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支持IEEE 802.3、IEEE 802.3u、IEEE 802.3x、IEEE 802.3ab标准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支持管理平台管理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支持手机APP管理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支持安防网络拓扑管理、端口管理，支持远程升级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支持VLAN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支持SNMPv1/v2c协议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支持DHCP Snooping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支持静态链路聚合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坚固式高强度金属外壳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无风扇设计，高可靠性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安装方式：桌面式，桌面式可壁挂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供电方式：12 VDC, 1 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浪涌防护：网口6 KV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FB2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285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6EA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76662096">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二、矿端视频AI智能分析系统</w:t>
            </w:r>
          </w:p>
        </w:tc>
      </w:tr>
      <w:tr w14:paraId="16A6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3579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0AC63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矿端视频AI智能分析超脑</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6303C5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支持预览的单窗口轮巡，设备支持在多画面的固定窗口上进行轮巡预览，其他预览窗口不轮巡。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具有2个HDMI接口、2个 VGA接口、1个CVBS接口、2个RJ45千兆网络接口、2个USB2.0接口、2个USB3.0接口、1个RS232接口、1个RS485接口(可接入RS485键盘)、1个eSata接口。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具有1路音频输入接口、2路音频输出接口、16 路报警输入接口、9路报警输出接口(其中第9路支持受控直流12V输出)、具有1路直流12V输出接口(12V 1A)，可内置8块SATA接口硬盘;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具有电源指示灯、硬盘指示灯、网络指示灯、系统运行状态指示灯、报警指示灯。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支持预览时对实时视频流进行手动打标签，通过标签检索可以检索到相关的录像片段。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可同时正放或倒放32 路H.265/H.264 编码、2560×1440 格式的视频图像，或者10路H.265/H.264编码、4096×2160 格式的视频图像。最多支持32路同步回放。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在告警断网续传功能启用后，支持告警事件在NVR断网恢复后继续向中心平台发送，断网时间段内的告警事件不丢失。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采用单人单次通过检测区域，100人次正确检出是否佩戴安全帽次数不少于99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入普通IPC，支持工服注册，可上传需要检测的工服图片到工服库，包含红色工服、白色工服、蓝色工服、后厨工服、工地工服等，最大支持20000个工服，对目标工服进行识别，并根据设定条件触发报警联动；可设置最多16个多边形检测区域。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接入普通IPC，尺寸与面积检测，支持通过视频测量目标的实际尺寸和面积，目标误差±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支持导入视觉大模型进行分析，支持视频分析、图片分析、图片二次分析过滤。引擎状态界面可显示引擎工作温度， 可查看引擎配置及利用率。具有不低于 3个GPU芯片，支持 5种引擎功能： 人脸识别、周界防范、视频结构化、行为分析和AI算法引擎。支持导入图片，并对图片中的数字和字母进行识别并输出结果；支持集装箱箱号识别；支持识别身份证内容、输出身份证照片，识别的内容包括姓名、性别、民族、出生日期、住址、身份证号码、签发机关和有效期。支持识别图片上叠加的OSD，输出OSD信息；支持识别国内铁路车厢号；支持识别快递面单各字段内容，识别的内容包括：三段码识别、收/寄件人姓名、手机号、地址；支持识别国内船舶船身喷涂的船名 识别停车场中的车位编号。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AI算法，1个GPU可分化成4个虚拟引擎，每个虚拟引擎支持一种AI算法；1个GPU支持4路400W摄像机的实时视频分析。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可集成第三方算法，支持算法加载，多算法仓可按需加载不同的第三方算法，可与原有算法并行运行。支持PyTorch模型、ONNX模型、TensorFlow模型、Caffe模型、PaddlePaddle模型，能力可涵盖检测、分类、分割、关键点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支持插件化编排程序设置，可构建检测、分类、分割、关键点等模型串联应用。支持音频设备与视频设备独立管理，支持网络拾音器的接入、校时；最大支持32路音频设备管理。 支持音视频动态调整组合分配功能，可将任一路音频与任一路视频组合成复合流编码。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AE9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C00D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D42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5FFE523B">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三、下井人员智能管控系统</w:t>
            </w:r>
          </w:p>
        </w:tc>
      </w:tr>
      <w:tr w14:paraId="6BC7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645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8E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人员通道</w:t>
            </w: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073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单机芯左边机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外设配置：设备标配面部识别组件、IC读卡器等多种外设，实现多样化的认证方式并降低配单及施工难度。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设备应采用6个自收自发的应能支持室外使用的激光雷达探测器，无需收发对齐。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箱体材质：SUS304拉丝不锈钢；厚度1.2±0.12mm。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门翼材质：亚克力;不锈钢;其中亚克力厚度8mm。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通行速率：20-60人每分钟，受人员情况和通行模式影响。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设备的无故障运行次数应不低于800万次。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手机连接设备wifi热点和NFC通过手机WEB登录和PC通过web登录实现调试，包括但不限于进行人员权限管理、参数设置、设备器件状态查看（设备容量、从通道通讯状态、红外探测器输入输出状态、读卡器状态、箱体温度、电机编码器状态、消防触发状态、通行模式状态、门翼状态、遥控器状态等等）、远程开关门及常开常闭控制、遥控器配置、灯效配置（亮度调节、灯光亮度自适应功能等等）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设备应能仅使用一根网线实现一组通道主从闸机的同步通讯与网络通讯功能。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单侧通道应能独立使用，应具有雷达探测识别开门功能。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设备采用直流无刷伺服电机，霍尔传感器及平行减速齿轮。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设备应支持屏蔽指定的一个或多个激光雷达，启用红外应急模式，仍能正常工作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设备应支持指定任意一个激光雷达，当人员通过该激光雷达后应立即执行关门动作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设备应离线支持100000个用户（用户权限应能配置为管理员），100000个人脸特征，1000000张卡片容量，1000000笔记录存储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设备的人员通行检测部分、指示部分防护等级应不低于IK07，其他部分应不低于IK08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产品供应商应具有符合ISO/IEC27701:2019要求的隐私信息管理体系认证。</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64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4A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0F4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0B4F6">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5451B">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591CB">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0AB9F">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D5A40">
            <w:pPr>
              <w:jc w:val="center"/>
              <w:rPr>
                <w:rFonts w:hint="eastAsia" w:ascii="宋体" w:hAnsi="宋体" w:eastAsia="宋体" w:cs="宋体"/>
                <w:i w:val="0"/>
                <w:iCs w:val="0"/>
                <w:color w:val="000000"/>
                <w:sz w:val="20"/>
                <w:szCs w:val="20"/>
                <w:highlight w:val="none"/>
                <w:u w:val="none"/>
              </w:rPr>
            </w:pPr>
          </w:p>
        </w:tc>
      </w:tr>
      <w:tr w14:paraId="6B14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5C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8C6F4">
            <w:pPr>
              <w:jc w:val="center"/>
              <w:rPr>
                <w:rFonts w:hint="eastAsia" w:ascii="宋体" w:hAnsi="宋体" w:eastAsia="宋体" w:cs="宋体"/>
                <w:i w:val="0"/>
                <w:iCs w:val="0"/>
                <w:color w:val="000000"/>
                <w:sz w:val="20"/>
                <w:szCs w:val="20"/>
                <w:highlight w:val="none"/>
                <w:u w:val="none"/>
              </w:rPr>
            </w:pP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B7E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双机芯中间机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外设配置：设备标配面部识别组件、IC读卡器等多种外设，实现多样化的认证方式并降低配单及施工难度。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设备应采用6个自收自发的应能支持室外使用的激光雷达探测器，无需收发对齐。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箱体材质：SUS304拉丝不锈钢；厚度1.2±0.12mm。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门翼材质：亚克力;不锈钢;其中亚克力厚度8mm。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通行速率：20-60人每分钟，受人员情况和通行模式影响。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设备的无故障运行次数应不低于800万次。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手机连接设备wifi热点和NFC通过手机WEB登录和PC通过web登录实现调试，包括但不限于进行人员权限管理、参数设置、设备器件状态查看（设备容量、从通道通讯状态、红外探测器输入输出状态、读卡器状态、箱体温度、电机编码器状态、消防触发状态、通行模式状态、门翼状态、遥控器状态等等）、远程开关门及常开常闭控制、遥控器配置、灯效配置（亮度调节、灯光亮度自适应功能等等）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设备应能仅使用一根网线实现一组通道主从闸机的同步通讯与网络通讯功能。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单侧通道应能独立使用，应具有雷达探测识别开门功能。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设备采用直流无刷伺服电机，霍尔传感器及平行减速齿轮。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设备应支持屏蔽指定的一个或多个激光雷达，启用红外应急模式，仍能正常工作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设备应支持指定任意一个激光雷达，当人员通过该激光雷达后应立即执行关门动作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设备应离线支持100000个用户（用户权限应能配置为管理员），100000个人脸特征，1000000张卡片容量，1000000笔记录存储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设备的人员通行检测部分、指示部分防护等级应不低于IK07，其他部分应不低于IK08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产品供应商应具有符合ISO/IEC27701:2019要求的隐私信息管理体系认证。</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B0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FD79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F04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A4BA0">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4DB08">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F2B0C">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85060">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B8188">
            <w:pPr>
              <w:jc w:val="center"/>
              <w:rPr>
                <w:rFonts w:hint="eastAsia" w:ascii="宋体" w:hAnsi="宋体" w:eastAsia="宋体" w:cs="宋体"/>
                <w:i w:val="0"/>
                <w:iCs w:val="0"/>
                <w:color w:val="000000"/>
                <w:sz w:val="20"/>
                <w:szCs w:val="20"/>
                <w:highlight w:val="none"/>
                <w:u w:val="none"/>
              </w:rPr>
            </w:pPr>
          </w:p>
        </w:tc>
      </w:tr>
      <w:tr w14:paraId="6EF6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348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23210">
            <w:pPr>
              <w:jc w:val="center"/>
              <w:rPr>
                <w:rFonts w:hint="eastAsia" w:ascii="宋体" w:hAnsi="宋体" w:eastAsia="宋体" w:cs="宋体"/>
                <w:i w:val="0"/>
                <w:iCs w:val="0"/>
                <w:color w:val="000000"/>
                <w:sz w:val="20"/>
                <w:szCs w:val="20"/>
                <w:highlight w:val="none"/>
                <w:u w:val="none"/>
              </w:rPr>
            </w:pPr>
          </w:p>
        </w:tc>
        <w:tc>
          <w:tcPr>
            <w:tcW w:w="91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26F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单机芯右边机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外设配置：设备标配面部识别组件、IC读卡器等多种外设，实现多样化的认证方式并降低配单及施工难度。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设备应采用6个自收自发的应能支持室外使用的激光雷达探测器，无需收发对齐。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箱体材质：SUS304拉丝不锈钢；厚度1.2±0.12mm。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门翼材质：亚克力;不锈钢;其中亚克力厚度8mm。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通行速率：20-60人每分钟，受人员情况和通行模式影响。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设备的无故障运行次数应不低于800万次。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手机连接设备wifi热点和NFC通过手机WEB登录和PC通过web登录实现调试，包括但不限于进行人员权限管理、参数设置、设备器件状态查看（设备容量、从通道通讯状态、红外探测器输入输出状态、读卡器状态、箱体温度、电机编码器状态、消防触发状态、通行模式状态、门翼状态、遥控器状态等等）、远程开关门及常开常闭控制、遥控器配置、灯效配置（亮度调节、灯光亮度自适应功能等等）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设备应能仅使用一根网线实现一组通道主从闸机的同步通讯与网络通讯功能。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单侧通道应能独立使用，应具有雷达探测识别开门功能。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设备采用直流无刷伺服电机，霍尔传感器及平行减速齿轮。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设备应支持屏蔽指定的一个或多个激光雷达，启用红外应急模式，仍能正常工作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设备应支持指定任意一个激光雷达，当人员通过该激光雷达后应立即执行关门动作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设备应离线支持100000个用户（用户权限应能配置为管理员），100000个人脸特征，1000000张卡片容量，1000000笔记录存储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设备的人员通行检测部分、指示部分防护等级应不低于IK07，其他部分应不低于IK08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产品供应商应具有符合ISO/IEC27701:2019要求的隐私信息管理体系认证。</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9D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DC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A79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C1B3F">
            <w:pPr>
              <w:jc w:val="center"/>
              <w:rPr>
                <w:rFonts w:hint="eastAsia" w:ascii="宋体" w:hAnsi="宋体" w:eastAsia="宋体" w:cs="宋体"/>
                <w:i w:val="0"/>
                <w:iCs w:val="0"/>
                <w:color w:val="000000"/>
                <w:sz w:val="20"/>
                <w:szCs w:val="20"/>
                <w:highlight w:val="none"/>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2C9A1">
            <w:pPr>
              <w:jc w:val="center"/>
              <w:rPr>
                <w:rFonts w:hint="eastAsia" w:ascii="宋体" w:hAnsi="宋体" w:eastAsia="宋体" w:cs="宋体"/>
                <w:i w:val="0"/>
                <w:iCs w:val="0"/>
                <w:color w:val="000000"/>
                <w:sz w:val="20"/>
                <w:szCs w:val="20"/>
                <w:highlight w:val="none"/>
                <w:u w:val="none"/>
              </w:rPr>
            </w:pPr>
          </w:p>
        </w:tc>
        <w:tc>
          <w:tcPr>
            <w:tcW w:w="91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58DC1">
            <w:pPr>
              <w:jc w:val="left"/>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9BEC9">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EB703">
            <w:pPr>
              <w:jc w:val="center"/>
              <w:rPr>
                <w:rFonts w:hint="eastAsia" w:ascii="宋体" w:hAnsi="宋体" w:eastAsia="宋体" w:cs="宋体"/>
                <w:i w:val="0"/>
                <w:iCs w:val="0"/>
                <w:color w:val="000000"/>
                <w:sz w:val="20"/>
                <w:szCs w:val="20"/>
                <w:highlight w:val="none"/>
                <w:u w:val="none"/>
              </w:rPr>
            </w:pPr>
          </w:p>
        </w:tc>
      </w:tr>
      <w:tr w14:paraId="01F4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FB60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0BB37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多功能数据采集仪</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588ED1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设备采用3.97英寸LCD触摸显示屏，屏幕支持多点触控操作，屏幕流明度350cd/㎡，分辨率不小于480*800，屏幕防暴等级IK04。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设备采用嵌入式Linux系统，具有用户卡号、指纹、人脸、身份证信息等用户信息采集登记。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设备采用高清双目宽动态相机（可见光摄像头*1，红外摄像头*1），最大分辨率：1920×1080。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设备本地用户库存储容量2000张，支持每个用户10张卡信息登记。支持每个用户10枚指纹信息登记。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设备具有丰富的硬件接口，应不少于以下硬件接口及能力：LAN*1；WiFi*1；USB *1；Type C USB *1；扬声器*1；PSAM卡槽（小）*3；PSAM卡槽（大）*1；电源接口*1。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1.支持红外及白光灯补光；支持设置红外及可见光补光灯亮度；2.人脸采集距离：0.3~2m；3. 人像采集时间：≤200ms。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设备支持以下采集方式：用户卡号、指纹、人脸、身份证； 支持普通CPU卡、国密CPU卡发卡授权；支持指纹采集及查重功能；支持人脸防假体攻击功能检查，对电子照片、视频人脸不能进行人脸认证登录；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适用温度范围：-10℃至50℃；恒温湿热+40℃±2℃、RH93%、48h。</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75B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3563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5B4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1BF14309">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四、传感数据监测系统对接</w:t>
            </w:r>
          </w:p>
        </w:tc>
      </w:tr>
      <w:tr w14:paraId="26AD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025F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DC0B6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环境监测物联网关</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3720FC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RS485/RS232接口：8路RS485，其中1/3/5/7可以复用为RS232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开关量输入（DI）：16路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开关量输出（DO）：8路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模拟量输入（4～20 mA电流量或0～5 V电压量 ）：16路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对外供电接口 ：6路DC12V，最大功率24W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网络接口：5个RJ45 10M/100M自适应以太网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其它接口：1×USB 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传感器接入性能：16路开关量信号设备接入；16路模拟量输入；每个RS485支持16个传感器共计128个传感器；接入数据（传感器数据数）总数2000个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支持双网络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支持Modbus TCP、Modbus RTU、DLT645、 CJT188、BACNet、 IEC104等标准协议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支持450多个三方设备接入协议, 涉及UPS、传感器等南向采集协议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支持标准 Modbus 协议自定义配置导入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0D46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1B4A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3BE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545" w:type="dxa"/>
            <w:gridSpan w:val="5"/>
            <w:tcBorders>
              <w:top w:val="single" w:color="000000" w:sz="4" w:space="0"/>
              <w:left w:val="single" w:color="000000" w:sz="4" w:space="0"/>
              <w:bottom w:val="single" w:color="000000" w:sz="4" w:space="0"/>
              <w:right w:val="single" w:color="000000" w:sz="4" w:space="0"/>
            </w:tcBorders>
            <w:noWrap w:val="0"/>
            <w:vAlign w:val="center"/>
          </w:tcPr>
          <w:p w14:paraId="6DB9E6C4">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五、矿山安全监测监控系统</w:t>
            </w:r>
          </w:p>
        </w:tc>
      </w:tr>
      <w:tr w14:paraId="5F02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48C2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8FA1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矿山安全监测监控管理平台服务器</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5F0A13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2U单路标准机架式服务器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CPU：配置≥1颗 C86架构HYGON 7363处理器，单处理器物理核心数≥16核，主频≥2.5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内存：配置≥64G DDR4，≥16根内存插槽，最大支持扩展至2TB内存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硬盘：配置≥2块600G 10K SAS硬盘；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阵列卡：配置≥1张SAS_HBA卡（支持RAID 0/1/10）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PCIE扩展：最大可选支持6个PCIe扩展插槽；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网口：≥4个千兆电口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其他接口：配置≥1个千兆RJ-45管理接口，≥4个USB 3.0接口；≥1个VGA口，位于机箱后部；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电源：配置≥550W（1+1）高效铂金CRPS冗余电源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机箱规格：87.8mm(高)x 448mm(宽)x733.2mm(深)（不含侧耳）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设备重量：最大30千克（不含导轨）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9F3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BCB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78A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7E4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C43A4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系统管理</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23AD42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系统基础包，提供业务应用依赖的基础资源信息及基础服务能力，包括系统基础信息管理、地图应用服务、事件联动应用服务。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系统基础信息管理：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一、组织资源管理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1、支持组织基础信息的增删改查、导入、导出等功能；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二、区域资源管理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1、支持区域基础信息的增删改查、导入、导出等功能；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三、人员信息管理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1、支持人员信息的增删改查、导入、导出，包括人脸、指纹采集；2、支持人员基础信息自定义扩展；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四、卡片信息管理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1、支持卡片基本信息的增删改查、导入、导出；2、支持人员开卡、退卡、挂失、解挂、换卡及卡扇区加密；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五、车辆信息管理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1、支持车辆基本信息的增删改查、导入、导出；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六、设备信息管理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七、系统用户管理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账户基本信息和角色信息的增删改查；2、支持配置不同角色权限，包括菜单权限、组织权限、区域权限、资源权限、功能控制权限；3、支持用户组权限分配；4、支持用户安全管理，可绑定用户mac地址及IP，可自行修改用户密码或者管理员重置密码；5、支持从Windows域同步用户信息，用于域账户进行平台登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八、核心参数配置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1、支持首页菜单自定义展示设置；2、支持所有设备统一校时；3、提供账户安全设置，支持账户密码有效期设置。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图上监控：图上监控应用以地图可视化模式为各类设备资源提供可视化展示及控制操作，在地图上可展示各类资源点的地理位置，通过接收资源点报警事件，实现报警信息可视化展示。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地图配置能力，包含在线（高德）、离线GIS地图（高德、自定义）；2、支持资源上图配置能力，实现资源的地图可视化展示及控制操作，资源类型包含监控点、报警输出、报警输入、门禁点、出入口、停车场、传感器、手持视频终端、园区卡口资源、防区、报警输入、报警输出、报警主机IO输出、消防设备；3、支持事件可视化监控能力，实时展示报警事件，支持历史报警事件查询；4、支持针对移动GPS设备的轨迹回放能力，如单兵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管理最大组织数2000个，组织层级最大10级；2、支持管理最大区域数2000个，区域层级最大10级；3、支持管理最大人员数量5万；4、支持管理最大卡片数量5万；5、支持管理最大车辆数量3万；6、支持最大的在线用户数1000个，并发登录用户数50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备注：以上是单台服务器部署系统基础规格，超出规格需考虑分布式部署。</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F10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4DDA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D59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647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3203A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w:t>
            </w:r>
          </w:p>
        </w:tc>
        <w:tc>
          <w:tcPr>
            <w:tcW w:w="9195" w:type="dxa"/>
            <w:tcBorders>
              <w:top w:val="single" w:color="000000" w:sz="4" w:space="0"/>
              <w:left w:val="single" w:color="000000" w:sz="4" w:space="0"/>
              <w:bottom w:val="single" w:color="000000" w:sz="4" w:space="0"/>
              <w:right w:val="single" w:color="000000" w:sz="4" w:space="0"/>
            </w:tcBorders>
            <w:noWrap w:val="0"/>
            <w:vAlign w:val="center"/>
          </w:tcPr>
          <w:p w14:paraId="304712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视频监控应用提供视频管理服务，实现视频预览、录像回放、视频上墙、视频事件监控服务能力，并且在网络带宽不足、有流量限制的网络环境下可以通过以图片替代视频的模式提供监控服务。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一、视频预览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二、录像回放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1、支持录像计划管理能力，支持实时录像计划、录像回传计划；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三、图片监控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1、支持视频预览与图片实时监控模式切换能力，实现图片监控模式；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2、支持图片查询回放能力，实现按监控点、时间段展示抓拍图片；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3、支持图片自动播放能力，支持图片自动播放速度可设置；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4、支持图片下载能力；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四、视频上墙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五、视频事件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1、支持视频事件布撤防能力，可按计划模版进行布防，事件类型包括移动侦测、视频丢失、视频遮挡、报警输入、报警输出；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1、支持监控点数量10W个（超过5000需要分布式部署）；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2、支持并发取流带宽2000M，例如以2M/路计算最大并发路数为1000路 （以千兆服务器为例，每台服务器并发取流带宽为600M，超过600M需要分布式部署）；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3、解码能力：在i7、GTX1070的PC上，解码H264、720P的视频36路；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4、支持电视墙最大场景数128个；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5、单个电视墙最大支持数量25*25个；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6、单个窗口最大分割数量16个。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3199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55EC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bl>
    <w:p w14:paraId="3858F254">
      <w:pPr>
        <w:pStyle w:val="19"/>
        <w:keepNext w:val="0"/>
        <w:keepLines w:val="0"/>
        <w:pageBreakBefore w:val="0"/>
        <w:tabs>
          <w:tab w:val="left" w:pos="1341"/>
        </w:tabs>
        <w:kinsoku/>
        <w:wordWrap w:val="0"/>
        <w:overflowPunct/>
        <w:topLinePunct w:val="0"/>
        <w:bidi w:val="0"/>
        <w:spacing w:line="328" w:lineRule="auto"/>
        <w:ind w:left="740" w:right="218" w:firstLine="0"/>
        <w:jc w:val="both"/>
        <w:rPr>
          <w:rFonts w:hint="eastAsia"/>
          <w:b/>
          <w:bCs/>
          <w:color w:val="auto"/>
          <w:spacing w:val="-12"/>
          <w:sz w:val="24"/>
          <w:highlight w:val="none"/>
        </w:rPr>
      </w:pPr>
    </w:p>
    <w:tbl>
      <w:tblPr>
        <w:tblStyle w:val="14"/>
        <w:tblW w:w="13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6"/>
        <w:gridCol w:w="2098"/>
        <w:gridCol w:w="8995"/>
        <w:gridCol w:w="699"/>
        <w:gridCol w:w="640"/>
      </w:tblGrid>
      <w:tr w14:paraId="4CC4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8"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99C3F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32A734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视频联网</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119C8B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1、支持上下级域注册管理能力，实现平台数据级联；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2、支持资源同步能力；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3、支持级联视频点位实时预览、录像回放、录像下载、语音对讲能力；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4、支持级联视频点位设备操作控制能力；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5、支持下级平台推送到本级平台视频点位路数控制能力，通过级联点位授权路数控制；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其中第3、4点需要基于视频监控应用特性提供业务应用。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1、最大级联监控点数量20W个；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2、单个NCG信令节点：最大支持5个上级域平台、15个下级域平台；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3、支持并发取流带宽2000M，例如以2M/路计算最大并发路数为1000路 （以千兆服务器为例，每台服务器并发取流带宽为600M，超过600M需要分布式部署）。</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0BC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C615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A57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ABF82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0EC103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门禁管理</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22762D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一、提供门禁权限管理应用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1、支持按组织、人员、人员分组、门禁点维度配置权限；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2、支持设置权限有效期、计划模板、假日计划；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3、支持按人员特征属性生成人员分组，如证件类型、岗位等级、职称等；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4、支持权限增量下发、初始化下发；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5、支持按时段配置门的常开常闭状态；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6、支持认证方式设置，可按不同时段设置不同的认证方式，如刷卡+人脸、刷卡+指纹；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7、支持首卡常开，刷首卡可使门保持常开至常开时间段结束，若此期间再次刷首卡，门恢复正常状态；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8、支持特殊卡设置，包括残疾人卡（可延长开门时间）、黑名单卡（无法开门）、胁迫卡（正常开门并上报胁迫报警）、超级卡（不受限于门常闭、刷卡+密码认证需要密码确认的规则，刷卡直接开门）；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9、针对刷卡开门方式，即使卡片权限未同步到设备，也可通过中心平台完成权限认证开门。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10、支持调整已超出或即将超出设备容量的人员生物特征；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11、支持按门禁点、人员、组织、区域等多维度，综合查询权限配置、下发状态等信息；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二、提供门禁事件管理应用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1、支持配置平台接收到事件类型；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2、支持配置事件保存时长；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3、支持查询人员出入事件和设备事件；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三、提供门禁状态查看及远程控制应用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1、支持查看门禁状态，包括开关状态、在离线状态；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2、支持对门禁点反控，包括对门进行开、关、常开、常闭的反控操作；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3、支持远程呼叫应用，门禁一体机呼叫中心发起开门请求，cs客户端弹窗显示一体机视频，中心可选择接听、拒绝、开门；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四、提供人员出入记录实时展示应用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1、支持人员进出事件实时展示，包括人员基础信息、抓拍图片、进出时间、设备名称等，可全屏展示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1、支持最大门禁点数量2万个；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2、门禁权限下发的性能（单个门禁点）：卡片：15-35张/秒；人脸：1-2张/秒；人脸模型：100张/秒；（依赖中心建模服务器）；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3、权限并发下载路数：单台服务器50路，最大可扩展至1000路；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4、门禁事件处理（单台服务器）：带图片：100条/秒；不带图片：1000条/秒；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5、事件最大存储数量：5000万条。</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B77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8A86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7844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FD0E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6A7B5B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人员管控</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2ECF53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人员布控应用以人脸识别技术为核心，通过前后端分析设备对人脸抓拍图片进行比对分析，实现人脸自动识别，以提供人员布控服务的能力。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1、支持配置重点人员识别计划、陌生人识别计划、高频人员识别计划；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2、支持接收重点人员、陌生人、高频人员实时事件；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3、支持配置行为分析规则，实现行为分析服务器的事件上报；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1、人脸库最大人脸数量30W个。（超过5W人脸需要根据项目实际情况进行评估）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2、人脸事件接收最大并发数量200条/秒。</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1545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E1A3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DD0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898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722749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AI模型管理</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7143F7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1、提供模型管理、模型下发、智能分析配置、抓图计划配置。通过将AI模型下发至设备，为设备通道配置智能分析任务，使设备拥有针对特定对象和场景的智能分析能力，能够解决碎片化场景下的智能分析问题。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2、可选择与作业监管配合使用；（作业监管场景）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3、也可选择与隐患治理配合使用。（非作业监管场景）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1、提供模型管理、模型下发、智能分析配置、抓图计划配置。通过将AI模型下发至设备，为设备通道配置智能分析任务，使设备拥有针对特定对象和场景的智能分析能力，能够解决碎片化场景下的智能分析问题。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2、可选择与作业监管配合使用；（作业监管场景）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3、也可选择与隐患治理配合使用。（非作业监管场景）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1、系统最多管理模型数量：500；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2、单服务（实例）最多支持并发的AI检测路数：100；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3、单平台最多支持AI模型管理服务组件实例数：3；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4、单平台最多支持并发的AI检测路数：300；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5、模型并发下载路数：500。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13D3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2CA3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F20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7"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9402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02EED5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动环监控</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2D705F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1、提供动环设备统一接入管理能力，包含动环设备、视频动环一体机、污染物在线检测设备；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2、提供动环监控参数配置能力，包含开关管理、OSD配置管理；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3、提供环境量实时监测能力；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4、提供环境量报警检测能力；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5、提供报警输入监控、开关控制、空调控制、SCADA控制能力；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6、提供环境量统计查询及报表展示能力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1、支持动环主机（物联监测设备）管理数量5000个；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2、支持传感器管理数量5000个；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3、支持环境量管理数量10000个；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4、设备上报数据最大并发处理数量200条/秒</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D64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D656D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3AF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2"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BE0D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0C92F7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设备网络管理</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3B73CE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设备网络管理应用，对接入平台的视频设备，门禁设备，梯控设备，可视对讲设备进行在线巡检，及时发现故障设备和掉线设备，使运维工作更加高效，便利。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一、视频网络管理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1、支持监控摄像机、编码设备、存储设备、解码设备等物联设备在线状态、工作状态、硬盘状态、指标采集。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2、支持监控点通道的在线状态、录制状态、录像完整性、录像保存天数指标检测。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3、支持告警信息统计展现。并支持对监控点、编码设备、解码设备、视频综合矩阵、NVR/CVR、云储存、门禁设备、门禁点、读卡器、梯控设备/梯控读卡器/可视对讲的告警阈值进行配置。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4、提供视频运维报表统计能力，包含区域综合排名统计、录像完整性统计、录像存储达标统计、在线状态统计、离线时长统计报表。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6、支持海康SDK、大华SDK、ehome、isup5.0、GB28181、部标808、Open Network Video Interface、萤石、ISAPI协议。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二、门禁运维管理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1、提供门禁设备在线状态监测能力；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2、提供门禁设备运维报表统计能力；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三、可视对讲运维管理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1、提供门口机、室内机、管理机、围墙机设备在线状态监测能力；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2、提供可视对讲设备运维报表统计能力；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四、梯控运维管理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1、提供梯控主机、读卡器在线状态监测能力；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2、提供梯控设备运维报表统计能力；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五、停车场出入口运维管理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1、提供岗亭缴费终端、出入口控制设备、出入口显示设备、读卡设备在线状态监测能力；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2、提供停车场出入口设备运维报表统计能力；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六、寻车诱导运维管理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1、提供诱导管理器、车位相机、显示屏在线状态监测能力；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2、提供寻车诱导设备运维报表统计能力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1、单节点在线状态巡检效率不低于1000路/小时；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2、单节点录像情况巡检效率不低于1000路/小时</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EE3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58AF4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2658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8DBB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03C21CF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区域管控</w:t>
            </w:r>
          </w:p>
        </w:tc>
        <w:tc>
          <w:tcPr>
            <w:tcW w:w="8995" w:type="dxa"/>
            <w:tcBorders>
              <w:top w:val="single" w:color="000000" w:sz="4" w:space="0"/>
              <w:left w:val="single" w:color="000000" w:sz="4" w:space="0"/>
              <w:bottom w:val="single" w:color="000000" w:sz="4" w:space="0"/>
              <w:right w:val="single" w:color="000000" w:sz="4" w:space="0"/>
            </w:tcBorders>
            <w:noWrap w:val="0"/>
            <w:vAlign w:val="center"/>
          </w:tcPr>
          <w:p w14:paraId="6314BF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销售项：区域管控信息发布内容管理 模块 已合入本模块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于门禁点刷脸（刷卡）记录来统计封闭区内的滞留人数与滞留时长，对于人数超限、滞留超时进行报警，及时消除封闭区的安全隐患。管控支持2种模式：预警模式和严控模式。预警模式下人数超限仅报警。严控模式下人数超限时反控门禁系统，禁止进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2、基于停车场进出入记录，来统计区域内车辆进出数量。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3、支持对区域内人车进出的历史数据进行统计展示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4、支持通过LED发布区域内的人、车统计数据、安全信息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5、支持通过信息发布屏/盒子发布区域内的人、车统计数据、刷卡人员信息、车牌信息等</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4FE2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E4957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AA0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2" w:hRule="atLeast"/>
        </w:trPr>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95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cs="宋体"/>
                <w:i w:val="0"/>
                <w:iCs w:val="0"/>
                <w:color w:val="000000"/>
                <w:kern w:val="0"/>
                <w:sz w:val="20"/>
                <w:szCs w:val="20"/>
                <w:highlight w:val="none"/>
                <w:u w:val="none"/>
                <w:lang w:val="en-US" w:eastAsia="zh-CN" w:bidi="ar"/>
              </w:rPr>
              <w:t>1</w:t>
            </w:r>
          </w:p>
        </w:tc>
        <w:tc>
          <w:tcPr>
            <w:tcW w:w="20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A5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三层核心交换机</w:t>
            </w:r>
          </w:p>
        </w:tc>
        <w:tc>
          <w:tcPr>
            <w:tcW w:w="8995" w:type="dxa"/>
            <w:vMerge w:val="restart"/>
            <w:tcBorders>
              <w:top w:val="single" w:color="000000" w:sz="4" w:space="0"/>
              <w:left w:val="single" w:color="000000" w:sz="4" w:space="0"/>
              <w:bottom w:val="single" w:color="000000" w:sz="4" w:space="0"/>
              <w:right w:val="single" w:color="000000" w:sz="4" w:space="0"/>
            </w:tcBorders>
            <w:noWrap w:val="0"/>
            <w:vAlign w:val="top"/>
          </w:tcPr>
          <w:p w14:paraId="6DED15F0">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三层千兆交换机(24千兆电+4万兆光)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支持更多上行接口，提供更高带宽保障，满足大型网络汇聚或中小网络核心部署需求，以及对于光电混合组网的配置需求。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实现基于硬件的IPv4/IPv6双栈平台，丰富的IPv4和IPv6三层路由协议、组播技术以及策略路由机制，为用户提供完善的IPv4/IPv6解决方案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支持虚拟化技术，就是把多台物理设备互相连接起来，使其虚拟为一台逻辑设备，用户可以将这多台设备看成一台单一设备进行管理和使用。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支持集中式MAC地址认证、802.1x认证、PORTAL认证，支持用户帐号、IP、MAC、VLAN、端口等用户标识元素的动态或静态绑定，同时实现用户策略（VLAN、QoS、ACL）的动态下发。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提供增强的ACL控制逻辑，支持超大容量的入端口和出端口ACL，并且支持基于VLAN的ACL下发，在简化用户配置过程的同时，避免了ACL资源的浪费。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具备设备级和链路级的多重可靠性保护。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支持可插拔双电源模块可靠性设计，支持电源和风扇的故障检测及告警，可以根据温度的变化自动调节风扇的转速，这些设计使设备具备了更高的可靠性。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 M-LAG 跨设备链路聚合技术，通过将两台物理设备在转发层面虚拟成一台设备来实现跨设备链路聚合，保持控制层面互相独立，提升至设备级可靠性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尺寸（宽×高×深）：440 mm× 43.6 mm × 360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标准机架高度：1U     重量：≤5.6 kg    工作温度：-5 ℃～45 ℃    工作湿度：5%～95%（非凝结）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空载功耗：Single AC：16 W ，Dual AC：18 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整机最大功耗：Single AC：37 W， Dual AC：39 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交换容量：688Gbps/6.88Tbps      包转发率：171Mpps/297Mpps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端口规格：24个10/100/1000BASE-T端口，4个10G/1G BASE-X SFP+端口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电源特性：AC：100V～240V AC，50/60Hz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VLAN：支持基于端口的VLAN；支持基于MAC的VLAN；支持基于协议的VLAN；支持QinQ；支持MVRP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ARP：支持ARP Proxy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IPv4路由：支持静态路由、RIPv1/v2、OSPF、IS-IS、BGPv4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支持等价路由、策略路由、路由策略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IPv4基础功能：支持IPv4协议栈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IPv6路由：支持IPv6静态路由、RIPng、OSPFv3、BGP4+、IS-ISv6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支持ND、Pingv6、Telnetv6、FTPv6、TFTPv6、ICMPv6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IPv6基础功能：支持IPv6协议栈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组播：IGMP Snooping v1/v2/v3、MLD Snooping v1/v2、组播VLAN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链路聚合：支持GE/10GE端口聚合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支持静态/动态聚合、支持跨设备聚合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端口镜像：支持本地和远程端口镜像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支持N:4端口镜像、支持流镜像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STP：支持 STP/RSTP/MSTP          ERPS：支持G.8032以太网环网协议ERPS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RRPP：支持RRPP快速环网保护协议            DHCP：支持DHCP Relay、DHCP Server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流控：支持 IEEE 802.3x 流控（全双工）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风暴控制：支持风暴控制              流量抑制：支持广播/多播/单播流量抑制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支持基于端口速率百分比的风暴抑制                  支持基于PPS的风暴抑制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ACL：支持L2～L4包过滤功能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支持基于源MAC地址、目的MAC地址、源IP地址、目的IP地址、IP协议类型、TCP/UDP 端口、TCP/UDP端口范围、VLAN等定义ACL。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支持基于时间段（Time Range）的ACL、支持基于端口、VLAN下发ACL、QoS：支持Diff-Serv QoS、支持802.1p/DSCP 优先级映射、支持队列调度机制（SP、WRR、SP+WRR）、支持优先级标记Mark/Remark、支持基于流的包过滤、支持基于流的流量统计、支持基于流的重定向、支持基于流的限速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堆叠：支持IRF2智能弹性架构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支持分布式设备管理，分布式链路聚合，分布式弹性路由、支持通过标准以太网接口等方式进行堆叠、支持本地堆叠和远程堆叠、安全特性：用户分级管理和口令保护、支持Guest VLAN、支持IEEE 802.1X认证/集中MAC地址认证、支持AAA&amp;RADIUS认证、支持MAC地址学习数目限制、支持MAC地址黑洞、支持端口隔离、支持ARP报文限速功能、支持IP源地址保护、支持ARP入侵检测功能、支持防Dos攻击、支持SAVI源地址有效性验证、支持广播报文抑制、支持主备数据备份机制、支持SSH 2.0，为用户登录提供安全加密通道、支持SSL，保障数据传输安全、支持IP＋端口的绑定、IP+MAC的绑定、端口＋MAC的绑定、IP+MAC+端口的绑定功能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Console口：支持Console口      Telnet：支持Telnet      SNMP：支持SNMP V1/V2c/V3       NTP：支持NTP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RMON：支持RMON     sFlow：支持sFlow      FTP：支持FTP       TFTP：支持TFTP      SFTP：支持SFTP      XModem：支持XModem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系统日志：支持系统工作日志       CLI：支持CLI进行配置 </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C3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6D8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085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BD451">
            <w:pPr>
              <w:jc w:val="center"/>
              <w:rPr>
                <w:rFonts w:hint="eastAsia" w:ascii="宋体" w:hAnsi="宋体" w:eastAsia="宋体" w:cs="宋体"/>
                <w:i w:val="0"/>
                <w:iCs w:val="0"/>
                <w:color w:val="000000"/>
                <w:sz w:val="20"/>
                <w:szCs w:val="20"/>
                <w:highlight w:val="none"/>
                <w:u w:val="none"/>
              </w:rPr>
            </w:pPr>
          </w:p>
        </w:tc>
        <w:tc>
          <w:tcPr>
            <w:tcW w:w="20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23B0E">
            <w:pPr>
              <w:jc w:val="center"/>
              <w:rPr>
                <w:rFonts w:hint="eastAsia" w:ascii="宋体" w:hAnsi="宋体" w:eastAsia="宋体" w:cs="宋体"/>
                <w:i w:val="0"/>
                <w:iCs w:val="0"/>
                <w:color w:val="000000"/>
                <w:sz w:val="20"/>
                <w:szCs w:val="20"/>
                <w:highlight w:val="none"/>
                <w:u w:val="none"/>
              </w:rPr>
            </w:pPr>
          </w:p>
        </w:tc>
        <w:tc>
          <w:tcPr>
            <w:tcW w:w="8995" w:type="dxa"/>
            <w:vMerge w:val="continue"/>
            <w:tcBorders>
              <w:top w:val="single" w:color="000000" w:sz="4" w:space="0"/>
              <w:left w:val="single" w:color="000000" w:sz="4" w:space="0"/>
              <w:bottom w:val="single" w:color="000000" w:sz="4" w:space="0"/>
              <w:right w:val="single" w:color="000000" w:sz="4" w:space="0"/>
            </w:tcBorders>
            <w:noWrap w:val="0"/>
            <w:vAlign w:val="top"/>
          </w:tcPr>
          <w:p w14:paraId="7E3D455F">
            <w:pPr>
              <w:jc w:val="left"/>
              <w:rPr>
                <w:rFonts w:hint="eastAsia" w:ascii="宋体" w:hAnsi="宋体" w:eastAsia="宋体" w:cs="宋体"/>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9FB21">
            <w:pPr>
              <w:jc w:val="center"/>
              <w:rPr>
                <w:rFonts w:hint="eastAsia" w:ascii="宋体" w:hAnsi="宋体" w:eastAsia="宋体" w:cs="宋体"/>
                <w:i w:val="0"/>
                <w:iCs w:val="0"/>
                <w:color w:val="000000"/>
                <w:sz w:val="20"/>
                <w:szCs w:val="20"/>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90B29">
            <w:pPr>
              <w:jc w:val="center"/>
              <w:rPr>
                <w:rFonts w:hint="eastAsia" w:ascii="宋体" w:hAnsi="宋体" w:eastAsia="宋体" w:cs="宋体"/>
                <w:i w:val="0"/>
                <w:iCs w:val="0"/>
                <w:color w:val="000000"/>
                <w:sz w:val="20"/>
                <w:szCs w:val="20"/>
                <w:highlight w:val="none"/>
                <w:u w:val="none"/>
              </w:rPr>
            </w:pPr>
          </w:p>
        </w:tc>
      </w:tr>
      <w:tr w14:paraId="7C10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F756F">
            <w:pPr>
              <w:jc w:val="center"/>
              <w:rPr>
                <w:rFonts w:hint="eastAsia" w:ascii="宋体" w:hAnsi="宋体" w:eastAsia="宋体" w:cs="宋体"/>
                <w:i w:val="0"/>
                <w:iCs w:val="0"/>
                <w:color w:val="000000"/>
                <w:sz w:val="20"/>
                <w:szCs w:val="20"/>
                <w:highlight w:val="none"/>
                <w:u w:val="none"/>
              </w:rPr>
            </w:pPr>
          </w:p>
        </w:tc>
        <w:tc>
          <w:tcPr>
            <w:tcW w:w="20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2D319">
            <w:pPr>
              <w:jc w:val="center"/>
              <w:rPr>
                <w:rFonts w:hint="eastAsia" w:ascii="宋体" w:hAnsi="宋体" w:eastAsia="宋体" w:cs="宋体"/>
                <w:i w:val="0"/>
                <w:iCs w:val="0"/>
                <w:color w:val="000000"/>
                <w:sz w:val="20"/>
                <w:szCs w:val="20"/>
                <w:highlight w:val="none"/>
                <w:u w:val="none"/>
              </w:rPr>
            </w:pPr>
          </w:p>
        </w:tc>
        <w:tc>
          <w:tcPr>
            <w:tcW w:w="8995" w:type="dxa"/>
            <w:vMerge w:val="continue"/>
            <w:tcBorders>
              <w:top w:val="single" w:color="000000" w:sz="4" w:space="0"/>
              <w:left w:val="single" w:color="000000" w:sz="4" w:space="0"/>
              <w:bottom w:val="single" w:color="000000" w:sz="4" w:space="0"/>
              <w:right w:val="single" w:color="000000" w:sz="4" w:space="0"/>
            </w:tcBorders>
            <w:noWrap w:val="0"/>
            <w:vAlign w:val="top"/>
          </w:tcPr>
          <w:p w14:paraId="09882BD9">
            <w:pPr>
              <w:jc w:val="left"/>
              <w:rPr>
                <w:rFonts w:hint="eastAsia" w:ascii="宋体" w:hAnsi="宋体" w:eastAsia="宋体" w:cs="宋体"/>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14E18">
            <w:pPr>
              <w:jc w:val="center"/>
              <w:rPr>
                <w:rFonts w:hint="eastAsia" w:ascii="宋体" w:hAnsi="宋体" w:eastAsia="宋体" w:cs="宋体"/>
                <w:i w:val="0"/>
                <w:iCs w:val="0"/>
                <w:color w:val="000000"/>
                <w:sz w:val="20"/>
                <w:szCs w:val="20"/>
                <w:highlight w:val="none"/>
                <w:u w:val="none"/>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0ACFF">
            <w:pPr>
              <w:jc w:val="center"/>
              <w:rPr>
                <w:rFonts w:hint="eastAsia" w:ascii="宋体" w:hAnsi="宋体" w:eastAsia="宋体" w:cs="宋体"/>
                <w:i w:val="0"/>
                <w:iCs w:val="0"/>
                <w:color w:val="000000"/>
                <w:sz w:val="20"/>
                <w:szCs w:val="20"/>
                <w:highlight w:val="none"/>
                <w:u w:val="none"/>
              </w:rPr>
            </w:pPr>
          </w:p>
        </w:tc>
      </w:tr>
    </w:tbl>
    <w:p w14:paraId="4D32D84C">
      <w:pPr>
        <w:pStyle w:val="19"/>
        <w:keepNext w:val="0"/>
        <w:keepLines w:val="0"/>
        <w:pageBreakBefore w:val="0"/>
        <w:tabs>
          <w:tab w:val="left" w:pos="1341"/>
        </w:tabs>
        <w:kinsoku/>
        <w:wordWrap w:val="0"/>
        <w:overflowPunct/>
        <w:topLinePunct w:val="0"/>
        <w:bidi w:val="0"/>
        <w:spacing w:line="328" w:lineRule="auto"/>
        <w:ind w:left="0" w:leftChars="0" w:right="218" w:firstLine="0" w:firstLineChars="0"/>
        <w:jc w:val="both"/>
        <w:rPr>
          <w:rFonts w:hint="eastAsia"/>
          <w:b/>
          <w:bCs/>
          <w:color w:val="auto"/>
          <w:spacing w:val="-12"/>
          <w:sz w:val="24"/>
          <w:highlight w:val="none"/>
        </w:rPr>
      </w:pPr>
      <w:bookmarkStart w:id="344" w:name="_GoBack"/>
      <w:bookmarkEnd w:id="344"/>
    </w:p>
    <w:p w14:paraId="7E8BA3BA">
      <w:pPr>
        <w:keepNext w:val="0"/>
        <w:keepLines w:val="0"/>
        <w:pageBreakBefore w:val="0"/>
        <w:kinsoku/>
        <w:wordWrap w:val="0"/>
        <w:overflowPunct/>
        <w:topLinePunct w:val="0"/>
        <w:bidi w:val="0"/>
        <w:rPr>
          <w:rFonts w:hint="eastAsia"/>
          <w:highlight w:val="none"/>
        </w:rPr>
      </w:pPr>
    </w:p>
    <w:p w14:paraId="0F55B413">
      <w:pPr>
        <w:keepNext w:val="0"/>
        <w:keepLines w:val="0"/>
        <w:pageBreakBefore w:val="0"/>
        <w:kinsoku/>
        <w:wordWrap w:val="0"/>
        <w:overflowPunct/>
        <w:topLinePunct w:val="0"/>
        <w:bidi w:val="0"/>
        <w:rPr>
          <w:rFonts w:hint="eastAsia"/>
          <w:color w:val="auto"/>
          <w:highlight w:val="none"/>
        </w:rPr>
        <w:sectPr>
          <w:footerReference r:id="rId7" w:type="default"/>
          <w:pgSz w:w="16840" w:h="11910" w:orient="landscape"/>
          <w:pgMar w:top="1040" w:right="1400" w:bottom="1020" w:left="1120" w:header="0" w:footer="640" w:gutter="0"/>
          <w:pgBorders>
            <w:top w:val="none" w:sz="0" w:space="0"/>
            <w:left w:val="none" w:sz="0" w:space="0"/>
            <w:bottom w:val="none" w:sz="0" w:space="0"/>
            <w:right w:val="none" w:sz="0" w:space="0"/>
          </w:pgBorders>
          <w:pgNumType w:fmt="decimal"/>
          <w:cols w:space="720" w:num="1"/>
        </w:sectPr>
      </w:pPr>
    </w:p>
    <w:p w14:paraId="53376C75">
      <w:pPr>
        <w:pStyle w:val="2"/>
        <w:keepNext w:val="0"/>
        <w:keepLines w:val="0"/>
        <w:pageBreakBefore w:val="0"/>
        <w:kinsoku/>
        <w:wordWrap w:val="0"/>
        <w:overflowPunct/>
        <w:topLinePunct w:val="0"/>
        <w:bidi w:val="0"/>
        <w:spacing w:before="31" w:line="460" w:lineRule="exact"/>
        <w:ind w:left="0" w:leftChars="0" w:firstLine="0" w:firstLineChars="0"/>
        <w:jc w:val="center"/>
        <w:rPr>
          <w:color w:val="auto"/>
          <w:highlight w:val="none"/>
        </w:rPr>
      </w:pPr>
      <w:r>
        <w:rPr>
          <w:rFonts w:hint="eastAsia"/>
          <w:color w:val="auto"/>
          <w:highlight w:val="none"/>
        </w:rPr>
        <w:t>第四章</w:t>
      </w:r>
      <w:r>
        <w:rPr>
          <w:rFonts w:hint="eastAsia"/>
          <w:color w:val="auto"/>
          <w:highlight w:val="none"/>
          <w:lang w:val="en-US" w:eastAsia="zh-CN"/>
        </w:rPr>
        <w:t xml:space="preserve"> </w:t>
      </w:r>
      <w:r>
        <w:rPr>
          <w:color w:val="auto"/>
          <w:highlight w:val="none"/>
        </w:rPr>
        <w:t>评审办法</w:t>
      </w:r>
      <w:bookmarkEnd w:id="148"/>
    </w:p>
    <w:p w14:paraId="29C61525">
      <w:pPr>
        <w:keepNext w:val="0"/>
        <w:keepLines w:val="0"/>
        <w:pageBreakBefore w:val="0"/>
        <w:kinsoku/>
        <w:wordWrap w:val="0"/>
        <w:overflowPunct/>
        <w:topLinePunct w:val="0"/>
        <w:bidi w:val="0"/>
        <w:rPr>
          <w:color w:val="auto"/>
          <w:highlight w:val="none"/>
        </w:rPr>
      </w:pPr>
    </w:p>
    <w:p w14:paraId="795E44B9">
      <w:pPr>
        <w:keepNext w:val="0"/>
        <w:keepLines w:val="0"/>
        <w:pageBreakBefore w:val="0"/>
        <w:kinsoku/>
        <w:wordWrap w:val="0"/>
        <w:overflowPunct/>
        <w:topLinePunct w:val="0"/>
        <w:bidi w:val="0"/>
        <w:spacing w:line="460" w:lineRule="exact"/>
        <w:jc w:val="center"/>
        <w:rPr>
          <w:color w:val="auto"/>
          <w:highlight w:val="none"/>
        </w:rPr>
      </w:pPr>
      <w:bookmarkStart w:id="150" w:name="_Toc28583_WPSOffice_Level2"/>
      <w:r>
        <w:rPr>
          <w:rFonts w:hint="eastAsia"/>
          <w:color w:val="auto"/>
          <w:sz w:val="28"/>
          <w:szCs w:val="28"/>
          <w:highlight w:val="none"/>
        </w:rPr>
        <w:t>评标办法前附表</w:t>
      </w:r>
      <w:bookmarkEnd w:id="150"/>
    </w:p>
    <w:tbl>
      <w:tblPr>
        <w:tblStyle w:val="14"/>
        <w:tblW w:w="0" w:type="auto"/>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463E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28" w:type="dxa"/>
            <w:gridSpan w:val="2"/>
            <w:noWrap/>
            <w:vAlign w:val="center"/>
          </w:tcPr>
          <w:p w14:paraId="0C673B46">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条款号</w:t>
            </w:r>
          </w:p>
        </w:tc>
        <w:tc>
          <w:tcPr>
            <w:tcW w:w="2040" w:type="dxa"/>
            <w:noWrap/>
            <w:vAlign w:val="center"/>
          </w:tcPr>
          <w:p w14:paraId="154B0025">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评审因素</w:t>
            </w:r>
          </w:p>
        </w:tc>
        <w:tc>
          <w:tcPr>
            <w:tcW w:w="5295" w:type="dxa"/>
            <w:noWrap/>
            <w:vAlign w:val="center"/>
          </w:tcPr>
          <w:p w14:paraId="5C84481E">
            <w:pPr>
              <w:keepNext w:val="0"/>
              <w:keepLines w:val="0"/>
              <w:pageBreakBefore w:val="0"/>
              <w:kinsoku/>
              <w:wordWrap w:val="0"/>
              <w:overflowPunct/>
              <w:topLinePunct w:val="0"/>
              <w:bidi w:val="0"/>
              <w:jc w:val="center"/>
              <w:rPr>
                <w:b/>
                <w:color w:val="auto"/>
                <w:szCs w:val="21"/>
                <w:highlight w:val="none"/>
              </w:rPr>
            </w:pPr>
            <w:r>
              <w:rPr>
                <w:rFonts w:hint="eastAsia"/>
                <w:b/>
                <w:color w:val="auto"/>
                <w:szCs w:val="21"/>
                <w:highlight w:val="none"/>
              </w:rPr>
              <w:t>评审标准</w:t>
            </w:r>
          </w:p>
        </w:tc>
      </w:tr>
      <w:tr w14:paraId="23F5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45" w:type="dxa"/>
            <w:vMerge w:val="restart"/>
            <w:noWrap/>
            <w:vAlign w:val="center"/>
          </w:tcPr>
          <w:p w14:paraId="10D88DA9">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.1.1</w:t>
            </w:r>
          </w:p>
        </w:tc>
        <w:tc>
          <w:tcPr>
            <w:tcW w:w="1183" w:type="dxa"/>
            <w:vMerge w:val="restart"/>
            <w:noWrap/>
            <w:vAlign w:val="center"/>
          </w:tcPr>
          <w:p w14:paraId="5D311212">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形式评审标准</w:t>
            </w:r>
          </w:p>
        </w:tc>
        <w:tc>
          <w:tcPr>
            <w:tcW w:w="2040" w:type="dxa"/>
            <w:noWrap/>
            <w:vAlign w:val="center"/>
          </w:tcPr>
          <w:p w14:paraId="5C94D9FA">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供应商名称</w:t>
            </w:r>
          </w:p>
        </w:tc>
        <w:tc>
          <w:tcPr>
            <w:tcW w:w="5295" w:type="dxa"/>
            <w:noWrap/>
            <w:vAlign w:val="center"/>
          </w:tcPr>
          <w:p w14:paraId="0A7135BE">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与营业执照等一致</w:t>
            </w:r>
          </w:p>
        </w:tc>
      </w:tr>
      <w:tr w14:paraId="1E3F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945" w:type="dxa"/>
            <w:vMerge w:val="continue"/>
            <w:noWrap/>
            <w:vAlign w:val="top"/>
          </w:tcPr>
          <w:p w14:paraId="2596A1DA">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175897DB">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690F75A">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投标函签章</w:t>
            </w:r>
          </w:p>
        </w:tc>
        <w:tc>
          <w:tcPr>
            <w:tcW w:w="5295" w:type="dxa"/>
            <w:noWrap/>
            <w:vAlign w:val="center"/>
          </w:tcPr>
          <w:p w14:paraId="72CA31F7">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符合竞争性磋商文件要求的签章或标注的内容</w:t>
            </w:r>
          </w:p>
        </w:tc>
      </w:tr>
      <w:tr w14:paraId="3084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45" w:type="dxa"/>
            <w:vMerge w:val="continue"/>
            <w:noWrap/>
            <w:vAlign w:val="top"/>
          </w:tcPr>
          <w:p w14:paraId="75FA50D2">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5EF8C73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45908B8">
            <w:pPr>
              <w:keepNext w:val="0"/>
              <w:keepLines w:val="0"/>
              <w:pageBreakBefore w:val="0"/>
              <w:kinsoku/>
              <w:wordWrap w:val="0"/>
              <w:overflowPunct/>
              <w:topLinePunct w:val="0"/>
              <w:bidi w:val="0"/>
              <w:spacing w:line="360" w:lineRule="auto"/>
              <w:ind w:firstLine="220" w:firstLineChars="100"/>
              <w:jc w:val="both"/>
              <w:rPr>
                <w:color w:val="auto"/>
                <w:szCs w:val="21"/>
                <w:highlight w:val="none"/>
              </w:rPr>
            </w:pPr>
            <w:r>
              <w:rPr>
                <w:rFonts w:hint="eastAsia"/>
                <w:color w:val="auto"/>
                <w:szCs w:val="21"/>
                <w:highlight w:val="none"/>
              </w:rPr>
              <w:t>响应文件格式</w:t>
            </w:r>
          </w:p>
        </w:tc>
        <w:tc>
          <w:tcPr>
            <w:tcW w:w="5295" w:type="dxa"/>
            <w:noWrap/>
            <w:vAlign w:val="center"/>
          </w:tcPr>
          <w:p w14:paraId="1C1A5F1A">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符合“响应文件格式”的要求</w:t>
            </w:r>
          </w:p>
        </w:tc>
      </w:tr>
      <w:tr w14:paraId="11C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945" w:type="dxa"/>
            <w:vMerge w:val="continue"/>
            <w:noWrap/>
            <w:vAlign w:val="top"/>
          </w:tcPr>
          <w:p w14:paraId="469CCC89">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BB2C1D7">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0930B4D3">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报价唯一</w:t>
            </w:r>
          </w:p>
        </w:tc>
        <w:tc>
          <w:tcPr>
            <w:tcW w:w="5295" w:type="dxa"/>
            <w:noWrap/>
            <w:vAlign w:val="center"/>
          </w:tcPr>
          <w:p w14:paraId="44C4FA78">
            <w:pPr>
              <w:keepNext w:val="0"/>
              <w:keepLines w:val="0"/>
              <w:pageBreakBefore w:val="0"/>
              <w:kinsoku/>
              <w:wordWrap w:val="0"/>
              <w:overflowPunct/>
              <w:topLinePunct w:val="0"/>
              <w:bidi w:val="0"/>
              <w:spacing w:line="360" w:lineRule="auto"/>
              <w:rPr>
                <w:bCs/>
                <w:color w:val="auto"/>
                <w:szCs w:val="21"/>
                <w:highlight w:val="none"/>
                <w:lang w:val="en-US"/>
              </w:rPr>
            </w:pPr>
            <w:r>
              <w:rPr>
                <w:rFonts w:hint="eastAsia"/>
                <w:bCs/>
                <w:color w:val="auto"/>
                <w:szCs w:val="21"/>
                <w:highlight w:val="none"/>
                <w:lang w:val="en-US"/>
              </w:rPr>
              <w:t>只能有一个有效报价</w:t>
            </w:r>
          </w:p>
        </w:tc>
      </w:tr>
      <w:tr w14:paraId="5CDF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45" w:type="dxa"/>
            <w:vMerge w:val="restart"/>
            <w:noWrap/>
            <w:vAlign w:val="center"/>
          </w:tcPr>
          <w:p w14:paraId="005F8DA1">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.1.2</w:t>
            </w:r>
          </w:p>
        </w:tc>
        <w:tc>
          <w:tcPr>
            <w:tcW w:w="1183" w:type="dxa"/>
            <w:vMerge w:val="restart"/>
            <w:noWrap/>
            <w:vAlign w:val="center"/>
          </w:tcPr>
          <w:p w14:paraId="488B0E33">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资格评审标准</w:t>
            </w:r>
          </w:p>
        </w:tc>
        <w:tc>
          <w:tcPr>
            <w:tcW w:w="2040" w:type="dxa"/>
            <w:noWrap/>
            <w:vAlign w:val="center"/>
          </w:tcPr>
          <w:p w14:paraId="2F741D9E">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营业执照</w:t>
            </w:r>
          </w:p>
        </w:tc>
        <w:tc>
          <w:tcPr>
            <w:tcW w:w="5295" w:type="dxa"/>
            <w:noWrap/>
            <w:vAlign w:val="center"/>
          </w:tcPr>
          <w:p w14:paraId="17068A2B">
            <w:pPr>
              <w:keepNext w:val="0"/>
              <w:keepLines w:val="0"/>
              <w:pageBreakBefore w:val="0"/>
              <w:kinsoku/>
              <w:wordWrap w:val="0"/>
              <w:overflowPunct/>
              <w:topLinePunct w:val="0"/>
              <w:bidi w:val="0"/>
              <w:spacing w:line="360" w:lineRule="auto"/>
              <w:jc w:val="left"/>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供应商必须是在中国境内注册的独立法人、其他组织或者自然人，具有独立承担民事责任的能力</w:t>
            </w:r>
          </w:p>
        </w:tc>
      </w:tr>
      <w:tr w14:paraId="638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945" w:type="dxa"/>
            <w:vMerge w:val="continue"/>
            <w:noWrap/>
            <w:vAlign w:val="center"/>
          </w:tcPr>
          <w:p w14:paraId="3C0F98F1">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4DE555B0">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43CB8259">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color w:val="auto"/>
                <w:sz w:val="22"/>
                <w:szCs w:val="21"/>
                <w:highlight w:val="none"/>
                <w:lang w:val="zh-CN" w:eastAsia="zh-CN" w:bidi="zh-CN"/>
              </w:rPr>
            </w:pPr>
            <w:r>
              <w:rPr>
                <w:rFonts w:hint="eastAsia"/>
                <w:color w:val="auto"/>
                <w:szCs w:val="21"/>
                <w:highlight w:val="none"/>
              </w:rPr>
              <w:t>财务状况</w:t>
            </w:r>
          </w:p>
        </w:tc>
        <w:tc>
          <w:tcPr>
            <w:tcW w:w="5295" w:type="dxa"/>
            <w:noWrap/>
            <w:vAlign w:val="center"/>
          </w:tcPr>
          <w:p w14:paraId="19254E84">
            <w:pPr>
              <w:keepNext w:val="0"/>
              <w:keepLines w:val="0"/>
              <w:pageBreakBefore w:val="0"/>
              <w:kinsoku/>
              <w:wordWrap w:val="0"/>
              <w:overflowPunct/>
              <w:topLinePunct w:val="0"/>
              <w:bidi w:val="0"/>
              <w:spacing w:line="360" w:lineRule="auto"/>
              <w:rPr>
                <w:rFonts w:ascii="宋体" w:hAnsi="宋体" w:eastAsia="宋体" w:cs="宋体"/>
                <w:bCs/>
                <w:color w:val="auto"/>
                <w:sz w:val="22"/>
                <w:szCs w:val="21"/>
                <w:highlight w:val="none"/>
                <w:lang w:val="en-US" w:eastAsia="zh-CN" w:bidi="zh-CN"/>
              </w:rPr>
            </w:pPr>
            <w:r>
              <w:rPr>
                <w:rFonts w:hint="eastAsia" w:ascii="宋体" w:hAnsi="宋体" w:eastAsia="宋体" w:cs="宋体"/>
                <w:bCs/>
                <w:color w:val="auto"/>
                <w:sz w:val="22"/>
                <w:szCs w:val="21"/>
                <w:highlight w:val="none"/>
                <w:lang w:val="en-US" w:eastAsia="zh-CN" w:bidi="zh-CN"/>
              </w:rPr>
              <w:t>具有良好的商业信誉和健全的财务会计制度，提供2024年度财务报表或第三方审计机构出具的财务报告；2025年新成立公司无审计报告应附最新的财务报表及说明</w:t>
            </w:r>
            <w:r>
              <w:rPr>
                <w:rFonts w:hint="eastAsia" w:cs="宋体"/>
                <w:bCs/>
                <w:color w:val="auto"/>
                <w:sz w:val="22"/>
                <w:szCs w:val="21"/>
                <w:highlight w:val="none"/>
                <w:lang w:val="en-US" w:eastAsia="zh-CN" w:bidi="zh-CN"/>
              </w:rPr>
              <w:t>；</w:t>
            </w:r>
          </w:p>
        </w:tc>
      </w:tr>
      <w:tr w14:paraId="07FB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945" w:type="dxa"/>
            <w:vMerge w:val="continue"/>
            <w:noWrap/>
            <w:vAlign w:val="center"/>
          </w:tcPr>
          <w:p w14:paraId="376C1B8F">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7E198054">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51AD49D9">
            <w:pPr>
              <w:keepNext w:val="0"/>
              <w:keepLines w:val="0"/>
              <w:pageBreakBefore w:val="0"/>
              <w:kinsoku/>
              <w:wordWrap w:val="0"/>
              <w:overflowPunct/>
              <w:topLinePunct w:val="0"/>
              <w:bidi w:val="0"/>
              <w:spacing w:line="360" w:lineRule="auto"/>
              <w:ind w:firstLine="440" w:firstLineChars="200"/>
              <w:rPr>
                <w:rFonts w:ascii="宋体" w:hAnsi="宋体" w:eastAsia="宋体" w:cs="宋体"/>
                <w:color w:val="auto"/>
                <w:sz w:val="22"/>
                <w:szCs w:val="21"/>
                <w:highlight w:val="none"/>
                <w:lang w:val="zh-CN" w:eastAsia="zh-CN" w:bidi="zh-CN"/>
              </w:rPr>
            </w:pPr>
            <w:r>
              <w:rPr>
                <w:rFonts w:hint="eastAsia"/>
                <w:color w:val="auto"/>
                <w:szCs w:val="21"/>
                <w:highlight w:val="none"/>
              </w:rPr>
              <w:t>企业税收</w:t>
            </w:r>
          </w:p>
        </w:tc>
        <w:tc>
          <w:tcPr>
            <w:tcW w:w="5295" w:type="dxa"/>
            <w:noWrap/>
            <w:vAlign w:val="center"/>
          </w:tcPr>
          <w:p w14:paraId="61F071AF">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eastAsia="宋体"/>
                <w:bCs/>
                <w:color w:val="auto"/>
                <w:szCs w:val="21"/>
                <w:highlight w:val="none"/>
                <w:lang w:val="en-US" w:eastAsia="zh-CN"/>
              </w:rPr>
              <w:t>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1D46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45" w:type="dxa"/>
            <w:vMerge w:val="continue"/>
            <w:noWrap/>
            <w:vAlign w:val="center"/>
          </w:tcPr>
          <w:p w14:paraId="50B8CA1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29992C06">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7DBA63C9">
            <w:pPr>
              <w:keepNext w:val="0"/>
              <w:keepLines w:val="0"/>
              <w:pageBreakBefore w:val="0"/>
              <w:kinsoku/>
              <w:wordWrap w:val="0"/>
              <w:overflowPunct/>
              <w:topLinePunct w:val="0"/>
              <w:bidi w:val="0"/>
              <w:spacing w:line="360" w:lineRule="auto"/>
              <w:jc w:val="center"/>
              <w:rPr>
                <w:rFonts w:hint="eastAsia" w:ascii="宋体" w:hAnsi="宋体" w:eastAsia="宋体" w:cs="宋体"/>
                <w:bCs/>
                <w:color w:val="auto"/>
                <w:sz w:val="22"/>
                <w:szCs w:val="21"/>
                <w:highlight w:val="none"/>
                <w:lang w:val="zh-CN" w:eastAsia="zh-CN" w:bidi="zh-CN"/>
              </w:rPr>
            </w:pPr>
            <w:r>
              <w:rPr>
                <w:rFonts w:hint="eastAsia" w:ascii="宋体" w:hAnsi="宋体" w:eastAsia="宋体" w:cs="宋体"/>
                <w:bCs/>
                <w:color w:val="auto"/>
                <w:szCs w:val="21"/>
                <w:highlight w:val="none"/>
                <w:lang w:val="en-US"/>
              </w:rPr>
              <w:t>项目负责人</w:t>
            </w:r>
          </w:p>
        </w:tc>
        <w:tc>
          <w:tcPr>
            <w:tcW w:w="5295" w:type="dxa"/>
            <w:noWrap/>
            <w:vAlign w:val="center"/>
          </w:tcPr>
          <w:p w14:paraId="67AC2B15">
            <w:pPr>
              <w:keepNext w:val="0"/>
              <w:keepLines w:val="0"/>
              <w:pageBreakBefore w:val="0"/>
              <w:kinsoku/>
              <w:wordWrap w:val="0"/>
              <w:overflowPunct/>
              <w:topLinePunct w:val="0"/>
              <w:bidi w:val="0"/>
              <w:spacing w:line="360" w:lineRule="auto"/>
              <w:rPr>
                <w:rFonts w:hint="eastAsia" w:ascii="宋体" w:hAnsi="宋体" w:eastAsia="宋体" w:cs="宋体"/>
                <w:bCs/>
                <w:color w:val="auto"/>
                <w:sz w:val="22"/>
                <w:szCs w:val="21"/>
                <w:highlight w:val="none"/>
                <w:lang w:val="en-US" w:eastAsia="zh-CN" w:bidi="zh-CN"/>
              </w:rPr>
            </w:pPr>
            <w:r>
              <w:rPr>
                <w:rFonts w:hint="eastAsia" w:ascii="宋体" w:hAnsi="宋体" w:eastAsia="宋体" w:cs="宋体"/>
                <w:bCs/>
                <w:color w:val="auto"/>
                <w:szCs w:val="21"/>
                <w:highlight w:val="none"/>
                <w:lang w:val="en-US"/>
              </w:rPr>
              <w:t>项目负责人为本单位正式员工（提供劳动合同）且已参加社会保险，提供近半年任意连续三个月参加社会养老保险的缴费证明（新成立企业从成立之日起计算）</w:t>
            </w:r>
          </w:p>
        </w:tc>
      </w:tr>
      <w:tr w14:paraId="2B63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33DE2F1D">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7A6974DC">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1BD26BA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企业履行合同能力</w:t>
            </w:r>
          </w:p>
        </w:tc>
        <w:tc>
          <w:tcPr>
            <w:tcW w:w="5295" w:type="dxa"/>
            <w:noWrap/>
            <w:vAlign w:val="center"/>
          </w:tcPr>
          <w:p w14:paraId="4B34328A">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具备履行合同所必需的设备和专业技术能力的</w:t>
            </w:r>
            <w:r>
              <w:rPr>
                <w:rFonts w:hint="eastAsia"/>
                <w:color w:val="auto"/>
                <w:szCs w:val="21"/>
                <w:highlight w:val="none"/>
                <w:lang w:val="en-US" w:eastAsia="zh-CN"/>
              </w:rPr>
              <w:t>承诺书；</w:t>
            </w:r>
          </w:p>
        </w:tc>
      </w:tr>
      <w:tr w14:paraId="5C35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945" w:type="dxa"/>
            <w:vMerge w:val="continue"/>
            <w:noWrap/>
            <w:vAlign w:val="center"/>
          </w:tcPr>
          <w:p w14:paraId="635A068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4DABB6CB">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15F766F0">
            <w:pPr>
              <w:keepNext w:val="0"/>
              <w:keepLines w:val="0"/>
              <w:pageBreakBefore w:val="0"/>
              <w:kinsoku/>
              <w:wordWrap w:val="0"/>
              <w:overflowPunct/>
              <w:topLinePunct w:val="0"/>
              <w:bidi w:val="0"/>
              <w:spacing w:line="240" w:lineRule="atLeast"/>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诚信承诺及查询</w:t>
            </w:r>
          </w:p>
        </w:tc>
        <w:tc>
          <w:tcPr>
            <w:tcW w:w="5295" w:type="dxa"/>
            <w:noWrap/>
            <w:vAlign w:val="center"/>
          </w:tcPr>
          <w:p w14:paraId="7140025B">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1、参加政府采购活动前3年内在经营活动中没有</w:t>
            </w:r>
            <w:r>
              <w:rPr>
                <w:rFonts w:hint="eastAsia"/>
                <w:color w:val="auto"/>
                <w:szCs w:val="21"/>
                <w:highlight w:val="none"/>
                <w:lang w:val="en-US"/>
              </w:rPr>
              <w:t>骗取中标、重大违法记录</w:t>
            </w:r>
            <w:r>
              <w:rPr>
                <w:rFonts w:hint="eastAsia"/>
                <w:color w:val="auto"/>
                <w:szCs w:val="21"/>
                <w:highlight w:val="none"/>
                <w:lang w:val="en-US" w:eastAsia="zh-CN"/>
              </w:rPr>
              <w:t>、</w:t>
            </w:r>
            <w:r>
              <w:rPr>
                <w:rFonts w:hint="eastAsia"/>
                <w:color w:val="auto"/>
                <w:szCs w:val="21"/>
                <w:highlight w:val="none"/>
                <w:lang w:val="en-US"/>
              </w:rPr>
              <w:t>严重违约等问题；</w:t>
            </w:r>
          </w:p>
          <w:p w14:paraId="32BB398E">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2、</w:t>
            </w:r>
            <w:r>
              <w:rPr>
                <w:rFonts w:hint="eastAsia"/>
                <w:color w:val="auto"/>
                <w:szCs w:val="21"/>
                <w:highlight w:val="none"/>
                <w:lang w:val="en-US"/>
              </w:rPr>
              <w:t>参加政府采购活动前3年内无行贿犯罪记录</w:t>
            </w:r>
            <w:r>
              <w:rPr>
                <w:rFonts w:hint="eastAsia"/>
                <w:color w:val="auto"/>
                <w:szCs w:val="21"/>
                <w:highlight w:val="none"/>
                <w:lang w:val="en-US" w:eastAsia="zh-CN"/>
              </w:rPr>
              <w:t>，</w:t>
            </w:r>
            <w:r>
              <w:rPr>
                <w:rFonts w:hint="eastAsia"/>
                <w:color w:val="auto"/>
                <w:szCs w:val="21"/>
                <w:highlight w:val="none"/>
                <w:lang w:val="en-US"/>
              </w:rPr>
              <w:t>供应商出具</w:t>
            </w:r>
            <w:r>
              <w:rPr>
                <w:rFonts w:hint="eastAsia"/>
                <w:color w:val="auto"/>
                <w:szCs w:val="21"/>
                <w:highlight w:val="none"/>
                <w:lang w:val="en-US" w:eastAsia="zh-CN"/>
              </w:rPr>
              <w:t>的</w:t>
            </w:r>
            <w:r>
              <w:rPr>
                <w:rFonts w:hint="eastAsia"/>
                <w:color w:val="auto"/>
                <w:szCs w:val="21"/>
                <w:highlight w:val="none"/>
                <w:lang w:val="en-US"/>
              </w:rPr>
              <w:t>无行贿犯罪记录在中国裁判文书网自行查询或自行承诺（查询对象：企业、法定代表人</w:t>
            </w:r>
            <w:r>
              <w:rPr>
                <w:rFonts w:hint="eastAsia"/>
                <w:color w:val="auto"/>
                <w:szCs w:val="21"/>
                <w:highlight w:val="none"/>
                <w:lang w:val="en-US" w:eastAsia="zh-CN"/>
              </w:rPr>
              <w:t>、项目负责人</w:t>
            </w:r>
            <w:r>
              <w:rPr>
                <w:rFonts w:hint="eastAsia"/>
                <w:color w:val="auto"/>
                <w:szCs w:val="21"/>
                <w:highlight w:val="none"/>
                <w:lang w:val="en-US"/>
              </w:rPr>
              <w:t>）；</w:t>
            </w:r>
          </w:p>
          <w:p w14:paraId="570FC2F4">
            <w:pPr>
              <w:keepNext w:val="0"/>
              <w:keepLines w:val="0"/>
              <w:pageBreakBefore w:val="0"/>
              <w:tabs>
                <w:tab w:val="left" w:pos="360"/>
              </w:tabs>
              <w:kinsoku/>
              <w:wordWrap w:val="0"/>
              <w:overflowPunct/>
              <w:topLinePunct w:val="0"/>
              <w:bidi w:val="0"/>
              <w:spacing w:line="320" w:lineRule="exact"/>
              <w:ind w:firstLine="440" w:firstLineChars="200"/>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提供企业注册地工商管理部门出具的无商业贿赂和不正当竞争行为的查询证明（若当地工商管理部门不办理此项业务，供应商须自行出具本企业无商业贿赂和不正当竞争行为承诺书）；</w:t>
            </w:r>
          </w:p>
          <w:p w14:paraId="3F53B68B">
            <w:pPr>
              <w:keepNext w:val="0"/>
              <w:keepLines w:val="0"/>
              <w:pageBreakBefore w:val="0"/>
              <w:tabs>
                <w:tab w:val="left" w:pos="360"/>
              </w:tabs>
              <w:kinsoku/>
              <w:wordWrap w:val="0"/>
              <w:overflowPunct/>
              <w:topLinePunct w:val="0"/>
              <w:bidi w:val="0"/>
              <w:spacing w:line="320" w:lineRule="exact"/>
              <w:ind w:firstLine="440" w:firstLineChars="200"/>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rPr>
              <w:t>4、</w:t>
            </w:r>
            <w:r>
              <w:rPr>
                <w:rFonts w:hint="eastAsia"/>
                <w:color w:val="auto"/>
                <w:szCs w:val="21"/>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3AB9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noWrap/>
            <w:vAlign w:val="center"/>
          </w:tcPr>
          <w:p w14:paraId="66E45CD7">
            <w:pPr>
              <w:keepNext w:val="0"/>
              <w:keepLines w:val="0"/>
              <w:pageBreakBefore w:val="0"/>
              <w:kinsoku/>
              <w:wordWrap w:val="0"/>
              <w:overflowPunct/>
              <w:topLinePunct w:val="0"/>
              <w:bidi w:val="0"/>
              <w:jc w:val="center"/>
              <w:rPr>
                <w:color w:val="auto"/>
                <w:szCs w:val="21"/>
                <w:highlight w:val="none"/>
              </w:rPr>
            </w:pPr>
          </w:p>
        </w:tc>
        <w:tc>
          <w:tcPr>
            <w:tcW w:w="1183" w:type="dxa"/>
            <w:vMerge w:val="continue"/>
            <w:noWrap/>
            <w:vAlign w:val="center"/>
          </w:tcPr>
          <w:p w14:paraId="08B92696">
            <w:pPr>
              <w:keepNext w:val="0"/>
              <w:keepLines w:val="0"/>
              <w:pageBreakBefore w:val="0"/>
              <w:kinsoku/>
              <w:wordWrap w:val="0"/>
              <w:overflowPunct/>
              <w:topLinePunct w:val="0"/>
              <w:bidi w:val="0"/>
              <w:spacing w:line="360" w:lineRule="auto"/>
              <w:rPr>
                <w:color w:val="auto"/>
                <w:szCs w:val="21"/>
                <w:highlight w:val="none"/>
              </w:rPr>
            </w:pPr>
          </w:p>
        </w:tc>
        <w:tc>
          <w:tcPr>
            <w:tcW w:w="2040" w:type="dxa"/>
            <w:noWrap/>
            <w:vAlign w:val="center"/>
          </w:tcPr>
          <w:p w14:paraId="2838363C">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lang w:eastAsia="zh-CN"/>
              </w:rPr>
              <w:t>其他内容</w:t>
            </w:r>
          </w:p>
        </w:tc>
        <w:tc>
          <w:tcPr>
            <w:tcW w:w="5295" w:type="dxa"/>
            <w:noWrap/>
            <w:vAlign w:val="center"/>
          </w:tcPr>
          <w:p w14:paraId="72D45384">
            <w:pPr>
              <w:keepNext w:val="0"/>
              <w:keepLines w:val="0"/>
              <w:pageBreakBefore w:val="0"/>
              <w:tabs>
                <w:tab w:val="left" w:pos="360"/>
              </w:tabs>
              <w:kinsoku/>
              <w:wordWrap w:val="0"/>
              <w:overflowPunct/>
              <w:topLinePunct w:val="0"/>
              <w:bidi w:val="0"/>
              <w:spacing w:line="320" w:lineRule="exact"/>
              <w:rPr>
                <w:rFonts w:hint="eastAsia" w:ascii="宋体" w:hAnsi="宋体" w:eastAsia="宋体" w:cs="宋体"/>
                <w:color w:val="auto"/>
                <w:sz w:val="22"/>
                <w:szCs w:val="21"/>
                <w:highlight w:val="none"/>
                <w:lang w:val="en-US" w:eastAsia="zh-CN" w:bidi="zh-CN"/>
              </w:rPr>
            </w:pPr>
            <w:r>
              <w:rPr>
                <w:rFonts w:hint="eastAsia"/>
                <w:color w:val="auto"/>
                <w:szCs w:val="21"/>
                <w:highlight w:val="none"/>
                <w:lang w:val="en-US" w:eastAsia="zh-CN"/>
              </w:rPr>
              <w:t>竞争性磋商文件规定的其他资格要求资料</w:t>
            </w:r>
          </w:p>
        </w:tc>
      </w:tr>
      <w:tr w14:paraId="7D6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45" w:type="dxa"/>
            <w:vMerge w:val="restart"/>
            <w:noWrap/>
            <w:vAlign w:val="center"/>
          </w:tcPr>
          <w:p w14:paraId="74755D65">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rPr>
              <w:t>.1.3</w:t>
            </w:r>
          </w:p>
        </w:tc>
        <w:tc>
          <w:tcPr>
            <w:tcW w:w="1183" w:type="dxa"/>
            <w:vMerge w:val="restart"/>
            <w:noWrap/>
            <w:vAlign w:val="center"/>
          </w:tcPr>
          <w:p w14:paraId="506B5394">
            <w:pPr>
              <w:keepNext w:val="0"/>
              <w:keepLines w:val="0"/>
              <w:pageBreakBefore w:val="0"/>
              <w:kinsoku/>
              <w:wordWrap w:val="0"/>
              <w:overflowPunct/>
              <w:topLinePunct w:val="0"/>
              <w:bidi w:val="0"/>
              <w:jc w:val="center"/>
              <w:rPr>
                <w:color w:val="auto"/>
                <w:szCs w:val="21"/>
                <w:highlight w:val="none"/>
              </w:rPr>
            </w:pPr>
            <w:r>
              <w:rPr>
                <w:rFonts w:hint="eastAsia"/>
                <w:color w:val="auto"/>
                <w:szCs w:val="21"/>
                <w:highlight w:val="none"/>
              </w:rPr>
              <w:t>响应性评审标准</w:t>
            </w:r>
          </w:p>
        </w:tc>
        <w:tc>
          <w:tcPr>
            <w:tcW w:w="2040" w:type="dxa"/>
            <w:noWrap/>
            <w:vAlign w:val="center"/>
          </w:tcPr>
          <w:p w14:paraId="17770D30">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投标内容</w:t>
            </w:r>
          </w:p>
        </w:tc>
        <w:tc>
          <w:tcPr>
            <w:tcW w:w="5295" w:type="dxa"/>
            <w:noWrap/>
            <w:vAlign w:val="center"/>
          </w:tcPr>
          <w:p w14:paraId="0AB3B657">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5D0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noWrap/>
            <w:vAlign w:val="top"/>
          </w:tcPr>
          <w:p w14:paraId="5FF64E11">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4CBC0382">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5D81A9D9">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供货期</w:t>
            </w:r>
          </w:p>
        </w:tc>
        <w:tc>
          <w:tcPr>
            <w:tcW w:w="5295" w:type="dxa"/>
            <w:noWrap/>
            <w:vAlign w:val="center"/>
          </w:tcPr>
          <w:p w14:paraId="7661C0EA">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16D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098633D6">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157870B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75F4275C">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质量要求</w:t>
            </w:r>
          </w:p>
        </w:tc>
        <w:tc>
          <w:tcPr>
            <w:tcW w:w="5295" w:type="dxa"/>
            <w:noWrap/>
            <w:vAlign w:val="center"/>
          </w:tcPr>
          <w:p w14:paraId="6F79A04F">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4E77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noWrap/>
            <w:vAlign w:val="top"/>
          </w:tcPr>
          <w:p w14:paraId="49C20E5E">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6517F81C">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04CB0FDB">
            <w:pPr>
              <w:keepNext w:val="0"/>
              <w:keepLines w:val="0"/>
              <w:pageBreakBefore w:val="0"/>
              <w:kinsoku/>
              <w:wordWrap w:val="0"/>
              <w:overflowPunct/>
              <w:topLinePunct w:val="0"/>
              <w:bidi w:val="0"/>
              <w:spacing w:line="360" w:lineRule="auto"/>
              <w:ind w:firstLine="440" w:firstLineChars="200"/>
              <w:jc w:val="center"/>
              <w:rPr>
                <w:color w:val="auto"/>
                <w:szCs w:val="21"/>
                <w:highlight w:val="none"/>
              </w:rPr>
            </w:pPr>
            <w:r>
              <w:rPr>
                <w:rFonts w:hint="eastAsia"/>
                <w:color w:val="auto"/>
                <w:szCs w:val="21"/>
                <w:highlight w:val="none"/>
              </w:rPr>
              <w:t>投标有效期</w:t>
            </w:r>
          </w:p>
        </w:tc>
        <w:tc>
          <w:tcPr>
            <w:tcW w:w="5295" w:type="dxa"/>
            <w:noWrap/>
            <w:vAlign w:val="center"/>
          </w:tcPr>
          <w:p w14:paraId="551547A5">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596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2EFC2E0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7AA1D450">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3B507D67">
            <w:pPr>
              <w:keepNext w:val="0"/>
              <w:keepLines w:val="0"/>
              <w:pageBreakBefore w:val="0"/>
              <w:kinsoku/>
              <w:wordWrap w:val="0"/>
              <w:overflowPunct/>
              <w:topLinePunct w:val="0"/>
              <w:bidi w:val="0"/>
              <w:spacing w:line="360" w:lineRule="auto"/>
              <w:ind w:firstLine="440" w:firstLineChars="200"/>
              <w:jc w:val="center"/>
              <w:rPr>
                <w:rFonts w:hint="eastAsia" w:ascii="宋体" w:hAnsi="宋体" w:eastAsia="宋体" w:cs="宋体"/>
                <w:color w:val="auto"/>
                <w:sz w:val="22"/>
                <w:szCs w:val="21"/>
                <w:highlight w:val="none"/>
                <w:lang w:val="zh-CN" w:eastAsia="zh-CN" w:bidi="zh-CN"/>
              </w:rPr>
            </w:pPr>
            <w:r>
              <w:rPr>
                <w:rFonts w:hint="eastAsia"/>
                <w:color w:val="auto"/>
                <w:szCs w:val="21"/>
                <w:highlight w:val="none"/>
              </w:rPr>
              <w:t>投标承诺书</w:t>
            </w:r>
          </w:p>
        </w:tc>
        <w:tc>
          <w:tcPr>
            <w:tcW w:w="5295" w:type="dxa"/>
            <w:noWrap/>
            <w:vAlign w:val="center"/>
          </w:tcPr>
          <w:p w14:paraId="33CEBFD4">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2"/>
                <w:szCs w:val="21"/>
                <w:highlight w:val="none"/>
                <w:lang w:val="zh-CN" w:eastAsia="zh-CN" w:bidi="zh-CN"/>
              </w:rPr>
            </w:pPr>
            <w:r>
              <w:rPr>
                <w:rFonts w:hint="eastAsia"/>
                <w:color w:val="auto"/>
                <w:szCs w:val="21"/>
                <w:highlight w:val="none"/>
              </w:rPr>
              <w:t>符合第二章“供应商须知”规定</w:t>
            </w:r>
          </w:p>
        </w:tc>
      </w:tr>
      <w:tr w14:paraId="295E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7EFC3D48">
            <w:pPr>
              <w:keepNext w:val="0"/>
              <w:keepLines w:val="0"/>
              <w:pageBreakBefore w:val="0"/>
              <w:kinsoku/>
              <w:wordWrap w:val="0"/>
              <w:overflowPunct/>
              <w:topLinePunct w:val="0"/>
              <w:bidi w:val="0"/>
              <w:rPr>
                <w:color w:val="auto"/>
                <w:szCs w:val="21"/>
                <w:highlight w:val="none"/>
              </w:rPr>
            </w:pPr>
          </w:p>
        </w:tc>
        <w:tc>
          <w:tcPr>
            <w:tcW w:w="1183" w:type="dxa"/>
            <w:vMerge w:val="continue"/>
            <w:noWrap/>
            <w:vAlign w:val="top"/>
          </w:tcPr>
          <w:p w14:paraId="38FE6328">
            <w:pPr>
              <w:keepNext w:val="0"/>
              <w:keepLines w:val="0"/>
              <w:pageBreakBefore w:val="0"/>
              <w:kinsoku/>
              <w:wordWrap w:val="0"/>
              <w:overflowPunct/>
              <w:topLinePunct w:val="0"/>
              <w:bidi w:val="0"/>
              <w:rPr>
                <w:color w:val="auto"/>
                <w:szCs w:val="21"/>
                <w:highlight w:val="none"/>
              </w:rPr>
            </w:pPr>
          </w:p>
        </w:tc>
        <w:tc>
          <w:tcPr>
            <w:tcW w:w="2040" w:type="dxa"/>
            <w:noWrap/>
            <w:vAlign w:val="center"/>
          </w:tcPr>
          <w:p w14:paraId="4CBD119F">
            <w:pPr>
              <w:keepNext w:val="0"/>
              <w:keepLines w:val="0"/>
              <w:pageBreakBefore w:val="0"/>
              <w:kinsoku/>
              <w:wordWrap w:val="0"/>
              <w:overflowPunct/>
              <w:topLinePunct w:val="0"/>
              <w:bidi w:val="0"/>
              <w:spacing w:line="360" w:lineRule="auto"/>
              <w:ind w:firstLine="440" w:firstLineChars="200"/>
              <w:jc w:val="center"/>
              <w:rPr>
                <w:rFonts w:hint="eastAsia" w:eastAsia="宋体"/>
                <w:color w:val="auto"/>
                <w:szCs w:val="21"/>
                <w:highlight w:val="none"/>
                <w:lang w:eastAsia="zh-CN"/>
              </w:rPr>
            </w:pPr>
            <w:r>
              <w:rPr>
                <w:rFonts w:hint="eastAsia"/>
                <w:color w:val="auto"/>
                <w:szCs w:val="21"/>
                <w:highlight w:val="none"/>
                <w:lang w:eastAsia="zh-CN"/>
              </w:rPr>
              <w:t>其他内容</w:t>
            </w:r>
          </w:p>
        </w:tc>
        <w:tc>
          <w:tcPr>
            <w:tcW w:w="5295" w:type="dxa"/>
            <w:noWrap/>
            <w:vAlign w:val="center"/>
          </w:tcPr>
          <w:p w14:paraId="5194413A">
            <w:pPr>
              <w:keepNext w:val="0"/>
              <w:keepLines w:val="0"/>
              <w:pageBreakBefore w:val="0"/>
              <w:kinsoku/>
              <w:wordWrap w:val="0"/>
              <w:overflowPunct/>
              <w:topLinePunct w:val="0"/>
              <w:bidi w:val="0"/>
              <w:spacing w:line="360" w:lineRule="auto"/>
              <w:jc w:val="both"/>
              <w:rPr>
                <w:color w:val="auto"/>
                <w:szCs w:val="21"/>
                <w:highlight w:val="none"/>
              </w:rPr>
            </w:pPr>
            <w:r>
              <w:rPr>
                <w:rFonts w:hint="eastAsia"/>
                <w:color w:val="auto"/>
                <w:szCs w:val="21"/>
                <w:highlight w:val="none"/>
              </w:rPr>
              <w:t>符合第二章“供应商须知”规定</w:t>
            </w:r>
          </w:p>
        </w:tc>
      </w:tr>
      <w:tr w14:paraId="63A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28" w:type="dxa"/>
            <w:gridSpan w:val="2"/>
            <w:noWrap/>
            <w:vAlign w:val="center"/>
          </w:tcPr>
          <w:p w14:paraId="2C52C9B9">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2.2.1</w:t>
            </w:r>
          </w:p>
        </w:tc>
        <w:tc>
          <w:tcPr>
            <w:tcW w:w="2040" w:type="dxa"/>
            <w:noWrap/>
            <w:vAlign w:val="center"/>
          </w:tcPr>
          <w:p w14:paraId="5FAF8FD7">
            <w:pPr>
              <w:keepNext w:val="0"/>
              <w:keepLines w:val="0"/>
              <w:pageBreakBefore w:val="0"/>
              <w:kinsoku/>
              <w:wordWrap w:val="0"/>
              <w:overflowPunct/>
              <w:topLinePunct w:val="0"/>
              <w:bidi w:val="0"/>
              <w:spacing w:line="360" w:lineRule="auto"/>
              <w:ind w:firstLine="440" w:firstLineChars="200"/>
              <w:jc w:val="both"/>
              <w:rPr>
                <w:color w:val="auto"/>
                <w:szCs w:val="21"/>
                <w:highlight w:val="none"/>
              </w:rPr>
            </w:pPr>
            <w:r>
              <w:rPr>
                <w:rFonts w:hint="eastAsia"/>
                <w:color w:val="auto"/>
                <w:szCs w:val="21"/>
                <w:highlight w:val="none"/>
              </w:rPr>
              <w:t>分值构成</w:t>
            </w:r>
          </w:p>
          <w:p w14:paraId="202D1465">
            <w:pPr>
              <w:keepNext w:val="0"/>
              <w:keepLines w:val="0"/>
              <w:pageBreakBefore w:val="0"/>
              <w:kinsoku/>
              <w:wordWrap w:val="0"/>
              <w:overflowPunct/>
              <w:topLinePunct w:val="0"/>
              <w:bidi w:val="0"/>
              <w:spacing w:line="360" w:lineRule="auto"/>
              <w:jc w:val="center"/>
              <w:rPr>
                <w:color w:val="auto"/>
                <w:szCs w:val="21"/>
                <w:highlight w:val="none"/>
              </w:rPr>
            </w:pPr>
            <w:r>
              <w:rPr>
                <w:rFonts w:hint="eastAsia"/>
                <w:color w:val="auto"/>
                <w:szCs w:val="21"/>
                <w:highlight w:val="none"/>
              </w:rPr>
              <w:t>(总分100分)</w:t>
            </w:r>
          </w:p>
        </w:tc>
        <w:tc>
          <w:tcPr>
            <w:tcW w:w="5295" w:type="dxa"/>
            <w:noWrap/>
            <w:vAlign w:val="top"/>
          </w:tcPr>
          <w:p w14:paraId="470E013E">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投标报价：</w:t>
            </w:r>
            <w:r>
              <w:rPr>
                <w:rFonts w:hint="eastAsia"/>
                <w:color w:val="auto"/>
                <w:szCs w:val="21"/>
                <w:highlight w:val="none"/>
                <w:u w:val="single"/>
              </w:rPr>
              <w:t>30</w:t>
            </w:r>
            <w:r>
              <w:rPr>
                <w:rFonts w:hint="eastAsia"/>
                <w:color w:val="auto"/>
                <w:szCs w:val="21"/>
                <w:highlight w:val="none"/>
              </w:rPr>
              <w:t>分</w:t>
            </w:r>
          </w:p>
          <w:p w14:paraId="22AD5D57">
            <w:pPr>
              <w:keepNext w:val="0"/>
              <w:keepLines w:val="0"/>
              <w:pageBreakBefore w:val="0"/>
              <w:kinsoku/>
              <w:wordWrap w:val="0"/>
              <w:overflowPunct/>
              <w:topLinePunct w:val="0"/>
              <w:bidi w:val="0"/>
              <w:spacing w:line="360" w:lineRule="auto"/>
              <w:rPr>
                <w:color w:val="auto"/>
                <w:szCs w:val="21"/>
                <w:highlight w:val="none"/>
              </w:rPr>
            </w:pPr>
            <w:r>
              <w:rPr>
                <w:rFonts w:hint="eastAsia"/>
                <w:color w:val="auto"/>
                <w:szCs w:val="21"/>
                <w:highlight w:val="none"/>
              </w:rPr>
              <w:t>技术部分：</w:t>
            </w:r>
            <w:r>
              <w:rPr>
                <w:rFonts w:hint="eastAsia"/>
                <w:color w:val="auto"/>
                <w:szCs w:val="21"/>
                <w:highlight w:val="none"/>
                <w:u w:val="single"/>
                <w:lang w:val="en-US" w:eastAsia="zh-CN"/>
              </w:rPr>
              <w:t>50</w:t>
            </w:r>
            <w:r>
              <w:rPr>
                <w:rFonts w:hint="eastAsia"/>
                <w:color w:val="auto"/>
                <w:szCs w:val="21"/>
                <w:highlight w:val="none"/>
              </w:rPr>
              <w:t>分</w:t>
            </w:r>
          </w:p>
          <w:p w14:paraId="6B85F277">
            <w:pPr>
              <w:keepNext w:val="0"/>
              <w:keepLines w:val="0"/>
              <w:pageBreakBefore w:val="0"/>
              <w:kinsoku/>
              <w:wordWrap w:val="0"/>
              <w:overflowPunct/>
              <w:topLinePunct w:val="0"/>
              <w:bidi w:val="0"/>
              <w:spacing w:line="360" w:lineRule="auto"/>
              <w:rPr>
                <w:color w:val="auto"/>
                <w:szCs w:val="21"/>
                <w:highlight w:val="none"/>
                <w:u w:val="single"/>
              </w:rPr>
            </w:pPr>
            <w:r>
              <w:rPr>
                <w:rFonts w:hint="eastAsia"/>
                <w:color w:val="auto"/>
                <w:szCs w:val="21"/>
                <w:highlight w:val="none"/>
              </w:rPr>
              <w:t>商务部分：</w:t>
            </w:r>
            <w:r>
              <w:rPr>
                <w:rFonts w:hint="eastAsia"/>
                <w:color w:val="auto"/>
                <w:szCs w:val="21"/>
                <w:highlight w:val="none"/>
                <w:u w:val="single"/>
                <w:lang w:val="en-US" w:eastAsia="zh-CN"/>
              </w:rPr>
              <w:t>20</w:t>
            </w:r>
            <w:r>
              <w:rPr>
                <w:rFonts w:hint="eastAsia"/>
                <w:color w:val="auto"/>
                <w:szCs w:val="21"/>
                <w:highlight w:val="none"/>
              </w:rPr>
              <w:t>分</w:t>
            </w:r>
          </w:p>
        </w:tc>
      </w:tr>
    </w:tbl>
    <w:p w14:paraId="158760AF">
      <w:pPr>
        <w:keepNext w:val="0"/>
        <w:keepLines w:val="0"/>
        <w:pageBreakBefore w:val="0"/>
        <w:kinsoku/>
        <w:wordWrap w:val="0"/>
        <w:overflowPunct/>
        <w:topLinePunct w:val="0"/>
        <w:bidi w:val="0"/>
        <w:rPr>
          <w:color w:val="auto"/>
          <w:highlight w:val="none"/>
        </w:rPr>
      </w:pPr>
    </w:p>
    <w:p w14:paraId="25BCD97F">
      <w:pPr>
        <w:pStyle w:val="7"/>
        <w:keepNext w:val="0"/>
        <w:keepLines w:val="0"/>
        <w:pageBreakBefore w:val="0"/>
        <w:kinsoku/>
        <w:wordWrap w:val="0"/>
        <w:overflowPunct/>
        <w:topLinePunct w:val="0"/>
        <w:bidi w:val="0"/>
        <w:rPr>
          <w:color w:val="auto"/>
          <w:highlight w:val="none"/>
        </w:rPr>
      </w:pPr>
    </w:p>
    <w:tbl>
      <w:tblPr>
        <w:tblStyle w:val="14"/>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45"/>
        <w:gridCol w:w="1242"/>
        <w:gridCol w:w="5888"/>
      </w:tblGrid>
      <w:tr w14:paraId="4EED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noWrap/>
            <w:vAlign w:val="center"/>
          </w:tcPr>
          <w:p w14:paraId="31E44AB4">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序号</w:t>
            </w:r>
          </w:p>
        </w:tc>
        <w:tc>
          <w:tcPr>
            <w:tcW w:w="1545" w:type="dxa"/>
            <w:noWrap/>
            <w:vAlign w:val="center"/>
          </w:tcPr>
          <w:p w14:paraId="63B1BDC1">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评分因素</w:t>
            </w:r>
          </w:p>
          <w:p w14:paraId="1C88420F">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及分值</w:t>
            </w:r>
          </w:p>
        </w:tc>
        <w:tc>
          <w:tcPr>
            <w:tcW w:w="7130" w:type="dxa"/>
            <w:gridSpan w:val="2"/>
            <w:noWrap/>
            <w:vAlign w:val="center"/>
          </w:tcPr>
          <w:p w14:paraId="03E23F0E">
            <w:pPr>
              <w:keepNext w:val="0"/>
              <w:keepLines w:val="0"/>
              <w:pageBreakBefore w:val="0"/>
              <w:kinsoku/>
              <w:wordWrap w:val="0"/>
              <w:overflowPunct/>
              <w:topLinePunct w:val="0"/>
              <w:bidi w:val="0"/>
              <w:spacing w:line="400" w:lineRule="exact"/>
              <w:ind w:firstLine="28"/>
              <w:jc w:val="center"/>
              <w:rPr>
                <w:b/>
                <w:color w:val="auto"/>
                <w:szCs w:val="21"/>
                <w:highlight w:val="none"/>
              </w:rPr>
            </w:pPr>
            <w:r>
              <w:rPr>
                <w:rFonts w:hint="eastAsia"/>
                <w:b/>
                <w:color w:val="auto"/>
                <w:szCs w:val="21"/>
                <w:highlight w:val="none"/>
              </w:rPr>
              <w:t>评分标准</w:t>
            </w:r>
          </w:p>
        </w:tc>
      </w:tr>
      <w:tr w14:paraId="5561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noWrap/>
            <w:vAlign w:val="center"/>
          </w:tcPr>
          <w:p w14:paraId="7671C27A">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lang w:val="en-US"/>
              </w:rPr>
              <w:t>2.2.2</w:t>
            </w:r>
          </w:p>
        </w:tc>
        <w:tc>
          <w:tcPr>
            <w:tcW w:w="1545" w:type="dxa"/>
            <w:noWrap/>
            <w:vAlign w:val="center"/>
          </w:tcPr>
          <w:p w14:paraId="64426114">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报价（</w:t>
            </w:r>
            <w:r>
              <w:rPr>
                <w:rFonts w:hint="eastAsia"/>
                <w:color w:val="auto"/>
                <w:szCs w:val="21"/>
                <w:highlight w:val="none"/>
                <w:lang w:val="en-US"/>
              </w:rPr>
              <w:t>3</w:t>
            </w:r>
            <w:r>
              <w:rPr>
                <w:rFonts w:hint="eastAsia"/>
                <w:color w:val="auto"/>
                <w:szCs w:val="21"/>
                <w:highlight w:val="none"/>
              </w:rPr>
              <w:t>0分）</w:t>
            </w:r>
          </w:p>
        </w:tc>
        <w:tc>
          <w:tcPr>
            <w:tcW w:w="7130" w:type="dxa"/>
            <w:gridSpan w:val="2"/>
            <w:noWrap/>
            <w:vAlign w:val="center"/>
          </w:tcPr>
          <w:p w14:paraId="4A9FB972">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1、价格分采用低价优先法计算，即通过资格性和初步审查且第二轮投标价格最低的投标报价为评标基准价，其价格得分为满分</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分。</w:t>
            </w:r>
          </w:p>
          <w:p w14:paraId="01456041">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其他投标供应商的价格分统一按照下列公式计算：</w:t>
            </w:r>
          </w:p>
          <w:p w14:paraId="6C0A2133">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投标报价得分＝（评标基准价/投标报价）×</w:t>
            </w:r>
            <w:r>
              <w:rPr>
                <w:rFonts w:hint="eastAsia"/>
                <w:color w:val="auto"/>
                <w:sz w:val="22"/>
                <w:szCs w:val="22"/>
                <w:highlight w:val="none"/>
                <w:lang w:val="en-US" w:eastAsia="zh-CN"/>
              </w:rPr>
              <w:t>30</w:t>
            </w:r>
            <w:r>
              <w:rPr>
                <w:rFonts w:hint="eastAsia" w:eastAsia="宋体"/>
                <w:color w:val="auto"/>
                <w:sz w:val="22"/>
                <w:szCs w:val="22"/>
                <w:highlight w:val="none"/>
                <w:lang w:val="en-US" w:eastAsia="zh-CN"/>
              </w:rPr>
              <w:t>％×100</w:t>
            </w:r>
          </w:p>
          <w:p w14:paraId="280C8BBE">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05EE16D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3、超出采购人预算价的响应报价为无效报价。</w:t>
            </w:r>
          </w:p>
          <w:p w14:paraId="5D41667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4、价格扣除：投标供应商为小微企业的（监狱企业/残疾人福 </w:t>
            </w:r>
          </w:p>
          <w:p w14:paraId="2BC998F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利性企业视同小型、微型企业），对所投标的小型和微型企业制造 </w:t>
            </w:r>
          </w:p>
          <w:p w14:paraId="36E1B304">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的产品的价格给予 20%的扣除，用扣除后的价格参与评审。参加投 </w:t>
            </w:r>
          </w:p>
          <w:p w14:paraId="45662CD5">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标的中小微企业，应当按照《政府采购促进中小企业发展管理办法》 </w:t>
            </w:r>
          </w:p>
          <w:p w14:paraId="6CDDE55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（财库〔2020〕46 号）的规定提供《中小企业声明函》（中小企业 </w:t>
            </w:r>
          </w:p>
          <w:p w14:paraId="7E4D309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划型标准详见《关于印发中小企业划型标准规定的通知》工信部联 </w:t>
            </w:r>
          </w:p>
          <w:p w14:paraId="58E2F963">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企业〔2011〕300 号）。 投标供应商为大型企业的不适用本款规定。 </w:t>
            </w:r>
          </w:p>
          <w:p w14:paraId="16D036EA">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5、根据财政部司法部《关于政府采购支持监狱企业发展有关问题32 </w:t>
            </w:r>
          </w:p>
          <w:p w14:paraId="676AF5C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的通知》（财库〔2014〕68 号）规定，本项目对监狱企业作为投标 </w:t>
            </w:r>
          </w:p>
          <w:p w14:paraId="70B2395F">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供应商所提供的本企业生产的产品的价格给予 20%的扣除。监狱企 </w:t>
            </w:r>
          </w:p>
          <w:p w14:paraId="5D2A2C99">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业，应当提供由省级以上监狱管理局、戒毒管理局（含新疆生产建 </w:t>
            </w:r>
          </w:p>
          <w:p w14:paraId="5B6B87C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设兵团）出具的属于监狱企业的证明文件。 </w:t>
            </w:r>
          </w:p>
          <w:p w14:paraId="2D09B87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6、参加政府采购活动的残疾人福利性单位应当提供《残疾人福利 </w:t>
            </w:r>
          </w:p>
          <w:p w14:paraId="27CB2B37">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性单位声明函》，未填写残疾人福利性单位声明函的在开标过程中 </w:t>
            </w:r>
          </w:p>
          <w:p w14:paraId="66827FB8">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不予认可。 </w:t>
            </w:r>
          </w:p>
          <w:p w14:paraId="7F1C6346">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7、同一投标供应商，中小微企业产品和监狱企业产品价格扣除优惠只享受一次，不得重复享受 </w:t>
            </w:r>
          </w:p>
          <w:p w14:paraId="1699EFD4">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例：所投中小微企业产品报价=所投中小微企业产品报价合计× </w:t>
            </w:r>
          </w:p>
          <w:p w14:paraId="19EA4231">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 xml:space="preserve">【1-20%】 </w:t>
            </w:r>
          </w:p>
          <w:p w14:paraId="33AC7A4C">
            <w:pPr>
              <w:keepNext w:val="0"/>
              <w:keepLines w:val="0"/>
              <w:pageBreakBefore w:val="0"/>
              <w:kinsoku/>
              <w:wordWrap w:val="0"/>
              <w:overflowPunct/>
              <w:topLinePunct w:val="0"/>
              <w:bidi w:val="0"/>
              <w:spacing w:line="360" w:lineRule="auto"/>
              <w:rPr>
                <w:rFonts w:hint="eastAsia" w:eastAsia="宋体"/>
                <w:color w:val="auto"/>
                <w:sz w:val="22"/>
                <w:szCs w:val="22"/>
                <w:highlight w:val="none"/>
                <w:lang w:val="en-US" w:eastAsia="zh-CN"/>
              </w:rPr>
            </w:pPr>
            <w:r>
              <w:rPr>
                <w:rFonts w:hint="eastAsia" w:eastAsia="宋体"/>
                <w:color w:val="auto"/>
                <w:sz w:val="22"/>
                <w:szCs w:val="22"/>
                <w:highlight w:val="none"/>
                <w:lang w:val="en-US" w:eastAsia="zh-CN"/>
              </w:rPr>
              <w:t>注：价格分计算保留小数点后二位。</w:t>
            </w:r>
          </w:p>
        </w:tc>
      </w:tr>
      <w:tr w14:paraId="102D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restart"/>
            <w:noWrap/>
            <w:vAlign w:val="center"/>
          </w:tcPr>
          <w:p w14:paraId="533842E8">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rPr>
              <w:t>2</w:t>
            </w:r>
            <w:r>
              <w:rPr>
                <w:rFonts w:hint="eastAsia"/>
                <w:color w:val="auto"/>
                <w:szCs w:val="21"/>
                <w:highlight w:val="none"/>
                <w:lang w:val="en-US"/>
              </w:rPr>
              <w:t>.2.3</w:t>
            </w:r>
          </w:p>
        </w:tc>
        <w:tc>
          <w:tcPr>
            <w:tcW w:w="1545" w:type="dxa"/>
            <w:vMerge w:val="restart"/>
            <w:noWrap/>
            <w:vAlign w:val="center"/>
          </w:tcPr>
          <w:p w14:paraId="4F5F8C36">
            <w:pPr>
              <w:keepNext w:val="0"/>
              <w:keepLines w:val="0"/>
              <w:pageBreakBefore w:val="0"/>
              <w:kinsoku/>
              <w:wordWrap w:val="0"/>
              <w:overflowPunct/>
              <w:topLinePunct w:val="0"/>
              <w:bidi w:val="0"/>
              <w:spacing w:line="400" w:lineRule="exact"/>
              <w:ind w:firstLine="28"/>
              <w:jc w:val="center"/>
              <w:rPr>
                <w:color w:val="auto"/>
                <w:szCs w:val="21"/>
                <w:highlight w:val="none"/>
              </w:rPr>
            </w:pPr>
            <w:r>
              <w:rPr>
                <w:rFonts w:hint="eastAsia"/>
                <w:color w:val="auto"/>
                <w:szCs w:val="21"/>
                <w:highlight w:val="none"/>
              </w:rPr>
              <w:t>技术标（</w:t>
            </w:r>
            <w:r>
              <w:rPr>
                <w:rFonts w:hint="eastAsia"/>
                <w:color w:val="auto"/>
                <w:szCs w:val="21"/>
                <w:highlight w:val="none"/>
                <w:lang w:val="en-US" w:eastAsia="zh-CN"/>
              </w:rPr>
              <w:t>50</w:t>
            </w:r>
            <w:r>
              <w:rPr>
                <w:rFonts w:hint="eastAsia"/>
                <w:color w:val="auto"/>
                <w:szCs w:val="21"/>
                <w:highlight w:val="none"/>
              </w:rPr>
              <w:t>分）</w:t>
            </w:r>
          </w:p>
        </w:tc>
        <w:tc>
          <w:tcPr>
            <w:tcW w:w="1242" w:type="dxa"/>
            <w:noWrap/>
            <w:vAlign w:val="center"/>
          </w:tcPr>
          <w:p w14:paraId="71E76B26">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技术指标 </w:t>
            </w:r>
          </w:p>
          <w:p w14:paraId="2C8A997E">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响应情况 （</w:t>
            </w:r>
            <w:r>
              <w:rPr>
                <w:rFonts w:hint="eastAsia" w:ascii="宋体" w:hAnsi="宋体" w:eastAsia="宋体" w:cs="宋体"/>
                <w:color w:val="auto"/>
                <w:highlight w:val="none"/>
                <w:lang w:val="zh-CN" w:eastAsia="zh-CN"/>
              </w:rPr>
              <w:t>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5</w:t>
            </w:r>
            <w:r>
              <w:rPr>
                <w:rFonts w:hint="eastAsia" w:ascii="宋体" w:hAnsi="宋体" w:eastAsia="宋体" w:cs="宋体"/>
                <w:color w:val="auto"/>
                <w:highlight w:val="none"/>
                <w:lang w:val="zh-CN"/>
              </w:rPr>
              <w:t>分）</w:t>
            </w:r>
          </w:p>
        </w:tc>
        <w:tc>
          <w:tcPr>
            <w:tcW w:w="5888" w:type="dxa"/>
            <w:noWrap/>
            <w:vAlign w:val="center"/>
          </w:tcPr>
          <w:p w14:paraId="78700287">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供应商所投货物的技术参数能够全部满足</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 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分，优于</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文件要求的，由磋商小组根据偏离内容对所投产品整体性能提升情况进行加分，每提供一个正偏离加</w:t>
            </w:r>
            <w:r>
              <w:rPr>
                <w:rFonts w:hint="eastAsia" w:ascii="宋体" w:hAnsi="宋体" w:eastAsia="宋体" w:cs="宋体"/>
                <w:color w:val="auto"/>
                <w:highlight w:val="none"/>
              </w:rPr>
              <w:t>1</w:t>
            </w:r>
            <w:r>
              <w:rPr>
                <w:rFonts w:hint="eastAsia" w:ascii="宋体" w:hAnsi="宋体" w:eastAsia="宋体" w:cs="宋体"/>
                <w:color w:val="auto"/>
                <w:highlight w:val="none"/>
                <w:lang w:val="zh-CN"/>
              </w:rPr>
              <w:t>分，最多加5分；技术参数不满足</w:t>
            </w:r>
            <w:r>
              <w:rPr>
                <w:rFonts w:hint="eastAsia" w:ascii="宋体" w:hAnsi="宋体" w:eastAsia="宋体" w:cs="宋体"/>
                <w:color w:val="auto"/>
                <w:highlight w:val="none"/>
                <w:lang w:val="zh-CN" w:eastAsia="zh-CN"/>
              </w:rPr>
              <w:t>磋商</w:t>
            </w:r>
            <w:r>
              <w:rPr>
                <w:rFonts w:hint="eastAsia" w:ascii="宋体" w:hAnsi="宋体" w:eastAsia="宋体" w:cs="宋体"/>
                <w:color w:val="auto"/>
                <w:highlight w:val="none"/>
                <w:lang w:val="zh-CN"/>
              </w:rPr>
              <w:t>文件要求的（负偏离）,每有一项不满足在基础分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分上扣</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分，扣完为止。 </w:t>
            </w:r>
          </w:p>
          <w:p w14:paraId="58FCBD61">
            <w:pPr>
              <w:keepNext w:val="0"/>
              <w:keepLines w:val="0"/>
              <w:pageBreakBefore w:val="0"/>
              <w:kinsoku/>
              <w:wordWrap w:val="0"/>
              <w:overflowPunct/>
              <w:topLinePunct w:val="0"/>
              <w:bidi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注：正偏离参数必须提供相关证明材料（如测试报告或说明书彩页等），未提供相关证明材料不予认可，不得分。 </w:t>
            </w:r>
          </w:p>
        </w:tc>
      </w:tr>
      <w:tr w14:paraId="63E6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964" w:type="dxa"/>
            <w:vMerge w:val="continue"/>
            <w:noWrap/>
            <w:vAlign w:val="center"/>
          </w:tcPr>
          <w:p w14:paraId="114802E2">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545" w:type="dxa"/>
            <w:vMerge w:val="continue"/>
            <w:noWrap/>
            <w:vAlign w:val="center"/>
          </w:tcPr>
          <w:p w14:paraId="116E87F2">
            <w:pPr>
              <w:keepNext w:val="0"/>
              <w:keepLines w:val="0"/>
              <w:pageBreakBefore w:val="0"/>
              <w:kinsoku/>
              <w:wordWrap w:val="0"/>
              <w:overflowPunct/>
              <w:topLinePunct w:val="0"/>
              <w:bidi w:val="0"/>
              <w:spacing w:line="400" w:lineRule="exact"/>
              <w:ind w:firstLine="28"/>
              <w:jc w:val="center"/>
              <w:rPr>
                <w:rFonts w:hint="eastAsia"/>
                <w:color w:val="auto"/>
                <w:szCs w:val="21"/>
                <w:highlight w:val="none"/>
              </w:rPr>
            </w:pPr>
          </w:p>
        </w:tc>
        <w:tc>
          <w:tcPr>
            <w:tcW w:w="1242" w:type="dxa"/>
            <w:noWrap/>
            <w:vAlign w:val="center"/>
          </w:tcPr>
          <w:p w14:paraId="721BFC2B">
            <w:pPr>
              <w:pStyle w:val="7"/>
              <w:keepNext w:val="0"/>
              <w:keepLines w:val="0"/>
              <w:pageBreakBefore w:val="0"/>
              <w:kinsoku/>
              <w:wordWrap w:val="0"/>
              <w:overflowPunct/>
              <w:topLinePunct w:val="0"/>
              <w:bidi w:val="0"/>
              <w:ind w:left="0" w:leftChars="0" w:firstLine="0" w:firstLineChars="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2"/>
                <w:szCs w:val="22"/>
                <w:highlight w:val="none"/>
                <w:lang w:val="en-US" w:eastAsia="zh-CN" w:bidi="zh-CN"/>
              </w:rPr>
              <w:t>实施方案（0-15</w:t>
            </w:r>
            <w:r>
              <w:rPr>
                <w:rFonts w:hint="eastAsia" w:ascii="宋体" w:hAnsi="宋体" w:eastAsia="宋体" w:cs="宋体"/>
                <w:color w:val="auto"/>
                <w:sz w:val="22"/>
                <w:szCs w:val="22"/>
                <w:highlight w:val="none"/>
                <w:lang w:val="zh-CN" w:eastAsia="zh-CN" w:bidi="zh-CN"/>
              </w:rPr>
              <w:t>分</w:t>
            </w:r>
            <w:r>
              <w:rPr>
                <w:rFonts w:hint="eastAsia" w:ascii="宋体" w:hAnsi="宋体" w:eastAsia="宋体" w:cs="宋体"/>
                <w:color w:val="auto"/>
                <w:sz w:val="22"/>
                <w:szCs w:val="22"/>
                <w:highlight w:val="none"/>
                <w:lang w:val="en-US" w:eastAsia="zh-CN" w:bidi="zh-CN"/>
              </w:rPr>
              <w:t>）</w:t>
            </w:r>
          </w:p>
        </w:tc>
        <w:tc>
          <w:tcPr>
            <w:tcW w:w="5888" w:type="dxa"/>
            <w:noWrap/>
            <w:vAlign w:val="center"/>
          </w:tcPr>
          <w:p w14:paraId="6A814F7B">
            <w:pPr>
              <w:keepNext w:val="0"/>
              <w:keepLines w:val="0"/>
              <w:pageBreakBefore w:val="0"/>
              <w:kinsoku/>
              <w:wordWrap w:val="0"/>
              <w:overflowPunct/>
              <w:topLinePunct w:val="0"/>
              <w:bidi w:val="0"/>
              <w:spacing w:line="400" w:lineRule="exact"/>
              <w:rPr>
                <w:rFonts w:hint="eastAsia" w:ascii="宋体" w:hAnsi="宋体" w:eastAsia="宋体" w:cs="宋体"/>
                <w:color w:val="auto"/>
                <w:sz w:val="21"/>
                <w:szCs w:val="21"/>
                <w:highlight w:val="none"/>
                <w:lang w:val="en-US" w:eastAsia="zh-CN" w:bidi="zh-CN"/>
              </w:rPr>
            </w:pPr>
            <w:r>
              <w:rPr>
                <w:rFonts w:hint="eastAsia" w:ascii="宋体" w:hAnsi="宋体"/>
                <w:color w:val="auto"/>
                <w:sz w:val="22"/>
                <w:szCs w:val="22"/>
                <w:highlight w:val="none"/>
              </w:rPr>
              <w:t>各供应商提供的实施方案需包含建设背景、项目概述、项目功能需求理解、总体方案阐述、项目具体实现方案，方案完整、可行，内容全面详细、针对性强等方面进行打分。内容详实完整、非常明确、科学合理得15分；内容较完善、较明确、科学合理得10分；内容基本完善、基本明确、基本科学合理得5分；未提供方案不得分</w:t>
            </w:r>
            <w:r>
              <w:rPr>
                <w:rFonts w:hint="eastAsia" w:ascii="宋体" w:hAnsi="宋体"/>
                <w:color w:val="auto"/>
                <w:sz w:val="22"/>
                <w:szCs w:val="22"/>
                <w:highlight w:val="none"/>
                <w:lang w:eastAsia="zh-CN"/>
              </w:rPr>
              <w:t>。</w:t>
            </w:r>
          </w:p>
        </w:tc>
      </w:tr>
      <w:tr w14:paraId="2874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413F763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9DFE78D">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6FFF1CE0">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信息安全管理措施（0-5分）</w:t>
            </w:r>
          </w:p>
        </w:tc>
        <w:tc>
          <w:tcPr>
            <w:tcW w:w="5888" w:type="dxa"/>
            <w:noWrap/>
            <w:vAlign w:val="center"/>
          </w:tcPr>
          <w:p w14:paraId="69CB7942">
            <w:pPr>
              <w:keepNext w:val="0"/>
              <w:keepLines w:val="0"/>
              <w:widowControl/>
              <w:suppressLineNumbers w:val="0"/>
              <w:jc w:val="left"/>
              <w:textAlignment w:val="center"/>
              <w:rPr>
                <w:rFonts w:hint="eastAsia"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信息安全管理措施详细、科学、合理，完全满足 采购人需求的得5分；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信息安全管理措施不详细的，得2分；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信息安全管理措施不科学、不合理或者不能满足采购人需求的，得1分；</w:t>
            </w:r>
          </w:p>
        </w:tc>
      </w:tr>
      <w:tr w14:paraId="5584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64" w:type="dxa"/>
            <w:vMerge w:val="continue"/>
            <w:noWrap/>
            <w:vAlign w:val="center"/>
          </w:tcPr>
          <w:p w14:paraId="12EEDDF8">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4312C3F0">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2F67CF9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培训方案（0-5分）</w:t>
            </w:r>
          </w:p>
        </w:tc>
        <w:tc>
          <w:tcPr>
            <w:tcW w:w="5888" w:type="dxa"/>
            <w:noWrap/>
            <w:vAlign w:val="center"/>
          </w:tcPr>
          <w:p w14:paraId="51024A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验收合格后供应商须对甲方人员进行一定的技术操作培训，针对该项目设定的技术培训方案全面、合理、清楚明了且高效可行的得5分；技术操作培训方案合理清楚明了的得3分；技术操作培训方案合理的得1分；</w:t>
            </w:r>
          </w:p>
          <w:p w14:paraId="4E62F8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未提供不得分。</w:t>
            </w:r>
          </w:p>
        </w:tc>
      </w:tr>
      <w:tr w14:paraId="3028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964" w:type="dxa"/>
            <w:vMerge w:val="continue"/>
            <w:noWrap/>
            <w:vAlign w:val="center"/>
          </w:tcPr>
          <w:p w14:paraId="591F312E">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5F18A69E">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noWrap/>
            <w:vAlign w:val="center"/>
          </w:tcPr>
          <w:p w14:paraId="7A4B0EEE">
            <w:pPr>
              <w:keepNext w:val="0"/>
              <w:keepLines w:val="0"/>
              <w:widowControl/>
              <w:suppressLineNumbers w:val="0"/>
              <w:jc w:val="left"/>
              <w:textAlignment w:val="center"/>
              <w:rPr>
                <w:rFonts w:hint="eastAsia" w:ascii="宋体" w:hAnsi="宋体" w:eastAsia="宋体" w:cs="宋体"/>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项目风险应对措施（0-10分）</w:t>
            </w:r>
          </w:p>
        </w:tc>
        <w:tc>
          <w:tcPr>
            <w:tcW w:w="5888" w:type="dxa"/>
            <w:noWrap/>
            <w:vAlign w:val="center"/>
          </w:tcPr>
          <w:p w14:paraId="6C29A8F4">
            <w:pPr>
              <w:keepNext w:val="0"/>
              <w:keepLines w:val="0"/>
              <w:widowControl/>
              <w:suppressLineNumbers w:val="0"/>
              <w:jc w:val="left"/>
              <w:textAlignment w:val="center"/>
              <w:rPr>
                <w:rFonts w:ascii="宋体" w:hAnsi="宋体" w:eastAsia="宋体" w:cs="宋体"/>
                <w:color w:val="auto"/>
                <w:spacing w:val="0"/>
                <w:sz w:val="21"/>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根据项目需求制定详细的风险应对措施，包含但不限于风险识别、风险控制等，根据投标人在上述内容进行综合评审：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1.投标人提供的项目风险应对措施具有针对性、完善程度高得10分；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2.投标人提供的项目风险应对措施合理便于实施、但完善程度一般不够详尽的得6分；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3.投标人提供的项目风险应对措施但合理性一般不便于实施、完善程度一般不够详尽的得2分；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4.投标人提供的项目风险应对措施不科学、不合理的得1分，不提供的不得分。</w:t>
            </w:r>
          </w:p>
        </w:tc>
      </w:tr>
      <w:tr w14:paraId="791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64" w:type="dxa"/>
            <w:vMerge w:val="restart"/>
            <w:noWrap/>
            <w:vAlign w:val="center"/>
          </w:tcPr>
          <w:p w14:paraId="1CBFEE11">
            <w:pPr>
              <w:keepNext w:val="0"/>
              <w:keepLines w:val="0"/>
              <w:pageBreakBefore w:val="0"/>
              <w:kinsoku/>
              <w:wordWrap w:val="0"/>
              <w:overflowPunct/>
              <w:topLinePunct w:val="0"/>
              <w:bidi w:val="0"/>
              <w:spacing w:line="400" w:lineRule="exact"/>
              <w:ind w:firstLine="28"/>
              <w:jc w:val="center"/>
              <w:rPr>
                <w:color w:val="auto"/>
                <w:szCs w:val="21"/>
                <w:highlight w:val="none"/>
                <w:lang w:val="en-US"/>
              </w:rPr>
            </w:pPr>
            <w:r>
              <w:rPr>
                <w:rFonts w:hint="eastAsia"/>
                <w:color w:val="auto"/>
                <w:szCs w:val="21"/>
                <w:highlight w:val="none"/>
                <w:lang w:val="en-US"/>
              </w:rPr>
              <w:t>2.2.4</w:t>
            </w:r>
          </w:p>
        </w:tc>
        <w:tc>
          <w:tcPr>
            <w:tcW w:w="1545" w:type="dxa"/>
            <w:vMerge w:val="restart"/>
            <w:noWrap/>
            <w:vAlign w:val="center"/>
          </w:tcPr>
          <w:p w14:paraId="070ADCFF">
            <w:pPr>
              <w:keepNext w:val="0"/>
              <w:keepLines w:val="0"/>
              <w:pageBreakBefore w:val="0"/>
              <w:kinsoku/>
              <w:wordWrap w:val="0"/>
              <w:overflowPunct/>
              <w:topLinePunct w:val="0"/>
              <w:bidi w:val="0"/>
              <w:spacing w:line="400" w:lineRule="exact"/>
              <w:jc w:val="center"/>
              <w:rPr>
                <w:color w:val="auto"/>
                <w:szCs w:val="21"/>
                <w:highlight w:val="none"/>
              </w:rPr>
            </w:pPr>
            <w:r>
              <w:rPr>
                <w:rFonts w:hint="eastAsia"/>
                <w:color w:val="auto"/>
                <w:szCs w:val="21"/>
                <w:highlight w:val="none"/>
              </w:rPr>
              <w:t>商务标（</w:t>
            </w:r>
            <w:r>
              <w:rPr>
                <w:rFonts w:hint="eastAsia"/>
                <w:color w:val="auto"/>
                <w:szCs w:val="21"/>
                <w:highlight w:val="none"/>
                <w:lang w:val="en-US" w:eastAsia="zh-CN"/>
              </w:rPr>
              <w:t>20</w:t>
            </w:r>
            <w:r>
              <w:rPr>
                <w:rFonts w:hint="eastAsia"/>
                <w:color w:val="auto"/>
                <w:szCs w:val="21"/>
                <w:highlight w:val="none"/>
                <w:lang w:val="en-US"/>
              </w:rPr>
              <w:t>分</w:t>
            </w:r>
            <w:r>
              <w:rPr>
                <w:rFonts w:hint="eastAsia"/>
                <w:color w:val="auto"/>
                <w:szCs w:val="21"/>
                <w:highlight w:val="none"/>
              </w:rPr>
              <w:t>）</w:t>
            </w:r>
          </w:p>
        </w:tc>
        <w:tc>
          <w:tcPr>
            <w:tcW w:w="1242" w:type="dxa"/>
            <w:noWrap/>
            <w:vAlign w:val="center"/>
          </w:tcPr>
          <w:p w14:paraId="02AA0DFB">
            <w:pPr>
              <w:pStyle w:val="6"/>
              <w:keepNext w:val="0"/>
              <w:keepLines w:val="0"/>
              <w:pageBreakBefore w:val="0"/>
              <w:widowControl/>
              <w:kinsoku/>
              <w:wordWrap w:val="0"/>
              <w:overflowPunct/>
              <w:topLinePunct w:val="0"/>
              <w:bidi w:val="0"/>
              <w:ind w:firstLine="220" w:firstLineChars="100"/>
              <w:jc w:val="both"/>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业绩</w:t>
            </w:r>
          </w:p>
          <w:p w14:paraId="67D94DF5">
            <w:pPr>
              <w:pStyle w:val="6"/>
              <w:keepNext w:val="0"/>
              <w:keepLines w:val="0"/>
              <w:pageBreakBefore w:val="0"/>
              <w:widowControl/>
              <w:kinsoku/>
              <w:wordWrap w:val="0"/>
              <w:overflowPunct/>
              <w:topLinePunct w:val="0"/>
              <w:bidi w:val="0"/>
              <w:jc w:val="center"/>
              <w:rPr>
                <w:rFonts w:ascii="宋体" w:hAnsi="宋体" w:eastAsia="宋体" w:cs="宋体"/>
                <w:color w:val="auto"/>
                <w:sz w:val="22"/>
                <w:szCs w:val="21"/>
                <w:highlight w:val="none"/>
                <w:lang w:val="en-US" w:eastAsia="zh-CN" w:bidi="zh-CN"/>
              </w:rPr>
            </w:pPr>
            <w:r>
              <w:rPr>
                <w:rFonts w:hint="eastAsia" w:ascii="宋体" w:hAnsi="宋体" w:eastAsia="宋体" w:cs="宋体"/>
                <w:color w:val="auto"/>
                <w:sz w:val="22"/>
                <w:szCs w:val="21"/>
                <w:highlight w:val="none"/>
                <w:lang w:val="en-US" w:eastAsia="zh-CN" w:bidi="zh-CN"/>
              </w:rPr>
              <w:t>（0-6分）</w:t>
            </w:r>
          </w:p>
        </w:tc>
        <w:tc>
          <w:tcPr>
            <w:tcW w:w="5888" w:type="dxa"/>
            <w:noWrap/>
            <w:vAlign w:val="center"/>
          </w:tcPr>
          <w:p w14:paraId="184E6A80">
            <w:pPr>
              <w:keepNext w:val="0"/>
              <w:keepLines w:val="0"/>
              <w:pageBreakBefore w:val="0"/>
              <w:kinsoku/>
              <w:wordWrap w:val="0"/>
              <w:overflowPunct/>
              <w:topLinePunct w:val="0"/>
              <w:bidi w:val="0"/>
              <w:spacing w:line="400" w:lineRule="exact"/>
              <w:rPr>
                <w:color w:val="auto"/>
                <w:szCs w:val="21"/>
                <w:highlight w:val="none"/>
                <w:lang w:val="en-US"/>
              </w:rPr>
            </w:pPr>
            <w:r>
              <w:rPr>
                <w:color w:val="auto"/>
                <w:szCs w:val="21"/>
                <w:highlight w:val="none"/>
                <w:lang w:val="en-US"/>
              </w:rPr>
              <w:t>提供20</w:t>
            </w:r>
            <w:r>
              <w:rPr>
                <w:rFonts w:hint="eastAsia"/>
                <w:color w:val="auto"/>
                <w:szCs w:val="21"/>
                <w:highlight w:val="none"/>
                <w:lang w:val="en-US" w:eastAsia="zh-CN"/>
              </w:rPr>
              <w:t>22</w:t>
            </w:r>
            <w:r>
              <w:rPr>
                <w:color w:val="auto"/>
                <w:szCs w:val="21"/>
                <w:highlight w:val="none"/>
                <w:lang w:val="en-US"/>
              </w:rPr>
              <w:t>年1月以来已完成的类似项目业绩，每提供一份得</w:t>
            </w:r>
            <w:r>
              <w:rPr>
                <w:rFonts w:hint="eastAsia"/>
                <w:color w:val="auto"/>
                <w:szCs w:val="21"/>
                <w:highlight w:val="none"/>
                <w:lang w:val="en-US" w:eastAsia="zh-CN"/>
              </w:rPr>
              <w:t>2</w:t>
            </w:r>
            <w:r>
              <w:rPr>
                <w:rFonts w:hint="eastAsia"/>
                <w:color w:val="auto"/>
                <w:szCs w:val="21"/>
                <w:highlight w:val="none"/>
                <w:lang w:val="en-US"/>
              </w:rPr>
              <w:t>份</w:t>
            </w:r>
            <w:r>
              <w:rPr>
                <w:color w:val="auto"/>
                <w:szCs w:val="21"/>
                <w:highlight w:val="none"/>
                <w:lang w:val="en-US"/>
              </w:rPr>
              <w:t>，该项最高得</w:t>
            </w:r>
            <w:r>
              <w:rPr>
                <w:rFonts w:hint="eastAsia"/>
                <w:color w:val="auto"/>
                <w:szCs w:val="21"/>
                <w:highlight w:val="none"/>
                <w:lang w:val="en-US" w:eastAsia="zh-CN"/>
              </w:rPr>
              <w:t>6</w:t>
            </w:r>
            <w:r>
              <w:rPr>
                <w:color w:val="auto"/>
                <w:szCs w:val="21"/>
                <w:highlight w:val="none"/>
                <w:lang w:val="en-US"/>
              </w:rPr>
              <w:t>分，没有不得分；</w:t>
            </w:r>
            <w:r>
              <w:rPr>
                <w:rFonts w:hint="eastAsia"/>
                <w:color w:val="auto"/>
                <w:szCs w:val="21"/>
                <w:highlight w:val="none"/>
                <w:lang w:val="en-US"/>
              </w:rPr>
              <w:t>提供合同</w:t>
            </w:r>
            <w:r>
              <w:rPr>
                <w:rFonts w:hint="eastAsia"/>
                <w:color w:val="auto"/>
                <w:szCs w:val="21"/>
                <w:highlight w:val="none"/>
                <w:lang w:val="en-US" w:eastAsia="zh-CN"/>
              </w:rPr>
              <w:t>或</w:t>
            </w:r>
            <w:r>
              <w:rPr>
                <w:rFonts w:hint="eastAsia"/>
                <w:color w:val="auto"/>
                <w:szCs w:val="21"/>
                <w:highlight w:val="none"/>
                <w:lang w:val="en-US"/>
              </w:rPr>
              <w:t>中标通知书。注：需在</w:t>
            </w:r>
            <w:r>
              <w:rPr>
                <w:rFonts w:hint="eastAsia"/>
                <w:color w:val="auto"/>
                <w:szCs w:val="21"/>
                <w:highlight w:val="none"/>
                <w:lang w:val="en-US" w:eastAsia="zh-CN"/>
              </w:rPr>
              <w:t>响应</w:t>
            </w:r>
            <w:r>
              <w:rPr>
                <w:rFonts w:hint="eastAsia"/>
                <w:color w:val="auto"/>
                <w:szCs w:val="21"/>
                <w:highlight w:val="none"/>
                <w:lang w:val="en-US"/>
              </w:rPr>
              <w:t>文件中提供相应证明资料</w:t>
            </w:r>
            <w:r>
              <w:rPr>
                <w:rFonts w:hint="eastAsia"/>
                <w:color w:val="auto"/>
                <w:szCs w:val="21"/>
                <w:highlight w:val="none"/>
                <w:lang w:val="en-US" w:eastAsia="zh-CN"/>
              </w:rPr>
              <w:t>，没有不得分</w:t>
            </w:r>
            <w:r>
              <w:rPr>
                <w:rFonts w:hint="eastAsia"/>
                <w:color w:val="auto"/>
                <w:szCs w:val="21"/>
                <w:highlight w:val="none"/>
                <w:lang w:val="en-US"/>
              </w:rPr>
              <w:t>。</w:t>
            </w:r>
          </w:p>
        </w:tc>
      </w:tr>
      <w:tr w14:paraId="13F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964" w:type="dxa"/>
            <w:vMerge w:val="continue"/>
            <w:noWrap/>
            <w:vAlign w:val="center"/>
          </w:tcPr>
          <w:p w14:paraId="4CBE1D17">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086F5F9">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36DA3273">
            <w:pPr>
              <w:keepNext w:val="0"/>
              <w:keepLines w:val="0"/>
              <w:pageBreakBefore w:val="0"/>
              <w:kinsoku/>
              <w:wordWrap w:val="0"/>
              <w:overflowPunct/>
              <w:topLinePunct w:val="0"/>
              <w:bidi w:val="0"/>
              <w:spacing w:line="400" w:lineRule="exact"/>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企业实力</w:t>
            </w:r>
            <w:r>
              <w:rPr>
                <w:rFonts w:hint="default" w:ascii="宋体" w:hAnsi="宋体" w:eastAsia="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3</w:t>
            </w:r>
            <w:r>
              <w:rPr>
                <w:rFonts w:hint="default" w:ascii="宋体" w:hAnsi="宋体" w:eastAsia="宋体" w:cs="宋体"/>
                <w:i w:val="0"/>
                <w:iCs w:val="0"/>
                <w:color w:val="auto"/>
                <w:kern w:val="0"/>
                <w:sz w:val="22"/>
                <w:szCs w:val="22"/>
                <w:highlight w:val="none"/>
                <w:u w:val="none"/>
                <w:lang w:val="en-US" w:eastAsia="zh-CN" w:bidi="ar"/>
              </w:rPr>
              <w:t>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77E280D8">
            <w:pPr>
              <w:keepNext w:val="0"/>
              <w:keepLines w:val="0"/>
              <w:pageBreakBefore w:val="0"/>
              <w:kinsoku/>
              <w:wordWrap w:val="0"/>
              <w:overflowPunct/>
              <w:topLinePunct w:val="0"/>
              <w:autoSpaceDE w:val="0"/>
              <w:autoSpaceDN w:val="0"/>
              <w:bidi w:val="0"/>
              <w:spacing w:before="50"/>
              <w:ind w:right="97" w:righ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投标供应商具有本项目采购内容类似的《计算机软件著作权登记证书》的，每提供一个得0.5分，该项最高得3分，没有不得分；</w:t>
            </w:r>
          </w:p>
          <w:p w14:paraId="2766405B">
            <w:pPr>
              <w:keepNext w:val="0"/>
              <w:keepLines w:val="0"/>
              <w:pageBreakBefore w:val="0"/>
              <w:kinsoku/>
              <w:wordWrap w:val="0"/>
              <w:overflowPunct/>
              <w:topLinePunct w:val="0"/>
              <w:autoSpaceDE w:val="0"/>
              <w:autoSpaceDN w:val="0"/>
              <w:bidi w:val="0"/>
              <w:spacing w:before="50"/>
              <w:ind w:right="97" w:rightChars="0"/>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注：需在响应文件中提供相应证明资料，没有不得分。</w:t>
            </w:r>
          </w:p>
        </w:tc>
      </w:tr>
      <w:tr w14:paraId="740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964" w:type="dxa"/>
            <w:vMerge w:val="continue"/>
            <w:noWrap/>
            <w:vAlign w:val="center"/>
          </w:tcPr>
          <w:p w14:paraId="7BFE03F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2FE48EE2">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263B5AA6">
            <w:pPr>
              <w:keepNext w:val="0"/>
              <w:keepLines w:val="0"/>
              <w:pageBreakBefore w:val="0"/>
              <w:kinsoku/>
              <w:wordWrap w:val="0"/>
              <w:overflowPunct/>
              <w:topLinePunct w:val="0"/>
              <w:bidi w:val="0"/>
              <w:spacing w:line="400" w:lineRule="exact"/>
              <w:rPr>
                <w:rFonts w:hint="default" w:eastAsia="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人员配备（0-3分）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5C1E4EE2">
            <w:pPr>
              <w:keepNext w:val="0"/>
              <w:keepLines w:val="0"/>
              <w:pageBreakBefore w:val="0"/>
              <w:kinsoku/>
              <w:wordWrap w:val="0"/>
              <w:overflowPunct/>
              <w:topLinePunct w:val="0"/>
              <w:autoSpaceDE w:val="0"/>
              <w:autoSpaceDN w:val="0"/>
              <w:bidi w:val="0"/>
              <w:spacing w:before="50"/>
              <w:ind w:right="97" w:rightChars="0"/>
              <w:rPr>
                <w:rFonts w:hint="default"/>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投标人拟投入本项目技术人员在3人基础上，每多增加一人得1分，该项最高得3分，3人及以下人数不得分；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注：需提供相关证明扫描件（身份证、劳动合同、近三个月社保），未提供者不得分。</w:t>
            </w:r>
          </w:p>
        </w:tc>
      </w:tr>
      <w:tr w14:paraId="6636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64" w:type="dxa"/>
            <w:vMerge w:val="continue"/>
            <w:noWrap/>
            <w:vAlign w:val="center"/>
          </w:tcPr>
          <w:p w14:paraId="749B33F4">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545" w:type="dxa"/>
            <w:vMerge w:val="continue"/>
            <w:noWrap/>
            <w:vAlign w:val="center"/>
          </w:tcPr>
          <w:p w14:paraId="1D802554">
            <w:pPr>
              <w:keepNext w:val="0"/>
              <w:keepLines w:val="0"/>
              <w:pageBreakBefore w:val="0"/>
              <w:kinsoku/>
              <w:wordWrap w:val="0"/>
              <w:overflowPunct/>
              <w:topLinePunct w:val="0"/>
              <w:bidi w:val="0"/>
              <w:spacing w:line="400" w:lineRule="exact"/>
              <w:ind w:firstLine="28"/>
              <w:jc w:val="center"/>
              <w:rPr>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ign w:val="center"/>
          </w:tcPr>
          <w:p w14:paraId="391269F8">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项目售后服务方案（0-8分）</w:t>
            </w:r>
          </w:p>
        </w:tc>
        <w:tc>
          <w:tcPr>
            <w:tcW w:w="5888" w:type="dxa"/>
            <w:tcBorders>
              <w:top w:val="single" w:color="auto" w:sz="4" w:space="0"/>
              <w:left w:val="single" w:color="auto" w:sz="4" w:space="0"/>
              <w:bottom w:val="single" w:color="auto" w:sz="4" w:space="0"/>
              <w:right w:val="single" w:color="auto" w:sz="4" w:space="0"/>
            </w:tcBorders>
            <w:noWrap/>
            <w:vAlign w:val="center"/>
          </w:tcPr>
          <w:p w14:paraId="1D536691">
            <w:pPr>
              <w:keepNext w:val="0"/>
              <w:keepLines w:val="0"/>
              <w:widowControl/>
              <w:suppressLineNumbers w:val="0"/>
              <w:jc w:val="left"/>
              <w:textAlignment w:val="center"/>
              <w:rPr>
                <w:color w:val="auto"/>
                <w:szCs w:val="21"/>
                <w:highlight w:val="none"/>
                <w:lang w:val="en-US"/>
              </w:rPr>
            </w:pPr>
            <w:r>
              <w:rPr>
                <w:rFonts w:hint="eastAsia" w:ascii="宋体" w:hAnsi="宋体" w:eastAsia="宋体" w:cs="宋体"/>
                <w:i w:val="0"/>
                <w:iCs w:val="0"/>
                <w:color w:val="auto"/>
                <w:kern w:val="0"/>
                <w:sz w:val="22"/>
                <w:szCs w:val="22"/>
                <w:highlight w:val="none"/>
                <w:u w:val="none"/>
                <w:lang w:val="en-US" w:eastAsia="zh-CN" w:bidi="ar"/>
              </w:rPr>
              <w:t>根据项目需求制定详细的售后服务方案，包含但不限于售后服务计划、售后服务内容、售后服务方式等，根据投标人在上述内容进行综合评审：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1.投标人提供的售后服务方案在科学易操作、合理便于实施、具有针对性、完善程度高得8分；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2.投标人提供的售后服务方案在科学易操作、合理便于实施、但完善程度一般不够详尽的得5分；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3.投标人提供的售后服务方案在科学易操作、但合理性一般不便于实施、完善程度一般不够详尽的得2分。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4.投标人没有提供上述内容，或提供的不完整有缺项的得1分，不提供不得分。</w:t>
            </w:r>
          </w:p>
        </w:tc>
      </w:tr>
      <w:tr w14:paraId="1F40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9639" w:type="dxa"/>
            <w:gridSpan w:val="4"/>
            <w:tcBorders>
              <w:top w:val="single" w:color="auto" w:sz="4" w:space="0"/>
              <w:left w:val="single" w:color="auto" w:sz="4" w:space="0"/>
              <w:bottom w:val="single" w:color="auto" w:sz="4" w:space="0"/>
              <w:right w:val="single" w:color="auto" w:sz="4" w:space="0"/>
            </w:tcBorders>
            <w:noWrap/>
            <w:vAlign w:val="center"/>
          </w:tcPr>
          <w:p w14:paraId="6BB8C75F">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供应商综合得分﹦报价得分+技术标＋</w:t>
            </w:r>
            <w:r>
              <w:rPr>
                <w:rFonts w:hint="eastAsia"/>
                <w:color w:val="auto"/>
                <w:szCs w:val="21"/>
                <w:highlight w:val="none"/>
                <w:lang w:val="en-US" w:eastAsia="zh-CN"/>
              </w:rPr>
              <w:t>商务</w:t>
            </w:r>
            <w:r>
              <w:rPr>
                <w:rFonts w:hint="eastAsia"/>
                <w:color w:val="auto"/>
                <w:szCs w:val="21"/>
                <w:highlight w:val="none"/>
                <w:lang w:val="en-US"/>
              </w:rPr>
              <w:t>标</w:t>
            </w:r>
          </w:p>
          <w:p w14:paraId="312A03FB">
            <w:pPr>
              <w:keepNext w:val="0"/>
              <w:keepLines w:val="0"/>
              <w:pageBreakBefore w:val="0"/>
              <w:kinsoku/>
              <w:wordWrap w:val="0"/>
              <w:overflowPunct/>
              <w:topLinePunct w:val="0"/>
              <w:bidi w:val="0"/>
              <w:spacing w:line="400" w:lineRule="exact"/>
              <w:rPr>
                <w:color w:val="auto"/>
                <w:szCs w:val="21"/>
                <w:highlight w:val="none"/>
                <w:lang w:val="en-US"/>
              </w:rPr>
            </w:pPr>
            <w:r>
              <w:rPr>
                <w:rFonts w:hint="eastAsia"/>
                <w:color w:val="auto"/>
                <w:szCs w:val="21"/>
                <w:highlight w:val="none"/>
                <w:lang w:val="en-US"/>
              </w:rPr>
              <w:t>1．</w:t>
            </w:r>
            <w:r>
              <w:rPr>
                <w:rFonts w:hint="eastAsia"/>
                <w:color w:val="auto"/>
                <w:szCs w:val="21"/>
                <w:highlight w:val="none"/>
                <w:lang w:val="en-US" w:eastAsia="zh-CN"/>
              </w:rPr>
              <w:t>磋商小组</w:t>
            </w:r>
            <w:r>
              <w:rPr>
                <w:rFonts w:hint="eastAsia"/>
                <w:color w:val="auto"/>
                <w:szCs w:val="21"/>
                <w:highlight w:val="none"/>
                <w:lang w:val="en-US"/>
              </w:rPr>
              <w:t>对所有评审项得分的算术平均值，作为该供应商的最终得分。</w:t>
            </w:r>
          </w:p>
          <w:p w14:paraId="51AF368E">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rPr>
              <w:t>2．计分过程中按四舍五入的法则，取至小数点后3位，最终结果取至小数点后2位，</w:t>
            </w:r>
            <w:r>
              <w:rPr>
                <w:rFonts w:hint="eastAsia"/>
                <w:color w:val="auto"/>
                <w:szCs w:val="21"/>
                <w:highlight w:val="none"/>
                <w:lang w:val="en-US" w:eastAsia="zh-CN"/>
              </w:rPr>
              <w:t>磋商小组</w:t>
            </w:r>
            <w:r>
              <w:rPr>
                <w:rFonts w:hint="eastAsia"/>
                <w:color w:val="auto"/>
                <w:szCs w:val="21"/>
                <w:highlight w:val="none"/>
                <w:lang w:val="en-US"/>
              </w:rPr>
              <w:t>将按供应商得分高低排序向招标人推荐3名成交候选人。</w:t>
            </w:r>
          </w:p>
          <w:p w14:paraId="59101C5E">
            <w:pPr>
              <w:keepNext w:val="0"/>
              <w:keepLines w:val="0"/>
              <w:pageBreakBefore w:val="0"/>
              <w:kinsoku/>
              <w:wordWrap w:val="0"/>
              <w:overflowPunct/>
              <w:topLinePunct w:val="0"/>
              <w:bidi w:val="0"/>
              <w:spacing w:line="400" w:lineRule="exact"/>
              <w:rPr>
                <w:rFonts w:hint="eastAsia"/>
                <w:color w:val="auto"/>
                <w:szCs w:val="21"/>
                <w:highlight w:val="none"/>
                <w:lang w:val="en-US"/>
              </w:rPr>
            </w:pPr>
            <w:r>
              <w:rPr>
                <w:rFonts w:hint="eastAsia"/>
                <w:color w:val="auto"/>
                <w:szCs w:val="21"/>
                <w:highlight w:val="none"/>
                <w:lang w:val="en-US" w:eastAsia="zh-CN"/>
              </w:rPr>
              <w:t>3</w:t>
            </w:r>
            <w:r>
              <w:rPr>
                <w:rFonts w:hint="eastAsia"/>
                <w:color w:val="auto"/>
                <w:szCs w:val="21"/>
                <w:highlight w:val="none"/>
                <w:lang w:val="en-US"/>
              </w:rPr>
              <w:t>、以上评分项若缺项的，该项为0分。</w:t>
            </w:r>
          </w:p>
        </w:tc>
      </w:tr>
    </w:tbl>
    <w:p w14:paraId="7ADF5DB4">
      <w:pPr>
        <w:pStyle w:val="18"/>
        <w:keepNext w:val="0"/>
        <w:keepLines w:val="0"/>
        <w:pageBreakBefore w:val="0"/>
        <w:kinsoku/>
        <w:wordWrap w:val="0"/>
        <w:overflowPunct/>
        <w:topLinePunct w:val="0"/>
        <w:bidi w:val="0"/>
        <w:ind w:left="0"/>
        <w:outlineLvl w:val="9"/>
        <w:rPr>
          <w:rFonts w:ascii="宋体" w:hAnsi="宋体"/>
          <w:color w:val="auto"/>
          <w:sz w:val="24"/>
          <w:szCs w:val="24"/>
          <w:highlight w:val="none"/>
        </w:rPr>
      </w:pPr>
    </w:p>
    <w:p w14:paraId="388C966D">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1" w:name="_Toc9678"/>
      <w:bookmarkStart w:id="152" w:name="_Toc29721_WPSOffice_Level2"/>
      <w:r>
        <w:rPr>
          <w:rFonts w:hint="eastAsia" w:ascii="宋体" w:hAnsi="宋体"/>
          <w:color w:val="auto"/>
          <w:sz w:val="24"/>
          <w:szCs w:val="24"/>
          <w:highlight w:val="none"/>
        </w:rPr>
        <w:br w:type="page"/>
      </w:r>
      <w:r>
        <w:rPr>
          <w:rFonts w:hint="eastAsia" w:ascii="宋体" w:hAnsi="宋体"/>
          <w:color w:val="auto"/>
          <w:sz w:val="24"/>
          <w:szCs w:val="24"/>
          <w:highlight w:val="none"/>
        </w:rPr>
        <w:t>1. 评标方法</w:t>
      </w:r>
      <w:bookmarkEnd w:id="149"/>
      <w:bookmarkEnd w:id="151"/>
      <w:bookmarkEnd w:id="152"/>
    </w:p>
    <w:p w14:paraId="5B4E0C48">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bidi="en-US"/>
        </w:rPr>
        <w:t>本次评标采用综合评分法。磋商小组对满足磋商文件实质性要求的响应文件</w:t>
      </w:r>
      <w:r>
        <w:rPr>
          <w:rFonts w:hint="eastAsia"/>
          <w:color w:val="auto"/>
          <w:sz w:val="24"/>
          <w:highlight w:val="none"/>
        </w:rPr>
        <w:t>，按照本章规定的评分标准进行打分，并按得分由高到低顺序推荐成交候选人，综合评分相等时，以报价得分高的优先；报价得分也相等的，由采购人自行确定。</w:t>
      </w:r>
    </w:p>
    <w:p w14:paraId="67CC2581">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53" w:name="_Toc318450723"/>
      <w:bookmarkStart w:id="154" w:name="_Toc455080157"/>
      <w:bookmarkStart w:id="155" w:name="_Toc26640_WPSOffice_Level2"/>
      <w:bookmarkStart w:id="156" w:name="_Toc152045601"/>
      <w:bookmarkStart w:id="157" w:name="_Toc24936"/>
      <w:bookmarkStart w:id="158" w:name="_Toc20649"/>
      <w:bookmarkStart w:id="159" w:name="_Toc144974568"/>
      <w:bookmarkStart w:id="160" w:name="_Toc487498487"/>
      <w:bookmarkStart w:id="161" w:name="_Toc281405529"/>
      <w:bookmarkStart w:id="162" w:name="_Toc152042378"/>
      <w:bookmarkStart w:id="163" w:name="_Toc16578"/>
      <w:bookmarkStart w:id="164" w:name="_Toc463701081"/>
      <w:bookmarkStart w:id="165" w:name="_Toc11061"/>
      <w:bookmarkStart w:id="166" w:name="_Toc25492"/>
      <w:bookmarkStart w:id="167" w:name="_Toc464035560"/>
      <w:bookmarkStart w:id="168" w:name="_Toc30189"/>
      <w:bookmarkStart w:id="169" w:name="_Toc152042380"/>
      <w:bookmarkStart w:id="170" w:name="_Toc318450725"/>
      <w:bookmarkStart w:id="171" w:name="_Toc144974570"/>
      <w:bookmarkStart w:id="172" w:name="_Toc22439"/>
      <w:bookmarkStart w:id="173" w:name="_Toc455080159"/>
      <w:bookmarkStart w:id="174" w:name="_Toc152045603"/>
      <w:bookmarkStart w:id="175" w:name="_Toc281405531"/>
      <w:bookmarkStart w:id="176" w:name="_Toc12013"/>
      <w:r>
        <w:rPr>
          <w:rFonts w:hint="eastAsia" w:ascii="宋体" w:hAnsi="宋体"/>
          <w:color w:val="auto"/>
          <w:sz w:val="24"/>
          <w:szCs w:val="24"/>
          <w:highlight w:val="none"/>
        </w:rPr>
        <w:t>2. 评审标准</w:t>
      </w:r>
      <w:bookmarkEnd w:id="153"/>
      <w:bookmarkEnd w:id="154"/>
      <w:bookmarkEnd w:id="155"/>
      <w:bookmarkEnd w:id="156"/>
      <w:bookmarkEnd w:id="157"/>
      <w:bookmarkEnd w:id="158"/>
      <w:bookmarkEnd w:id="159"/>
      <w:bookmarkEnd w:id="160"/>
      <w:bookmarkEnd w:id="161"/>
      <w:bookmarkEnd w:id="162"/>
      <w:bookmarkEnd w:id="163"/>
    </w:p>
    <w:bookmarkEnd w:id="164"/>
    <w:bookmarkEnd w:id="165"/>
    <w:bookmarkEnd w:id="166"/>
    <w:bookmarkEnd w:id="167"/>
    <w:bookmarkEnd w:id="168"/>
    <w:bookmarkEnd w:id="169"/>
    <w:bookmarkEnd w:id="170"/>
    <w:bookmarkEnd w:id="171"/>
    <w:bookmarkEnd w:id="172"/>
    <w:bookmarkEnd w:id="173"/>
    <w:bookmarkEnd w:id="174"/>
    <w:bookmarkEnd w:id="175"/>
    <w:bookmarkEnd w:id="176"/>
    <w:p w14:paraId="5678013F">
      <w:pPr>
        <w:keepNext w:val="0"/>
        <w:keepLines w:val="0"/>
        <w:pageBreakBefore w:val="0"/>
        <w:kinsoku/>
        <w:wordWrap w:val="0"/>
        <w:overflowPunct/>
        <w:topLinePunct w:val="0"/>
        <w:bidi w:val="0"/>
        <w:adjustRightInd w:val="0"/>
        <w:spacing w:beforeLines="50" w:afterLines="50" w:line="360" w:lineRule="auto"/>
        <w:ind w:firstLine="480" w:firstLineChars="200"/>
        <w:rPr>
          <w:color w:val="auto"/>
          <w:sz w:val="24"/>
          <w:highlight w:val="none"/>
        </w:rPr>
      </w:pPr>
      <w:bookmarkStart w:id="177" w:name="_Toc15878"/>
      <w:bookmarkStart w:id="178" w:name="_Toc30922_WPSOffice_Level3"/>
      <w:bookmarkStart w:id="179" w:name="_Toc16952"/>
      <w:bookmarkStart w:id="180" w:name="_Toc318450726"/>
      <w:bookmarkStart w:id="181" w:name="_Toc455080160"/>
      <w:bookmarkStart w:id="182" w:name="_Toc17308"/>
      <w:bookmarkStart w:id="183" w:name="_Toc281405532"/>
      <w:r>
        <w:rPr>
          <w:rFonts w:hint="eastAsia"/>
          <w:color w:val="auto"/>
          <w:sz w:val="24"/>
          <w:highlight w:val="none"/>
        </w:rPr>
        <w:t>2.1 初步评审标准</w:t>
      </w:r>
      <w:bookmarkEnd w:id="177"/>
      <w:bookmarkEnd w:id="178"/>
      <w:bookmarkEnd w:id="179"/>
    </w:p>
    <w:p w14:paraId="3AE6182E">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2.1.1 资格评审标准：由磋商小组审核。</w:t>
      </w:r>
    </w:p>
    <w:p w14:paraId="7A6011BF">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2.1.2 形式评审标准：由磋商小组审核。</w:t>
      </w:r>
    </w:p>
    <w:p w14:paraId="37757FCF">
      <w:pPr>
        <w:keepNext w:val="0"/>
        <w:keepLines w:val="0"/>
        <w:pageBreakBefore w:val="0"/>
        <w:kinsoku/>
        <w:wordWrap w:val="0"/>
        <w:overflowPunct/>
        <w:topLinePunct w:val="0"/>
        <w:bidi w:val="0"/>
        <w:adjustRightInd w:val="0"/>
        <w:spacing w:beforeLines="50" w:afterLines="50" w:line="360" w:lineRule="auto"/>
        <w:ind w:left="565" w:leftChars="257"/>
        <w:rPr>
          <w:color w:val="auto"/>
          <w:sz w:val="24"/>
          <w:highlight w:val="none"/>
        </w:rPr>
      </w:pPr>
      <w:r>
        <w:rPr>
          <w:rFonts w:hint="eastAsia"/>
          <w:color w:val="auto"/>
          <w:sz w:val="24"/>
          <w:highlight w:val="none"/>
        </w:rPr>
        <w:t>2.1.3 响应性评审标准：由磋商小组审核。</w:t>
      </w:r>
    </w:p>
    <w:p w14:paraId="52AB47E9">
      <w:pPr>
        <w:keepNext w:val="0"/>
        <w:keepLines w:val="0"/>
        <w:pageBreakBefore w:val="0"/>
        <w:kinsoku/>
        <w:wordWrap w:val="0"/>
        <w:overflowPunct/>
        <w:topLinePunct w:val="0"/>
        <w:bidi w:val="0"/>
        <w:spacing w:line="400" w:lineRule="exact"/>
        <w:ind w:firstLine="240" w:firstLineChars="100"/>
        <w:rPr>
          <w:color w:val="auto"/>
          <w:sz w:val="24"/>
          <w:highlight w:val="none"/>
        </w:rPr>
      </w:pPr>
      <w:r>
        <w:rPr>
          <w:rFonts w:hint="eastAsia"/>
          <w:color w:val="auto"/>
          <w:sz w:val="24"/>
          <w:highlight w:val="none"/>
        </w:rPr>
        <w:t>以上有一项不符合要求的按无效标处理。</w:t>
      </w:r>
    </w:p>
    <w:p w14:paraId="2D07C708">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4" w:name="_Toc17292_WPSOffice_Level3"/>
      <w:r>
        <w:rPr>
          <w:rFonts w:hint="eastAsia"/>
          <w:color w:val="auto"/>
          <w:sz w:val="24"/>
          <w:highlight w:val="none"/>
        </w:rPr>
        <w:t>2.2 分值构成与评分标准</w:t>
      </w:r>
      <w:bookmarkEnd w:id="184"/>
    </w:p>
    <w:p w14:paraId="7FCDE86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2.2.1 分值构成</w:t>
      </w:r>
    </w:p>
    <w:p w14:paraId="1A204E2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（1）最后磋商报价：见评标办法前附表</w:t>
      </w:r>
    </w:p>
    <w:p w14:paraId="16FE4142">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61A03DFD">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3EE85AB2">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2.2.2 评分标准</w:t>
      </w:r>
    </w:p>
    <w:p w14:paraId="74B81EC5">
      <w:pPr>
        <w:keepNext w:val="0"/>
        <w:keepLines w:val="0"/>
        <w:pageBreakBefore w:val="0"/>
        <w:kinsoku/>
        <w:wordWrap w:val="0"/>
        <w:overflowPunct/>
        <w:topLinePunct w:val="0"/>
        <w:bidi w:val="0"/>
        <w:spacing w:line="400" w:lineRule="exact"/>
        <w:ind w:firstLine="820" w:firstLineChars="342"/>
        <w:rPr>
          <w:color w:val="auto"/>
          <w:sz w:val="24"/>
          <w:highlight w:val="none"/>
        </w:rPr>
      </w:pPr>
      <w:bookmarkStart w:id="185" w:name="_Toc487498488"/>
      <w:bookmarkStart w:id="186" w:name="_Toc25340"/>
      <w:r>
        <w:rPr>
          <w:rFonts w:hint="eastAsia"/>
          <w:color w:val="auto"/>
          <w:sz w:val="24"/>
          <w:highlight w:val="none"/>
        </w:rPr>
        <w:t>（1）最后磋商报价：见评标办法前附表</w:t>
      </w:r>
    </w:p>
    <w:p w14:paraId="67A86474">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（2）技术标：见评标办法前附表</w:t>
      </w:r>
    </w:p>
    <w:p w14:paraId="5E1734B5">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（3）商务标：见评标办法前附表</w:t>
      </w:r>
    </w:p>
    <w:p w14:paraId="48E8035D">
      <w:pPr>
        <w:pStyle w:val="18"/>
        <w:keepNext w:val="0"/>
        <w:keepLines w:val="0"/>
        <w:pageBreakBefore w:val="0"/>
        <w:kinsoku/>
        <w:wordWrap w:val="0"/>
        <w:overflowPunct/>
        <w:topLinePunct w:val="0"/>
        <w:bidi w:val="0"/>
        <w:ind w:left="0" w:firstLine="480" w:firstLineChars="200"/>
        <w:outlineLvl w:val="0"/>
        <w:rPr>
          <w:rFonts w:ascii="宋体" w:hAnsi="宋体"/>
          <w:color w:val="auto"/>
          <w:sz w:val="24"/>
          <w:szCs w:val="24"/>
          <w:highlight w:val="none"/>
        </w:rPr>
      </w:pPr>
      <w:bookmarkStart w:id="187" w:name="_Toc14449_WPSOffice_Level2"/>
      <w:bookmarkStart w:id="188" w:name="_Toc15225"/>
      <w:r>
        <w:rPr>
          <w:rFonts w:hint="eastAsia" w:ascii="宋体" w:hAnsi="宋体"/>
          <w:color w:val="auto"/>
          <w:sz w:val="24"/>
          <w:szCs w:val="24"/>
          <w:highlight w:val="none"/>
        </w:rPr>
        <w:t>3. 评审程序</w:t>
      </w:r>
      <w:bookmarkEnd w:id="180"/>
      <w:bookmarkEnd w:id="181"/>
      <w:bookmarkEnd w:id="182"/>
      <w:bookmarkEnd w:id="183"/>
      <w:bookmarkEnd w:id="185"/>
      <w:bookmarkEnd w:id="186"/>
      <w:bookmarkEnd w:id="187"/>
      <w:bookmarkEnd w:id="188"/>
    </w:p>
    <w:p w14:paraId="17C55D09">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189" w:name="_Toc464035562"/>
      <w:bookmarkStart w:id="190" w:name="_Toc11862_WPSOffice_Level3"/>
      <w:bookmarkStart w:id="191" w:name="_Toc455080161"/>
      <w:bookmarkStart w:id="192" w:name="_Toc5427"/>
      <w:bookmarkStart w:id="193" w:name="_Toc318450727"/>
      <w:bookmarkStart w:id="194" w:name="_Toc30986"/>
      <w:bookmarkStart w:id="195" w:name="_Toc463701083"/>
      <w:bookmarkStart w:id="196" w:name="_Toc281405533"/>
      <w:bookmarkStart w:id="197" w:name="_Toc18886"/>
      <w:bookmarkStart w:id="198" w:name="_Toc7272"/>
      <w:bookmarkStart w:id="199" w:name="_Toc29614"/>
      <w:bookmarkStart w:id="200" w:name="_Toc14633"/>
      <w:r>
        <w:rPr>
          <w:rFonts w:hint="eastAsia"/>
          <w:color w:val="auto"/>
          <w:sz w:val="24"/>
          <w:highlight w:val="none"/>
        </w:rPr>
        <w:t>3.1 初步评审</w:t>
      </w:r>
      <w:bookmarkEnd w:id="189"/>
      <w:bookmarkEnd w:id="190"/>
      <w:bookmarkEnd w:id="191"/>
      <w:bookmarkEnd w:id="192"/>
      <w:bookmarkEnd w:id="193"/>
      <w:bookmarkEnd w:id="194"/>
      <w:bookmarkEnd w:id="195"/>
      <w:bookmarkEnd w:id="196"/>
      <w:bookmarkEnd w:id="197"/>
      <w:bookmarkEnd w:id="198"/>
      <w:bookmarkEnd w:id="199"/>
      <w:bookmarkEnd w:id="200"/>
    </w:p>
    <w:p w14:paraId="1CD914E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3.1.1 磋商小组依据本章第2.1款规定的标准对响应文件进行初步评审。有一项不符合评审标准的，作废标处理。</w:t>
      </w:r>
    </w:p>
    <w:p w14:paraId="5F6038A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3.1.2 供应商有以下情形之一的，其投标作废标处理：</w:t>
      </w:r>
    </w:p>
    <w:p w14:paraId="267289CD">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（1）供应商未提交磋商保证金或金额不足的；</w:t>
      </w:r>
    </w:p>
    <w:p w14:paraId="4FEA761A">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（2）串通投标或弄虚作假或有其他违法行为的；</w:t>
      </w:r>
    </w:p>
    <w:p w14:paraId="3709C7AC">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（3）不按磋商小组要求澄清、说明或补正的；</w:t>
      </w:r>
    </w:p>
    <w:p w14:paraId="20DD7CE6">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（4）未按规定格式填写、内容不全或关键字迹模糊、无法辨认的；</w:t>
      </w:r>
    </w:p>
    <w:p w14:paraId="33776D4F">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（5）响应文件附有采购人不能接受的条件；</w:t>
      </w:r>
    </w:p>
    <w:p w14:paraId="0CC9C1D5">
      <w:pPr>
        <w:keepNext w:val="0"/>
        <w:keepLines w:val="0"/>
        <w:pageBreakBefore w:val="0"/>
        <w:kinsoku/>
        <w:wordWrap w:val="0"/>
        <w:overflowPunct/>
        <w:topLinePunct w:val="0"/>
        <w:bidi w:val="0"/>
        <w:spacing w:line="400" w:lineRule="exact"/>
        <w:ind w:firstLine="820" w:firstLineChars="342"/>
        <w:rPr>
          <w:color w:val="auto"/>
          <w:sz w:val="24"/>
          <w:highlight w:val="none"/>
        </w:rPr>
      </w:pPr>
      <w:r>
        <w:rPr>
          <w:rFonts w:hint="eastAsia"/>
          <w:color w:val="auto"/>
          <w:sz w:val="24"/>
          <w:highlight w:val="none"/>
        </w:rPr>
        <w:t>（6）不符合磋商文件规定的其他实质性要求。</w:t>
      </w:r>
    </w:p>
    <w:p w14:paraId="70188CBC">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01" w:name="_Toc455080162"/>
      <w:bookmarkStart w:id="202" w:name="_Toc26049"/>
      <w:bookmarkStart w:id="203" w:name="_Toc318450728"/>
      <w:bookmarkStart w:id="204" w:name="_Toc12406"/>
      <w:bookmarkStart w:id="205" w:name="_Toc464035563"/>
      <w:bookmarkStart w:id="206" w:name="_Toc10295_WPSOffice_Level3"/>
      <w:bookmarkStart w:id="207" w:name="_Toc7121"/>
      <w:bookmarkStart w:id="208" w:name="_Toc10692"/>
      <w:bookmarkStart w:id="209" w:name="_Toc21570"/>
      <w:bookmarkStart w:id="210" w:name="_Toc281405534"/>
      <w:bookmarkStart w:id="211" w:name="_Toc463701084"/>
      <w:bookmarkStart w:id="212" w:name="_Toc21032"/>
      <w:r>
        <w:rPr>
          <w:rFonts w:hint="eastAsia"/>
          <w:color w:val="auto"/>
          <w:sz w:val="24"/>
          <w:highlight w:val="none"/>
        </w:rPr>
        <w:t>3.2 详细评审</w:t>
      </w:r>
      <w:bookmarkEnd w:id="201"/>
      <w:bookmarkEnd w:id="202"/>
      <w:bookmarkEnd w:id="203"/>
      <w:bookmarkEnd w:id="204"/>
      <w:bookmarkEnd w:id="205"/>
      <w:bookmarkEnd w:id="206"/>
      <w:bookmarkEnd w:id="207"/>
      <w:bookmarkEnd w:id="208"/>
      <w:bookmarkEnd w:id="209"/>
      <w:bookmarkEnd w:id="210"/>
      <w:bookmarkEnd w:id="211"/>
      <w:bookmarkEnd w:id="212"/>
    </w:p>
    <w:p w14:paraId="51CA31FB">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3.2.1 磋商小组邀请通过初步评审的供应商进行磋商报价，磋商报价为供应商最终有效报价。</w:t>
      </w:r>
    </w:p>
    <w:p w14:paraId="6363D357">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3.2.2磋商小组</w:t>
      </w:r>
      <w:r>
        <w:rPr>
          <w:rFonts w:hint="eastAsia"/>
          <w:color w:val="auto"/>
          <w:sz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auto"/>
          <w:sz w:val="24"/>
          <w:highlight w:val="none"/>
          <w:lang w:val="en-US"/>
        </w:rPr>
        <w:t>磋商小组</w:t>
      </w:r>
      <w:r>
        <w:rPr>
          <w:rFonts w:hint="eastAsia"/>
          <w:color w:val="auto"/>
          <w:sz w:val="24"/>
          <w:highlight w:val="none"/>
        </w:rPr>
        <w:t>应当将其作为无效投标处理。</w:t>
      </w:r>
    </w:p>
    <w:p w14:paraId="660A9032">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3</w:t>
      </w:r>
      <w:r>
        <w:rPr>
          <w:rFonts w:hint="eastAsia"/>
          <w:color w:val="auto"/>
          <w:sz w:val="24"/>
          <w:highlight w:val="none"/>
        </w:rPr>
        <w:t>磋商小组按本章第2.2款规定的量化因素和分值进行打分，并计算出综合评分得分。</w:t>
      </w:r>
    </w:p>
    <w:p w14:paraId="477C5969">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4</w:t>
      </w:r>
      <w:r>
        <w:rPr>
          <w:rFonts w:hint="eastAsia"/>
          <w:color w:val="auto"/>
          <w:sz w:val="24"/>
          <w:highlight w:val="none"/>
        </w:rPr>
        <w:t>评分分值计算保留小数点后两位，小数点后第三位“四舍五入”。</w:t>
      </w:r>
    </w:p>
    <w:p w14:paraId="26F66930">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5</w:t>
      </w:r>
      <w:r>
        <w:rPr>
          <w:rFonts w:hint="eastAsia"/>
          <w:color w:val="auto"/>
          <w:sz w:val="24"/>
          <w:highlight w:val="none"/>
        </w:rPr>
        <w:t>供应商的最终得分以全部小组成员打分的算术平均值为准，作为该供应商的最终得分。</w:t>
      </w:r>
    </w:p>
    <w:p w14:paraId="3469DB9E">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rPr>
        <w:t>6</w:t>
      </w:r>
      <w:r>
        <w:rPr>
          <w:rFonts w:hint="eastAsia"/>
          <w:color w:val="auto"/>
          <w:sz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274BE572">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13" w:name="_Toc28633"/>
      <w:bookmarkStart w:id="214" w:name="_Toc281405535"/>
      <w:bookmarkStart w:id="215" w:name="_Toc10153"/>
      <w:bookmarkStart w:id="216" w:name="_Toc464035564"/>
      <w:bookmarkStart w:id="217" w:name="_Toc455080163"/>
      <w:bookmarkStart w:id="218" w:name="_Toc318450729"/>
      <w:bookmarkStart w:id="219" w:name="_Toc11958"/>
      <w:bookmarkStart w:id="220" w:name="_Toc24862"/>
      <w:bookmarkStart w:id="221" w:name="_Toc31110_WPSOffice_Level3"/>
      <w:bookmarkStart w:id="222" w:name="_Toc8813"/>
      <w:bookmarkStart w:id="223" w:name="_Toc463701085"/>
      <w:bookmarkStart w:id="224" w:name="_Toc8342"/>
      <w:r>
        <w:rPr>
          <w:rFonts w:hint="eastAsia"/>
          <w:color w:val="auto"/>
          <w:sz w:val="24"/>
          <w:highlight w:val="none"/>
        </w:rPr>
        <w:t>3.3 响应文件的澄清和补正</w:t>
      </w:r>
      <w:bookmarkEnd w:id="213"/>
      <w:bookmarkEnd w:id="214"/>
      <w:bookmarkEnd w:id="215"/>
      <w:bookmarkEnd w:id="216"/>
      <w:bookmarkEnd w:id="217"/>
      <w:bookmarkEnd w:id="218"/>
      <w:bookmarkEnd w:id="219"/>
      <w:bookmarkEnd w:id="220"/>
      <w:bookmarkEnd w:id="221"/>
      <w:bookmarkEnd w:id="222"/>
      <w:bookmarkEnd w:id="223"/>
      <w:bookmarkEnd w:id="224"/>
    </w:p>
    <w:p w14:paraId="6FBCF90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41DA3881">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3.3.2 澄清、说明和补正不得超出响应文件的范围或者改变响应文件的实质性内容（算术性错误修正的除外）。供应商的书面澄清、说明和补正属于响应文件的组成部分。</w:t>
      </w:r>
    </w:p>
    <w:p w14:paraId="498FEF13">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3.3.3 磋商小组对供应商提交的澄清、说明或补正有疑问的，可以要求供应商进一步澄清、说明或补正，直至满足磋商小组的要求。</w:t>
      </w:r>
    </w:p>
    <w:p w14:paraId="779E5926">
      <w:pPr>
        <w:keepNext w:val="0"/>
        <w:keepLines w:val="0"/>
        <w:pageBreakBefore w:val="0"/>
        <w:kinsoku/>
        <w:wordWrap w:val="0"/>
        <w:overflowPunct/>
        <w:topLinePunct w:val="0"/>
        <w:bidi w:val="0"/>
        <w:spacing w:line="400" w:lineRule="exact"/>
        <w:ind w:firstLine="480" w:firstLineChars="200"/>
        <w:rPr>
          <w:color w:val="auto"/>
          <w:sz w:val="24"/>
          <w:highlight w:val="none"/>
        </w:rPr>
      </w:pPr>
      <w:bookmarkStart w:id="225" w:name="_Toc318450730"/>
      <w:bookmarkStart w:id="226" w:name="_Toc464035565"/>
      <w:bookmarkStart w:id="227" w:name="_Toc455080164"/>
      <w:bookmarkStart w:id="228" w:name="_Toc1857"/>
      <w:bookmarkStart w:id="229" w:name="_Toc26894"/>
      <w:bookmarkStart w:id="230" w:name="_Toc19453"/>
      <w:bookmarkStart w:id="231" w:name="_Toc5903"/>
      <w:bookmarkStart w:id="232" w:name="_Toc281405536"/>
      <w:bookmarkStart w:id="233" w:name="_Toc22986"/>
      <w:bookmarkStart w:id="234" w:name="_Toc32183"/>
      <w:bookmarkStart w:id="235" w:name="_Toc463701086"/>
      <w:bookmarkStart w:id="236" w:name="_Toc16310_WPSOffice_Level3"/>
      <w:r>
        <w:rPr>
          <w:rFonts w:hint="eastAsia"/>
          <w:color w:val="auto"/>
          <w:sz w:val="24"/>
          <w:highlight w:val="none"/>
        </w:rPr>
        <w:t>3.4 评标结果</w:t>
      </w:r>
      <w:bookmarkEnd w:id="225"/>
      <w:bookmarkEnd w:id="226"/>
      <w:bookmarkEnd w:id="227"/>
      <w:bookmarkEnd w:id="228"/>
      <w:bookmarkEnd w:id="229"/>
      <w:bookmarkEnd w:id="230"/>
      <w:bookmarkEnd w:id="231"/>
      <w:bookmarkEnd w:id="232"/>
      <w:bookmarkEnd w:id="233"/>
      <w:bookmarkEnd w:id="234"/>
      <w:bookmarkEnd w:id="235"/>
      <w:bookmarkEnd w:id="236"/>
    </w:p>
    <w:p w14:paraId="37AAF387">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rPr>
        <w:t>3.4.1除第二章“供应商须知”前附表授权直接确定成交人外，磋商小组按照得分由高到低的顺序推荐成交候选人。</w:t>
      </w:r>
    </w:p>
    <w:p w14:paraId="4608EEFD">
      <w:pPr>
        <w:keepNext w:val="0"/>
        <w:keepLines w:val="0"/>
        <w:pageBreakBefore w:val="0"/>
        <w:kinsoku/>
        <w:wordWrap w:val="0"/>
        <w:overflowPunct/>
        <w:topLinePunct w:val="0"/>
        <w:bidi w:val="0"/>
        <w:spacing w:line="400" w:lineRule="exact"/>
        <w:ind w:firstLine="480" w:firstLineChars="200"/>
        <w:rPr>
          <w:color w:val="auto"/>
          <w:sz w:val="24"/>
          <w:highlight w:val="none"/>
        </w:rPr>
      </w:pPr>
      <w:r>
        <w:rPr>
          <w:rFonts w:hint="eastAsia"/>
          <w:color w:val="auto"/>
          <w:sz w:val="24"/>
          <w:highlight w:val="none"/>
          <w:lang w:val="en-US"/>
        </w:rPr>
        <w:t>3.4.2供应商</w:t>
      </w:r>
      <w:r>
        <w:rPr>
          <w:rFonts w:hint="eastAsia"/>
          <w:color w:val="auto"/>
          <w:sz w:val="24"/>
          <w:highlight w:val="none"/>
        </w:rPr>
        <w:t>提供相同品牌产品且通过资格审查、符合性审查的不同供应商参加同一合同项下投标的，按一家供应商计算，评审后得分最高的同品牌供应商获得中标人推荐资格；</w:t>
      </w:r>
    </w:p>
    <w:p w14:paraId="59D50A87">
      <w:pPr>
        <w:keepNext w:val="0"/>
        <w:keepLines w:val="0"/>
        <w:pageBreakBefore w:val="0"/>
        <w:kinsoku/>
        <w:wordWrap w:val="0"/>
        <w:overflowPunct/>
        <w:topLinePunct w:val="0"/>
        <w:bidi w:val="0"/>
        <w:spacing w:line="400" w:lineRule="exact"/>
        <w:rPr>
          <w:color w:val="auto"/>
          <w:sz w:val="24"/>
          <w:highlight w:val="none"/>
        </w:rPr>
      </w:pPr>
      <w:r>
        <w:rPr>
          <w:rFonts w:hint="eastAsia"/>
          <w:color w:val="auto"/>
          <w:sz w:val="24"/>
          <w:highlight w:val="none"/>
        </w:rPr>
        <w:t xml:space="preserve">   3.4.</w:t>
      </w:r>
      <w:r>
        <w:rPr>
          <w:rFonts w:hint="eastAsia"/>
          <w:color w:val="auto"/>
          <w:sz w:val="24"/>
          <w:highlight w:val="none"/>
          <w:lang w:val="en-US"/>
        </w:rPr>
        <w:t>3</w:t>
      </w:r>
      <w:r>
        <w:rPr>
          <w:rFonts w:hint="eastAsia"/>
          <w:color w:val="auto"/>
          <w:sz w:val="24"/>
          <w:highlight w:val="none"/>
        </w:rPr>
        <w:t xml:space="preserve"> 磋商小组完成评标后，应当向采购人提交书面评审报告。</w:t>
      </w:r>
    </w:p>
    <w:p w14:paraId="3D67A495">
      <w:pPr>
        <w:pStyle w:val="2"/>
        <w:keepNext w:val="0"/>
        <w:keepLines w:val="0"/>
        <w:pageBreakBefore w:val="0"/>
        <w:kinsoku/>
        <w:wordWrap w:val="0"/>
        <w:overflowPunct/>
        <w:topLinePunct w:val="0"/>
        <w:bidi w:val="0"/>
        <w:spacing w:before="24"/>
        <w:ind w:left="841" w:right="909"/>
        <w:jc w:val="center"/>
        <w:rPr>
          <w:color w:val="auto"/>
          <w:highlight w:val="none"/>
        </w:rPr>
      </w:pPr>
      <w:r>
        <w:rPr>
          <w:color w:val="auto"/>
          <w:highlight w:val="none"/>
        </w:rPr>
        <w:br w:type="page"/>
      </w:r>
    </w:p>
    <w:p w14:paraId="4F35473E">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37" w:name="_Toc20625"/>
      <w:r>
        <w:rPr>
          <w:rFonts w:hint="eastAsia"/>
          <w:color w:val="auto"/>
          <w:highlight w:val="none"/>
        </w:rPr>
        <w:t>第五章 合同主要条款及格式</w:t>
      </w:r>
      <w:bookmarkEnd w:id="237"/>
    </w:p>
    <w:p w14:paraId="3BCB3E33">
      <w:pPr>
        <w:pStyle w:val="4"/>
        <w:keepNext w:val="0"/>
        <w:keepLines w:val="0"/>
        <w:pageBreakBefore w:val="0"/>
        <w:kinsoku/>
        <w:wordWrap w:val="0"/>
        <w:overflowPunct/>
        <w:topLinePunct w:val="0"/>
        <w:bidi w:val="0"/>
        <w:spacing w:before="149"/>
        <w:ind w:left="890" w:right="909"/>
        <w:jc w:val="center"/>
        <w:rPr>
          <w:color w:val="auto"/>
          <w:highlight w:val="none"/>
        </w:rPr>
      </w:pPr>
      <w:bookmarkStart w:id="238" w:name="_Toc29167_WPSOffice_Level2"/>
      <w:r>
        <w:rPr>
          <w:color w:val="auto"/>
          <w:spacing w:val="-1"/>
          <w:w w:val="95"/>
          <w:highlight w:val="none"/>
        </w:rPr>
        <w:t>（此格式仅供参考</w:t>
      </w:r>
      <w:r>
        <w:rPr>
          <w:color w:val="auto"/>
          <w:w w:val="95"/>
          <w:highlight w:val="none"/>
        </w:rPr>
        <w:t>）</w:t>
      </w:r>
      <w:bookmarkEnd w:id="238"/>
    </w:p>
    <w:p w14:paraId="7CD5E89F">
      <w:pPr>
        <w:pStyle w:val="7"/>
        <w:keepNext w:val="0"/>
        <w:keepLines w:val="0"/>
        <w:pageBreakBefore w:val="0"/>
        <w:kinsoku/>
        <w:wordWrap w:val="0"/>
        <w:overflowPunct/>
        <w:topLinePunct w:val="0"/>
        <w:bidi w:val="0"/>
        <w:spacing w:before="226"/>
        <w:rPr>
          <w:color w:val="auto"/>
          <w:highlight w:val="none"/>
        </w:rPr>
      </w:pPr>
      <w:r>
        <w:rPr>
          <w:color w:val="auto"/>
          <w:spacing w:val="-40"/>
          <w:highlight w:val="none"/>
        </w:rPr>
        <w:t>甲方：</w:t>
      </w:r>
      <w:r>
        <w:rPr>
          <w:color w:val="auto"/>
          <w:highlight w:val="none"/>
        </w:rPr>
        <w:t>（采购人）</w:t>
      </w:r>
      <w:r>
        <w:rPr>
          <w:rFonts w:hint="eastAsia"/>
          <w:color w:val="auto"/>
          <w:highlight w:val="none"/>
          <w:u w:val="single"/>
          <w:lang w:eastAsia="zh-CN"/>
        </w:rPr>
        <w:t>卢氏县应急管理局</w:t>
      </w:r>
      <w:r>
        <w:rPr>
          <w:rFonts w:hint="eastAsia"/>
          <w:color w:val="auto"/>
          <w:highlight w:val="none"/>
          <w:lang w:val="en-US"/>
        </w:rPr>
        <w:t>（</w:t>
      </w:r>
      <w:r>
        <w:rPr>
          <w:color w:val="auto"/>
          <w:highlight w:val="none"/>
        </w:rPr>
        <w:t>以下简称甲方）</w:t>
      </w:r>
    </w:p>
    <w:p w14:paraId="0D41E2CE">
      <w:pPr>
        <w:pStyle w:val="7"/>
        <w:keepNext w:val="0"/>
        <w:keepLines w:val="0"/>
        <w:pageBreakBefore w:val="0"/>
        <w:tabs>
          <w:tab w:val="left" w:pos="4880"/>
        </w:tabs>
        <w:kinsoku/>
        <w:wordWrap w:val="0"/>
        <w:overflowPunct/>
        <w:topLinePunct w:val="0"/>
        <w:bidi w:val="0"/>
        <w:spacing w:before="170"/>
        <w:rPr>
          <w:color w:val="auto"/>
          <w:highlight w:val="none"/>
        </w:rPr>
      </w:pPr>
      <w:r>
        <w:rPr>
          <w:color w:val="auto"/>
          <w:highlight w:val="none"/>
        </w:rPr>
        <w:t>乙方</w:t>
      </w:r>
      <w:r>
        <w:rPr>
          <w:color w:val="auto"/>
          <w:spacing w:val="-120"/>
          <w:highlight w:val="none"/>
        </w:rPr>
        <w:t>：</w:t>
      </w:r>
      <w:r>
        <w:rPr>
          <w:color w:val="auto"/>
          <w:highlight w:val="none"/>
        </w:rPr>
        <w:t>（成交供应商</w:t>
      </w:r>
      <w:r>
        <w:rPr>
          <w:color w:val="auto"/>
          <w:spacing w:val="-1"/>
          <w:highlight w:val="none"/>
        </w:rPr>
        <w:t>）</w:t>
      </w:r>
      <w:r>
        <w:rPr>
          <w:rFonts w:ascii="Times New Roman" w:eastAsia="Times New Roman"/>
          <w:color w:val="auto"/>
          <w:highlight w:val="none"/>
          <w:u w:val="single"/>
        </w:rPr>
        <w:tab/>
      </w:r>
      <w:r>
        <w:rPr>
          <w:color w:val="auto"/>
          <w:highlight w:val="none"/>
        </w:rPr>
        <w:t>（以下简称乙方）</w:t>
      </w:r>
    </w:p>
    <w:p w14:paraId="5D5D581A">
      <w:pPr>
        <w:pStyle w:val="7"/>
        <w:keepNext w:val="0"/>
        <w:keepLines w:val="0"/>
        <w:pageBreakBefore w:val="0"/>
        <w:kinsoku/>
        <w:wordWrap w:val="0"/>
        <w:overflowPunct/>
        <w:topLinePunct w:val="0"/>
        <w:bidi w:val="0"/>
        <w:spacing w:before="170" w:line="374" w:lineRule="auto"/>
        <w:ind w:right="283" w:firstLine="480"/>
        <w:rPr>
          <w:color w:val="auto"/>
          <w:highlight w:val="none"/>
        </w:rPr>
      </w:pPr>
      <w:r>
        <w:rPr>
          <w:color w:val="auto"/>
          <w:highlight w:val="none"/>
        </w:rPr>
        <w:t>经过竞争性磋商采购，甲方将乙方作为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color w:val="auto"/>
          <w:spacing w:val="-5"/>
          <w:highlight w:val="none"/>
        </w:rPr>
        <w:t>项目成交供应商。依照《中华人民共和国合同法》、</w:t>
      </w:r>
      <w:r>
        <w:rPr>
          <w:color w:val="auto"/>
          <w:spacing w:val="-7"/>
          <w:highlight w:val="none"/>
        </w:rPr>
        <w:t xml:space="preserve">《政府采购竞争性磋商采购方式管理暂行办法》，遵循平等、自愿、公平和诚信的原则， </w:t>
      </w:r>
      <w:r>
        <w:rPr>
          <w:color w:val="auto"/>
          <w:highlight w:val="none"/>
        </w:rPr>
        <w:t>经甲乙双方协商一致，签订如下协议</w:t>
      </w:r>
    </w:p>
    <w:p w14:paraId="58397876">
      <w:pPr>
        <w:pStyle w:val="5"/>
        <w:keepNext w:val="0"/>
        <w:keepLines w:val="0"/>
        <w:pageBreakBefore w:val="0"/>
        <w:numPr>
          <w:ilvl w:val="0"/>
          <w:numId w:val="14"/>
        </w:numPr>
        <w:tabs>
          <w:tab w:val="left" w:pos="1045"/>
        </w:tabs>
        <w:kinsoku/>
        <w:wordWrap w:val="0"/>
        <w:overflowPunct/>
        <w:topLinePunct w:val="0"/>
        <w:bidi w:val="0"/>
        <w:spacing w:before="94"/>
        <w:rPr>
          <w:color w:val="auto"/>
          <w:highlight w:val="none"/>
        </w:rPr>
      </w:pPr>
      <w:bookmarkStart w:id="239" w:name="_Toc6654_WPSOffice_Level3"/>
      <w:r>
        <w:rPr>
          <w:color w:val="auto"/>
          <w:highlight w:val="none"/>
        </w:rPr>
        <w:t>货物内容</w:t>
      </w:r>
      <w:bookmarkEnd w:id="239"/>
    </w:p>
    <w:p w14:paraId="60FEC926">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货物名称：</w:t>
      </w:r>
    </w:p>
    <w:p w14:paraId="6B0F7274">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型号规格：</w:t>
      </w:r>
    </w:p>
    <w:p w14:paraId="41404DBF">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技术参数：</w:t>
      </w:r>
    </w:p>
    <w:p w14:paraId="449AA2D9">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数量（单位）：</w:t>
      </w:r>
    </w:p>
    <w:p w14:paraId="1B016B70">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0" w:name="_Toc13068_WPSOffice_Level3"/>
      <w:r>
        <w:rPr>
          <w:color w:val="auto"/>
          <w:highlight w:val="none"/>
        </w:rPr>
        <w:t>合同金额</w:t>
      </w:r>
      <w:bookmarkEnd w:id="240"/>
    </w:p>
    <w:p w14:paraId="56A3A96F">
      <w:pPr>
        <w:pStyle w:val="7"/>
        <w:keepNext w:val="0"/>
        <w:keepLines w:val="0"/>
        <w:pageBreakBefore w:val="0"/>
        <w:tabs>
          <w:tab w:val="left" w:pos="5360"/>
          <w:tab w:val="left" w:pos="7040"/>
        </w:tabs>
        <w:kinsoku/>
        <w:wordWrap w:val="0"/>
        <w:overflowPunct/>
        <w:topLinePunct w:val="0"/>
        <w:bidi w:val="0"/>
        <w:spacing w:before="214"/>
        <w:ind w:left="800"/>
        <w:rPr>
          <w:color w:val="auto"/>
          <w:highlight w:val="none"/>
        </w:rPr>
      </w:pPr>
      <w:r>
        <w:rPr>
          <w:color w:val="auto"/>
          <w:highlight w:val="none"/>
        </w:rPr>
        <w:t>本合同金额为人民币（大写）：</w:t>
      </w:r>
      <w:r>
        <w:rPr>
          <w:color w:val="auto"/>
          <w:highlight w:val="none"/>
          <w:u w:val="single"/>
        </w:rPr>
        <w:tab/>
      </w:r>
      <w:r>
        <w:rPr>
          <w:color w:val="auto"/>
          <w:highlight w:val="none"/>
        </w:rPr>
        <w:t>元（￥</w:t>
      </w:r>
      <w:r>
        <w:rPr>
          <w:color w:val="auto"/>
          <w:highlight w:val="none"/>
          <w:u w:val="single"/>
        </w:rPr>
        <w:tab/>
      </w:r>
      <w:r>
        <w:rPr>
          <w:color w:val="auto"/>
          <w:highlight w:val="none"/>
        </w:rPr>
        <w:t>元）。</w:t>
      </w:r>
    </w:p>
    <w:p w14:paraId="27113D1F">
      <w:pPr>
        <w:pStyle w:val="5"/>
        <w:keepNext w:val="0"/>
        <w:keepLines w:val="0"/>
        <w:pageBreakBefore w:val="0"/>
        <w:numPr>
          <w:ilvl w:val="0"/>
          <w:numId w:val="14"/>
        </w:numPr>
        <w:tabs>
          <w:tab w:val="left" w:pos="1045"/>
        </w:tabs>
        <w:kinsoku/>
        <w:wordWrap w:val="0"/>
        <w:overflowPunct/>
        <w:topLinePunct w:val="0"/>
        <w:bidi w:val="0"/>
        <w:spacing w:before="211"/>
        <w:rPr>
          <w:color w:val="auto"/>
          <w:highlight w:val="none"/>
        </w:rPr>
      </w:pPr>
      <w:bookmarkStart w:id="241" w:name="_Toc9443_WPSOffice_Level3"/>
      <w:r>
        <w:rPr>
          <w:color w:val="auto"/>
          <w:highlight w:val="none"/>
        </w:rPr>
        <w:t>技术资料</w:t>
      </w:r>
      <w:bookmarkEnd w:id="241"/>
    </w:p>
    <w:p w14:paraId="212A1B13">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乙方按磋商文件规定的时间向甲方提供使用货物的有关技术资料。</w:t>
      </w:r>
    </w:p>
    <w:p w14:paraId="4E296B62">
      <w:pPr>
        <w:pStyle w:val="19"/>
        <w:keepNext w:val="0"/>
        <w:keepLines w:val="0"/>
        <w:pageBreakBefore w:val="0"/>
        <w:numPr>
          <w:ilvl w:val="1"/>
          <w:numId w:val="14"/>
        </w:numPr>
        <w:tabs>
          <w:tab w:val="left" w:pos="1281"/>
        </w:tabs>
        <w:kinsoku/>
        <w:wordWrap w:val="0"/>
        <w:overflowPunct/>
        <w:topLinePunct w:val="0"/>
        <w:bidi w:val="0"/>
        <w:spacing w:before="213" w:line="405" w:lineRule="auto"/>
        <w:ind w:left="320" w:right="403" w:firstLine="480"/>
        <w:rPr>
          <w:color w:val="auto"/>
          <w:sz w:val="24"/>
          <w:highlight w:val="none"/>
        </w:rPr>
      </w:pPr>
      <w:r>
        <w:rPr>
          <w:color w:val="auto"/>
          <w:spacing w:val="-1"/>
          <w:sz w:val="24"/>
          <w:highlight w:val="none"/>
        </w:rPr>
        <w:t>没有甲方事先书面同意，乙方不得将由甲方提供的有关合同或任何合同条文、</w:t>
      </w:r>
      <w:r>
        <w:rPr>
          <w:color w:val="auto"/>
          <w:sz w:val="24"/>
          <w:highlight w:val="none"/>
        </w:rPr>
        <w:t>规格、计划、样品或资料提供给与履行本合同无关的任何其他人。</w:t>
      </w:r>
    </w:p>
    <w:p w14:paraId="247C44E1">
      <w:pPr>
        <w:pStyle w:val="5"/>
        <w:keepNext w:val="0"/>
        <w:keepLines w:val="0"/>
        <w:pageBreakBefore w:val="0"/>
        <w:numPr>
          <w:ilvl w:val="0"/>
          <w:numId w:val="14"/>
        </w:numPr>
        <w:tabs>
          <w:tab w:val="left" w:pos="1045"/>
        </w:tabs>
        <w:kinsoku/>
        <w:wordWrap w:val="0"/>
        <w:overflowPunct/>
        <w:topLinePunct w:val="0"/>
        <w:bidi w:val="0"/>
        <w:rPr>
          <w:color w:val="auto"/>
          <w:highlight w:val="none"/>
        </w:rPr>
      </w:pPr>
      <w:bookmarkStart w:id="242" w:name="_Toc14925_WPSOffice_Level3"/>
      <w:r>
        <w:rPr>
          <w:color w:val="auto"/>
          <w:highlight w:val="none"/>
        </w:rPr>
        <w:t>知识产权</w:t>
      </w:r>
      <w:bookmarkEnd w:id="242"/>
    </w:p>
    <w:p w14:paraId="1F006503">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乙方保证所提供的货物或其任何一部分均不会侵犯任何第三方的知识产权。</w:t>
      </w:r>
    </w:p>
    <w:p w14:paraId="4E986623">
      <w:pPr>
        <w:pStyle w:val="5"/>
        <w:keepNext w:val="0"/>
        <w:keepLines w:val="0"/>
        <w:pageBreakBefore w:val="0"/>
        <w:numPr>
          <w:ilvl w:val="0"/>
          <w:numId w:val="14"/>
        </w:numPr>
        <w:tabs>
          <w:tab w:val="left" w:pos="1045"/>
        </w:tabs>
        <w:kinsoku/>
        <w:wordWrap w:val="0"/>
        <w:overflowPunct/>
        <w:topLinePunct w:val="0"/>
        <w:bidi w:val="0"/>
        <w:spacing w:before="211"/>
        <w:rPr>
          <w:color w:val="auto"/>
          <w:highlight w:val="none"/>
        </w:rPr>
      </w:pPr>
      <w:bookmarkStart w:id="243" w:name="_Toc4972_WPSOffice_Level3"/>
      <w:r>
        <w:rPr>
          <w:color w:val="auto"/>
          <w:highlight w:val="none"/>
        </w:rPr>
        <w:t>产权担保</w:t>
      </w:r>
      <w:bookmarkEnd w:id="243"/>
    </w:p>
    <w:p w14:paraId="5CD9BA22">
      <w:pPr>
        <w:pStyle w:val="7"/>
        <w:keepNext w:val="0"/>
        <w:keepLines w:val="0"/>
        <w:pageBreakBefore w:val="0"/>
        <w:kinsoku/>
        <w:wordWrap w:val="0"/>
        <w:overflowPunct/>
        <w:topLinePunct w:val="0"/>
        <w:bidi w:val="0"/>
        <w:spacing w:before="214"/>
        <w:ind w:left="800"/>
        <w:rPr>
          <w:color w:val="auto"/>
          <w:highlight w:val="none"/>
        </w:rPr>
      </w:pPr>
      <w:r>
        <w:rPr>
          <w:color w:val="auto"/>
          <w:highlight w:val="none"/>
        </w:rPr>
        <w:t>乙方保证所交付的货物的所有权完全属于乙方且无任何抵押、查封等产权瑕疵。</w:t>
      </w:r>
    </w:p>
    <w:p w14:paraId="6610114E">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4" w:name="_Toc28006_WPSOffice_Level3"/>
      <w:r>
        <w:rPr>
          <w:color w:val="auto"/>
          <w:highlight w:val="none"/>
        </w:rPr>
        <w:t>质量保证金</w:t>
      </w:r>
      <w:bookmarkEnd w:id="244"/>
    </w:p>
    <w:p w14:paraId="265FD830">
      <w:pPr>
        <w:pStyle w:val="19"/>
        <w:keepNext w:val="0"/>
        <w:keepLines w:val="0"/>
        <w:pageBreakBefore w:val="0"/>
        <w:numPr>
          <w:ilvl w:val="1"/>
          <w:numId w:val="14"/>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扣除合同总价的作为质量保证金。</w:t>
      </w:r>
    </w:p>
    <w:p w14:paraId="11BE110A">
      <w:pPr>
        <w:pStyle w:val="19"/>
        <w:keepNext w:val="0"/>
        <w:keepLines w:val="0"/>
        <w:pageBreakBefore w:val="0"/>
        <w:numPr>
          <w:ilvl w:val="1"/>
          <w:numId w:val="14"/>
        </w:numPr>
        <w:tabs>
          <w:tab w:val="left" w:pos="1221"/>
        </w:tabs>
        <w:kinsoku/>
        <w:wordWrap w:val="0"/>
        <w:overflowPunct/>
        <w:topLinePunct w:val="0"/>
        <w:bidi w:val="0"/>
        <w:spacing w:before="213" w:line="405" w:lineRule="auto"/>
        <w:ind w:left="320" w:right="338" w:firstLine="480"/>
        <w:rPr>
          <w:color w:val="auto"/>
          <w:sz w:val="24"/>
          <w:highlight w:val="none"/>
        </w:rPr>
      </w:pPr>
      <w:r>
        <w:rPr>
          <w:color w:val="auto"/>
          <w:spacing w:val="-6"/>
          <w:sz w:val="24"/>
          <w:highlight w:val="none"/>
        </w:rPr>
        <w:t>在质保期内成交供应商提供的货物质量和服务符合合同约定，经验收合格，质保</w:t>
      </w:r>
      <w:r>
        <w:rPr>
          <w:color w:val="auto"/>
          <w:spacing w:val="-15"/>
          <w:sz w:val="24"/>
          <w:highlight w:val="none"/>
        </w:rPr>
        <w:t xml:space="preserve">期满后 </w:t>
      </w:r>
      <w:r>
        <w:rPr>
          <w:color w:val="auto"/>
          <w:sz w:val="24"/>
          <w:highlight w:val="none"/>
        </w:rPr>
        <w:t>10</w:t>
      </w:r>
      <w:r>
        <w:rPr>
          <w:color w:val="auto"/>
          <w:spacing w:val="-8"/>
          <w:sz w:val="24"/>
          <w:highlight w:val="none"/>
        </w:rPr>
        <w:t xml:space="preserve"> 个工作日内该款无息退还。</w:t>
      </w:r>
    </w:p>
    <w:p w14:paraId="19E0FBCA">
      <w:pPr>
        <w:keepNext w:val="0"/>
        <w:keepLines w:val="0"/>
        <w:pageBreakBefore w:val="0"/>
        <w:kinsoku/>
        <w:wordWrap w:val="0"/>
        <w:overflowPunct/>
        <w:topLinePunct w:val="0"/>
        <w:bidi w:val="0"/>
        <w:spacing w:line="405" w:lineRule="auto"/>
        <w:rPr>
          <w:color w:val="auto"/>
          <w:sz w:val="24"/>
          <w:highlight w:val="none"/>
        </w:rPr>
        <w:sectPr>
          <w:pgSz w:w="11910" w:h="16840"/>
          <w:pgMar w:top="1400" w:right="1020" w:bottom="900" w:left="1040" w:header="0" w:footer="640" w:gutter="0"/>
          <w:pgBorders>
            <w:top w:val="none" w:sz="0" w:space="0"/>
            <w:left w:val="none" w:sz="0" w:space="0"/>
            <w:bottom w:val="none" w:sz="0" w:space="0"/>
            <w:right w:val="none" w:sz="0" w:space="0"/>
          </w:pgBorders>
          <w:pgNumType w:fmt="decimal"/>
          <w:cols w:space="720" w:num="1"/>
        </w:sectPr>
      </w:pPr>
    </w:p>
    <w:p w14:paraId="75378D8B">
      <w:pPr>
        <w:pStyle w:val="5"/>
        <w:keepNext w:val="0"/>
        <w:keepLines w:val="0"/>
        <w:pageBreakBefore w:val="0"/>
        <w:numPr>
          <w:ilvl w:val="0"/>
          <w:numId w:val="14"/>
        </w:numPr>
        <w:tabs>
          <w:tab w:val="left" w:pos="1045"/>
        </w:tabs>
        <w:kinsoku/>
        <w:wordWrap w:val="0"/>
        <w:overflowPunct/>
        <w:topLinePunct w:val="0"/>
        <w:bidi w:val="0"/>
        <w:spacing w:before="39"/>
        <w:rPr>
          <w:color w:val="auto"/>
          <w:highlight w:val="none"/>
        </w:rPr>
      </w:pPr>
      <w:bookmarkStart w:id="245" w:name="_Toc23332_WPSOffice_Level3"/>
      <w:r>
        <w:rPr>
          <w:color w:val="auto"/>
          <w:highlight w:val="none"/>
        </w:rPr>
        <w:t>转包或分包</w:t>
      </w:r>
      <w:bookmarkEnd w:id="245"/>
    </w:p>
    <w:p w14:paraId="22B68031">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本合同范围的货物，由乙方直接供应，不得转让他人供应。</w:t>
      </w:r>
    </w:p>
    <w:p w14:paraId="42A1C473">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除非得到甲方的书面同意，乙方不得部分分包给他人供应。</w:t>
      </w:r>
    </w:p>
    <w:p w14:paraId="2FDD1610">
      <w:pPr>
        <w:pStyle w:val="19"/>
        <w:keepNext w:val="0"/>
        <w:keepLines w:val="0"/>
        <w:pageBreakBefore w:val="0"/>
        <w:numPr>
          <w:ilvl w:val="1"/>
          <w:numId w:val="14"/>
        </w:numPr>
        <w:tabs>
          <w:tab w:val="left" w:pos="1221"/>
        </w:tabs>
        <w:kinsoku/>
        <w:wordWrap w:val="0"/>
        <w:overflowPunct/>
        <w:topLinePunct w:val="0"/>
        <w:bidi w:val="0"/>
        <w:spacing w:before="211"/>
        <w:ind w:left="1220" w:hanging="420"/>
        <w:rPr>
          <w:color w:val="auto"/>
          <w:sz w:val="24"/>
          <w:highlight w:val="none"/>
        </w:rPr>
      </w:pPr>
      <w:r>
        <w:rPr>
          <w:color w:val="auto"/>
          <w:sz w:val="24"/>
          <w:highlight w:val="none"/>
        </w:rPr>
        <w:t>如有转让和未经甲方同意的分包行为，甲方有权给予终止合同。</w:t>
      </w:r>
    </w:p>
    <w:p w14:paraId="32EB79E9">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6" w:name="_Toc23515_WPSOffice_Level3"/>
      <w:r>
        <w:rPr>
          <w:color w:val="auto"/>
          <w:highlight w:val="none"/>
        </w:rPr>
        <w:t>交货期、交货方式及交货地点</w:t>
      </w:r>
      <w:bookmarkEnd w:id="246"/>
    </w:p>
    <w:p w14:paraId="561A4507">
      <w:pPr>
        <w:pStyle w:val="19"/>
        <w:keepNext w:val="0"/>
        <w:keepLines w:val="0"/>
        <w:pageBreakBefore w:val="0"/>
        <w:numPr>
          <w:ilvl w:val="1"/>
          <w:numId w:val="14"/>
        </w:numPr>
        <w:tabs>
          <w:tab w:val="left" w:pos="1281"/>
        </w:tabs>
        <w:kinsoku/>
        <w:wordWrap w:val="0"/>
        <w:overflowPunct/>
        <w:topLinePunct w:val="0"/>
        <w:bidi w:val="0"/>
        <w:spacing w:before="214"/>
        <w:rPr>
          <w:color w:val="auto"/>
          <w:sz w:val="24"/>
          <w:highlight w:val="none"/>
        </w:rPr>
      </w:pPr>
      <w:r>
        <w:rPr>
          <w:color w:val="auto"/>
          <w:sz w:val="24"/>
          <w:highlight w:val="none"/>
        </w:rPr>
        <w:t>交货期：</w:t>
      </w:r>
    </w:p>
    <w:p w14:paraId="4C7C46B0">
      <w:pPr>
        <w:pStyle w:val="19"/>
        <w:keepNext w:val="0"/>
        <w:keepLines w:val="0"/>
        <w:pageBreakBefore w:val="0"/>
        <w:numPr>
          <w:ilvl w:val="1"/>
          <w:numId w:val="14"/>
        </w:numPr>
        <w:tabs>
          <w:tab w:val="left" w:pos="1281"/>
        </w:tabs>
        <w:kinsoku/>
        <w:wordWrap w:val="0"/>
        <w:overflowPunct/>
        <w:topLinePunct w:val="0"/>
        <w:bidi w:val="0"/>
        <w:spacing w:before="211"/>
        <w:rPr>
          <w:color w:val="auto"/>
          <w:sz w:val="24"/>
          <w:highlight w:val="none"/>
        </w:rPr>
      </w:pPr>
      <w:r>
        <w:rPr>
          <w:color w:val="auto"/>
          <w:sz w:val="24"/>
          <w:highlight w:val="none"/>
        </w:rPr>
        <w:t>交货方式：</w:t>
      </w:r>
    </w:p>
    <w:p w14:paraId="0118ED4B">
      <w:pPr>
        <w:pStyle w:val="19"/>
        <w:keepNext w:val="0"/>
        <w:keepLines w:val="0"/>
        <w:pageBreakBefore w:val="0"/>
        <w:numPr>
          <w:ilvl w:val="1"/>
          <w:numId w:val="14"/>
        </w:numPr>
        <w:tabs>
          <w:tab w:val="left" w:pos="1281"/>
        </w:tabs>
        <w:kinsoku/>
        <w:wordWrap w:val="0"/>
        <w:overflowPunct/>
        <w:topLinePunct w:val="0"/>
        <w:bidi w:val="0"/>
        <w:spacing w:before="213"/>
        <w:rPr>
          <w:color w:val="auto"/>
          <w:sz w:val="24"/>
          <w:highlight w:val="none"/>
        </w:rPr>
      </w:pPr>
      <w:r>
        <w:rPr>
          <w:color w:val="auto"/>
          <w:sz w:val="24"/>
          <w:highlight w:val="none"/>
        </w:rPr>
        <w:t>交货地点：</w:t>
      </w:r>
    </w:p>
    <w:p w14:paraId="71088517">
      <w:pPr>
        <w:pStyle w:val="5"/>
        <w:keepNext w:val="0"/>
        <w:keepLines w:val="0"/>
        <w:pageBreakBefore w:val="0"/>
        <w:numPr>
          <w:ilvl w:val="0"/>
          <w:numId w:val="14"/>
        </w:numPr>
        <w:tabs>
          <w:tab w:val="left" w:pos="1045"/>
        </w:tabs>
        <w:kinsoku/>
        <w:wordWrap w:val="0"/>
        <w:overflowPunct/>
        <w:topLinePunct w:val="0"/>
        <w:bidi w:val="0"/>
        <w:spacing w:before="213"/>
        <w:rPr>
          <w:color w:val="auto"/>
          <w:highlight w:val="none"/>
        </w:rPr>
      </w:pPr>
      <w:bookmarkStart w:id="247" w:name="_Toc1300_WPSOffice_Level3"/>
      <w:r>
        <w:rPr>
          <w:color w:val="auto"/>
          <w:highlight w:val="none"/>
        </w:rPr>
        <w:t>货款支付：双方协商。</w:t>
      </w:r>
      <w:bookmarkEnd w:id="247"/>
    </w:p>
    <w:p w14:paraId="73FCDB27">
      <w:pPr>
        <w:pStyle w:val="5"/>
        <w:keepNext w:val="0"/>
        <w:keepLines w:val="0"/>
        <w:pageBreakBefore w:val="0"/>
        <w:numPr>
          <w:ilvl w:val="0"/>
          <w:numId w:val="14"/>
        </w:numPr>
        <w:tabs>
          <w:tab w:val="left" w:pos="1165"/>
        </w:tabs>
        <w:kinsoku/>
        <w:wordWrap w:val="0"/>
        <w:overflowPunct/>
        <w:topLinePunct w:val="0"/>
        <w:bidi w:val="0"/>
        <w:spacing w:before="211"/>
        <w:ind w:left="1164" w:hanging="364"/>
        <w:rPr>
          <w:color w:val="auto"/>
          <w:highlight w:val="none"/>
        </w:rPr>
      </w:pPr>
      <w:bookmarkStart w:id="248" w:name="_Toc11198_WPSOffice_Level3"/>
      <w:r>
        <w:rPr>
          <w:color w:val="auto"/>
          <w:highlight w:val="none"/>
        </w:rPr>
        <w:t>税费</w:t>
      </w:r>
      <w:bookmarkEnd w:id="248"/>
    </w:p>
    <w:p w14:paraId="4D37C0B4">
      <w:pPr>
        <w:pStyle w:val="7"/>
        <w:keepNext w:val="0"/>
        <w:keepLines w:val="0"/>
        <w:pageBreakBefore w:val="0"/>
        <w:kinsoku/>
        <w:wordWrap w:val="0"/>
        <w:overflowPunct/>
        <w:topLinePunct w:val="0"/>
        <w:bidi w:val="0"/>
        <w:spacing w:before="213"/>
        <w:ind w:left="800"/>
        <w:rPr>
          <w:color w:val="auto"/>
          <w:highlight w:val="none"/>
        </w:rPr>
      </w:pPr>
      <w:r>
        <w:rPr>
          <w:color w:val="auto"/>
          <w:highlight w:val="none"/>
        </w:rPr>
        <w:t>本合同执行中相关的一切税费均由乙方负担。</w:t>
      </w:r>
    </w:p>
    <w:p w14:paraId="58463165">
      <w:pPr>
        <w:pStyle w:val="5"/>
        <w:keepNext w:val="0"/>
        <w:keepLines w:val="0"/>
        <w:pageBreakBefore w:val="0"/>
        <w:numPr>
          <w:ilvl w:val="0"/>
          <w:numId w:val="14"/>
        </w:numPr>
        <w:tabs>
          <w:tab w:val="left" w:pos="1165"/>
        </w:tabs>
        <w:kinsoku/>
        <w:wordWrap w:val="0"/>
        <w:overflowPunct/>
        <w:topLinePunct w:val="0"/>
        <w:bidi w:val="0"/>
        <w:spacing w:before="214"/>
        <w:ind w:left="1164" w:hanging="364"/>
        <w:rPr>
          <w:color w:val="auto"/>
          <w:highlight w:val="none"/>
        </w:rPr>
      </w:pPr>
      <w:bookmarkStart w:id="249" w:name="_Toc9072_WPSOffice_Level3"/>
      <w:r>
        <w:rPr>
          <w:color w:val="auto"/>
          <w:highlight w:val="none"/>
        </w:rPr>
        <w:t>货物包装、发运及运输</w:t>
      </w:r>
      <w:bookmarkEnd w:id="249"/>
    </w:p>
    <w:p w14:paraId="45EB2BB2">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5"/>
          <w:sz w:val="24"/>
          <w:highlight w:val="none"/>
        </w:rPr>
        <w:t>乙方在货物发运前对其进行满足运输距离、防潮、防震、防锈和防破损装卸等</w:t>
      </w:r>
      <w:r>
        <w:rPr>
          <w:color w:val="auto"/>
          <w:sz w:val="24"/>
          <w:highlight w:val="none"/>
        </w:rPr>
        <w:t>要求包装，以保证货物安全运达甲方指定地点。</w:t>
      </w:r>
    </w:p>
    <w:p w14:paraId="46AD30CF">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使用说明书、质量检验证明书、随配附件和工具以及清单一并附于货物内。</w:t>
      </w:r>
    </w:p>
    <w:p w14:paraId="29423382">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4"/>
          <w:sz w:val="24"/>
          <w:highlight w:val="none"/>
        </w:rPr>
        <w:t xml:space="preserve">乙方在货物发运手续办理完毕后 </w:t>
      </w:r>
      <w:r>
        <w:rPr>
          <w:color w:val="auto"/>
          <w:sz w:val="24"/>
          <w:highlight w:val="none"/>
        </w:rPr>
        <w:t>24</w:t>
      </w:r>
      <w:r>
        <w:rPr>
          <w:color w:val="auto"/>
          <w:spacing w:val="-14"/>
          <w:sz w:val="24"/>
          <w:highlight w:val="none"/>
        </w:rPr>
        <w:t xml:space="preserve"> 小时内或货到甲方 </w:t>
      </w:r>
      <w:r>
        <w:rPr>
          <w:color w:val="auto"/>
          <w:sz w:val="24"/>
          <w:highlight w:val="none"/>
        </w:rPr>
        <w:t>48</w:t>
      </w:r>
      <w:r>
        <w:rPr>
          <w:color w:val="auto"/>
          <w:spacing w:val="-15"/>
          <w:sz w:val="24"/>
          <w:highlight w:val="none"/>
        </w:rPr>
        <w:t xml:space="preserve"> 小时前通知甲方，以</w:t>
      </w:r>
      <w:r>
        <w:rPr>
          <w:color w:val="auto"/>
          <w:sz w:val="24"/>
          <w:highlight w:val="none"/>
        </w:rPr>
        <w:t>准备接货。</w:t>
      </w:r>
    </w:p>
    <w:p w14:paraId="11874D0D">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z w:val="24"/>
          <w:highlight w:val="none"/>
        </w:rPr>
        <w:t>货物在交付甲方前发生的风险均由乙方负责。</w:t>
      </w:r>
    </w:p>
    <w:p w14:paraId="1DB3AD1A">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3"/>
          <w:sz w:val="24"/>
          <w:highlight w:val="none"/>
        </w:rPr>
        <w:t>货物在规定的交付期限内由乙方送达甲方指定的地点视为交付，乙方同时需通</w:t>
      </w:r>
      <w:r>
        <w:rPr>
          <w:color w:val="auto"/>
          <w:sz w:val="24"/>
          <w:highlight w:val="none"/>
        </w:rPr>
        <w:t>知甲方货物已送达。</w:t>
      </w:r>
    </w:p>
    <w:p w14:paraId="6C3C45B2">
      <w:pPr>
        <w:pStyle w:val="5"/>
        <w:keepNext w:val="0"/>
        <w:keepLines w:val="0"/>
        <w:pageBreakBefore w:val="0"/>
        <w:numPr>
          <w:ilvl w:val="0"/>
          <w:numId w:val="14"/>
        </w:numPr>
        <w:tabs>
          <w:tab w:val="left" w:pos="1165"/>
        </w:tabs>
        <w:kinsoku/>
        <w:wordWrap w:val="0"/>
        <w:overflowPunct/>
        <w:topLinePunct w:val="0"/>
        <w:bidi w:val="0"/>
        <w:spacing w:before="2"/>
        <w:ind w:left="1164" w:hanging="364"/>
        <w:rPr>
          <w:color w:val="auto"/>
          <w:highlight w:val="none"/>
        </w:rPr>
      </w:pPr>
      <w:bookmarkStart w:id="250" w:name="_Toc16694_WPSOffice_Level3"/>
      <w:r>
        <w:rPr>
          <w:color w:val="auto"/>
          <w:highlight w:val="none"/>
        </w:rPr>
        <w:t>质量保证及售后服务</w:t>
      </w:r>
      <w:bookmarkEnd w:id="250"/>
    </w:p>
    <w:p w14:paraId="1024A4D2">
      <w:pPr>
        <w:pStyle w:val="19"/>
        <w:keepNext w:val="0"/>
        <w:keepLines w:val="0"/>
        <w:pageBreakBefore w:val="0"/>
        <w:numPr>
          <w:ilvl w:val="1"/>
          <w:numId w:val="14"/>
        </w:numPr>
        <w:tabs>
          <w:tab w:val="left" w:pos="1401"/>
        </w:tabs>
        <w:kinsoku/>
        <w:wordWrap w:val="0"/>
        <w:overflowPunct/>
        <w:topLinePunct w:val="0"/>
        <w:bidi w:val="0"/>
        <w:spacing w:before="211" w:line="405" w:lineRule="auto"/>
        <w:ind w:left="320" w:right="338" w:firstLine="480"/>
        <w:rPr>
          <w:color w:val="auto"/>
          <w:sz w:val="24"/>
          <w:highlight w:val="none"/>
        </w:rPr>
      </w:pPr>
      <w:r>
        <w:rPr>
          <w:color w:val="auto"/>
          <w:spacing w:val="-6"/>
          <w:sz w:val="24"/>
          <w:highlight w:val="none"/>
        </w:rPr>
        <w:t>乙方提供的货物是全新、未使用过的，并完全符合强制性的国家技术质量规范</w:t>
      </w:r>
      <w:r>
        <w:rPr>
          <w:color w:val="auto"/>
          <w:sz w:val="24"/>
          <w:highlight w:val="none"/>
        </w:rPr>
        <w:t>和磋商文件规定的质量、规格、性能和技术规范等的要求。</w:t>
      </w:r>
    </w:p>
    <w:p w14:paraId="7E92C64D">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6"/>
          <w:sz w:val="24"/>
          <w:highlight w:val="none"/>
        </w:rPr>
        <w:t>乙方提供的货物经正确安装、正常运转和保养，在其使用寿命期内须具有符合</w:t>
      </w:r>
      <w:r>
        <w:rPr>
          <w:color w:val="auto"/>
          <w:sz w:val="24"/>
          <w:highlight w:val="none"/>
        </w:rPr>
        <w:t>质量要求和产品说明书的性能。在货物质量保证期之内，乙方须对由于设计、工艺或材料的缺陷而发生的任何不足或故障负责。</w:t>
      </w:r>
    </w:p>
    <w:p w14:paraId="5E353E26">
      <w:pPr>
        <w:keepNext w:val="0"/>
        <w:keepLines w:val="0"/>
        <w:pageBreakBefore w:val="0"/>
        <w:kinsoku/>
        <w:wordWrap w:val="0"/>
        <w:overflowPunct/>
        <w:topLinePunct w:val="0"/>
        <w:bidi w:val="0"/>
        <w:spacing w:line="405" w:lineRule="auto"/>
        <w:jc w:val="both"/>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68FD53FF">
      <w:pPr>
        <w:pStyle w:val="19"/>
        <w:keepNext w:val="0"/>
        <w:keepLines w:val="0"/>
        <w:pageBreakBefore w:val="0"/>
        <w:numPr>
          <w:ilvl w:val="1"/>
          <w:numId w:val="14"/>
        </w:numPr>
        <w:tabs>
          <w:tab w:val="left" w:pos="1341"/>
        </w:tabs>
        <w:kinsoku/>
        <w:wordWrap w:val="0"/>
        <w:overflowPunct/>
        <w:topLinePunct w:val="0"/>
        <w:bidi w:val="0"/>
        <w:spacing w:before="39" w:line="405" w:lineRule="auto"/>
        <w:ind w:left="320" w:right="343" w:firstLine="480"/>
        <w:jc w:val="both"/>
        <w:rPr>
          <w:rFonts w:ascii="Times New Roman" w:eastAsia="Times New Roman"/>
          <w:color w:val="auto"/>
          <w:sz w:val="24"/>
          <w:highlight w:val="none"/>
        </w:rPr>
      </w:pPr>
      <w:r>
        <w:rPr>
          <w:color w:val="auto"/>
          <w:spacing w:val="-1"/>
          <w:sz w:val="24"/>
          <w:highlight w:val="none"/>
        </w:rPr>
        <w:t xml:space="preserve">根据甲方按检验标准自己检验结果或委托有资质的相关质检机构的检验结果， </w:t>
      </w:r>
      <w:r>
        <w:rPr>
          <w:color w:val="auto"/>
          <w:sz w:val="24"/>
          <w:highlight w:val="none"/>
        </w:rPr>
        <w:t>发现货物的数量、质量、规格与合同不符；或者在质量保证期内，证实货物存在缺陷， 包括潜在的缺陷或使用不符合要求的材料等，甲方应尽快以书面形式通知乙方。乙方在收到通知后 日内应免费维修或更换有缺陷的货物或部件。如果乙方在收到通知后</w:t>
      </w:r>
    </w:p>
    <w:p w14:paraId="15C32D0E">
      <w:pPr>
        <w:pStyle w:val="7"/>
        <w:keepNext w:val="0"/>
        <w:keepLines w:val="0"/>
        <w:pageBreakBefore w:val="0"/>
        <w:kinsoku/>
        <w:wordWrap w:val="0"/>
        <w:overflowPunct/>
        <w:topLinePunct w:val="0"/>
        <w:bidi w:val="0"/>
        <w:spacing w:before="2" w:line="405" w:lineRule="auto"/>
        <w:ind w:right="403"/>
        <w:rPr>
          <w:color w:val="auto"/>
          <w:highlight w:val="none"/>
        </w:rPr>
      </w:pPr>
      <w:r>
        <w:rPr>
          <w:color w:val="auto"/>
          <w:highlight w:val="none"/>
        </w:rPr>
        <w:t>日内没有弥补缺陷，甲方可采取必要的补救措施，但由此引发的风险和费用将由乙方承担。</w:t>
      </w:r>
    </w:p>
    <w:p w14:paraId="50D7F88F">
      <w:pPr>
        <w:pStyle w:val="19"/>
        <w:keepNext w:val="0"/>
        <w:keepLines w:val="0"/>
        <w:pageBreakBefore w:val="0"/>
        <w:numPr>
          <w:ilvl w:val="1"/>
          <w:numId w:val="14"/>
        </w:numPr>
        <w:tabs>
          <w:tab w:val="left" w:pos="1341"/>
          <w:tab w:val="left" w:pos="7340"/>
        </w:tabs>
        <w:kinsoku/>
        <w:wordWrap w:val="0"/>
        <w:overflowPunct/>
        <w:topLinePunct w:val="0"/>
        <w:bidi w:val="0"/>
        <w:spacing w:line="405" w:lineRule="auto"/>
        <w:ind w:left="320" w:right="218" w:firstLine="480"/>
        <w:rPr>
          <w:color w:val="auto"/>
          <w:sz w:val="24"/>
          <w:highlight w:val="none"/>
        </w:rPr>
      </w:pPr>
      <w:r>
        <w:rPr>
          <w:color w:val="auto"/>
          <w:sz w:val="24"/>
          <w:highlight w:val="none"/>
        </w:rPr>
        <w:t>合同项下货物的质量保证期为自货物通过最终验收起个</w:t>
      </w:r>
      <w:r>
        <w:rPr>
          <w:color w:val="auto"/>
          <w:sz w:val="24"/>
          <w:highlight w:val="none"/>
        </w:rPr>
        <w:tab/>
      </w:r>
      <w:r>
        <w:rPr>
          <w:color w:val="auto"/>
          <w:sz w:val="24"/>
          <w:highlight w:val="none"/>
        </w:rPr>
        <w:t>月，在质保期内，因人为因素出现故障外</w:t>
      </w:r>
      <w:r>
        <w:rPr>
          <w:color w:val="auto"/>
          <w:spacing w:val="-56"/>
          <w:sz w:val="24"/>
          <w:highlight w:val="none"/>
        </w:rPr>
        <w:t>，</w:t>
      </w:r>
      <w:r>
        <w:rPr>
          <w:color w:val="auto"/>
          <w:sz w:val="24"/>
          <w:highlight w:val="none"/>
        </w:rPr>
        <w:t>乙方对货物出现的质量及安全问题负责处理解决并承担一切费用</w:t>
      </w:r>
      <w:r>
        <w:rPr>
          <w:color w:val="auto"/>
          <w:spacing w:val="-16"/>
          <w:sz w:val="24"/>
          <w:highlight w:val="none"/>
        </w:rPr>
        <w:t>。</w:t>
      </w:r>
    </w:p>
    <w:p w14:paraId="2DEB91B9">
      <w:pPr>
        <w:pStyle w:val="19"/>
        <w:keepNext w:val="0"/>
        <w:keepLines w:val="0"/>
        <w:pageBreakBefore w:val="0"/>
        <w:numPr>
          <w:ilvl w:val="1"/>
          <w:numId w:val="14"/>
        </w:numPr>
        <w:tabs>
          <w:tab w:val="left" w:pos="1341"/>
        </w:tabs>
        <w:kinsoku/>
        <w:wordWrap w:val="0"/>
        <w:overflowPunct/>
        <w:topLinePunct w:val="0"/>
        <w:bidi w:val="0"/>
        <w:spacing w:before="2" w:line="405" w:lineRule="auto"/>
        <w:ind w:left="320" w:right="343" w:firstLine="480"/>
        <w:rPr>
          <w:color w:val="auto"/>
          <w:sz w:val="24"/>
          <w:highlight w:val="none"/>
        </w:rPr>
      </w:pPr>
      <w:r>
        <w:rPr>
          <w:color w:val="auto"/>
          <w:spacing w:val="-1"/>
          <w:sz w:val="24"/>
          <w:highlight w:val="none"/>
        </w:rPr>
        <w:t>合同项下货物免费保修期为质量保证期满后个月，因人为因素出现的故障不在</w:t>
      </w:r>
      <w:r>
        <w:rPr>
          <w:color w:val="auto"/>
          <w:sz w:val="24"/>
          <w:highlight w:val="none"/>
        </w:rPr>
        <w:t>免费保修范围内。对超过保修期的货物终生维修，维修时只收部件成本费。</w:t>
      </w:r>
    </w:p>
    <w:p w14:paraId="72F2E9FF">
      <w:pPr>
        <w:pStyle w:val="19"/>
        <w:keepNext w:val="0"/>
        <w:keepLines w:val="0"/>
        <w:pageBreakBefore w:val="0"/>
        <w:numPr>
          <w:ilvl w:val="1"/>
          <w:numId w:val="14"/>
        </w:numPr>
        <w:tabs>
          <w:tab w:val="left" w:pos="1341"/>
        </w:tabs>
        <w:kinsoku/>
        <w:wordWrap w:val="0"/>
        <w:overflowPunct/>
        <w:topLinePunct w:val="0"/>
        <w:bidi w:val="0"/>
        <w:spacing w:line="405" w:lineRule="auto"/>
        <w:ind w:left="560" w:right="343" w:firstLine="240"/>
        <w:rPr>
          <w:color w:val="auto"/>
          <w:sz w:val="24"/>
          <w:highlight w:val="none"/>
        </w:rPr>
      </w:pPr>
      <w:r>
        <w:rPr>
          <w:color w:val="auto"/>
          <w:spacing w:val="-1"/>
          <w:sz w:val="24"/>
          <w:highlight w:val="none"/>
        </w:rPr>
        <w:t>在使用过程中发生故障，乙方在接到甲方通知后在小时内到达甲方现场，小时</w:t>
      </w:r>
      <w:r>
        <w:rPr>
          <w:color w:val="auto"/>
          <w:sz w:val="24"/>
          <w:highlight w:val="none"/>
        </w:rPr>
        <w:t>内解除故障。</w:t>
      </w:r>
    </w:p>
    <w:p w14:paraId="5AD6653E">
      <w:pPr>
        <w:pStyle w:val="5"/>
        <w:keepNext w:val="0"/>
        <w:keepLines w:val="0"/>
        <w:pageBreakBefore w:val="0"/>
        <w:numPr>
          <w:ilvl w:val="0"/>
          <w:numId w:val="14"/>
        </w:numPr>
        <w:tabs>
          <w:tab w:val="left" w:pos="1165"/>
        </w:tabs>
        <w:kinsoku/>
        <w:wordWrap w:val="0"/>
        <w:overflowPunct/>
        <w:topLinePunct w:val="0"/>
        <w:bidi w:val="0"/>
        <w:ind w:left="1164" w:hanging="364"/>
        <w:rPr>
          <w:color w:val="auto"/>
          <w:highlight w:val="none"/>
        </w:rPr>
      </w:pPr>
      <w:bookmarkStart w:id="251" w:name="_Toc16767_WPSOffice_Level3"/>
      <w:r>
        <w:rPr>
          <w:color w:val="auto"/>
          <w:highlight w:val="none"/>
        </w:rPr>
        <w:t>调试和验收</w:t>
      </w:r>
      <w:bookmarkEnd w:id="251"/>
    </w:p>
    <w:p w14:paraId="2DA61F40">
      <w:pPr>
        <w:pStyle w:val="19"/>
        <w:keepNext w:val="0"/>
        <w:keepLines w:val="0"/>
        <w:pageBreakBefore w:val="0"/>
        <w:numPr>
          <w:ilvl w:val="1"/>
          <w:numId w:val="14"/>
        </w:numPr>
        <w:tabs>
          <w:tab w:val="left" w:pos="1341"/>
        </w:tabs>
        <w:kinsoku/>
        <w:wordWrap w:val="0"/>
        <w:overflowPunct/>
        <w:topLinePunct w:val="0"/>
        <w:bidi w:val="0"/>
        <w:spacing w:before="213" w:line="405" w:lineRule="auto"/>
        <w:ind w:left="320" w:right="343" w:firstLine="480"/>
        <w:rPr>
          <w:color w:val="auto"/>
          <w:sz w:val="24"/>
          <w:highlight w:val="none"/>
        </w:rPr>
      </w:pPr>
      <w:r>
        <w:rPr>
          <w:color w:val="auto"/>
          <w:spacing w:val="-1"/>
          <w:sz w:val="24"/>
          <w:highlight w:val="none"/>
        </w:rPr>
        <w:t>乙方交货前对产品做出全面检查和对验收文件进行整理，并列出清单，作为甲</w:t>
      </w:r>
      <w:r>
        <w:rPr>
          <w:color w:val="auto"/>
          <w:sz w:val="24"/>
          <w:highlight w:val="none"/>
        </w:rPr>
        <w:t>方收货验收和使用的技术条件依据，检验的结果应随货物交甲方。</w:t>
      </w:r>
    </w:p>
    <w:p w14:paraId="597809F3">
      <w:pPr>
        <w:pStyle w:val="19"/>
        <w:keepNext w:val="0"/>
        <w:keepLines w:val="0"/>
        <w:pageBreakBefore w:val="0"/>
        <w:numPr>
          <w:ilvl w:val="1"/>
          <w:numId w:val="14"/>
        </w:numPr>
        <w:tabs>
          <w:tab w:val="left" w:pos="1341"/>
        </w:tabs>
        <w:kinsoku/>
        <w:wordWrap w:val="0"/>
        <w:overflowPunct/>
        <w:topLinePunct w:val="0"/>
        <w:bidi w:val="0"/>
        <w:ind w:left="1340" w:hanging="540"/>
        <w:rPr>
          <w:color w:val="auto"/>
          <w:sz w:val="24"/>
          <w:highlight w:val="none"/>
        </w:rPr>
      </w:pPr>
      <w:r>
        <w:rPr>
          <w:color w:val="auto"/>
          <w:sz w:val="24"/>
          <w:highlight w:val="none"/>
        </w:rPr>
        <w:t>货物运抵现场后，甲方依据磋商文件上的技术规格要求和国家有关质量标准在</w:t>
      </w:r>
    </w:p>
    <w:p w14:paraId="5E715D75">
      <w:pPr>
        <w:pStyle w:val="19"/>
        <w:keepNext w:val="0"/>
        <w:keepLines w:val="0"/>
        <w:pageBreakBefore w:val="0"/>
        <w:numPr>
          <w:ilvl w:val="0"/>
          <w:numId w:val="15"/>
        </w:numPr>
        <w:tabs>
          <w:tab w:val="left" w:pos="501"/>
        </w:tabs>
        <w:kinsoku/>
        <w:wordWrap w:val="0"/>
        <w:overflowPunct/>
        <w:topLinePunct w:val="0"/>
        <w:bidi w:val="0"/>
        <w:spacing w:before="213" w:line="405" w:lineRule="auto"/>
        <w:ind w:right="338" w:firstLine="0"/>
        <w:jc w:val="left"/>
        <w:rPr>
          <w:color w:val="auto"/>
          <w:sz w:val="24"/>
          <w:highlight w:val="none"/>
        </w:rPr>
      </w:pPr>
      <w:r>
        <w:rPr>
          <w:color w:val="auto"/>
          <w:spacing w:val="-9"/>
          <w:sz w:val="24"/>
          <w:highlight w:val="none"/>
        </w:rPr>
        <w:t>个工作日内组织初步验收，并制作验收备忘录，签署验收意见。初步验收不合格的不予</w:t>
      </w:r>
      <w:r>
        <w:rPr>
          <w:color w:val="auto"/>
          <w:sz w:val="24"/>
          <w:highlight w:val="none"/>
        </w:rPr>
        <w:t>签收。</w:t>
      </w:r>
    </w:p>
    <w:p w14:paraId="3E4A00CA">
      <w:pPr>
        <w:pStyle w:val="19"/>
        <w:keepNext w:val="0"/>
        <w:keepLines w:val="0"/>
        <w:pageBreakBefore w:val="0"/>
        <w:numPr>
          <w:ilvl w:val="1"/>
          <w:numId w:val="14"/>
        </w:numPr>
        <w:tabs>
          <w:tab w:val="left" w:pos="1401"/>
        </w:tabs>
        <w:kinsoku/>
        <w:wordWrap w:val="0"/>
        <w:overflowPunct/>
        <w:topLinePunct w:val="0"/>
        <w:bidi w:val="0"/>
        <w:spacing w:line="405" w:lineRule="auto"/>
        <w:ind w:left="320" w:right="338" w:firstLine="480"/>
        <w:jc w:val="both"/>
        <w:rPr>
          <w:color w:val="auto"/>
          <w:sz w:val="24"/>
          <w:highlight w:val="none"/>
        </w:rPr>
      </w:pPr>
      <w:r>
        <w:rPr>
          <w:color w:val="auto"/>
          <w:spacing w:val="-4"/>
          <w:sz w:val="24"/>
          <w:highlight w:val="none"/>
        </w:rPr>
        <w:t>甲方对乙方提供的货物在使用前进行调试时，乙方负责安装并培训甲方的使用</w:t>
      </w:r>
      <w:r>
        <w:rPr>
          <w:color w:val="auto"/>
          <w:sz w:val="24"/>
          <w:highlight w:val="none"/>
        </w:rPr>
        <w:t>操作人员，并协助甲方一起调试，直到符合技术要求，甲方才做最终验收并签署验收意见。</w:t>
      </w:r>
    </w:p>
    <w:p w14:paraId="428D30CD">
      <w:pPr>
        <w:pStyle w:val="19"/>
        <w:keepNext w:val="0"/>
        <w:keepLines w:val="0"/>
        <w:pageBreakBefore w:val="0"/>
        <w:numPr>
          <w:ilvl w:val="1"/>
          <w:numId w:val="14"/>
        </w:numPr>
        <w:tabs>
          <w:tab w:val="left" w:pos="1401"/>
        </w:tabs>
        <w:kinsoku/>
        <w:wordWrap w:val="0"/>
        <w:overflowPunct/>
        <w:topLinePunct w:val="0"/>
        <w:bidi w:val="0"/>
        <w:spacing w:before="1" w:line="405" w:lineRule="auto"/>
        <w:ind w:left="320" w:right="338" w:firstLine="480"/>
        <w:rPr>
          <w:color w:val="auto"/>
          <w:sz w:val="24"/>
          <w:highlight w:val="none"/>
        </w:rPr>
      </w:pPr>
      <w:r>
        <w:rPr>
          <w:color w:val="auto"/>
          <w:spacing w:val="-6"/>
          <w:sz w:val="24"/>
          <w:highlight w:val="none"/>
        </w:rPr>
        <w:t>对大型或技术复杂的货物，甲方应邀请国家认可的专业检测机构参与初步验收</w:t>
      </w:r>
      <w:r>
        <w:rPr>
          <w:color w:val="auto"/>
          <w:sz w:val="24"/>
          <w:highlight w:val="none"/>
        </w:rPr>
        <w:t>及最终验收，并由其出具质量检测报告。</w:t>
      </w:r>
    </w:p>
    <w:p w14:paraId="4DD3C37A">
      <w:pPr>
        <w:pStyle w:val="19"/>
        <w:keepNext w:val="0"/>
        <w:keepLines w:val="0"/>
        <w:pageBreakBefore w:val="0"/>
        <w:numPr>
          <w:ilvl w:val="1"/>
          <w:numId w:val="14"/>
        </w:numPr>
        <w:tabs>
          <w:tab w:val="left" w:pos="1401"/>
        </w:tabs>
        <w:kinsoku/>
        <w:wordWrap w:val="0"/>
        <w:overflowPunct/>
        <w:topLinePunct w:val="0"/>
        <w:bidi w:val="0"/>
        <w:spacing w:before="2"/>
        <w:ind w:left="1400" w:hanging="600"/>
        <w:rPr>
          <w:color w:val="auto"/>
          <w:sz w:val="24"/>
          <w:highlight w:val="none"/>
        </w:rPr>
      </w:pPr>
      <w:r>
        <w:rPr>
          <w:color w:val="auto"/>
          <w:spacing w:val="-13"/>
          <w:sz w:val="24"/>
          <w:highlight w:val="none"/>
        </w:rPr>
        <w:t>验收时乙方必须在现场，验收完毕后作出验收结果报告。验收费用由乙方负责。</w:t>
      </w:r>
    </w:p>
    <w:p w14:paraId="35579280">
      <w:pPr>
        <w:pStyle w:val="5"/>
        <w:keepNext w:val="0"/>
        <w:keepLines w:val="0"/>
        <w:pageBreakBefore w:val="0"/>
        <w:numPr>
          <w:ilvl w:val="0"/>
          <w:numId w:val="14"/>
        </w:numPr>
        <w:tabs>
          <w:tab w:val="left" w:pos="1162"/>
        </w:tabs>
        <w:kinsoku/>
        <w:wordWrap w:val="0"/>
        <w:overflowPunct/>
        <w:topLinePunct w:val="0"/>
        <w:bidi w:val="0"/>
        <w:spacing w:before="211"/>
        <w:ind w:left="1161" w:hanging="363"/>
        <w:rPr>
          <w:color w:val="auto"/>
          <w:highlight w:val="none"/>
        </w:rPr>
      </w:pPr>
      <w:bookmarkStart w:id="252" w:name="_Toc15171_WPSOffice_Level3"/>
      <w:r>
        <w:rPr>
          <w:color w:val="auto"/>
          <w:highlight w:val="none"/>
        </w:rPr>
        <w:t>索赔</w:t>
      </w:r>
      <w:bookmarkEnd w:id="252"/>
    </w:p>
    <w:p w14:paraId="1D185988">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52096569">
      <w:pPr>
        <w:pStyle w:val="19"/>
        <w:keepNext w:val="0"/>
        <w:keepLines w:val="0"/>
        <w:pageBreakBefore w:val="0"/>
        <w:numPr>
          <w:ilvl w:val="1"/>
          <w:numId w:val="14"/>
        </w:numPr>
        <w:tabs>
          <w:tab w:val="left" w:pos="1401"/>
        </w:tabs>
        <w:kinsoku/>
        <w:wordWrap w:val="0"/>
        <w:overflowPunct/>
        <w:topLinePunct w:val="0"/>
        <w:bidi w:val="0"/>
        <w:spacing w:before="39" w:line="405" w:lineRule="auto"/>
        <w:ind w:left="320" w:right="338" w:firstLine="480"/>
        <w:jc w:val="both"/>
        <w:rPr>
          <w:color w:val="auto"/>
          <w:sz w:val="24"/>
          <w:highlight w:val="none"/>
        </w:rPr>
      </w:pPr>
      <w:r>
        <w:rPr>
          <w:color w:val="auto"/>
          <w:spacing w:val="-7"/>
          <w:sz w:val="24"/>
          <w:highlight w:val="none"/>
        </w:rPr>
        <w:t>如果货物的质量、规格、数量等与合同不符，或在质量保证期内证实货物存有</w:t>
      </w:r>
      <w:r>
        <w:rPr>
          <w:color w:val="auto"/>
          <w:sz w:val="24"/>
          <w:highlight w:val="none"/>
        </w:rPr>
        <w:t>缺陷，包括潜在的缺陷或使用不符合要求的材料等，甲方有权根据有资质的权威质检机构的检验结果向乙方提出索赔(但责任应由保险公司或运输部门承担的除外)。</w:t>
      </w:r>
    </w:p>
    <w:p w14:paraId="10E3581C">
      <w:pPr>
        <w:pStyle w:val="19"/>
        <w:keepNext w:val="0"/>
        <w:keepLines w:val="0"/>
        <w:pageBreakBefore w:val="0"/>
        <w:numPr>
          <w:ilvl w:val="1"/>
          <w:numId w:val="14"/>
        </w:numPr>
        <w:tabs>
          <w:tab w:val="left" w:pos="1401"/>
        </w:tabs>
        <w:kinsoku/>
        <w:wordWrap w:val="0"/>
        <w:overflowPunct/>
        <w:topLinePunct w:val="0"/>
        <w:bidi w:val="0"/>
        <w:spacing w:before="1" w:line="405" w:lineRule="auto"/>
        <w:ind w:left="320" w:right="338" w:firstLine="480"/>
        <w:jc w:val="both"/>
        <w:rPr>
          <w:color w:val="auto"/>
          <w:sz w:val="24"/>
          <w:highlight w:val="none"/>
        </w:rPr>
      </w:pPr>
      <w:r>
        <w:rPr>
          <w:color w:val="auto"/>
          <w:spacing w:val="-9"/>
          <w:sz w:val="24"/>
          <w:highlight w:val="none"/>
        </w:rPr>
        <w:t xml:space="preserve">在根据合同第 </w:t>
      </w:r>
      <w:r>
        <w:rPr>
          <w:color w:val="auto"/>
          <w:sz w:val="24"/>
          <w:highlight w:val="none"/>
        </w:rPr>
        <w:t>12</w:t>
      </w:r>
      <w:r>
        <w:rPr>
          <w:color w:val="auto"/>
          <w:spacing w:val="-24"/>
          <w:sz w:val="24"/>
          <w:highlight w:val="none"/>
        </w:rPr>
        <w:t xml:space="preserve"> 条和第 </w:t>
      </w:r>
      <w:r>
        <w:rPr>
          <w:color w:val="auto"/>
          <w:sz w:val="24"/>
          <w:highlight w:val="none"/>
        </w:rPr>
        <w:t>13</w:t>
      </w:r>
      <w:r>
        <w:rPr>
          <w:color w:val="auto"/>
          <w:spacing w:val="-12"/>
          <w:sz w:val="24"/>
          <w:highlight w:val="none"/>
        </w:rPr>
        <w:t xml:space="preserve"> 条规定的检验期和质量保证期内，如果乙方对甲方</w:t>
      </w:r>
      <w:r>
        <w:rPr>
          <w:color w:val="auto"/>
          <w:sz w:val="24"/>
          <w:highlight w:val="none"/>
        </w:rPr>
        <w:t>提出的索赔负有责任，乙方应按照甲方同意的下列一种或多种方式解决索赔事宜：</w:t>
      </w:r>
    </w:p>
    <w:p w14:paraId="343DA3CD">
      <w:pPr>
        <w:pStyle w:val="19"/>
        <w:keepNext w:val="0"/>
        <w:keepLines w:val="0"/>
        <w:pageBreakBefore w:val="0"/>
        <w:numPr>
          <w:ilvl w:val="2"/>
          <w:numId w:val="14"/>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7"/>
          <w:sz w:val="24"/>
          <w:highlight w:val="none"/>
        </w:rPr>
        <w:t>在法定的退货期内，甲方将货物退还给乙方，乙方按合同规定将货款退还给</w:t>
      </w:r>
      <w:r>
        <w:rPr>
          <w:color w:val="auto"/>
          <w:sz w:val="24"/>
          <w:highlight w:val="none"/>
        </w:rPr>
        <w:t>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467089F">
      <w:pPr>
        <w:pStyle w:val="19"/>
        <w:keepNext w:val="0"/>
        <w:keepLines w:val="0"/>
        <w:pageBreakBefore w:val="0"/>
        <w:numPr>
          <w:ilvl w:val="2"/>
          <w:numId w:val="14"/>
        </w:numPr>
        <w:tabs>
          <w:tab w:val="left" w:pos="1641"/>
        </w:tabs>
        <w:kinsoku/>
        <w:wordWrap w:val="0"/>
        <w:overflowPunct/>
        <w:topLinePunct w:val="0"/>
        <w:bidi w:val="0"/>
        <w:spacing w:line="405" w:lineRule="auto"/>
        <w:ind w:right="338" w:firstLine="480"/>
        <w:jc w:val="both"/>
        <w:rPr>
          <w:color w:val="auto"/>
          <w:sz w:val="24"/>
          <w:highlight w:val="none"/>
        </w:rPr>
      </w:pPr>
      <w:r>
        <w:rPr>
          <w:color w:val="auto"/>
          <w:spacing w:val="-6"/>
          <w:sz w:val="24"/>
          <w:highlight w:val="none"/>
        </w:rPr>
        <w:t>根据货物低劣程度、损坏程度以及甲方所遭受损失的数额，经双方商定降低</w:t>
      </w:r>
      <w:r>
        <w:rPr>
          <w:color w:val="auto"/>
          <w:sz w:val="24"/>
          <w:highlight w:val="none"/>
        </w:rPr>
        <w:t>货物的价格，或由有权的部门评估，以降低后的价格或评估价格为准。</w:t>
      </w:r>
    </w:p>
    <w:p w14:paraId="4A44F102">
      <w:pPr>
        <w:pStyle w:val="19"/>
        <w:keepNext w:val="0"/>
        <w:keepLines w:val="0"/>
        <w:pageBreakBefore w:val="0"/>
        <w:numPr>
          <w:ilvl w:val="2"/>
          <w:numId w:val="14"/>
        </w:numPr>
        <w:tabs>
          <w:tab w:val="left" w:pos="1641"/>
        </w:tabs>
        <w:kinsoku/>
        <w:wordWrap w:val="0"/>
        <w:overflowPunct/>
        <w:topLinePunct w:val="0"/>
        <w:bidi w:val="0"/>
        <w:spacing w:before="2" w:line="405" w:lineRule="auto"/>
        <w:ind w:right="338" w:firstLine="480"/>
        <w:jc w:val="both"/>
        <w:rPr>
          <w:color w:val="auto"/>
          <w:sz w:val="24"/>
          <w:highlight w:val="none"/>
        </w:rPr>
      </w:pPr>
      <w:r>
        <w:rPr>
          <w:color w:val="auto"/>
          <w:spacing w:val="-8"/>
          <w:sz w:val="24"/>
          <w:highlight w:val="none"/>
        </w:rPr>
        <w:t>用符合规格、质量和性能要求的新零件、部件或货物来更换有缺陷的部分或</w:t>
      </w:r>
      <w:r>
        <w:rPr>
          <w:color w:val="auto"/>
          <w:sz w:val="24"/>
          <w:highlight w:val="none"/>
        </w:rPr>
        <w:t>修补缺陷部分，乙方承担一切费用和风险并负担甲方所发生的一切直接费用。同时，乙</w:t>
      </w:r>
      <w:r>
        <w:rPr>
          <w:color w:val="auto"/>
          <w:spacing w:val="-9"/>
          <w:sz w:val="24"/>
          <w:highlight w:val="none"/>
        </w:rPr>
        <w:t xml:space="preserve">方应按合同第 </w:t>
      </w:r>
      <w:r>
        <w:rPr>
          <w:color w:val="auto"/>
          <w:sz w:val="24"/>
          <w:highlight w:val="none"/>
        </w:rPr>
        <w:t>12</w:t>
      </w:r>
      <w:r>
        <w:rPr>
          <w:color w:val="auto"/>
          <w:spacing w:val="-8"/>
          <w:sz w:val="24"/>
          <w:highlight w:val="none"/>
        </w:rPr>
        <w:t xml:space="preserve"> 条规定，相应延长修补或更换件的质量保证期。</w:t>
      </w:r>
    </w:p>
    <w:p w14:paraId="53793655">
      <w:pPr>
        <w:pStyle w:val="19"/>
        <w:keepNext w:val="0"/>
        <w:keepLines w:val="0"/>
        <w:pageBreakBefore w:val="0"/>
        <w:numPr>
          <w:ilvl w:val="2"/>
          <w:numId w:val="14"/>
        </w:numPr>
        <w:tabs>
          <w:tab w:val="left" w:pos="1641"/>
        </w:tabs>
        <w:kinsoku/>
        <w:wordWrap w:val="0"/>
        <w:overflowPunct/>
        <w:topLinePunct w:val="0"/>
        <w:bidi w:val="0"/>
        <w:spacing w:before="1" w:line="405" w:lineRule="auto"/>
        <w:ind w:right="338" w:firstLine="480"/>
        <w:jc w:val="both"/>
        <w:rPr>
          <w:color w:val="auto"/>
          <w:sz w:val="24"/>
          <w:highlight w:val="none"/>
        </w:rPr>
      </w:pPr>
      <w:r>
        <w:rPr>
          <w:color w:val="auto"/>
          <w:spacing w:val="-5"/>
          <w:sz w:val="24"/>
          <w:highlight w:val="none"/>
        </w:rPr>
        <w:t>如果在甲方发出索赔通知后日内，乙方未作答复，上述索赔应视为已被乙方</w:t>
      </w:r>
      <w:r>
        <w:rPr>
          <w:color w:val="auto"/>
          <w:sz w:val="24"/>
          <w:highlight w:val="none"/>
        </w:rPr>
        <w:t>接受。如乙方未能在甲方提出索赔通知后日内或买方同意的更长时间内，按照本合同第</w:t>
      </w:r>
    </w:p>
    <w:p w14:paraId="58CD276E">
      <w:pPr>
        <w:pStyle w:val="7"/>
        <w:keepNext w:val="0"/>
        <w:keepLines w:val="0"/>
        <w:pageBreakBefore w:val="0"/>
        <w:kinsoku/>
        <w:wordWrap w:val="0"/>
        <w:overflowPunct/>
        <w:topLinePunct w:val="0"/>
        <w:bidi w:val="0"/>
        <w:spacing w:line="405" w:lineRule="auto"/>
        <w:ind w:right="343"/>
        <w:rPr>
          <w:color w:val="auto"/>
          <w:highlight w:val="none"/>
        </w:rPr>
      </w:pPr>
      <w:r>
        <w:rPr>
          <w:color w:val="auto"/>
          <w:highlight w:val="none"/>
        </w:rPr>
        <w:t>14.2</w:t>
      </w:r>
      <w:r>
        <w:rPr>
          <w:color w:val="auto"/>
          <w:spacing w:val="-9"/>
          <w:highlight w:val="none"/>
        </w:rPr>
        <w:t xml:space="preserve"> 条规定的任何一种方法解决索赔事宜，甲方将从合同款中扣回索赔金额。如果这些</w:t>
      </w:r>
      <w:r>
        <w:rPr>
          <w:color w:val="auto"/>
          <w:highlight w:val="none"/>
        </w:rPr>
        <w:t>金额不足以补偿索赔金额，甲方有权向乙方提出不足部分的补偿。</w:t>
      </w:r>
    </w:p>
    <w:p w14:paraId="7AB4EF83">
      <w:pPr>
        <w:pStyle w:val="5"/>
        <w:keepNext w:val="0"/>
        <w:keepLines w:val="0"/>
        <w:pageBreakBefore w:val="0"/>
        <w:numPr>
          <w:ilvl w:val="0"/>
          <w:numId w:val="14"/>
        </w:numPr>
        <w:tabs>
          <w:tab w:val="left" w:pos="1165"/>
        </w:tabs>
        <w:kinsoku/>
        <w:wordWrap w:val="0"/>
        <w:overflowPunct/>
        <w:topLinePunct w:val="0"/>
        <w:bidi w:val="0"/>
        <w:ind w:left="1164" w:hanging="364"/>
        <w:rPr>
          <w:color w:val="auto"/>
          <w:highlight w:val="none"/>
        </w:rPr>
      </w:pPr>
      <w:bookmarkStart w:id="253" w:name="_Toc1995_WPSOffice_Level3"/>
      <w:r>
        <w:rPr>
          <w:color w:val="auto"/>
          <w:highlight w:val="none"/>
        </w:rPr>
        <w:t>违约责任</w:t>
      </w:r>
      <w:bookmarkEnd w:id="253"/>
    </w:p>
    <w:p w14:paraId="0E964361">
      <w:pPr>
        <w:pStyle w:val="19"/>
        <w:keepNext w:val="0"/>
        <w:keepLines w:val="0"/>
        <w:pageBreakBefore w:val="0"/>
        <w:numPr>
          <w:ilvl w:val="1"/>
          <w:numId w:val="14"/>
        </w:numPr>
        <w:tabs>
          <w:tab w:val="left" w:pos="1401"/>
        </w:tabs>
        <w:kinsoku/>
        <w:wordWrap w:val="0"/>
        <w:overflowPunct/>
        <w:topLinePunct w:val="0"/>
        <w:bidi w:val="0"/>
        <w:spacing w:before="213" w:line="405" w:lineRule="auto"/>
        <w:ind w:left="320" w:right="523" w:firstLine="480"/>
        <w:rPr>
          <w:color w:val="auto"/>
          <w:sz w:val="24"/>
          <w:highlight w:val="none"/>
        </w:rPr>
      </w:pPr>
      <w:r>
        <w:rPr>
          <w:color w:val="auto"/>
          <w:spacing w:val="-1"/>
          <w:sz w:val="24"/>
          <w:highlight w:val="none"/>
        </w:rPr>
        <w:t>甲方无正当理由拒收货物的，甲方向乙方偿付拒收货款总值的百分之五违约</w:t>
      </w:r>
      <w:r>
        <w:rPr>
          <w:color w:val="auto"/>
          <w:sz w:val="24"/>
          <w:highlight w:val="none"/>
        </w:rPr>
        <w:t>金。</w:t>
      </w:r>
    </w:p>
    <w:p w14:paraId="1202B142">
      <w:pPr>
        <w:pStyle w:val="19"/>
        <w:keepNext w:val="0"/>
        <w:keepLines w:val="0"/>
        <w:pageBreakBefore w:val="0"/>
        <w:numPr>
          <w:ilvl w:val="1"/>
          <w:numId w:val="14"/>
        </w:numPr>
        <w:tabs>
          <w:tab w:val="left" w:pos="1401"/>
        </w:tabs>
        <w:kinsoku/>
        <w:wordWrap w:val="0"/>
        <w:overflowPunct/>
        <w:topLinePunct w:val="0"/>
        <w:bidi w:val="0"/>
        <w:spacing w:line="405" w:lineRule="auto"/>
        <w:ind w:left="320" w:right="403" w:firstLine="480"/>
        <w:jc w:val="both"/>
        <w:rPr>
          <w:color w:val="auto"/>
          <w:sz w:val="24"/>
          <w:highlight w:val="none"/>
        </w:rPr>
      </w:pPr>
      <w:r>
        <w:rPr>
          <w:color w:val="auto"/>
          <w:spacing w:val="-1"/>
          <w:sz w:val="24"/>
          <w:highlight w:val="none"/>
        </w:rPr>
        <w:t>甲方无故逾期验收和办理货款支付手续的,甲方按逾期付款总额每日万分之五</w:t>
      </w:r>
      <w:r>
        <w:rPr>
          <w:color w:val="auto"/>
          <w:sz w:val="24"/>
          <w:highlight w:val="none"/>
        </w:rPr>
        <w:t>向乙方支付违约金。</w:t>
      </w:r>
    </w:p>
    <w:p w14:paraId="29D1A9B5">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283" w:firstLine="480"/>
        <w:rPr>
          <w:color w:val="auto"/>
          <w:sz w:val="24"/>
          <w:highlight w:val="none"/>
        </w:rPr>
      </w:pPr>
      <w:r>
        <w:rPr>
          <w:color w:val="auto"/>
          <w:spacing w:val="-1"/>
          <w:sz w:val="24"/>
          <w:highlight w:val="none"/>
        </w:rPr>
        <w:t>乙方逾期交付货物的，乙方按逾期交货总额每日万分之五向甲方支付违约金。</w:t>
      </w:r>
      <w:r>
        <w:rPr>
          <w:color w:val="auto"/>
          <w:spacing w:val="-7"/>
          <w:sz w:val="24"/>
          <w:highlight w:val="none"/>
        </w:rPr>
        <w:t xml:space="preserve">逾期超过约定日期 </w:t>
      </w:r>
      <w:r>
        <w:rPr>
          <w:color w:val="auto"/>
          <w:sz w:val="24"/>
          <w:highlight w:val="none"/>
        </w:rPr>
        <w:t>10</w:t>
      </w:r>
      <w:r>
        <w:rPr>
          <w:color w:val="auto"/>
          <w:spacing w:val="-12"/>
          <w:sz w:val="24"/>
          <w:highlight w:val="none"/>
        </w:rPr>
        <w:t xml:space="preserve"> 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w:t>
      </w:r>
    </w:p>
    <w:p w14:paraId="787782E0">
      <w:pPr>
        <w:keepNext w:val="0"/>
        <w:keepLines w:val="0"/>
        <w:pageBreakBefore w:val="0"/>
        <w:kinsoku/>
        <w:wordWrap w:val="0"/>
        <w:overflowPunct/>
        <w:topLinePunct w:val="0"/>
        <w:bidi w:val="0"/>
        <w:spacing w:line="405" w:lineRule="auto"/>
        <w:rPr>
          <w:color w:val="auto"/>
          <w:sz w:val="24"/>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10901385">
      <w:pPr>
        <w:pStyle w:val="7"/>
        <w:keepNext w:val="0"/>
        <w:keepLines w:val="0"/>
        <w:pageBreakBefore w:val="0"/>
        <w:kinsoku/>
        <w:wordWrap w:val="0"/>
        <w:overflowPunct/>
        <w:topLinePunct w:val="0"/>
        <w:bidi w:val="0"/>
        <w:spacing w:before="39" w:line="405" w:lineRule="auto"/>
        <w:ind w:right="276"/>
        <w:rPr>
          <w:color w:val="auto"/>
          <w:highlight w:val="none"/>
        </w:rPr>
      </w:pPr>
      <w:r>
        <w:rPr>
          <w:color w:val="auto"/>
          <w:highlight w:val="none"/>
        </w:rPr>
        <w:t>约行为导致甲方解除合同的，乙方向甲方支付合同总值 5%的违约金，如造成甲方损失超过违约金的，超出部分由乙方继续承担赔偿责任。</w:t>
      </w:r>
    </w:p>
    <w:p w14:paraId="50DE587F">
      <w:pPr>
        <w:pStyle w:val="5"/>
        <w:keepNext w:val="0"/>
        <w:keepLines w:val="0"/>
        <w:pageBreakBefore w:val="0"/>
        <w:numPr>
          <w:ilvl w:val="0"/>
          <w:numId w:val="14"/>
        </w:numPr>
        <w:tabs>
          <w:tab w:val="left" w:pos="1165"/>
        </w:tabs>
        <w:kinsoku/>
        <w:wordWrap w:val="0"/>
        <w:overflowPunct/>
        <w:topLinePunct w:val="0"/>
        <w:bidi w:val="0"/>
        <w:spacing w:before="2"/>
        <w:ind w:left="1164" w:hanging="364"/>
        <w:rPr>
          <w:color w:val="auto"/>
          <w:highlight w:val="none"/>
        </w:rPr>
      </w:pPr>
      <w:bookmarkStart w:id="254" w:name="_Toc14248_WPSOffice_Level3"/>
      <w:r>
        <w:rPr>
          <w:color w:val="auto"/>
          <w:highlight w:val="none"/>
        </w:rPr>
        <w:t>不可抗力事件处理</w:t>
      </w:r>
      <w:bookmarkEnd w:id="254"/>
    </w:p>
    <w:p w14:paraId="4A155640">
      <w:pPr>
        <w:pStyle w:val="19"/>
        <w:keepNext w:val="0"/>
        <w:keepLines w:val="0"/>
        <w:pageBreakBefore w:val="0"/>
        <w:numPr>
          <w:ilvl w:val="1"/>
          <w:numId w:val="14"/>
        </w:numPr>
        <w:tabs>
          <w:tab w:val="left" w:pos="1341"/>
        </w:tabs>
        <w:kinsoku/>
        <w:wordWrap w:val="0"/>
        <w:overflowPunct/>
        <w:topLinePunct w:val="0"/>
        <w:bidi w:val="0"/>
        <w:spacing w:before="211" w:line="405" w:lineRule="auto"/>
        <w:ind w:left="320" w:right="218" w:firstLine="480"/>
        <w:rPr>
          <w:color w:val="auto"/>
          <w:sz w:val="24"/>
          <w:highlight w:val="none"/>
        </w:rPr>
      </w:pPr>
      <w:r>
        <w:rPr>
          <w:color w:val="auto"/>
          <w:sz w:val="24"/>
          <w:highlight w:val="none"/>
        </w:rPr>
        <w:t>因不可抗力造成违约的，遭受不可抗力一方应及时向对方通报不能履行或不能</w:t>
      </w:r>
      <w:r>
        <w:rPr>
          <w:color w:val="auto"/>
          <w:spacing w:val="-9"/>
          <w:sz w:val="24"/>
          <w:highlight w:val="none"/>
        </w:rPr>
        <w:t xml:space="preserve">完全履行的理由，并在随后取得有关权威机构出具的证明后的 </w:t>
      </w:r>
      <w:r>
        <w:rPr>
          <w:color w:val="auto"/>
          <w:sz w:val="24"/>
          <w:highlight w:val="none"/>
        </w:rPr>
        <w:t>15</w:t>
      </w:r>
      <w:r>
        <w:rPr>
          <w:color w:val="auto"/>
          <w:spacing w:val="-8"/>
          <w:sz w:val="24"/>
          <w:highlight w:val="none"/>
        </w:rPr>
        <w:t xml:space="preserve"> 日内向另一方提供不可</w:t>
      </w:r>
      <w:r>
        <w:rPr>
          <w:color w:val="auto"/>
          <w:spacing w:val="-12"/>
          <w:sz w:val="24"/>
          <w:highlight w:val="none"/>
        </w:rPr>
        <w:t>抗力发生以及持续期间的充分证据。基本于以上行为，允许遭受不可抗力一方延期履行、</w:t>
      </w:r>
      <w:r>
        <w:rPr>
          <w:color w:val="auto"/>
          <w:sz w:val="24"/>
          <w:highlight w:val="none"/>
        </w:rPr>
        <w:t>部分履行或者不履行合同，并根据情况可部分或全部免于承担违约责任。</w:t>
      </w:r>
    </w:p>
    <w:p w14:paraId="5A8B8B52">
      <w:pPr>
        <w:pStyle w:val="19"/>
        <w:keepNext w:val="0"/>
        <w:keepLines w:val="0"/>
        <w:pageBreakBefore w:val="0"/>
        <w:numPr>
          <w:ilvl w:val="1"/>
          <w:numId w:val="14"/>
        </w:numPr>
        <w:tabs>
          <w:tab w:val="left" w:pos="1401"/>
        </w:tabs>
        <w:kinsoku/>
        <w:wordWrap w:val="0"/>
        <w:overflowPunct/>
        <w:topLinePunct w:val="0"/>
        <w:bidi w:val="0"/>
        <w:spacing w:before="2" w:line="405" w:lineRule="auto"/>
        <w:ind w:left="320" w:right="338" w:firstLine="480"/>
        <w:jc w:val="both"/>
        <w:rPr>
          <w:color w:val="auto"/>
          <w:sz w:val="24"/>
          <w:highlight w:val="none"/>
        </w:rPr>
      </w:pPr>
      <w:r>
        <w:rPr>
          <w:color w:val="auto"/>
          <w:spacing w:val="-4"/>
          <w:sz w:val="24"/>
          <w:highlight w:val="none"/>
        </w:rPr>
        <w:t>本合同中的不可抗力指不能预见、不能避免并不能克服的客观情况。包括但不</w:t>
      </w:r>
      <w:r>
        <w:rPr>
          <w:color w:val="auto"/>
          <w:sz w:val="24"/>
          <w:highlight w:val="none"/>
        </w:rPr>
        <w:t>限于：自然灾害如地震、台风、洪水、火灾；政府行为、法律规定或其适用的变化或者其他任何无法预见、避免或者控制的事件。</w:t>
      </w:r>
    </w:p>
    <w:p w14:paraId="6DE3E9CB">
      <w:pPr>
        <w:pStyle w:val="5"/>
        <w:keepNext w:val="0"/>
        <w:keepLines w:val="0"/>
        <w:pageBreakBefore w:val="0"/>
        <w:numPr>
          <w:ilvl w:val="0"/>
          <w:numId w:val="14"/>
        </w:numPr>
        <w:tabs>
          <w:tab w:val="left" w:pos="1165"/>
        </w:tabs>
        <w:kinsoku/>
        <w:wordWrap w:val="0"/>
        <w:overflowPunct/>
        <w:topLinePunct w:val="0"/>
        <w:bidi w:val="0"/>
        <w:spacing w:before="1"/>
        <w:ind w:left="1164" w:hanging="364"/>
        <w:rPr>
          <w:color w:val="auto"/>
          <w:highlight w:val="none"/>
        </w:rPr>
      </w:pPr>
      <w:bookmarkStart w:id="255" w:name="_Toc24294_WPSOffice_Level3"/>
      <w:r>
        <w:rPr>
          <w:color w:val="auto"/>
          <w:highlight w:val="none"/>
        </w:rPr>
        <w:t>合同纠纷处理</w:t>
      </w:r>
      <w:bookmarkEnd w:id="255"/>
    </w:p>
    <w:p w14:paraId="7CD76BD6">
      <w:pPr>
        <w:pStyle w:val="7"/>
        <w:keepNext w:val="0"/>
        <w:keepLines w:val="0"/>
        <w:pageBreakBefore w:val="0"/>
        <w:kinsoku/>
        <w:wordWrap w:val="0"/>
        <w:overflowPunct/>
        <w:topLinePunct w:val="0"/>
        <w:bidi w:val="0"/>
        <w:spacing w:before="213" w:line="405" w:lineRule="auto"/>
        <w:ind w:right="154" w:firstLine="480"/>
        <w:rPr>
          <w:color w:val="auto"/>
          <w:highlight w:val="none"/>
        </w:rPr>
      </w:pPr>
      <w:r>
        <w:rPr>
          <w:color w:val="auto"/>
          <w:highlight w:val="none"/>
        </w:rPr>
        <w:t>因本合同或与本合同有关的一切事项发生争议，由双方友好协商解决。协商不成的， 任何一方均可选择以下方式解决：</w:t>
      </w:r>
    </w:p>
    <w:p w14:paraId="2493F3D2">
      <w:pPr>
        <w:pStyle w:val="19"/>
        <w:keepNext w:val="0"/>
        <w:keepLines w:val="0"/>
        <w:pageBreakBefore w:val="0"/>
        <w:numPr>
          <w:ilvl w:val="1"/>
          <w:numId w:val="14"/>
        </w:numPr>
        <w:tabs>
          <w:tab w:val="left" w:pos="1401"/>
        </w:tabs>
        <w:kinsoku/>
        <w:wordWrap w:val="0"/>
        <w:overflowPunct/>
        <w:topLinePunct w:val="0"/>
        <w:bidi w:val="0"/>
        <w:ind w:left="1400" w:hanging="600"/>
        <w:rPr>
          <w:color w:val="auto"/>
          <w:sz w:val="24"/>
          <w:highlight w:val="none"/>
        </w:rPr>
      </w:pPr>
      <w:r>
        <w:rPr>
          <w:color w:val="auto"/>
          <w:sz w:val="24"/>
          <w:highlight w:val="none"/>
        </w:rPr>
        <w:t>向合同签订地人民法院提起诉讼。</w:t>
      </w:r>
    </w:p>
    <w:p w14:paraId="07459280">
      <w:pPr>
        <w:pStyle w:val="5"/>
        <w:keepNext w:val="0"/>
        <w:keepLines w:val="0"/>
        <w:pageBreakBefore w:val="0"/>
        <w:numPr>
          <w:ilvl w:val="0"/>
          <w:numId w:val="14"/>
        </w:numPr>
        <w:tabs>
          <w:tab w:val="left" w:pos="1162"/>
        </w:tabs>
        <w:kinsoku/>
        <w:wordWrap w:val="0"/>
        <w:overflowPunct/>
        <w:topLinePunct w:val="0"/>
        <w:bidi w:val="0"/>
        <w:spacing w:before="213"/>
        <w:ind w:left="1161" w:hanging="363"/>
        <w:rPr>
          <w:color w:val="auto"/>
          <w:highlight w:val="none"/>
        </w:rPr>
      </w:pPr>
      <w:bookmarkStart w:id="256" w:name="_Toc7968_WPSOffice_Level3"/>
      <w:r>
        <w:rPr>
          <w:color w:val="auto"/>
          <w:highlight w:val="none"/>
        </w:rPr>
        <w:t>违约解除合同</w:t>
      </w:r>
      <w:bookmarkEnd w:id="256"/>
    </w:p>
    <w:p w14:paraId="17AC02B9">
      <w:pPr>
        <w:pStyle w:val="19"/>
        <w:keepNext w:val="0"/>
        <w:keepLines w:val="0"/>
        <w:pageBreakBefore w:val="0"/>
        <w:numPr>
          <w:ilvl w:val="1"/>
          <w:numId w:val="14"/>
        </w:numPr>
        <w:tabs>
          <w:tab w:val="left" w:pos="1341"/>
        </w:tabs>
        <w:kinsoku/>
        <w:wordWrap w:val="0"/>
        <w:overflowPunct/>
        <w:topLinePunct w:val="0"/>
        <w:bidi w:val="0"/>
        <w:spacing w:before="211" w:line="405" w:lineRule="auto"/>
        <w:ind w:left="320" w:right="343" w:firstLine="480"/>
        <w:rPr>
          <w:color w:val="auto"/>
          <w:sz w:val="24"/>
          <w:highlight w:val="none"/>
        </w:rPr>
      </w:pPr>
      <w:r>
        <w:rPr>
          <w:color w:val="auto"/>
          <w:spacing w:val="-1"/>
          <w:sz w:val="24"/>
          <w:highlight w:val="none"/>
        </w:rPr>
        <w:t>在乙方违约的情况下，甲方可向乙方发出书面通知，部分或全部终止合同，同</w:t>
      </w:r>
      <w:r>
        <w:rPr>
          <w:color w:val="auto"/>
          <w:sz w:val="24"/>
          <w:highlight w:val="none"/>
        </w:rPr>
        <w:t>时保留向对方追诉的权利。</w:t>
      </w:r>
    </w:p>
    <w:p w14:paraId="05FD6159">
      <w:pPr>
        <w:pStyle w:val="19"/>
        <w:keepNext w:val="0"/>
        <w:keepLines w:val="0"/>
        <w:pageBreakBefore w:val="0"/>
        <w:numPr>
          <w:ilvl w:val="2"/>
          <w:numId w:val="14"/>
        </w:numPr>
        <w:tabs>
          <w:tab w:val="left" w:pos="1641"/>
        </w:tabs>
        <w:kinsoku/>
        <w:wordWrap w:val="0"/>
        <w:overflowPunct/>
        <w:topLinePunct w:val="0"/>
        <w:bidi w:val="0"/>
        <w:spacing w:before="3" w:line="405" w:lineRule="auto"/>
        <w:ind w:right="283" w:firstLine="480"/>
        <w:rPr>
          <w:color w:val="auto"/>
          <w:sz w:val="24"/>
          <w:highlight w:val="none"/>
        </w:rPr>
      </w:pPr>
      <w:r>
        <w:rPr>
          <w:color w:val="auto"/>
          <w:spacing w:val="-1"/>
          <w:sz w:val="24"/>
          <w:highlight w:val="none"/>
        </w:rPr>
        <w:t xml:space="preserve">乙方未能在合同规定的限期或甲方同意延长的限期内提供全部或部分货物， </w:t>
      </w:r>
      <w:r>
        <w:rPr>
          <w:color w:val="auto"/>
          <w:spacing w:val="-12"/>
          <w:sz w:val="24"/>
          <w:highlight w:val="none"/>
        </w:rPr>
        <w:t xml:space="preserve">按合同第 </w:t>
      </w:r>
      <w:r>
        <w:rPr>
          <w:color w:val="auto"/>
          <w:sz w:val="24"/>
          <w:highlight w:val="none"/>
        </w:rPr>
        <w:t>15.3</w:t>
      </w:r>
      <w:r>
        <w:rPr>
          <w:color w:val="auto"/>
          <w:spacing w:val="-8"/>
          <w:sz w:val="24"/>
          <w:highlight w:val="none"/>
        </w:rPr>
        <w:t xml:space="preserve"> 的规定可以解除合同的。</w:t>
      </w:r>
    </w:p>
    <w:p w14:paraId="2F051698">
      <w:pPr>
        <w:pStyle w:val="19"/>
        <w:keepNext w:val="0"/>
        <w:keepLines w:val="0"/>
        <w:pageBreakBefore w:val="0"/>
        <w:numPr>
          <w:ilvl w:val="2"/>
          <w:numId w:val="14"/>
        </w:numPr>
        <w:tabs>
          <w:tab w:val="left" w:pos="1641"/>
        </w:tabs>
        <w:kinsoku/>
        <w:wordWrap w:val="0"/>
        <w:overflowPunct/>
        <w:topLinePunct w:val="0"/>
        <w:bidi w:val="0"/>
        <w:spacing w:line="405" w:lineRule="auto"/>
        <w:ind w:right="338" w:firstLine="480"/>
        <w:rPr>
          <w:color w:val="auto"/>
          <w:sz w:val="24"/>
          <w:highlight w:val="none"/>
        </w:rPr>
      </w:pPr>
      <w:r>
        <w:rPr>
          <w:color w:val="auto"/>
          <w:spacing w:val="-7"/>
          <w:sz w:val="24"/>
          <w:highlight w:val="none"/>
        </w:rPr>
        <w:t xml:space="preserve">乙方有转让和未经甲方同意的分包行为，按合同第 </w:t>
      </w:r>
      <w:r>
        <w:rPr>
          <w:color w:val="auto"/>
          <w:sz w:val="24"/>
          <w:highlight w:val="none"/>
        </w:rPr>
        <w:t>7.3</w:t>
      </w:r>
      <w:r>
        <w:rPr>
          <w:color w:val="auto"/>
          <w:spacing w:val="-9"/>
          <w:sz w:val="24"/>
          <w:highlight w:val="none"/>
        </w:rPr>
        <w:t xml:space="preserve"> 的规定可以解除合同</w:t>
      </w:r>
      <w:r>
        <w:rPr>
          <w:color w:val="auto"/>
          <w:sz w:val="24"/>
          <w:highlight w:val="none"/>
        </w:rPr>
        <w:t>的。</w:t>
      </w:r>
    </w:p>
    <w:p w14:paraId="38863DA6">
      <w:pPr>
        <w:pStyle w:val="19"/>
        <w:keepNext w:val="0"/>
        <w:keepLines w:val="0"/>
        <w:pageBreakBefore w:val="0"/>
        <w:numPr>
          <w:ilvl w:val="2"/>
          <w:numId w:val="14"/>
        </w:numPr>
        <w:tabs>
          <w:tab w:val="left" w:pos="1641"/>
        </w:tabs>
        <w:kinsoku/>
        <w:wordWrap w:val="0"/>
        <w:overflowPunct/>
        <w:topLinePunct w:val="0"/>
        <w:bidi w:val="0"/>
        <w:ind w:left="1640"/>
        <w:rPr>
          <w:color w:val="auto"/>
          <w:sz w:val="24"/>
          <w:highlight w:val="none"/>
        </w:rPr>
      </w:pPr>
      <w:r>
        <w:rPr>
          <w:color w:val="auto"/>
          <w:sz w:val="24"/>
          <w:highlight w:val="none"/>
        </w:rPr>
        <w:t>乙方未能履行合同规定的其它主要义务的。</w:t>
      </w:r>
    </w:p>
    <w:p w14:paraId="081BF084">
      <w:pPr>
        <w:pStyle w:val="19"/>
        <w:keepNext w:val="0"/>
        <w:keepLines w:val="0"/>
        <w:pageBreakBefore w:val="0"/>
        <w:numPr>
          <w:ilvl w:val="2"/>
          <w:numId w:val="14"/>
        </w:numPr>
        <w:tabs>
          <w:tab w:val="left" w:pos="1641"/>
        </w:tabs>
        <w:kinsoku/>
        <w:wordWrap w:val="0"/>
        <w:overflowPunct/>
        <w:topLinePunct w:val="0"/>
        <w:bidi w:val="0"/>
        <w:spacing w:before="213"/>
        <w:ind w:left="1640"/>
        <w:rPr>
          <w:color w:val="auto"/>
          <w:sz w:val="24"/>
          <w:highlight w:val="none"/>
        </w:rPr>
      </w:pPr>
      <w:r>
        <w:rPr>
          <w:color w:val="auto"/>
          <w:sz w:val="24"/>
          <w:highlight w:val="none"/>
        </w:rPr>
        <w:t>在本合同履行过程中有腐败和欺诈行为的。</w:t>
      </w:r>
    </w:p>
    <w:p w14:paraId="2C7922D0">
      <w:pPr>
        <w:pStyle w:val="7"/>
        <w:keepNext w:val="0"/>
        <w:keepLines w:val="0"/>
        <w:pageBreakBefore w:val="0"/>
        <w:kinsoku/>
        <w:wordWrap w:val="0"/>
        <w:overflowPunct/>
        <w:topLinePunct w:val="0"/>
        <w:bidi w:val="0"/>
        <w:spacing w:before="213" w:line="405" w:lineRule="auto"/>
        <w:ind w:right="218" w:firstLine="480"/>
        <w:rPr>
          <w:color w:val="auto"/>
          <w:highlight w:val="none"/>
        </w:rPr>
      </w:pPr>
      <w:r>
        <w:rPr>
          <w:color w:val="auto"/>
          <w:highlight w:val="none"/>
        </w:rPr>
        <w:t>18.2</w:t>
      </w:r>
      <w:r>
        <w:rPr>
          <w:color w:val="auto"/>
          <w:spacing w:val="-6"/>
          <w:highlight w:val="none"/>
        </w:rPr>
        <w:t xml:space="preserve"> 在甲方根据上述第 </w:t>
      </w:r>
      <w:r>
        <w:rPr>
          <w:color w:val="auto"/>
          <w:highlight w:val="none"/>
        </w:rPr>
        <w:t>18.1</w:t>
      </w:r>
      <w:r>
        <w:rPr>
          <w:color w:val="auto"/>
          <w:spacing w:val="-8"/>
          <w:highlight w:val="none"/>
        </w:rPr>
        <w:t xml:space="preserve"> 条规定，全部或部分解除合同之后，应当遵循诚实信用原则，全部或部分购买与未交付的货物类似的货物或服务，乙方应承担甲方购买类似</w:t>
      </w:r>
      <w:r>
        <w:rPr>
          <w:color w:val="auto"/>
          <w:spacing w:val="-12"/>
          <w:highlight w:val="none"/>
        </w:rPr>
        <w:t>货物或服务而产生的额外支出。部分解除合同的，乙方应继续履行合同中未解除的部分。</w:t>
      </w:r>
    </w:p>
    <w:p w14:paraId="4357F83A">
      <w:pPr>
        <w:pStyle w:val="5"/>
        <w:keepNext w:val="0"/>
        <w:keepLines w:val="0"/>
        <w:pageBreakBefore w:val="0"/>
        <w:numPr>
          <w:ilvl w:val="0"/>
          <w:numId w:val="14"/>
        </w:numPr>
        <w:tabs>
          <w:tab w:val="left" w:pos="1165"/>
        </w:tabs>
        <w:kinsoku/>
        <w:wordWrap w:val="0"/>
        <w:overflowPunct/>
        <w:topLinePunct w:val="0"/>
        <w:bidi w:val="0"/>
        <w:spacing w:before="1"/>
        <w:ind w:left="1164" w:hanging="364"/>
        <w:rPr>
          <w:color w:val="auto"/>
          <w:highlight w:val="none"/>
        </w:rPr>
      </w:pPr>
      <w:bookmarkStart w:id="257" w:name="_Toc27973_WPSOffice_Level3"/>
      <w:r>
        <w:rPr>
          <w:color w:val="auto"/>
          <w:highlight w:val="none"/>
        </w:rPr>
        <w:t>其他约定</w:t>
      </w:r>
      <w:bookmarkEnd w:id="257"/>
    </w:p>
    <w:p w14:paraId="7C6A6CEC">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580A8F03">
      <w:pPr>
        <w:pStyle w:val="19"/>
        <w:keepNext w:val="0"/>
        <w:keepLines w:val="0"/>
        <w:pageBreakBefore w:val="0"/>
        <w:numPr>
          <w:ilvl w:val="1"/>
          <w:numId w:val="14"/>
        </w:numPr>
        <w:tabs>
          <w:tab w:val="left" w:pos="1401"/>
        </w:tabs>
        <w:kinsoku/>
        <w:wordWrap w:val="0"/>
        <w:overflowPunct/>
        <w:topLinePunct w:val="0"/>
        <w:bidi w:val="0"/>
        <w:spacing w:before="39"/>
        <w:ind w:left="1400" w:hanging="600"/>
        <w:rPr>
          <w:color w:val="auto"/>
          <w:sz w:val="24"/>
          <w:highlight w:val="none"/>
        </w:rPr>
      </w:pPr>
      <w:r>
        <w:rPr>
          <w:color w:val="auto"/>
          <w:sz w:val="24"/>
          <w:highlight w:val="none"/>
        </w:rPr>
        <w:t>本采购项目的磋商文件、成交供应商的磋商响应文件以及相关的澄清确认函</w:t>
      </w:r>
    </w:p>
    <w:p w14:paraId="1D5F8439">
      <w:pPr>
        <w:pStyle w:val="7"/>
        <w:keepNext w:val="0"/>
        <w:keepLines w:val="0"/>
        <w:pageBreakBefore w:val="0"/>
        <w:kinsoku/>
        <w:wordWrap w:val="0"/>
        <w:overflowPunct/>
        <w:topLinePunct w:val="0"/>
        <w:bidi w:val="0"/>
        <w:spacing w:before="213"/>
        <w:rPr>
          <w:color w:val="auto"/>
          <w:highlight w:val="none"/>
        </w:rPr>
      </w:pPr>
      <w:r>
        <w:rPr>
          <w:color w:val="auto"/>
          <w:highlight w:val="none"/>
        </w:rPr>
        <w:t>（如果有的话）均为本合同不可分割的一部分，与本合同具有同等法律效力。</w:t>
      </w:r>
    </w:p>
    <w:p w14:paraId="7260A271">
      <w:pPr>
        <w:pStyle w:val="19"/>
        <w:keepNext w:val="0"/>
        <w:keepLines w:val="0"/>
        <w:pageBreakBefore w:val="0"/>
        <w:numPr>
          <w:ilvl w:val="1"/>
          <w:numId w:val="14"/>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本合同未尽事宜，双方另行补充。</w:t>
      </w:r>
    </w:p>
    <w:p w14:paraId="2AEA39EB">
      <w:pPr>
        <w:pStyle w:val="19"/>
        <w:keepNext w:val="0"/>
        <w:keepLines w:val="0"/>
        <w:pageBreakBefore w:val="0"/>
        <w:numPr>
          <w:ilvl w:val="1"/>
          <w:numId w:val="14"/>
        </w:numPr>
        <w:tabs>
          <w:tab w:val="left" w:pos="1341"/>
        </w:tabs>
        <w:kinsoku/>
        <w:wordWrap w:val="0"/>
        <w:overflowPunct/>
        <w:topLinePunct w:val="0"/>
        <w:bidi w:val="0"/>
        <w:spacing w:before="211"/>
        <w:ind w:left="1340" w:hanging="540"/>
        <w:rPr>
          <w:color w:val="auto"/>
          <w:sz w:val="24"/>
          <w:highlight w:val="none"/>
        </w:rPr>
      </w:pPr>
      <w:r>
        <w:rPr>
          <w:color w:val="auto"/>
          <w:sz w:val="24"/>
          <w:highlight w:val="none"/>
        </w:rPr>
        <w:t>本合同正本一式份，具有同等法律效力，甲、乙双方各执两份。</w:t>
      </w:r>
    </w:p>
    <w:p w14:paraId="77EA85FA">
      <w:pPr>
        <w:pStyle w:val="19"/>
        <w:keepNext w:val="0"/>
        <w:keepLines w:val="0"/>
        <w:pageBreakBefore w:val="0"/>
        <w:numPr>
          <w:ilvl w:val="1"/>
          <w:numId w:val="14"/>
        </w:numPr>
        <w:tabs>
          <w:tab w:val="left" w:pos="1401"/>
        </w:tabs>
        <w:kinsoku/>
        <w:wordWrap w:val="0"/>
        <w:overflowPunct/>
        <w:topLinePunct w:val="0"/>
        <w:bidi w:val="0"/>
        <w:spacing w:before="213"/>
        <w:ind w:left="1400" w:hanging="600"/>
        <w:rPr>
          <w:color w:val="auto"/>
          <w:sz w:val="24"/>
          <w:highlight w:val="none"/>
        </w:rPr>
      </w:pPr>
      <w:r>
        <w:rPr>
          <w:color w:val="auto"/>
          <w:sz w:val="24"/>
          <w:highlight w:val="none"/>
        </w:rPr>
        <w:t>签定地点：</w:t>
      </w:r>
    </w:p>
    <w:p w14:paraId="65CC5075">
      <w:pPr>
        <w:pStyle w:val="7"/>
        <w:keepNext w:val="0"/>
        <w:keepLines w:val="0"/>
        <w:pageBreakBefore w:val="0"/>
        <w:tabs>
          <w:tab w:val="left" w:pos="5960"/>
        </w:tabs>
        <w:kinsoku/>
        <w:wordWrap w:val="0"/>
        <w:overflowPunct/>
        <w:topLinePunct w:val="0"/>
        <w:bidi w:val="0"/>
        <w:spacing w:before="214"/>
        <w:ind w:left="800"/>
        <w:rPr>
          <w:color w:val="auto"/>
          <w:highlight w:val="none"/>
        </w:rPr>
      </w:pPr>
      <w:r>
        <w:rPr>
          <w:color w:val="auto"/>
          <w:highlight w:val="none"/>
        </w:rPr>
        <w:t>甲方：</w:t>
      </w:r>
      <w:r>
        <w:rPr>
          <w:color w:val="auto"/>
          <w:highlight w:val="none"/>
        </w:rPr>
        <w:tab/>
      </w:r>
      <w:r>
        <w:rPr>
          <w:color w:val="auto"/>
          <w:highlight w:val="none"/>
        </w:rPr>
        <w:t>乙方：</w:t>
      </w:r>
    </w:p>
    <w:p w14:paraId="7B838868">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单位地址：</w:t>
      </w:r>
      <w:r>
        <w:rPr>
          <w:color w:val="auto"/>
          <w:highlight w:val="none"/>
        </w:rPr>
        <w:tab/>
      </w:r>
      <w:r>
        <w:rPr>
          <w:color w:val="auto"/>
          <w:highlight w:val="none"/>
        </w:rPr>
        <w:t>单位地址：</w:t>
      </w:r>
    </w:p>
    <w:p w14:paraId="1B6FA743">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法定代表人：</w:t>
      </w:r>
      <w:r>
        <w:rPr>
          <w:color w:val="auto"/>
          <w:highlight w:val="none"/>
        </w:rPr>
        <w:tab/>
      </w:r>
      <w:r>
        <w:rPr>
          <w:color w:val="auto"/>
          <w:highlight w:val="none"/>
        </w:rPr>
        <w:t>法定代表人：</w:t>
      </w:r>
    </w:p>
    <w:p w14:paraId="7549AFD9">
      <w:pPr>
        <w:pStyle w:val="7"/>
        <w:keepNext w:val="0"/>
        <w:keepLines w:val="0"/>
        <w:pageBreakBefore w:val="0"/>
        <w:tabs>
          <w:tab w:val="left" w:pos="5840"/>
        </w:tabs>
        <w:kinsoku/>
        <w:wordWrap w:val="0"/>
        <w:overflowPunct/>
        <w:topLinePunct w:val="0"/>
        <w:bidi w:val="0"/>
        <w:spacing w:before="213"/>
        <w:ind w:left="800"/>
        <w:rPr>
          <w:color w:val="auto"/>
          <w:highlight w:val="none"/>
        </w:rPr>
      </w:pPr>
      <w:r>
        <w:rPr>
          <w:color w:val="auto"/>
          <w:highlight w:val="none"/>
        </w:rPr>
        <w:t>委托代理人：</w:t>
      </w:r>
      <w:r>
        <w:rPr>
          <w:color w:val="auto"/>
          <w:highlight w:val="none"/>
        </w:rPr>
        <w:tab/>
      </w:r>
      <w:r>
        <w:rPr>
          <w:color w:val="auto"/>
          <w:highlight w:val="none"/>
        </w:rPr>
        <w:t>委托代理人：</w:t>
      </w:r>
    </w:p>
    <w:p w14:paraId="6A6FDA41">
      <w:pPr>
        <w:pStyle w:val="7"/>
        <w:keepNext w:val="0"/>
        <w:keepLines w:val="0"/>
        <w:pageBreakBefore w:val="0"/>
        <w:tabs>
          <w:tab w:val="left" w:pos="5840"/>
        </w:tabs>
        <w:kinsoku/>
        <w:wordWrap w:val="0"/>
        <w:overflowPunct/>
        <w:topLinePunct w:val="0"/>
        <w:bidi w:val="0"/>
        <w:spacing w:before="211"/>
        <w:ind w:left="800"/>
        <w:rPr>
          <w:color w:val="auto"/>
          <w:highlight w:val="none"/>
        </w:rPr>
      </w:pPr>
      <w:r>
        <w:rPr>
          <w:color w:val="auto"/>
          <w:highlight w:val="none"/>
        </w:rPr>
        <w:t>电话：</w:t>
      </w:r>
      <w:r>
        <w:rPr>
          <w:color w:val="auto"/>
          <w:highlight w:val="none"/>
        </w:rPr>
        <w:tab/>
      </w:r>
      <w:r>
        <w:rPr>
          <w:color w:val="auto"/>
          <w:highlight w:val="none"/>
        </w:rPr>
        <w:t>电话：</w:t>
      </w:r>
    </w:p>
    <w:p w14:paraId="5AC94521">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p>
    <w:p w14:paraId="4FEE6C94">
      <w:pPr>
        <w:pStyle w:val="7"/>
        <w:keepNext w:val="0"/>
        <w:keepLines w:val="0"/>
        <w:pageBreakBefore w:val="0"/>
        <w:tabs>
          <w:tab w:val="left" w:pos="4640"/>
          <w:tab w:val="left" w:pos="5120"/>
          <w:tab w:val="left" w:pos="5600"/>
        </w:tabs>
        <w:kinsoku/>
        <w:wordWrap w:val="0"/>
        <w:overflowPunct/>
        <w:topLinePunct w:val="0"/>
        <w:bidi w:val="0"/>
        <w:spacing w:before="213"/>
        <w:ind w:left="800"/>
        <w:rPr>
          <w:color w:val="auto"/>
          <w:highlight w:val="none"/>
        </w:rPr>
      </w:pPr>
      <w:r>
        <w:rPr>
          <w:color w:val="auto"/>
          <w:highlight w:val="none"/>
        </w:rPr>
        <w:t>签订日期：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752B12E8">
      <w:pPr>
        <w:keepNext w:val="0"/>
        <w:keepLines w:val="0"/>
        <w:pageBreakBefore w:val="0"/>
        <w:kinsoku/>
        <w:wordWrap w:val="0"/>
        <w:overflowPunct/>
        <w:topLinePunct w:val="0"/>
        <w:bidi w:val="0"/>
        <w:rPr>
          <w:color w:val="auto"/>
          <w:highlight w:val="none"/>
        </w:rPr>
        <w:sectPr>
          <w:pgSz w:w="11910" w:h="16840"/>
          <w:pgMar w:top="1480" w:right="1020" w:bottom="900" w:left="1040" w:header="0" w:footer="640" w:gutter="0"/>
          <w:pgBorders>
            <w:top w:val="none" w:sz="0" w:space="0"/>
            <w:left w:val="none" w:sz="0" w:space="0"/>
            <w:bottom w:val="none" w:sz="0" w:space="0"/>
            <w:right w:val="none" w:sz="0" w:space="0"/>
          </w:pgBorders>
          <w:pgNumType w:fmt="decimal"/>
          <w:cols w:space="720" w:num="1"/>
        </w:sectPr>
      </w:pPr>
    </w:p>
    <w:p w14:paraId="3F25CF53">
      <w:pPr>
        <w:pStyle w:val="2"/>
        <w:keepNext w:val="0"/>
        <w:keepLines w:val="0"/>
        <w:pageBreakBefore w:val="0"/>
        <w:kinsoku/>
        <w:wordWrap w:val="0"/>
        <w:overflowPunct/>
        <w:topLinePunct w:val="0"/>
        <w:bidi w:val="0"/>
        <w:spacing w:before="31"/>
        <w:ind w:firstLine="1928" w:firstLineChars="600"/>
        <w:jc w:val="both"/>
        <w:rPr>
          <w:color w:val="auto"/>
          <w:highlight w:val="none"/>
        </w:rPr>
      </w:pPr>
      <w:bookmarkStart w:id="258" w:name="_Toc2461"/>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响应文件内容及格式</w:t>
      </w:r>
      <w:bookmarkEnd w:id="258"/>
    </w:p>
    <w:p w14:paraId="1CFA9EF0">
      <w:pPr>
        <w:pStyle w:val="7"/>
        <w:keepNext w:val="0"/>
        <w:keepLines w:val="0"/>
        <w:pageBreakBefore w:val="0"/>
        <w:kinsoku/>
        <w:wordWrap w:val="0"/>
        <w:overflowPunct/>
        <w:topLinePunct w:val="0"/>
        <w:bidi w:val="0"/>
        <w:ind w:left="0"/>
        <w:rPr>
          <w:b/>
          <w:color w:val="auto"/>
          <w:highlight w:val="none"/>
        </w:rPr>
      </w:pPr>
    </w:p>
    <w:p w14:paraId="0225E75C">
      <w:pPr>
        <w:pStyle w:val="7"/>
        <w:keepNext w:val="0"/>
        <w:keepLines w:val="0"/>
        <w:pageBreakBefore w:val="0"/>
        <w:kinsoku/>
        <w:wordWrap w:val="0"/>
        <w:overflowPunct/>
        <w:topLinePunct w:val="0"/>
        <w:bidi w:val="0"/>
        <w:spacing w:before="3"/>
        <w:ind w:left="0"/>
        <w:rPr>
          <w:b/>
          <w:color w:val="auto"/>
          <w:sz w:val="35"/>
          <w:highlight w:val="none"/>
        </w:rPr>
      </w:pPr>
    </w:p>
    <w:p w14:paraId="513F8C16">
      <w:pPr>
        <w:pStyle w:val="7"/>
        <w:keepNext w:val="0"/>
        <w:keepLines w:val="0"/>
        <w:pageBreakBefore w:val="0"/>
        <w:kinsoku/>
        <w:wordWrap w:val="0"/>
        <w:overflowPunct/>
        <w:topLinePunct w:val="0"/>
        <w:bidi w:val="0"/>
        <w:ind w:left="0"/>
        <w:jc w:val="center"/>
        <w:rPr>
          <w:rFonts w:hint="eastAsia"/>
          <w:b/>
          <w:color w:val="auto"/>
          <w:sz w:val="56"/>
          <w:szCs w:val="20"/>
          <w:highlight w:val="none"/>
          <w:lang w:eastAsia="zh-CN"/>
        </w:rPr>
      </w:pPr>
      <w:r>
        <w:rPr>
          <w:rFonts w:hint="eastAsia"/>
          <w:b/>
          <w:color w:val="auto"/>
          <w:sz w:val="48"/>
          <w:szCs w:val="28"/>
          <w:highlight w:val="none"/>
          <w:lang w:val="en-US" w:eastAsia="zh-CN"/>
        </w:rPr>
        <w:t>卢氏县重点非煤矿山视频智能监控子系统建设项目</w:t>
      </w:r>
      <w:bookmarkStart w:id="259" w:name="_Toc20123_WPSOffice_Level1"/>
      <w:bookmarkStart w:id="260" w:name="_Toc839"/>
    </w:p>
    <w:p w14:paraId="5D0C9E96">
      <w:pPr>
        <w:keepNext w:val="0"/>
        <w:keepLines w:val="0"/>
        <w:pageBreakBefore w:val="0"/>
        <w:kinsoku/>
        <w:wordWrap w:val="0"/>
        <w:overflowPunct/>
        <w:topLinePunct w:val="0"/>
        <w:bidi w:val="0"/>
        <w:spacing w:before="375"/>
        <w:jc w:val="center"/>
        <w:outlineLvl w:val="0"/>
        <w:rPr>
          <w:b/>
          <w:color w:val="auto"/>
          <w:sz w:val="72"/>
          <w:highlight w:val="none"/>
        </w:rPr>
      </w:pPr>
      <w:r>
        <w:rPr>
          <w:rFonts w:hint="eastAsia"/>
          <w:b/>
          <w:color w:val="auto"/>
          <w:sz w:val="56"/>
          <w:szCs w:val="20"/>
          <w:highlight w:val="none"/>
          <w:lang w:eastAsia="zh-CN"/>
        </w:rPr>
        <w:t>（</w:t>
      </w:r>
      <w:r>
        <w:rPr>
          <w:rFonts w:hint="eastAsia"/>
          <w:b/>
          <w:color w:val="auto"/>
          <w:sz w:val="56"/>
          <w:szCs w:val="20"/>
          <w:highlight w:val="none"/>
          <w:lang w:val="en-US" w:eastAsia="zh-CN"/>
        </w:rPr>
        <w:t xml:space="preserve"> </w:t>
      </w:r>
      <w:r>
        <w:rPr>
          <w:rFonts w:hint="eastAsia"/>
          <w:b/>
          <w:color w:val="auto"/>
          <w:sz w:val="56"/>
          <w:szCs w:val="20"/>
          <w:highlight w:val="none"/>
          <w:lang w:eastAsia="zh-CN"/>
        </w:rPr>
        <w:t>）</w:t>
      </w:r>
      <w:r>
        <w:rPr>
          <w:rFonts w:hint="eastAsia"/>
          <w:b/>
          <w:color w:val="auto"/>
          <w:sz w:val="56"/>
          <w:szCs w:val="20"/>
          <w:highlight w:val="none"/>
          <w:lang w:val="en-US" w:eastAsia="zh-CN"/>
        </w:rPr>
        <w:t>标段</w:t>
      </w:r>
    </w:p>
    <w:p w14:paraId="2194F593">
      <w:pPr>
        <w:keepNext w:val="0"/>
        <w:keepLines w:val="0"/>
        <w:pageBreakBefore w:val="0"/>
        <w:kinsoku/>
        <w:wordWrap w:val="0"/>
        <w:overflowPunct/>
        <w:topLinePunct w:val="0"/>
        <w:bidi w:val="0"/>
        <w:spacing w:before="375"/>
        <w:jc w:val="center"/>
        <w:outlineLvl w:val="0"/>
        <w:rPr>
          <w:b/>
          <w:color w:val="auto"/>
          <w:sz w:val="72"/>
          <w:highlight w:val="none"/>
        </w:rPr>
      </w:pPr>
    </w:p>
    <w:p w14:paraId="6A838FC6">
      <w:pPr>
        <w:pStyle w:val="7"/>
        <w:keepNext w:val="0"/>
        <w:keepLines w:val="0"/>
        <w:pageBreakBefore w:val="0"/>
        <w:kinsoku/>
        <w:wordWrap w:val="0"/>
        <w:overflowPunct/>
        <w:topLinePunct w:val="0"/>
        <w:bidi w:val="0"/>
        <w:ind w:left="0"/>
        <w:jc w:val="center"/>
        <w:outlineLvl w:val="0"/>
        <w:rPr>
          <w:b/>
          <w:color w:val="auto"/>
          <w:sz w:val="30"/>
          <w:highlight w:val="none"/>
        </w:rPr>
      </w:pPr>
      <w:bookmarkStart w:id="261" w:name="_Toc25794"/>
      <w:bookmarkStart w:id="262" w:name="_Toc12366_WPSOffice_Level1"/>
      <w:r>
        <w:rPr>
          <w:b/>
          <w:color w:val="auto"/>
          <w:sz w:val="32"/>
          <w:highlight w:val="none"/>
        </w:rPr>
        <w:t>项目编号：</w:t>
      </w:r>
      <w:bookmarkEnd w:id="261"/>
      <w:bookmarkEnd w:id="262"/>
    </w:p>
    <w:p w14:paraId="21D78232">
      <w:pPr>
        <w:keepNext w:val="0"/>
        <w:keepLines w:val="0"/>
        <w:pageBreakBefore w:val="0"/>
        <w:kinsoku/>
        <w:wordWrap w:val="0"/>
        <w:overflowPunct/>
        <w:topLinePunct w:val="0"/>
        <w:bidi w:val="0"/>
        <w:spacing w:before="375"/>
        <w:jc w:val="center"/>
        <w:outlineLvl w:val="0"/>
        <w:rPr>
          <w:b/>
          <w:color w:val="auto"/>
          <w:sz w:val="72"/>
          <w:highlight w:val="none"/>
        </w:rPr>
      </w:pPr>
    </w:p>
    <w:p w14:paraId="133D55F4">
      <w:pPr>
        <w:keepNext w:val="0"/>
        <w:keepLines w:val="0"/>
        <w:pageBreakBefore w:val="0"/>
        <w:kinsoku/>
        <w:wordWrap w:val="0"/>
        <w:overflowPunct/>
        <w:topLinePunct w:val="0"/>
        <w:bidi w:val="0"/>
        <w:spacing w:before="375"/>
        <w:jc w:val="center"/>
        <w:outlineLvl w:val="0"/>
        <w:rPr>
          <w:b/>
          <w:color w:val="auto"/>
          <w:sz w:val="72"/>
          <w:highlight w:val="none"/>
        </w:rPr>
      </w:pPr>
      <w:r>
        <w:rPr>
          <w:b/>
          <w:color w:val="auto"/>
          <w:sz w:val="72"/>
          <w:highlight w:val="none"/>
        </w:rPr>
        <w:t>响</w:t>
      </w:r>
      <w:r>
        <w:rPr>
          <w:rFonts w:hint="eastAsia"/>
          <w:b/>
          <w:color w:val="auto"/>
          <w:sz w:val="72"/>
          <w:highlight w:val="none"/>
          <w:lang w:val="en-US" w:eastAsia="zh-CN"/>
        </w:rPr>
        <w:t xml:space="preserve"> </w:t>
      </w:r>
      <w:r>
        <w:rPr>
          <w:b/>
          <w:color w:val="auto"/>
          <w:sz w:val="72"/>
          <w:highlight w:val="none"/>
        </w:rPr>
        <w:t>应</w:t>
      </w:r>
      <w:r>
        <w:rPr>
          <w:rFonts w:hint="eastAsia"/>
          <w:b/>
          <w:color w:val="auto"/>
          <w:sz w:val="72"/>
          <w:highlight w:val="none"/>
          <w:lang w:val="en-US" w:eastAsia="zh-CN"/>
        </w:rPr>
        <w:t xml:space="preserve"> </w:t>
      </w:r>
      <w:r>
        <w:rPr>
          <w:b/>
          <w:color w:val="auto"/>
          <w:sz w:val="72"/>
          <w:highlight w:val="none"/>
        </w:rPr>
        <w:t>文</w:t>
      </w:r>
      <w:r>
        <w:rPr>
          <w:rFonts w:hint="eastAsia"/>
          <w:b/>
          <w:color w:val="auto"/>
          <w:sz w:val="72"/>
          <w:highlight w:val="none"/>
          <w:lang w:val="en-US" w:eastAsia="zh-CN"/>
        </w:rPr>
        <w:t xml:space="preserve"> </w:t>
      </w:r>
      <w:r>
        <w:rPr>
          <w:b/>
          <w:color w:val="auto"/>
          <w:sz w:val="72"/>
          <w:highlight w:val="none"/>
        </w:rPr>
        <w:t>件</w:t>
      </w:r>
      <w:bookmarkEnd w:id="259"/>
      <w:bookmarkEnd w:id="260"/>
    </w:p>
    <w:p w14:paraId="35CBE7FD">
      <w:pPr>
        <w:pStyle w:val="7"/>
        <w:keepNext w:val="0"/>
        <w:keepLines w:val="0"/>
        <w:pageBreakBefore w:val="0"/>
        <w:kinsoku/>
        <w:wordWrap w:val="0"/>
        <w:overflowPunct/>
        <w:topLinePunct w:val="0"/>
        <w:bidi w:val="0"/>
        <w:spacing w:before="3"/>
        <w:ind w:left="0"/>
        <w:jc w:val="both"/>
        <w:rPr>
          <w:b/>
          <w:color w:val="auto"/>
          <w:sz w:val="60"/>
          <w:highlight w:val="none"/>
        </w:rPr>
      </w:pPr>
    </w:p>
    <w:p w14:paraId="3C1ACD07">
      <w:pPr>
        <w:pStyle w:val="7"/>
        <w:keepNext w:val="0"/>
        <w:keepLines w:val="0"/>
        <w:pageBreakBefore w:val="0"/>
        <w:kinsoku/>
        <w:wordWrap w:val="0"/>
        <w:overflowPunct/>
        <w:topLinePunct w:val="0"/>
        <w:bidi w:val="0"/>
        <w:ind w:left="0"/>
        <w:rPr>
          <w:b/>
          <w:color w:val="auto"/>
          <w:sz w:val="30"/>
          <w:highlight w:val="none"/>
        </w:rPr>
      </w:pPr>
    </w:p>
    <w:p w14:paraId="06C87EBF">
      <w:pPr>
        <w:keepNext w:val="0"/>
        <w:keepLines w:val="0"/>
        <w:pageBreakBefore w:val="0"/>
        <w:kinsoku/>
        <w:wordWrap w:val="0"/>
        <w:overflowPunct/>
        <w:topLinePunct w:val="0"/>
        <w:bidi w:val="0"/>
        <w:rPr>
          <w:color w:val="auto"/>
          <w:highlight w:val="none"/>
        </w:rPr>
      </w:pPr>
    </w:p>
    <w:p w14:paraId="6539B853">
      <w:pPr>
        <w:keepNext w:val="0"/>
        <w:keepLines w:val="0"/>
        <w:pageBreakBefore w:val="0"/>
        <w:kinsoku/>
        <w:wordWrap w:val="0"/>
        <w:overflowPunct/>
        <w:topLinePunct w:val="0"/>
        <w:bidi w:val="0"/>
        <w:rPr>
          <w:color w:val="auto"/>
          <w:highlight w:val="none"/>
        </w:rPr>
      </w:pPr>
    </w:p>
    <w:p w14:paraId="48EF7718">
      <w:pPr>
        <w:pStyle w:val="7"/>
        <w:keepNext w:val="0"/>
        <w:keepLines w:val="0"/>
        <w:pageBreakBefore w:val="0"/>
        <w:kinsoku/>
        <w:wordWrap w:val="0"/>
        <w:overflowPunct/>
        <w:topLinePunct w:val="0"/>
        <w:bidi w:val="0"/>
        <w:ind w:left="0"/>
        <w:rPr>
          <w:b/>
          <w:color w:val="auto"/>
          <w:sz w:val="30"/>
          <w:highlight w:val="none"/>
        </w:rPr>
      </w:pPr>
    </w:p>
    <w:p w14:paraId="45C8C72D">
      <w:pPr>
        <w:pStyle w:val="7"/>
        <w:keepNext w:val="0"/>
        <w:keepLines w:val="0"/>
        <w:pageBreakBefore w:val="0"/>
        <w:kinsoku/>
        <w:wordWrap w:val="0"/>
        <w:overflowPunct/>
        <w:topLinePunct w:val="0"/>
        <w:bidi w:val="0"/>
        <w:ind w:left="0"/>
        <w:rPr>
          <w:b/>
          <w:color w:val="auto"/>
          <w:sz w:val="30"/>
          <w:highlight w:val="none"/>
        </w:rPr>
      </w:pPr>
    </w:p>
    <w:p w14:paraId="0B31CB56">
      <w:pPr>
        <w:keepNext w:val="0"/>
        <w:keepLines w:val="0"/>
        <w:pageBreakBefore w:val="0"/>
        <w:kinsoku/>
        <w:wordWrap w:val="0"/>
        <w:overflowPunct/>
        <w:topLinePunct w:val="0"/>
        <w:bidi w:val="0"/>
        <w:spacing w:line="360" w:lineRule="auto"/>
        <w:jc w:val="center"/>
        <w:rPr>
          <w:rFonts w:hint="eastAsia"/>
          <w:color w:val="auto"/>
          <w:sz w:val="28"/>
          <w:szCs w:val="28"/>
          <w:highlight w:val="none"/>
        </w:rPr>
      </w:pPr>
      <w:bookmarkStart w:id="263" w:name="_Toc30532_WPSOffice_Level2"/>
    </w:p>
    <w:p w14:paraId="19E941DD">
      <w:pPr>
        <w:keepNext w:val="0"/>
        <w:keepLines w:val="0"/>
        <w:pageBreakBefore w:val="0"/>
        <w:kinsoku/>
        <w:wordWrap w:val="0"/>
        <w:overflowPunct/>
        <w:topLinePunct w:val="0"/>
        <w:bidi w:val="0"/>
        <w:spacing w:line="360" w:lineRule="auto"/>
        <w:jc w:val="center"/>
        <w:rPr>
          <w:color w:val="auto"/>
          <w:sz w:val="28"/>
          <w:szCs w:val="28"/>
          <w:highlight w:val="none"/>
        </w:rPr>
      </w:pPr>
      <w:r>
        <w:rPr>
          <w:rFonts w:hint="eastAsia"/>
          <w:color w:val="auto"/>
          <w:sz w:val="28"/>
          <w:szCs w:val="28"/>
          <w:highlight w:val="none"/>
        </w:rPr>
        <w:t>供应商：（公章签章）</w:t>
      </w:r>
      <w:bookmarkEnd w:id="263"/>
    </w:p>
    <w:p w14:paraId="4B026084">
      <w:pPr>
        <w:keepNext w:val="0"/>
        <w:keepLines w:val="0"/>
        <w:pageBreakBefore w:val="0"/>
        <w:kinsoku/>
        <w:wordWrap w:val="0"/>
        <w:overflowPunct/>
        <w:topLinePunct w:val="0"/>
        <w:bidi w:val="0"/>
        <w:spacing w:line="360" w:lineRule="auto"/>
        <w:ind w:firstLine="560" w:firstLineChars="200"/>
        <w:rPr>
          <w:color w:val="auto"/>
          <w:sz w:val="28"/>
          <w:szCs w:val="28"/>
          <w:highlight w:val="none"/>
        </w:rPr>
      </w:pPr>
    </w:p>
    <w:p w14:paraId="44031A65">
      <w:pPr>
        <w:keepNext w:val="0"/>
        <w:keepLines w:val="0"/>
        <w:pageBreakBefore w:val="0"/>
        <w:kinsoku/>
        <w:wordWrap w:val="0"/>
        <w:overflowPunct/>
        <w:topLinePunct w:val="0"/>
        <w:bidi w:val="0"/>
        <w:spacing w:line="360" w:lineRule="auto"/>
        <w:ind w:firstLine="1540" w:firstLineChars="550"/>
        <w:rPr>
          <w:color w:val="auto"/>
          <w:sz w:val="28"/>
          <w:szCs w:val="28"/>
          <w:highlight w:val="none"/>
        </w:rPr>
      </w:pPr>
      <w:bookmarkStart w:id="264" w:name="_Toc1100_WPSOffice_Level3"/>
      <w:r>
        <w:rPr>
          <w:rFonts w:hint="eastAsia"/>
          <w:color w:val="auto"/>
          <w:sz w:val="28"/>
          <w:szCs w:val="28"/>
          <w:highlight w:val="none"/>
        </w:rPr>
        <w:t>法定代表人或其委托代理人：（法人签章）</w:t>
      </w:r>
      <w:bookmarkEnd w:id="264"/>
    </w:p>
    <w:p w14:paraId="6F8EB873">
      <w:pPr>
        <w:keepNext w:val="0"/>
        <w:keepLines w:val="0"/>
        <w:pageBreakBefore w:val="0"/>
        <w:kinsoku/>
        <w:wordWrap w:val="0"/>
        <w:overflowPunct/>
        <w:topLinePunct w:val="0"/>
        <w:bidi w:val="0"/>
        <w:spacing w:line="360" w:lineRule="auto"/>
        <w:jc w:val="center"/>
        <w:rPr>
          <w:color w:val="auto"/>
          <w:szCs w:val="21"/>
          <w:highlight w:val="none"/>
          <w:u w:val="single"/>
        </w:rPr>
      </w:pPr>
    </w:p>
    <w:p w14:paraId="4AF186BA">
      <w:pPr>
        <w:keepNext w:val="0"/>
        <w:keepLines w:val="0"/>
        <w:pageBreakBefore w:val="0"/>
        <w:kinsoku/>
        <w:wordWrap w:val="0"/>
        <w:overflowPunct/>
        <w:topLinePunct w:val="0"/>
        <w:bidi w:val="0"/>
        <w:spacing w:line="360" w:lineRule="auto"/>
        <w:jc w:val="center"/>
        <w:rPr>
          <w:color w:val="auto"/>
          <w:sz w:val="28"/>
          <w:szCs w:val="28"/>
          <w:highlight w:val="none"/>
        </w:rPr>
      </w:pPr>
      <w:bookmarkStart w:id="265" w:name="_Toc31948_WPSOffice_Level2"/>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bookmarkEnd w:id="265"/>
    </w:p>
    <w:p w14:paraId="560AC26B">
      <w:pPr>
        <w:keepNext w:val="0"/>
        <w:keepLines w:val="0"/>
        <w:pageBreakBefore w:val="0"/>
        <w:kinsoku/>
        <w:wordWrap w:val="0"/>
        <w:overflowPunct/>
        <w:topLinePunct w:val="0"/>
        <w:bidi w:val="0"/>
        <w:spacing w:before="13"/>
        <w:ind w:left="904" w:right="446"/>
        <w:jc w:val="center"/>
        <w:rPr>
          <w:color w:val="auto"/>
          <w:sz w:val="48"/>
          <w:highlight w:val="none"/>
        </w:rPr>
      </w:pPr>
      <w:r>
        <w:rPr>
          <w:color w:val="auto"/>
          <w:sz w:val="48"/>
          <w:highlight w:val="none"/>
        </w:rPr>
        <w:br w:type="page"/>
      </w:r>
    </w:p>
    <w:p w14:paraId="14859FAD">
      <w:pPr>
        <w:keepNext w:val="0"/>
        <w:keepLines w:val="0"/>
        <w:pageBreakBefore w:val="0"/>
        <w:kinsoku/>
        <w:wordWrap w:val="0"/>
        <w:overflowPunct/>
        <w:topLinePunct w:val="0"/>
        <w:bidi w:val="0"/>
        <w:spacing w:before="13"/>
        <w:ind w:left="904" w:right="446" w:firstLine="3360" w:firstLineChars="700"/>
        <w:jc w:val="both"/>
        <w:rPr>
          <w:color w:val="auto"/>
          <w:sz w:val="48"/>
          <w:highlight w:val="none"/>
        </w:rPr>
      </w:pPr>
      <w:bookmarkStart w:id="266" w:name="_Toc28927_WPSOffice_Level3"/>
      <w:r>
        <w:rPr>
          <w:color w:val="auto"/>
          <w:sz w:val="48"/>
          <w:highlight w:val="none"/>
        </w:rPr>
        <w:t>目</w:t>
      </w:r>
      <w:r>
        <w:rPr>
          <w:rFonts w:hint="eastAsia"/>
          <w:color w:val="auto"/>
          <w:sz w:val="48"/>
          <w:highlight w:val="none"/>
          <w:lang w:val="en-US" w:eastAsia="zh-CN"/>
        </w:rPr>
        <w:t xml:space="preserve">  </w:t>
      </w:r>
      <w:r>
        <w:rPr>
          <w:color w:val="auto"/>
          <w:sz w:val="48"/>
          <w:highlight w:val="none"/>
        </w:rPr>
        <w:t>录</w:t>
      </w:r>
      <w:bookmarkEnd w:id="266"/>
    </w:p>
    <w:p w14:paraId="7E13FAA8">
      <w:pPr>
        <w:pStyle w:val="7"/>
        <w:keepNext w:val="0"/>
        <w:keepLines w:val="0"/>
        <w:pageBreakBefore w:val="0"/>
        <w:kinsoku/>
        <w:wordWrap w:val="0"/>
        <w:overflowPunct/>
        <w:topLinePunct w:val="0"/>
        <w:bidi w:val="0"/>
        <w:spacing w:before="12"/>
        <w:ind w:left="0"/>
        <w:jc w:val="center"/>
        <w:rPr>
          <w:color w:val="auto"/>
          <w:sz w:val="44"/>
          <w:highlight w:val="none"/>
        </w:rPr>
      </w:pPr>
    </w:p>
    <w:p w14:paraId="65A24764">
      <w:pPr>
        <w:keepNext w:val="0"/>
        <w:keepLines w:val="0"/>
        <w:pageBreakBefore w:val="0"/>
        <w:kinsoku/>
        <w:wordWrap w:val="0"/>
        <w:overflowPunct/>
        <w:topLinePunct w:val="0"/>
        <w:bidi w:val="0"/>
        <w:jc w:val="center"/>
        <w:rPr>
          <w:rFonts w:hint="eastAsia" w:eastAsia="宋体"/>
          <w:color w:val="auto"/>
          <w:highlight w:val="none"/>
          <w:lang w:eastAsia="zh-CN"/>
        </w:rPr>
        <w:sectPr>
          <w:footerReference r:id="rId8" w:type="default"/>
          <w:pgSz w:w="11910" w:h="16840"/>
          <w:pgMar w:top="1340" w:right="1020" w:bottom="900" w:left="1040" w:header="0" w:footer="720" w:gutter="0"/>
          <w:pgBorders>
            <w:top w:val="none" w:sz="0" w:space="0"/>
            <w:left w:val="none" w:sz="0" w:space="0"/>
            <w:bottom w:val="none" w:sz="0" w:space="0"/>
            <w:right w:val="none" w:sz="0" w:space="0"/>
          </w:pgBorders>
          <w:pgNumType w:fmt="decimal"/>
          <w:cols w:space="720" w:num="1"/>
        </w:sect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73AC9CED">
      <w:pPr>
        <w:keepNext w:val="0"/>
        <w:keepLines w:val="0"/>
        <w:pageBreakBefore w:val="0"/>
        <w:kinsoku/>
        <w:wordWrap w:val="0"/>
        <w:overflowPunct/>
        <w:topLinePunct w:val="0"/>
        <w:bidi w:val="0"/>
        <w:spacing w:line="360" w:lineRule="auto"/>
        <w:jc w:val="center"/>
        <w:outlineLvl w:val="0"/>
        <w:rPr>
          <w:color w:val="auto"/>
          <w:sz w:val="28"/>
          <w:szCs w:val="20"/>
          <w:highlight w:val="none"/>
          <w:lang w:val="en-US"/>
        </w:rPr>
      </w:pPr>
      <w:bookmarkStart w:id="267" w:name="_Toc144974857"/>
      <w:bookmarkStart w:id="268" w:name="_Toc152045788"/>
      <w:bookmarkStart w:id="269" w:name="_Toc152042577"/>
      <w:bookmarkStart w:id="270" w:name="_Toc487498495"/>
      <w:bookmarkStart w:id="271" w:name="_Toc8655_WPSOffice_Level1"/>
      <w:bookmarkStart w:id="272" w:name="_Toc28978"/>
      <w:bookmarkStart w:id="273" w:name="_Toc25215"/>
      <w:r>
        <w:rPr>
          <w:rFonts w:hint="eastAsia"/>
          <w:color w:val="auto"/>
          <w:sz w:val="28"/>
          <w:szCs w:val="20"/>
          <w:highlight w:val="none"/>
          <w:lang w:val="en-US"/>
        </w:rPr>
        <w:t>一、磋商函及</w:t>
      </w:r>
      <w:bookmarkEnd w:id="267"/>
      <w:bookmarkEnd w:id="268"/>
      <w:bookmarkEnd w:id="269"/>
      <w:r>
        <w:rPr>
          <w:rFonts w:hint="eastAsia"/>
          <w:color w:val="auto"/>
          <w:sz w:val="28"/>
          <w:szCs w:val="20"/>
          <w:highlight w:val="none"/>
          <w:lang w:val="en-US"/>
        </w:rPr>
        <w:t>磋商函附录</w:t>
      </w:r>
      <w:bookmarkEnd w:id="270"/>
      <w:bookmarkEnd w:id="271"/>
      <w:bookmarkEnd w:id="272"/>
      <w:bookmarkEnd w:id="273"/>
    </w:p>
    <w:p w14:paraId="39F58923">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bookmarkStart w:id="274" w:name="_Toc464035571"/>
      <w:bookmarkStart w:id="275" w:name="_Toc487498496"/>
      <w:bookmarkStart w:id="276" w:name="_Toc26765"/>
      <w:bookmarkStart w:id="277" w:name="_Toc455080170"/>
      <w:bookmarkStart w:id="278" w:name="_Toc152042578"/>
      <w:bookmarkStart w:id="279" w:name="_Toc18705"/>
      <w:bookmarkStart w:id="280" w:name="_Toc30581"/>
      <w:bookmarkStart w:id="281" w:name="_Toc488504497"/>
      <w:bookmarkStart w:id="282" w:name="_Toc23888"/>
      <w:bookmarkStart w:id="283" w:name="_Toc144974858"/>
      <w:bookmarkStart w:id="284" w:name="_Toc152045789"/>
      <w:bookmarkStart w:id="285" w:name="_Toc318450744"/>
      <w:bookmarkStart w:id="286" w:name="_Toc463701092"/>
      <w:bookmarkStart w:id="287" w:name="_Toc11855"/>
      <w:bookmarkStart w:id="288" w:name="_Toc7366_WPSOffice_Level2"/>
      <w:bookmarkStart w:id="289" w:name="_Toc26262"/>
      <w:bookmarkStart w:id="290" w:name="_Toc8915"/>
      <w:r>
        <w:rPr>
          <w:rFonts w:hint="eastAsia"/>
          <w:color w:val="auto"/>
          <w:sz w:val="28"/>
          <w:szCs w:val="20"/>
          <w:highlight w:val="none"/>
          <w:lang w:val="en-US"/>
        </w:rPr>
        <w:t>（一）磋商函</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6831CC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791E744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rPr>
        <w:t xml:space="preserve">1．我方在考察现场并充分研究 </w:t>
      </w:r>
      <w:r>
        <w:rPr>
          <w:rFonts w:hint="eastAsia"/>
          <w:color w:val="auto"/>
          <w:sz w:val="24"/>
          <w:highlight w:val="none"/>
          <w:u w:val="single"/>
        </w:rPr>
        <w:t xml:space="preserve">                （项目名称）</w:t>
      </w:r>
      <w:r>
        <w:rPr>
          <w:rFonts w:hint="eastAsia"/>
          <w:color w:val="auto"/>
          <w:sz w:val="24"/>
          <w:highlight w:val="none"/>
          <w:u w:val="single"/>
          <w:lang w:eastAsia="zh-CN"/>
        </w:rPr>
        <w:t>、（</w:t>
      </w:r>
      <w:r>
        <w:rPr>
          <w:rFonts w:hint="eastAsia"/>
          <w:color w:val="auto"/>
          <w:sz w:val="24"/>
          <w:highlight w:val="none"/>
          <w:u w:val="single"/>
          <w:lang w:val="en-US" w:eastAsia="zh-CN"/>
        </w:rPr>
        <w:t xml:space="preserve">  标段</w:t>
      </w:r>
      <w:r>
        <w:rPr>
          <w:rFonts w:hint="eastAsia"/>
          <w:color w:val="auto"/>
          <w:sz w:val="24"/>
          <w:highlight w:val="none"/>
          <w:u w:val="single"/>
          <w:lang w:eastAsia="zh-CN"/>
        </w:rPr>
        <w:t>）</w:t>
      </w:r>
      <w:r>
        <w:rPr>
          <w:rFonts w:hint="eastAsia"/>
          <w:color w:val="auto"/>
          <w:sz w:val="24"/>
          <w:highlight w:val="none"/>
        </w:rPr>
        <w:t>磋商文件的全部内容，愿意以磋商函附录中的报价人民币</w:t>
      </w:r>
      <w:r>
        <w:rPr>
          <w:rFonts w:hint="eastAsia"/>
          <w:color w:val="auto"/>
          <w:sz w:val="24"/>
          <w:highlight w:val="none"/>
          <w:u w:val="single"/>
        </w:rPr>
        <w:t>（大写</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u w:val="single"/>
          <w:lang w:val="en-US" w:eastAsia="zh-CN"/>
        </w:rPr>
        <w:t xml:space="preserve">  </w:t>
      </w:r>
      <w:r>
        <w:rPr>
          <w:rFonts w:hint="eastAsia"/>
          <w:color w:val="auto"/>
          <w:sz w:val="24"/>
          <w:highlight w:val="none"/>
          <w:u w:val="single"/>
          <w:lang w:val="en-US"/>
        </w:rPr>
        <w:t>元</w:t>
      </w:r>
      <w:r>
        <w:rPr>
          <w:rFonts w:hint="eastAsia"/>
          <w:color w:val="auto"/>
          <w:sz w:val="24"/>
          <w:highlight w:val="none"/>
          <w:u w:val="single"/>
        </w:rPr>
        <w:t>）</w:t>
      </w:r>
      <w:r>
        <w:rPr>
          <w:rFonts w:hint="eastAsia"/>
          <w:color w:val="auto"/>
          <w:sz w:val="24"/>
          <w:highlight w:val="none"/>
        </w:rPr>
        <w:t>，质量</w:t>
      </w:r>
      <w:r>
        <w:rPr>
          <w:rFonts w:hint="eastAsia"/>
          <w:color w:val="auto"/>
          <w:sz w:val="24"/>
          <w:highlight w:val="none"/>
          <w:u w:val="single"/>
          <w:lang w:val="en-US" w:eastAsia="zh-CN"/>
        </w:rPr>
        <w:t xml:space="preserve">     </w:t>
      </w:r>
      <w:r>
        <w:rPr>
          <w:rFonts w:hint="eastAsia"/>
          <w:color w:val="auto"/>
          <w:sz w:val="24"/>
          <w:highlight w:val="none"/>
        </w:rPr>
        <w:t>，供货期</w:t>
      </w:r>
      <w:r>
        <w:rPr>
          <w:rFonts w:hint="eastAsia"/>
          <w:color w:val="auto"/>
          <w:sz w:val="24"/>
          <w:highlight w:val="none"/>
          <w:u w:val="single"/>
          <w:lang w:val="en-US" w:eastAsia="zh-CN"/>
        </w:rPr>
        <w:t xml:space="preserve">    </w:t>
      </w:r>
      <w:r>
        <w:rPr>
          <w:rFonts w:hint="eastAsia"/>
          <w:color w:val="auto"/>
          <w:sz w:val="24"/>
          <w:highlight w:val="none"/>
        </w:rPr>
        <w:t>，并严格按照合同约定完成相关供货服务。</w:t>
      </w:r>
    </w:p>
    <w:p w14:paraId="70C0ED47">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据此函，经考察现场并</w:t>
      </w:r>
      <w:r>
        <w:rPr>
          <w:rFonts w:hint="eastAsia"/>
          <w:color w:val="auto"/>
          <w:sz w:val="24"/>
          <w:highlight w:val="none"/>
        </w:rPr>
        <w:t>认真</w:t>
      </w:r>
      <w:r>
        <w:rPr>
          <w:color w:val="auto"/>
          <w:sz w:val="24"/>
          <w:highlight w:val="none"/>
        </w:rPr>
        <w:t>研究</w:t>
      </w:r>
      <w:r>
        <w:rPr>
          <w:rFonts w:hint="eastAsia"/>
          <w:color w:val="auto"/>
          <w:sz w:val="24"/>
          <w:highlight w:val="none"/>
        </w:rPr>
        <w:t>磋商</w:t>
      </w:r>
      <w:r>
        <w:rPr>
          <w:color w:val="auto"/>
          <w:sz w:val="24"/>
          <w:highlight w:val="none"/>
        </w:rPr>
        <w:t>文件后，</w:t>
      </w:r>
      <w:r>
        <w:rPr>
          <w:rFonts w:hint="eastAsia"/>
          <w:color w:val="auto"/>
          <w:sz w:val="24"/>
          <w:highlight w:val="none"/>
        </w:rPr>
        <w:t>我方</w:t>
      </w:r>
      <w:r>
        <w:rPr>
          <w:color w:val="auto"/>
          <w:sz w:val="24"/>
          <w:highlight w:val="none"/>
        </w:rPr>
        <w:t>同意：</w:t>
      </w:r>
    </w:p>
    <w:p w14:paraId="58CFF2E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.1</w:t>
      </w:r>
      <w:r>
        <w:rPr>
          <w:rFonts w:hint="eastAsia"/>
          <w:color w:val="auto"/>
          <w:sz w:val="24"/>
          <w:highlight w:val="none"/>
        </w:rPr>
        <w:t>根据项目情况，</w:t>
      </w:r>
      <w:r>
        <w:rPr>
          <w:color w:val="auto"/>
          <w:sz w:val="24"/>
          <w:highlight w:val="none"/>
        </w:rPr>
        <w:t>自主报价参与商务投标报价并承担</w:t>
      </w:r>
      <w:r>
        <w:rPr>
          <w:rFonts w:hint="eastAsia"/>
          <w:color w:val="auto"/>
          <w:sz w:val="24"/>
          <w:highlight w:val="none"/>
        </w:rPr>
        <w:t>磋商</w:t>
      </w:r>
      <w:r>
        <w:rPr>
          <w:color w:val="auto"/>
          <w:sz w:val="24"/>
          <w:highlight w:val="none"/>
        </w:rPr>
        <w:t>文件规定的</w:t>
      </w:r>
      <w:r>
        <w:rPr>
          <w:rFonts w:hint="eastAsia"/>
          <w:color w:val="auto"/>
          <w:sz w:val="24"/>
          <w:highlight w:val="none"/>
        </w:rPr>
        <w:t>各项内容及服务</w:t>
      </w:r>
      <w:r>
        <w:rPr>
          <w:color w:val="auto"/>
          <w:sz w:val="24"/>
          <w:highlight w:val="none"/>
        </w:rPr>
        <w:t>（报价表附后）。</w:t>
      </w:r>
    </w:p>
    <w:p w14:paraId="2623895C">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.2接受</w:t>
      </w:r>
      <w:r>
        <w:rPr>
          <w:rFonts w:hint="eastAsia"/>
          <w:color w:val="auto"/>
          <w:sz w:val="24"/>
          <w:highlight w:val="none"/>
        </w:rPr>
        <w:t>采购人“合同文本”中</w:t>
      </w:r>
      <w:r>
        <w:rPr>
          <w:color w:val="auto"/>
          <w:sz w:val="24"/>
          <w:highlight w:val="none"/>
        </w:rPr>
        <w:t>条款的所有要求。</w:t>
      </w:r>
    </w:p>
    <w:p w14:paraId="28E26D74">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color w:val="auto"/>
          <w:sz w:val="24"/>
          <w:highlight w:val="none"/>
        </w:rPr>
        <w:t>.3一旦我方</w:t>
      </w:r>
      <w:r>
        <w:rPr>
          <w:rFonts w:hint="eastAsia"/>
          <w:color w:val="auto"/>
          <w:sz w:val="24"/>
          <w:highlight w:val="none"/>
        </w:rPr>
        <w:t>成交</w:t>
      </w:r>
      <w:r>
        <w:rPr>
          <w:color w:val="auto"/>
          <w:sz w:val="24"/>
          <w:highlight w:val="none"/>
        </w:rPr>
        <w:t>，保证按</w:t>
      </w:r>
      <w:r>
        <w:rPr>
          <w:rFonts w:hint="eastAsia"/>
          <w:color w:val="auto"/>
          <w:sz w:val="24"/>
          <w:highlight w:val="none"/>
        </w:rPr>
        <w:t>磋商</w:t>
      </w:r>
      <w:r>
        <w:rPr>
          <w:color w:val="auto"/>
          <w:sz w:val="24"/>
          <w:highlight w:val="none"/>
        </w:rPr>
        <w:t>文件的规定和投标时的相关承诺提供</w:t>
      </w:r>
      <w:r>
        <w:rPr>
          <w:rFonts w:hint="eastAsia"/>
          <w:color w:val="auto"/>
          <w:sz w:val="24"/>
          <w:highlight w:val="none"/>
        </w:rPr>
        <w:t>相关产品及</w:t>
      </w:r>
      <w:r>
        <w:rPr>
          <w:color w:val="auto"/>
          <w:sz w:val="24"/>
          <w:highlight w:val="none"/>
        </w:rPr>
        <w:t>服务。</w:t>
      </w:r>
    </w:p>
    <w:p w14:paraId="162521C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4按</w:t>
      </w:r>
      <w:r>
        <w:rPr>
          <w:rFonts w:hint="eastAsia"/>
          <w:color w:val="auto"/>
          <w:sz w:val="24"/>
          <w:highlight w:val="none"/>
        </w:rPr>
        <w:t>磋商</w:t>
      </w:r>
      <w:r>
        <w:rPr>
          <w:color w:val="auto"/>
          <w:sz w:val="24"/>
          <w:highlight w:val="none"/>
        </w:rPr>
        <w:t>文件中的规定，认定本</w:t>
      </w:r>
      <w:r>
        <w:rPr>
          <w:rFonts w:hint="eastAsia"/>
          <w:color w:val="auto"/>
          <w:sz w:val="24"/>
          <w:highlight w:val="none"/>
        </w:rPr>
        <w:t>响应</w:t>
      </w:r>
      <w:r>
        <w:rPr>
          <w:color w:val="auto"/>
          <w:sz w:val="24"/>
          <w:highlight w:val="none"/>
        </w:rPr>
        <w:t>文件的有效期为</w:t>
      </w:r>
      <w:r>
        <w:rPr>
          <w:rFonts w:hint="eastAsia"/>
          <w:color w:val="auto"/>
          <w:sz w:val="24"/>
          <w:highlight w:val="none"/>
        </w:rPr>
        <w:t>响应文件递交</w:t>
      </w:r>
      <w:r>
        <w:rPr>
          <w:color w:val="auto"/>
          <w:sz w:val="24"/>
          <w:highlight w:val="none"/>
        </w:rPr>
        <w:t>截止</w:t>
      </w:r>
      <w:r>
        <w:rPr>
          <w:rFonts w:hint="eastAsia"/>
          <w:color w:val="auto"/>
          <w:sz w:val="24"/>
          <w:highlight w:val="none"/>
        </w:rPr>
        <w:t>日</w:t>
      </w:r>
      <w:r>
        <w:rPr>
          <w:color w:val="auto"/>
          <w:sz w:val="24"/>
          <w:highlight w:val="none"/>
        </w:rPr>
        <w:t>后60</w:t>
      </w:r>
      <w:r>
        <w:rPr>
          <w:rFonts w:hint="eastAsia"/>
          <w:color w:val="auto"/>
          <w:sz w:val="24"/>
          <w:highlight w:val="none"/>
        </w:rPr>
        <w:t>日历</w:t>
      </w:r>
      <w:r>
        <w:rPr>
          <w:color w:val="auto"/>
          <w:sz w:val="24"/>
          <w:highlight w:val="none"/>
        </w:rPr>
        <w:t>天。本</w:t>
      </w:r>
      <w:r>
        <w:rPr>
          <w:rFonts w:hint="eastAsia"/>
          <w:color w:val="auto"/>
          <w:sz w:val="24"/>
          <w:highlight w:val="none"/>
        </w:rPr>
        <w:t>响应</w:t>
      </w:r>
      <w:r>
        <w:rPr>
          <w:color w:val="auto"/>
          <w:sz w:val="24"/>
          <w:highlight w:val="none"/>
        </w:rPr>
        <w:t>文件在截止</w:t>
      </w:r>
      <w:r>
        <w:rPr>
          <w:rFonts w:hint="eastAsia"/>
          <w:color w:val="auto"/>
          <w:sz w:val="24"/>
          <w:highlight w:val="none"/>
        </w:rPr>
        <w:t>日起即</w:t>
      </w:r>
      <w:r>
        <w:rPr>
          <w:color w:val="auto"/>
          <w:sz w:val="24"/>
          <w:highlight w:val="none"/>
        </w:rPr>
        <w:t>对我方</w:t>
      </w:r>
      <w:r>
        <w:rPr>
          <w:rFonts w:hint="eastAsia"/>
          <w:color w:val="auto"/>
          <w:sz w:val="24"/>
          <w:highlight w:val="none"/>
        </w:rPr>
        <w:t>具</w:t>
      </w:r>
      <w:r>
        <w:rPr>
          <w:color w:val="auto"/>
          <w:sz w:val="24"/>
          <w:highlight w:val="none"/>
        </w:rPr>
        <w:t>有约束力</w:t>
      </w:r>
      <w:r>
        <w:rPr>
          <w:rFonts w:hint="eastAsia"/>
          <w:color w:val="auto"/>
          <w:sz w:val="24"/>
          <w:highlight w:val="none"/>
        </w:rPr>
        <w:t>。</w:t>
      </w:r>
    </w:p>
    <w:p w14:paraId="7FCE872D">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5提供</w:t>
      </w:r>
      <w:r>
        <w:rPr>
          <w:rFonts w:hint="eastAsia"/>
          <w:color w:val="auto"/>
          <w:sz w:val="24"/>
          <w:highlight w:val="none"/>
        </w:rPr>
        <w:t>磋商</w:t>
      </w:r>
      <w:r>
        <w:rPr>
          <w:color w:val="auto"/>
          <w:sz w:val="24"/>
          <w:highlight w:val="none"/>
        </w:rPr>
        <w:t>文件中要求的所有文件资料。</w:t>
      </w:r>
    </w:p>
    <w:p w14:paraId="56732533">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6承认报价是评标的重要因素，但不是唯一标准。</w:t>
      </w:r>
      <w:r>
        <w:rPr>
          <w:rFonts w:hint="eastAsia"/>
          <w:color w:val="auto"/>
          <w:sz w:val="24"/>
          <w:highlight w:val="none"/>
        </w:rPr>
        <w:t>我方完全理解采购人不一定将合同授予最低报价的供应商的行为。</w:t>
      </w:r>
    </w:p>
    <w:p w14:paraId="4FE36F7B">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.7</w:t>
      </w:r>
      <w:r>
        <w:rPr>
          <w:color w:val="auto"/>
          <w:sz w:val="24"/>
          <w:highlight w:val="none"/>
        </w:rPr>
        <w:t>已经详细审核了全部</w:t>
      </w:r>
      <w:r>
        <w:rPr>
          <w:rFonts w:hint="eastAsia"/>
          <w:color w:val="auto"/>
          <w:sz w:val="24"/>
          <w:highlight w:val="none"/>
        </w:rPr>
        <w:t>磋商</w:t>
      </w:r>
      <w:r>
        <w:rPr>
          <w:color w:val="auto"/>
          <w:sz w:val="24"/>
          <w:highlight w:val="none"/>
        </w:rPr>
        <w:t>文件，包括修改、补充的文件（如果有的话）和参考资料，我们完全理解并同意放弃对这方面有不明及误解的权利。</w:t>
      </w:r>
    </w:p>
    <w:p w14:paraId="6E9D3AC6">
      <w:pPr>
        <w:keepNext w:val="0"/>
        <w:keepLines w:val="0"/>
        <w:pageBreakBefore w:val="0"/>
        <w:kinsoku/>
        <w:wordWrap w:val="0"/>
        <w:overflowPunct/>
        <w:topLinePunct w:val="0"/>
        <w:bidi w:val="0"/>
        <w:spacing w:line="360" w:lineRule="auto"/>
        <w:ind w:firstLine="480" w:firstLineChars="200"/>
        <w:rPr>
          <w:color w:val="auto"/>
          <w:sz w:val="24"/>
          <w:highlight w:val="none"/>
        </w:rPr>
      </w:pPr>
      <w:r>
        <w:rPr>
          <w:rFonts w:hint="eastAsia"/>
          <w:color w:val="auto"/>
          <w:sz w:val="24"/>
          <w:highlight w:val="none"/>
          <w:lang w:val="en-US"/>
        </w:rPr>
        <w:t>2</w:t>
      </w:r>
      <w:r>
        <w:rPr>
          <w:rFonts w:hint="eastAsia"/>
          <w:color w:val="auto"/>
          <w:sz w:val="24"/>
          <w:highlight w:val="none"/>
        </w:rPr>
        <w:t>.8</w:t>
      </w:r>
      <w:r>
        <w:rPr>
          <w:color w:val="auto"/>
          <w:sz w:val="24"/>
          <w:highlight w:val="none"/>
        </w:rPr>
        <w:t>按《中华人民共和国</w:t>
      </w:r>
      <w:r>
        <w:rPr>
          <w:rFonts w:hint="eastAsia"/>
          <w:color w:val="auto"/>
          <w:sz w:val="24"/>
          <w:highlight w:val="none"/>
          <w:lang w:eastAsia="zh-CN"/>
        </w:rPr>
        <w:t>民法典</w:t>
      </w:r>
      <w:r>
        <w:rPr>
          <w:color w:val="auto"/>
          <w:sz w:val="24"/>
          <w:highlight w:val="none"/>
        </w:rPr>
        <w:t>》履行自己的全部责任。</w:t>
      </w:r>
    </w:p>
    <w:p w14:paraId="3E8DD485">
      <w:pPr>
        <w:keepNext w:val="0"/>
        <w:keepLines w:val="0"/>
        <w:pageBreakBefore w:val="0"/>
        <w:kinsoku/>
        <w:wordWrap w:val="0"/>
        <w:overflowPunct/>
        <w:topLinePunct w:val="0"/>
        <w:bidi w:val="0"/>
        <w:spacing w:line="400" w:lineRule="exact"/>
        <w:ind w:firstLine="4200" w:firstLineChars="1750"/>
        <w:rPr>
          <w:color w:val="auto"/>
          <w:sz w:val="24"/>
          <w:highlight w:val="none"/>
        </w:rPr>
      </w:pPr>
    </w:p>
    <w:p w14:paraId="7C26E205">
      <w:pPr>
        <w:keepNext w:val="0"/>
        <w:keepLines w:val="0"/>
        <w:pageBreakBefore w:val="0"/>
        <w:kinsoku/>
        <w:wordWrap w:val="0"/>
        <w:overflowPunct/>
        <w:topLinePunct w:val="0"/>
        <w:bidi w:val="0"/>
        <w:spacing w:line="360" w:lineRule="auto"/>
        <w:ind w:firstLine="4200" w:firstLineChars="1750"/>
        <w:rPr>
          <w:color w:val="auto"/>
          <w:sz w:val="24"/>
          <w:highlight w:val="none"/>
        </w:rPr>
      </w:pPr>
      <w:r>
        <w:rPr>
          <w:rFonts w:hint="eastAsia"/>
          <w:color w:val="auto"/>
          <w:sz w:val="24"/>
          <w:highlight w:val="none"/>
        </w:rPr>
        <w:t>供应商：（公章签章）</w:t>
      </w:r>
    </w:p>
    <w:p w14:paraId="1B420E74">
      <w:pPr>
        <w:keepNext w:val="0"/>
        <w:keepLines w:val="0"/>
        <w:pageBreakBefore w:val="0"/>
        <w:kinsoku/>
        <w:wordWrap w:val="0"/>
        <w:overflowPunct/>
        <w:topLinePunct w:val="0"/>
        <w:bidi w:val="0"/>
        <w:spacing w:line="360" w:lineRule="auto"/>
        <w:jc w:val="center"/>
        <w:rPr>
          <w:color w:val="auto"/>
          <w:sz w:val="24"/>
          <w:highlight w:val="none"/>
        </w:rPr>
      </w:pPr>
      <w:bookmarkStart w:id="291" w:name="_Toc13053_WPSOffice_Level3"/>
      <w:r>
        <w:rPr>
          <w:rFonts w:hint="eastAsia"/>
          <w:color w:val="auto"/>
          <w:sz w:val="24"/>
          <w:highlight w:val="none"/>
        </w:rPr>
        <w:t>法定代表人或其委托代理人：（法人签章）</w:t>
      </w:r>
      <w:bookmarkEnd w:id="291"/>
    </w:p>
    <w:p w14:paraId="029F292E">
      <w:pPr>
        <w:keepNext w:val="0"/>
        <w:keepLines w:val="0"/>
        <w:pageBreakBefore w:val="0"/>
        <w:kinsoku/>
        <w:wordWrap w:val="0"/>
        <w:overflowPunct/>
        <w:topLinePunct w:val="0"/>
        <w:bidi w:val="0"/>
        <w:spacing w:line="360" w:lineRule="auto"/>
        <w:ind w:firstLine="960" w:firstLineChars="400"/>
        <w:jc w:val="both"/>
        <w:rPr>
          <w:color w:val="auto"/>
          <w:sz w:val="24"/>
          <w:highlight w:val="none"/>
        </w:rPr>
      </w:pPr>
      <w:r>
        <w:rPr>
          <w:rFonts w:hint="eastAsia"/>
          <w:color w:val="auto"/>
          <w:sz w:val="24"/>
          <w:highlight w:val="none"/>
        </w:rPr>
        <w:t xml:space="preserve">                                年  月   日</w:t>
      </w:r>
    </w:p>
    <w:p w14:paraId="160F9F40">
      <w:pPr>
        <w:keepNext w:val="0"/>
        <w:keepLines w:val="0"/>
        <w:pageBreakBefore w:val="0"/>
        <w:kinsoku/>
        <w:wordWrap w:val="0"/>
        <w:overflowPunct/>
        <w:topLinePunct w:val="0"/>
        <w:bidi w:val="0"/>
        <w:spacing w:line="360" w:lineRule="auto"/>
        <w:jc w:val="both"/>
        <w:outlineLvl w:val="2"/>
        <w:rPr>
          <w:b/>
          <w:color w:val="auto"/>
          <w:sz w:val="32"/>
          <w:highlight w:val="none"/>
        </w:rPr>
      </w:pPr>
    </w:p>
    <w:p w14:paraId="584646A2">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bookmarkStart w:id="292" w:name="_Toc216842529"/>
      <w:bookmarkStart w:id="293" w:name="_Toc403418354"/>
      <w:bookmarkStart w:id="294" w:name="_Toc403418420"/>
      <w:bookmarkStart w:id="295" w:name="_Toc13604_WPSOffice_Level2"/>
      <w:bookmarkStart w:id="296" w:name="_Toc20293"/>
      <w:bookmarkStart w:id="297" w:name="_Toc25194"/>
      <w:bookmarkStart w:id="298" w:name="_Toc14822"/>
    </w:p>
    <w:p w14:paraId="4AFE9353">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717C7F97">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1C329D29">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7F26EDA0">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285A6377">
      <w:pPr>
        <w:keepNext w:val="0"/>
        <w:keepLines w:val="0"/>
        <w:pageBreakBefore w:val="0"/>
        <w:kinsoku/>
        <w:wordWrap w:val="0"/>
        <w:overflowPunct/>
        <w:topLinePunct w:val="0"/>
        <w:bidi w:val="0"/>
        <w:spacing w:line="360" w:lineRule="auto"/>
        <w:jc w:val="center"/>
        <w:outlineLvl w:val="2"/>
        <w:rPr>
          <w:rFonts w:hint="eastAsia"/>
          <w:color w:val="auto"/>
          <w:sz w:val="28"/>
          <w:szCs w:val="20"/>
          <w:highlight w:val="none"/>
          <w:lang w:val="en-US"/>
        </w:rPr>
      </w:pPr>
    </w:p>
    <w:p w14:paraId="3F1F7D2A">
      <w:pPr>
        <w:keepNext w:val="0"/>
        <w:keepLines w:val="0"/>
        <w:pageBreakBefore w:val="0"/>
        <w:kinsoku/>
        <w:wordWrap w:val="0"/>
        <w:overflowPunct/>
        <w:topLinePunct w:val="0"/>
        <w:bidi w:val="0"/>
        <w:spacing w:line="360" w:lineRule="auto"/>
        <w:jc w:val="center"/>
        <w:outlineLvl w:val="2"/>
        <w:rPr>
          <w:color w:val="auto"/>
          <w:sz w:val="28"/>
          <w:szCs w:val="20"/>
          <w:highlight w:val="none"/>
          <w:lang w:val="en-US"/>
        </w:rPr>
      </w:pPr>
      <w:r>
        <w:rPr>
          <w:rFonts w:hint="eastAsia"/>
          <w:color w:val="auto"/>
          <w:sz w:val="28"/>
          <w:szCs w:val="20"/>
          <w:highlight w:val="none"/>
          <w:lang w:val="en-US"/>
        </w:rPr>
        <w:t>（二）</w:t>
      </w:r>
      <w:bookmarkEnd w:id="292"/>
      <w:bookmarkEnd w:id="293"/>
      <w:bookmarkEnd w:id="294"/>
      <w:r>
        <w:rPr>
          <w:rFonts w:hint="eastAsia"/>
          <w:color w:val="auto"/>
          <w:sz w:val="28"/>
          <w:szCs w:val="20"/>
          <w:highlight w:val="none"/>
          <w:lang w:val="en-US"/>
        </w:rPr>
        <w:t>磋商函附录</w:t>
      </w:r>
      <w:bookmarkEnd w:id="295"/>
      <w:bookmarkEnd w:id="296"/>
      <w:bookmarkEnd w:id="297"/>
      <w:bookmarkEnd w:id="2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011"/>
        <w:gridCol w:w="1335"/>
        <w:gridCol w:w="3288"/>
      </w:tblGrid>
      <w:tr w14:paraId="2ACB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486" w:type="dxa"/>
            <w:noWrap/>
            <w:vAlign w:val="center"/>
          </w:tcPr>
          <w:p w14:paraId="13807D6F">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项目名称</w:t>
            </w:r>
          </w:p>
        </w:tc>
        <w:tc>
          <w:tcPr>
            <w:tcW w:w="7634" w:type="dxa"/>
            <w:gridSpan w:val="3"/>
            <w:noWrap/>
            <w:vAlign w:val="center"/>
          </w:tcPr>
          <w:p w14:paraId="4EDD3A6B">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531F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6B3A7ACA">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val="en-US" w:eastAsia="zh-CN"/>
              </w:rPr>
            </w:pPr>
            <w:r>
              <w:rPr>
                <w:rFonts w:hint="eastAsia"/>
                <w:color w:val="auto"/>
                <w:sz w:val="24"/>
                <w:highlight w:val="none"/>
                <w:lang w:val="en-US" w:eastAsia="zh-CN"/>
              </w:rPr>
              <w:t>所投标段</w:t>
            </w:r>
          </w:p>
        </w:tc>
        <w:tc>
          <w:tcPr>
            <w:tcW w:w="7634" w:type="dxa"/>
            <w:gridSpan w:val="3"/>
            <w:noWrap/>
            <w:vAlign w:val="center"/>
          </w:tcPr>
          <w:p w14:paraId="45B3DBC9">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38B9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86" w:type="dxa"/>
            <w:noWrap/>
            <w:vAlign w:val="center"/>
          </w:tcPr>
          <w:p w14:paraId="3C84A528">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供应商</w:t>
            </w:r>
          </w:p>
        </w:tc>
        <w:tc>
          <w:tcPr>
            <w:tcW w:w="7634" w:type="dxa"/>
            <w:gridSpan w:val="3"/>
            <w:noWrap/>
            <w:vAlign w:val="center"/>
          </w:tcPr>
          <w:p w14:paraId="1E8F2A20">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32BB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12B583A7">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投标内容</w:t>
            </w:r>
          </w:p>
        </w:tc>
        <w:tc>
          <w:tcPr>
            <w:tcW w:w="7634" w:type="dxa"/>
            <w:gridSpan w:val="3"/>
            <w:noWrap/>
            <w:vAlign w:val="center"/>
          </w:tcPr>
          <w:p w14:paraId="69C7D192">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p>
        </w:tc>
      </w:tr>
      <w:tr w14:paraId="45A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6" w:type="dxa"/>
            <w:noWrap/>
            <w:vAlign w:val="center"/>
          </w:tcPr>
          <w:p w14:paraId="33645A5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投标总报价</w:t>
            </w:r>
          </w:p>
        </w:tc>
        <w:tc>
          <w:tcPr>
            <w:tcW w:w="7634" w:type="dxa"/>
            <w:gridSpan w:val="3"/>
            <w:noWrap/>
            <w:vAlign w:val="center"/>
          </w:tcPr>
          <w:p w14:paraId="38C3DFBD">
            <w:pPr>
              <w:keepNext w:val="0"/>
              <w:keepLines w:val="0"/>
              <w:pageBreakBefore w:val="0"/>
              <w:kinsoku/>
              <w:wordWrap w:val="0"/>
              <w:overflowPunct/>
              <w:topLinePunct w:val="0"/>
              <w:bidi w:val="0"/>
              <w:adjustRightInd w:val="0"/>
              <w:snapToGrid w:val="0"/>
              <w:spacing w:line="380" w:lineRule="exact"/>
              <w:jc w:val="center"/>
              <w:rPr>
                <w:color w:val="auto"/>
                <w:sz w:val="24"/>
                <w:highlight w:val="none"/>
              </w:rPr>
            </w:pPr>
            <w:r>
              <w:rPr>
                <w:rFonts w:hint="eastAsia"/>
                <w:color w:val="auto"/>
                <w:sz w:val="24"/>
                <w:highlight w:val="none"/>
              </w:rPr>
              <w:t>大写： ；小写：元</w:t>
            </w:r>
          </w:p>
        </w:tc>
      </w:tr>
      <w:tr w14:paraId="6C8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86" w:type="dxa"/>
            <w:noWrap/>
            <w:vAlign w:val="center"/>
          </w:tcPr>
          <w:p w14:paraId="7EDCEA34">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项目负责人</w:t>
            </w:r>
          </w:p>
        </w:tc>
        <w:tc>
          <w:tcPr>
            <w:tcW w:w="3011" w:type="dxa"/>
            <w:noWrap/>
            <w:vAlign w:val="center"/>
          </w:tcPr>
          <w:p w14:paraId="38C472CE">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c>
          <w:tcPr>
            <w:tcW w:w="1335" w:type="dxa"/>
            <w:noWrap/>
            <w:vAlign w:val="center"/>
          </w:tcPr>
          <w:p w14:paraId="3287E5BF">
            <w:pPr>
              <w:keepNext w:val="0"/>
              <w:keepLines w:val="0"/>
              <w:pageBreakBefore w:val="0"/>
              <w:kinsoku/>
              <w:wordWrap w:val="0"/>
              <w:overflowPunct/>
              <w:topLinePunct w:val="0"/>
              <w:bidi w:val="0"/>
              <w:adjustRightInd w:val="0"/>
              <w:snapToGrid w:val="0"/>
              <w:spacing w:line="300" w:lineRule="exact"/>
              <w:jc w:val="center"/>
              <w:rPr>
                <w:rFonts w:hint="eastAsia" w:eastAsia="宋体"/>
                <w:color w:val="auto"/>
                <w:sz w:val="24"/>
                <w:highlight w:val="none"/>
                <w:lang w:eastAsia="zh-CN"/>
              </w:rPr>
            </w:pPr>
            <w:r>
              <w:rPr>
                <w:rFonts w:hint="eastAsia"/>
                <w:color w:val="auto"/>
                <w:sz w:val="24"/>
                <w:highlight w:val="none"/>
                <w:lang w:eastAsia="zh-CN"/>
              </w:rPr>
              <w:t>联系方式</w:t>
            </w:r>
          </w:p>
        </w:tc>
        <w:tc>
          <w:tcPr>
            <w:tcW w:w="3288" w:type="dxa"/>
            <w:noWrap/>
            <w:vAlign w:val="center"/>
          </w:tcPr>
          <w:p w14:paraId="1EFA6806">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664E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86" w:type="dxa"/>
            <w:noWrap/>
            <w:vAlign w:val="center"/>
          </w:tcPr>
          <w:p w14:paraId="7693F51B">
            <w:pPr>
              <w:keepNext w:val="0"/>
              <w:keepLines w:val="0"/>
              <w:pageBreakBefore w:val="0"/>
              <w:kinsoku/>
              <w:wordWrap w:val="0"/>
              <w:overflowPunct/>
              <w:topLinePunct w:val="0"/>
              <w:bidi w:val="0"/>
              <w:adjustRightInd w:val="0"/>
              <w:snapToGrid w:val="0"/>
              <w:spacing w:line="300" w:lineRule="exact"/>
              <w:jc w:val="center"/>
              <w:rPr>
                <w:rFonts w:hint="eastAsia"/>
                <w:color w:val="auto"/>
                <w:sz w:val="24"/>
                <w:highlight w:val="none"/>
                <w:lang w:eastAsia="zh-CN"/>
              </w:rPr>
            </w:pPr>
            <w:r>
              <w:rPr>
                <w:rFonts w:hint="eastAsia"/>
                <w:color w:val="auto"/>
                <w:sz w:val="24"/>
                <w:highlight w:val="none"/>
              </w:rPr>
              <w:t>供货期</w:t>
            </w:r>
          </w:p>
        </w:tc>
        <w:tc>
          <w:tcPr>
            <w:tcW w:w="7634" w:type="dxa"/>
            <w:gridSpan w:val="3"/>
            <w:noWrap/>
            <w:vAlign w:val="center"/>
          </w:tcPr>
          <w:p w14:paraId="04C4A9A0">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C87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6" w:type="dxa"/>
            <w:noWrap/>
            <w:vAlign w:val="center"/>
          </w:tcPr>
          <w:p w14:paraId="16565472">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rPr>
              <w:t>质量</w:t>
            </w:r>
          </w:p>
        </w:tc>
        <w:tc>
          <w:tcPr>
            <w:tcW w:w="7634" w:type="dxa"/>
            <w:gridSpan w:val="3"/>
            <w:noWrap/>
            <w:vAlign w:val="center"/>
          </w:tcPr>
          <w:p w14:paraId="0EAD065C">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4EBC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86" w:type="dxa"/>
            <w:noWrap/>
            <w:vAlign w:val="center"/>
          </w:tcPr>
          <w:p w14:paraId="4D334EA6">
            <w:pPr>
              <w:keepNext w:val="0"/>
              <w:keepLines w:val="0"/>
              <w:pageBreakBefore w:val="0"/>
              <w:kinsoku/>
              <w:wordWrap w:val="0"/>
              <w:overflowPunct/>
              <w:topLinePunct w:val="0"/>
              <w:bidi w:val="0"/>
              <w:adjustRightInd w:val="0"/>
              <w:snapToGrid w:val="0"/>
              <w:spacing w:line="300" w:lineRule="exact"/>
              <w:jc w:val="center"/>
              <w:rPr>
                <w:rFonts w:hint="default" w:eastAsia="宋体"/>
                <w:color w:val="auto"/>
                <w:sz w:val="24"/>
                <w:highlight w:val="none"/>
                <w:lang w:val="en-US" w:eastAsia="zh-CN"/>
              </w:rPr>
            </w:pPr>
            <w:r>
              <w:rPr>
                <w:rFonts w:hint="eastAsia"/>
                <w:color w:val="auto"/>
                <w:sz w:val="24"/>
                <w:highlight w:val="none"/>
                <w:lang w:val="en-US" w:eastAsia="zh-CN"/>
              </w:rPr>
              <w:t>质保期</w:t>
            </w:r>
          </w:p>
        </w:tc>
        <w:tc>
          <w:tcPr>
            <w:tcW w:w="7634" w:type="dxa"/>
            <w:gridSpan w:val="3"/>
            <w:noWrap/>
            <w:vAlign w:val="center"/>
          </w:tcPr>
          <w:p w14:paraId="4BCDFB5A">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p>
        </w:tc>
      </w:tr>
      <w:tr w14:paraId="775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486" w:type="dxa"/>
            <w:noWrap/>
            <w:vAlign w:val="center"/>
          </w:tcPr>
          <w:p w14:paraId="4D8AD4D3">
            <w:pPr>
              <w:keepNext w:val="0"/>
              <w:keepLines w:val="0"/>
              <w:pageBreakBefore w:val="0"/>
              <w:kinsoku/>
              <w:wordWrap w:val="0"/>
              <w:overflowPunct/>
              <w:topLinePunct w:val="0"/>
              <w:bidi w:val="0"/>
              <w:adjustRightInd w:val="0"/>
              <w:snapToGrid w:val="0"/>
              <w:spacing w:line="300" w:lineRule="exact"/>
              <w:jc w:val="center"/>
              <w:rPr>
                <w:color w:val="auto"/>
                <w:sz w:val="24"/>
                <w:highlight w:val="none"/>
              </w:rPr>
            </w:pPr>
            <w:r>
              <w:rPr>
                <w:rFonts w:hint="eastAsia"/>
                <w:color w:val="auto"/>
                <w:sz w:val="24"/>
                <w:highlight w:val="none"/>
              </w:rPr>
              <w:t>投标有效期</w:t>
            </w:r>
          </w:p>
        </w:tc>
        <w:tc>
          <w:tcPr>
            <w:tcW w:w="7634" w:type="dxa"/>
            <w:gridSpan w:val="3"/>
            <w:noWrap/>
            <w:vAlign w:val="center"/>
          </w:tcPr>
          <w:p w14:paraId="10D386EB">
            <w:pPr>
              <w:keepNext w:val="0"/>
              <w:keepLines w:val="0"/>
              <w:pageBreakBefore w:val="0"/>
              <w:kinsoku/>
              <w:wordWrap w:val="0"/>
              <w:overflowPunct/>
              <w:topLinePunct w:val="0"/>
              <w:bidi w:val="0"/>
              <w:adjustRightInd w:val="0"/>
              <w:snapToGrid w:val="0"/>
              <w:spacing w:line="300" w:lineRule="exact"/>
              <w:jc w:val="center"/>
              <w:rPr>
                <w:color w:val="auto"/>
                <w:sz w:val="24"/>
                <w:highlight w:val="none"/>
                <w:lang w:val="en-US"/>
              </w:rPr>
            </w:pPr>
            <w:r>
              <w:rPr>
                <w:rFonts w:hint="eastAsia"/>
                <w:color w:val="auto"/>
                <w:sz w:val="24"/>
                <w:highlight w:val="none"/>
                <w:lang w:val="en-US"/>
              </w:rPr>
              <w:t>60日历天</w:t>
            </w:r>
          </w:p>
        </w:tc>
      </w:tr>
    </w:tbl>
    <w:p w14:paraId="3753DBDE">
      <w:pPr>
        <w:keepNext w:val="0"/>
        <w:keepLines w:val="0"/>
        <w:pageBreakBefore w:val="0"/>
        <w:kinsoku/>
        <w:wordWrap w:val="0"/>
        <w:overflowPunct/>
        <w:topLinePunct w:val="0"/>
        <w:bidi w:val="0"/>
        <w:spacing w:line="300" w:lineRule="exact"/>
        <w:rPr>
          <w:color w:val="auto"/>
          <w:szCs w:val="21"/>
          <w:highlight w:val="none"/>
        </w:rPr>
      </w:pPr>
    </w:p>
    <w:p w14:paraId="60C72E6B">
      <w:pPr>
        <w:keepNext w:val="0"/>
        <w:keepLines w:val="0"/>
        <w:pageBreakBefore w:val="0"/>
        <w:kinsoku/>
        <w:wordWrap w:val="0"/>
        <w:overflowPunct/>
        <w:topLinePunct w:val="0"/>
        <w:bidi w:val="0"/>
        <w:spacing w:line="360" w:lineRule="exact"/>
        <w:rPr>
          <w:b/>
          <w:bCs/>
          <w:color w:val="auto"/>
          <w:szCs w:val="21"/>
          <w:highlight w:val="none"/>
        </w:rPr>
      </w:pPr>
      <w:r>
        <w:rPr>
          <w:rFonts w:hint="eastAsia"/>
          <w:b/>
          <w:bCs/>
          <w:color w:val="auto"/>
          <w:szCs w:val="21"/>
          <w:highlight w:val="none"/>
        </w:rPr>
        <w:t>注：1、投标报价仅且只有一个有效报价，不得出现两个及以上报价，否则作废标处理。</w:t>
      </w:r>
    </w:p>
    <w:p w14:paraId="00135859">
      <w:pPr>
        <w:keepNext w:val="0"/>
        <w:keepLines w:val="0"/>
        <w:pageBreakBefore w:val="0"/>
        <w:kinsoku/>
        <w:wordWrap w:val="0"/>
        <w:overflowPunct/>
        <w:topLinePunct w:val="0"/>
        <w:bidi w:val="0"/>
        <w:spacing w:line="360" w:lineRule="exact"/>
        <w:rPr>
          <w:color w:val="auto"/>
          <w:szCs w:val="21"/>
          <w:highlight w:val="none"/>
        </w:rPr>
      </w:pPr>
      <w:r>
        <w:rPr>
          <w:rFonts w:hint="eastAsia"/>
          <w:b/>
          <w:bCs/>
          <w:color w:val="auto"/>
          <w:szCs w:val="21"/>
          <w:highlight w:val="none"/>
        </w:rPr>
        <w:t>2、此处为第一轮报价供</w:t>
      </w:r>
      <w:r>
        <w:rPr>
          <w:rFonts w:hint="eastAsia"/>
          <w:b/>
          <w:bCs/>
          <w:color w:val="auto"/>
          <w:szCs w:val="21"/>
          <w:highlight w:val="none"/>
          <w:lang w:eastAsia="zh-CN"/>
        </w:rPr>
        <w:t>磋商</w:t>
      </w:r>
      <w:r>
        <w:rPr>
          <w:rFonts w:hint="eastAsia"/>
          <w:b/>
          <w:bCs/>
          <w:color w:val="auto"/>
          <w:szCs w:val="21"/>
          <w:highlight w:val="none"/>
        </w:rPr>
        <w:t>小组在评审时参考比较，此时的最低报价并不是成交的条件。</w:t>
      </w:r>
    </w:p>
    <w:p w14:paraId="1A7C1D70">
      <w:pPr>
        <w:keepNext w:val="0"/>
        <w:keepLines w:val="0"/>
        <w:pageBreakBefore w:val="0"/>
        <w:kinsoku/>
        <w:wordWrap w:val="0"/>
        <w:overflowPunct/>
        <w:topLinePunct w:val="0"/>
        <w:bidi w:val="0"/>
        <w:spacing w:line="300" w:lineRule="exact"/>
        <w:rPr>
          <w:color w:val="auto"/>
          <w:szCs w:val="21"/>
          <w:highlight w:val="none"/>
        </w:rPr>
      </w:pPr>
    </w:p>
    <w:p w14:paraId="5D441424">
      <w:pPr>
        <w:keepNext w:val="0"/>
        <w:keepLines w:val="0"/>
        <w:pageBreakBefore w:val="0"/>
        <w:kinsoku/>
        <w:wordWrap w:val="0"/>
        <w:overflowPunct/>
        <w:topLinePunct w:val="0"/>
        <w:bidi w:val="0"/>
        <w:spacing w:line="300" w:lineRule="exact"/>
        <w:rPr>
          <w:color w:val="auto"/>
          <w:szCs w:val="21"/>
          <w:highlight w:val="none"/>
        </w:rPr>
      </w:pPr>
    </w:p>
    <w:p w14:paraId="7825AE20">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供应商：（公章签章）</w:t>
      </w:r>
    </w:p>
    <w:p w14:paraId="393B091D">
      <w:pPr>
        <w:keepNext w:val="0"/>
        <w:keepLines w:val="0"/>
        <w:pageBreakBefore w:val="0"/>
        <w:kinsoku/>
        <w:wordWrap w:val="0"/>
        <w:overflowPunct/>
        <w:topLinePunct w:val="0"/>
        <w:bidi w:val="0"/>
        <w:spacing w:line="300" w:lineRule="exact"/>
        <w:rPr>
          <w:color w:val="auto"/>
          <w:sz w:val="24"/>
          <w:highlight w:val="none"/>
        </w:rPr>
      </w:pPr>
    </w:p>
    <w:p w14:paraId="1B890D87">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联系人：          电话 ：</w:t>
      </w:r>
    </w:p>
    <w:p w14:paraId="4499C290">
      <w:pPr>
        <w:keepNext w:val="0"/>
        <w:keepLines w:val="0"/>
        <w:pageBreakBefore w:val="0"/>
        <w:kinsoku/>
        <w:wordWrap w:val="0"/>
        <w:overflowPunct/>
        <w:topLinePunct w:val="0"/>
        <w:bidi w:val="0"/>
        <w:spacing w:line="300" w:lineRule="exact"/>
        <w:rPr>
          <w:color w:val="auto"/>
          <w:sz w:val="24"/>
          <w:highlight w:val="none"/>
        </w:rPr>
      </w:pPr>
    </w:p>
    <w:p w14:paraId="5601B427">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 xml:space="preserve">法定代表人或其委托代理人：（法人签章）       </w:t>
      </w:r>
    </w:p>
    <w:p w14:paraId="7F5460ED">
      <w:pPr>
        <w:keepNext w:val="0"/>
        <w:keepLines w:val="0"/>
        <w:pageBreakBefore w:val="0"/>
        <w:kinsoku/>
        <w:wordWrap w:val="0"/>
        <w:overflowPunct/>
        <w:topLinePunct w:val="0"/>
        <w:bidi w:val="0"/>
        <w:spacing w:line="300" w:lineRule="exact"/>
        <w:rPr>
          <w:color w:val="auto"/>
          <w:sz w:val="24"/>
          <w:highlight w:val="none"/>
        </w:rPr>
      </w:pPr>
    </w:p>
    <w:p w14:paraId="19589A11">
      <w:pPr>
        <w:keepNext w:val="0"/>
        <w:keepLines w:val="0"/>
        <w:pageBreakBefore w:val="0"/>
        <w:kinsoku/>
        <w:wordWrap w:val="0"/>
        <w:overflowPunct/>
        <w:topLinePunct w:val="0"/>
        <w:bidi w:val="0"/>
        <w:spacing w:line="300" w:lineRule="exact"/>
        <w:ind w:firstLine="3600" w:firstLineChars="1500"/>
        <w:rPr>
          <w:color w:val="auto"/>
          <w:sz w:val="24"/>
          <w:highlight w:val="none"/>
        </w:rPr>
      </w:pPr>
      <w:r>
        <w:rPr>
          <w:rFonts w:hint="eastAsia"/>
          <w:color w:val="auto"/>
          <w:sz w:val="24"/>
          <w:highlight w:val="none"/>
        </w:rPr>
        <w:t>日期：     年   月   日</w:t>
      </w:r>
    </w:p>
    <w:p w14:paraId="13631429">
      <w:pPr>
        <w:keepNext w:val="0"/>
        <w:keepLines w:val="0"/>
        <w:pageBreakBefore w:val="0"/>
        <w:kinsoku/>
        <w:wordWrap w:val="0"/>
        <w:overflowPunct/>
        <w:topLinePunct w:val="0"/>
        <w:bidi w:val="0"/>
        <w:spacing w:line="300" w:lineRule="exact"/>
        <w:rPr>
          <w:color w:val="auto"/>
          <w:sz w:val="24"/>
          <w:highlight w:val="none"/>
        </w:rPr>
      </w:pPr>
    </w:p>
    <w:p w14:paraId="4E58C3FE">
      <w:pPr>
        <w:keepNext w:val="0"/>
        <w:keepLines w:val="0"/>
        <w:pageBreakBefore w:val="0"/>
        <w:kinsoku/>
        <w:wordWrap w:val="0"/>
        <w:overflowPunct/>
        <w:topLinePunct w:val="0"/>
        <w:bidi w:val="0"/>
        <w:spacing w:before="38"/>
        <w:ind w:right="909"/>
        <w:jc w:val="both"/>
        <w:rPr>
          <w:rFonts w:hint="eastAsia" w:eastAsia="宋体"/>
          <w:b/>
          <w:color w:val="auto"/>
          <w:sz w:val="28"/>
          <w:szCs w:val="21"/>
          <w:highlight w:val="none"/>
          <w:lang w:eastAsia="zh-CN"/>
        </w:rPr>
      </w:pPr>
      <w:r>
        <w:rPr>
          <w:b/>
          <w:color w:val="auto"/>
          <w:sz w:val="32"/>
          <w:highlight w:val="none"/>
        </w:rPr>
        <w:br w:type="page"/>
      </w:r>
      <w:r>
        <w:rPr>
          <w:rFonts w:hint="eastAsia"/>
          <w:b w:val="0"/>
          <w:bCs/>
          <w:color w:val="auto"/>
          <w:sz w:val="28"/>
          <w:szCs w:val="21"/>
          <w:highlight w:val="none"/>
          <w:lang w:eastAsia="zh-CN"/>
        </w:rPr>
        <w:t>附表一：报价明细表</w:t>
      </w:r>
    </w:p>
    <w:p w14:paraId="160E2973">
      <w:pPr>
        <w:pStyle w:val="18"/>
        <w:keepNext w:val="0"/>
        <w:keepLines w:val="0"/>
        <w:pageBreakBefore w:val="0"/>
        <w:kinsoku/>
        <w:wordWrap w:val="0"/>
        <w:overflowPunct/>
        <w:topLinePunct w:val="0"/>
        <w:bidi w:val="0"/>
        <w:ind w:left="0"/>
        <w:jc w:val="center"/>
        <w:rPr>
          <w:rFonts w:hint="eastAsia" w:ascii="宋体" w:hAnsi="宋体"/>
          <w:color w:val="auto"/>
          <w:highlight w:val="none"/>
        </w:rPr>
      </w:pPr>
      <w:bookmarkStart w:id="299" w:name="_Toc17292_WPSOffice_Level2"/>
      <w:bookmarkStart w:id="300" w:name="_Toc464814119"/>
      <w:bookmarkStart w:id="301" w:name="_Toc358213385"/>
      <w:bookmarkStart w:id="302" w:name="_Toc30992"/>
      <w:bookmarkStart w:id="303" w:name="_Toc9538"/>
    </w:p>
    <w:tbl>
      <w:tblPr>
        <w:tblStyle w:val="14"/>
        <w:tblW w:w="4827" w:type="pct"/>
        <w:jc w:val="center"/>
        <w:tblLayout w:type="autofit"/>
        <w:tblCellMar>
          <w:top w:w="0" w:type="dxa"/>
          <w:left w:w="108" w:type="dxa"/>
          <w:bottom w:w="0" w:type="dxa"/>
          <w:right w:w="108" w:type="dxa"/>
        </w:tblCellMar>
      </w:tblPr>
      <w:tblGrid>
        <w:gridCol w:w="679"/>
        <w:gridCol w:w="874"/>
        <w:gridCol w:w="1288"/>
        <w:gridCol w:w="1112"/>
        <w:gridCol w:w="972"/>
        <w:gridCol w:w="906"/>
        <w:gridCol w:w="947"/>
        <w:gridCol w:w="947"/>
        <w:gridCol w:w="947"/>
        <w:gridCol w:w="1046"/>
      </w:tblGrid>
      <w:tr w14:paraId="35A4DE8A">
        <w:tblPrEx>
          <w:tblCellMar>
            <w:top w:w="0" w:type="dxa"/>
            <w:left w:w="108" w:type="dxa"/>
            <w:bottom w:w="0" w:type="dxa"/>
            <w:right w:w="108" w:type="dxa"/>
          </w:tblCellMar>
        </w:tblPrEx>
        <w:trPr>
          <w:trHeight w:val="1348"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7C83673F">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450" w:type="pct"/>
            <w:tcBorders>
              <w:top w:val="single" w:color="000000" w:sz="4" w:space="0"/>
              <w:left w:val="nil"/>
              <w:bottom w:val="single" w:color="000000" w:sz="4" w:space="0"/>
              <w:right w:val="single" w:color="000000" w:sz="4" w:space="0"/>
            </w:tcBorders>
            <w:noWrap w:val="0"/>
            <w:vAlign w:val="center"/>
          </w:tcPr>
          <w:p w14:paraId="2DC49D4D">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663" w:type="pct"/>
            <w:tcBorders>
              <w:top w:val="single" w:color="000000" w:sz="4" w:space="0"/>
              <w:left w:val="nil"/>
              <w:bottom w:val="single" w:color="000000" w:sz="4" w:space="0"/>
              <w:right w:val="single" w:color="auto" w:sz="4" w:space="0"/>
            </w:tcBorders>
            <w:noWrap w:val="0"/>
            <w:vAlign w:val="center"/>
          </w:tcPr>
          <w:p w14:paraId="3B953EFF">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品牌及规格型号</w:t>
            </w:r>
          </w:p>
        </w:tc>
        <w:tc>
          <w:tcPr>
            <w:tcW w:w="571" w:type="pct"/>
            <w:tcBorders>
              <w:top w:val="single" w:color="000000" w:sz="4" w:space="0"/>
              <w:left w:val="nil"/>
              <w:bottom w:val="single" w:color="000000" w:sz="4" w:space="0"/>
              <w:right w:val="single" w:color="auto" w:sz="4" w:space="0"/>
            </w:tcBorders>
            <w:noWrap w:val="0"/>
            <w:vAlign w:val="center"/>
          </w:tcPr>
          <w:p w14:paraId="01C3E7A3">
            <w:pPr>
              <w:keepNext w:val="0"/>
              <w:keepLines w:val="0"/>
              <w:pageBreakBefore w:val="0"/>
              <w:widowControl/>
              <w:suppressLineNumbers w:val="0"/>
              <w:kinsoku/>
              <w:wordWrap w:val="0"/>
              <w:overflowPunct/>
              <w:topLinePunct w:val="0"/>
              <w:bidi w:val="0"/>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主要设备的</w:t>
            </w:r>
            <w:r>
              <w:rPr>
                <w:rFonts w:hint="eastAsia" w:ascii="宋体" w:hAnsi="宋体" w:cs="宋体"/>
                <w:color w:val="auto"/>
                <w:kern w:val="0"/>
                <w:sz w:val="22"/>
                <w:szCs w:val="22"/>
                <w:highlight w:val="none"/>
                <w:lang w:val="en-US" w:eastAsia="zh-CN"/>
              </w:rPr>
              <w:t>制造商</w:t>
            </w: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57FD5FC">
            <w:pPr>
              <w:keepNext w:val="0"/>
              <w:keepLines w:val="0"/>
              <w:pageBreakBefore w:val="0"/>
              <w:widowControl/>
              <w:suppressLineNumbers w:val="0"/>
              <w:kinsoku/>
              <w:wordWrap w:val="0"/>
              <w:overflowPunct/>
              <w:topLinePunct w:val="0"/>
              <w:bidi w:val="0"/>
              <w:jc w:val="center"/>
              <w:textAlignment w:val="center"/>
              <w:rPr>
                <w:rFonts w:hint="eastAsia" w:ascii="宋体" w:hAnsi="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参数</w:t>
            </w: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194B358">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单位</w:t>
            </w:r>
          </w:p>
        </w:tc>
        <w:tc>
          <w:tcPr>
            <w:tcW w:w="487" w:type="pct"/>
            <w:tcBorders>
              <w:top w:val="single" w:color="000000" w:sz="4" w:space="0"/>
              <w:left w:val="nil"/>
              <w:bottom w:val="single" w:color="000000" w:sz="4" w:space="0"/>
              <w:right w:val="single" w:color="000000" w:sz="4" w:space="0"/>
            </w:tcBorders>
            <w:noWrap w:val="0"/>
            <w:vAlign w:val="center"/>
          </w:tcPr>
          <w:p w14:paraId="60700EA6">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数量</w:t>
            </w:r>
          </w:p>
        </w:tc>
        <w:tc>
          <w:tcPr>
            <w:tcW w:w="487" w:type="pct"/>
            <w:tcBorders>
              <w:top w:val="single" w:color="000000" w:sz="4" w:space="0"/>
              <w:left w:val="nil"/>
              <w:bottom w:val="single" w:color="000000" w:sz="4" w:space="0"/>
              <w:right w:val="single" w:color="000000" w:sz="4" w:space="0"/>
            </w:tcBorders>
            <w:noWrap w:val="0"/>
            <w:vAlign w:val="center"/>
          </w:tcPr>
          <w:p w14:paraId="57AC96F8">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单价</w:t>
            </w:r>
          </w:p>
        </w:tc>
        <w:tc>
          <w:tcPr>
            <w:tcW w:w="487" w:type="pct"/>
            <w:tcBorders>
              <w:top w:val="single" w:color="000000" w:sz="4" w:space="0"/>
              <w:left w:val="nil"/>
              <w:bottom w:val="single" w:color="000000" w:sz="4" w:space="0"/>
              <w:right w:val="single" w:color="000000" w:sz="4" w:space="0"/>
            </w:tcBorders>
            <w:noWrap w:val="0"/>
            <w:vAlign w:val="center"/>
          </w:tcPr>
          <w:p w14:paraId="2A63B4C1">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小计</w:t>
            </w:r>
          </w:p>
        </w:tc>
        <w:tc>
          <w:tcPr>
            <w:tcW w:w="536" w:type="pct"/>
            <w:tcBorders>
              <w:top w:val="single" w:color="000000" w:sz="4" w:space="0"/>
              <w:left w:val="nil"/>
              <w:bottom w:val="single" w:color="000000" w:sz="4" w:space="0"/>
              <w:right w:val="single" w:color="000000" w:sz="4" w:space="0"/>
            </w:tcBorders>
            <w:noWrap w:val="0"/>
            <w:vAlign w:val="center"/>
          </w:tcPr>
          <w:p w14:paraId="22AED907">
            <w:pPr>
              <w:keepNext w:val="0"/>
              <w:keepLines w:val="0"/>
              <w:pageBreakBefore w:val="0"/>
              <w:widowControl/>
              <w:kinsoku/>
              <w:wordWrap w:val="0"/>
              <w:overflowPunct/>
              <w:topLinePunct w:val="0"/>
              <w:bidi w:val="0"/>
              <w:snapToGrid w:val="0"/>
              <w:spacing w:line="50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备注</w:t>
            </w:r>
          </w:p>
        </w:tc>
      </w:tr>
      <w:tr w14:paraId="17D16F92">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F82936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450" w:type="pct"/>
            <w:tcBorders>
              <w:top w:val="single" w:color="000000" w:sz="4" w:space="0"/>
              <w:left w:val="nil"/>
              <w:bottom w:val="single" w:color="000000" w:sz="4" w:space="0"/>
              <w:right w:val="single" w:color="000000" w:sz="4" w:space="0"/>
            </w:tcBorders>
            <w:noWrap w:val="0"/>
            <w:vAlign w:val="center"/>
          </w:tcPr>
          <w:p w14:paraId="4C2CF88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22AAC90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4623FACA">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0C2FD78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47677E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4286E69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885D61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BF165B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6A21A17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3B8F2B74">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3638E0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450" w:type="pct"/>
            <w:tcBorders>
              <w:top w:val="single" w:color="000000" w:sz="4" w:space="0"/>
              <w:left w:val="nil"/>
              <w:bottom w:val="single" w:color="000000" w:sz="4" w:space="0"/>
              <w:right w:val="single" w:color="000000" w:sz="4" w:space="0"/>
            </w:tcBorders>
            <w:noWrap w:val="0"/>
            <w:vAlign w:val="center"/>
          </w:tcPr>
          <w:p w14:paraId="14407F1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10B5B9C0">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08BD311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D86A90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2DBB0F5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64F727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7C235D8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346DE3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3E3FF52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1421C54">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0CCDA04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450" w:type="pct"/>
            <w:tcBorders>
              <w:top w:val="single" w:color="000000" w:sz="4" w:space="0"/>
              <w:left w:val="nil"/>
              <w:bottom w:val="single" w:color="000000" w:sz="4" w:space="0"/>
              <w:right w:val="single" w:color="000000" w:sz="4" w:space="0"/>
            </w:tcBorders>
            <w:noWrap w:val="0"/>
            <w:vAlign w:val="center"/>
          </w:tcPr>
          <w:p w14:paraId="6CE86F8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2FAF663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39EC4C12">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7EB33B0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33978A3D">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33DF568">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EDA545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086DC7E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D345CF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02658208">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F66E97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r>
              <w:rPr>
                <w:rFonts w:ascii="宋体" w:hAnsi="宋体" w:cs="宋体"/>
                <w:color w:val="auto"/>
                <w:kern w:val="0"/>
                <w:sz w:val="22"/>
                <w:szCs w:val="22"/>
                <w:highlight w:val="none"/>
              </w:rPr>
              <w:t>……</w:t>
            </w:r>
          </w:p>
        </w:tc>
        <w:tc>
          <w:tcPr>
            <w:tcW w:w="450" w:type="pct"/>
            <w:tcBorders>
              <w:top w:val="single" w:color="000000" w:sz="4" w:space="0"/>
              <w:left w:val="nil"/>
              <w:bottom w:val="single" w:color="000000" w:sz="4" w:space="0"/>
              <w:right w:val="single" w:color="000000" w:sz="4" w:space="0"/>
            </w:tcBorders>
            <w:noWrap w:val="0"/>
            <w:vAlign w:val="center"/>
          </w:tcPr>
          <w:p w14:paraId="4524A6C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02279EA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73DF3F5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4A5D346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65CA6A6B">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4AE8CED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6B6D50E4">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1D1B7E1">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181D81AF">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6519351E">
        <w:tblPrEx>
          <w:tblCellMar>
            <w:top w:w="0" w:type="dxa"/>
            <w:left w:w="108" w:type="dxa"/>
            <w:bottom w:w="0" w:type="dxa"/>
            <w:right w:w="108" w:type="dxa"/>
          </w:tblCellMar>
        </w:tblPrEx>
        <w:trPr>
          <w:trHeight w:val="785" w:hRule="atLeast"/>
          <w:jc w:val="center"/>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AFA979E">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50" w:type="pct"/>
            <w:tcBorders>
              <w:top w:val="single" w:color="000000" w:sz="4" w:space="0"/>
              <w:left w:val="nil"/>
              <w:bottom w:val="single" w:color="000000" w:sz="4" w:space="0"/>
              <w:right w:val="single" w:color="000000" w:sz="4" w:space="0"/>
            </w:tcBorders>
            <w:noWrap w:val="0"/>
            <w:vAlign w:val="center"/>
          </w:tcPr>
          <w:p w14:paraId="3C670F31">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663" w:type="pct"/>
            <w:tcBorders>
              <w:top w:val="single" w:color="000000" w:sz="4" w:space="0"/>
              <w:left w:val="nil"/>
              <w:bottom w:val="single" w:color="000000" w:sz="4" w:space="0"/>
              <w:right w:val="single" w:color="auto" w:sz="4" w:space="0"/>
            </w:tcBorders>
            <w:noWrap w:val="0"/>
            <w:vAlign w:val="center"/>
          </w:tcPr>
          <w:p w14:paraId="153DA56E">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71" w:type="pct"/>
            <w:tcBorders>
              <w:top w:val="single" w:color="000000" w:sz="4" w:space="0"/>
              <w:left w:val="nil"/>
              <w:bottom w:val="single" w:color="000000" w:sz="4" w:space="0"/>
              <w:right w:val="single" w:color="auto" w:sz="4" w:space="0"/>
            </w:tcBorders>
            <w:noWrap w:val="0"/>
            <w:vAlign w:val="center"/>
          </w:tcPr>
          <w:p w14:paraId="2140B320">
            <w:pPr>
              <w:keepNext w:val="0"/>
              <w:keepLines w:val="0"/>
              <w:pageBreakBefore w:val="0"/>
              <w:widowControl/>
              <w:kinsoku/>
              <w:wordWrap w:val="0"/>
              <w:overflowPunct/>
              <w:topLinePunct w:val="0"/>
              <w:bidi w:val="0"/>
              <w:snapToGrid w:val="0"/>
              <w:spacing w:line="500" w:lineRule="exact"/>
              <w:jc w:val="center"/>
              <w:rPr>
                <w:rFonts w:ascii="宋体" w:hAnsi="宋体" w:cs="宋体"/>
                <w:color w:val="auto"/>
                <w:kern w:val="0"/>
                <w:sz w:val="22"/>
                <w:szCs w:val="22"/>
                <w:highlight w:val="none"/>
              </w:rPr>
            </w:pPr>
          </w:p>
        </w:tc>
        <w:tc>
          <w:tcPr>
            <w:tcW w:w="500" w:type="pct"/>
            <w:tcBorders>
              <w:top w:val="single" w:color="000000" w:sz="4" w:space="0"/>
              <w:left w:val="single" w:color="auto" w:sz="4" w:space="0"/>
              <w:bottom w:val="single" w:color="000000" w:sz="4" w:space="0"/>
              <w:right w:val="single" w:color="000000" w:sz="4" w:space="0"/>
            </w:tcBorders>
            <w:noWrap w:val="0"/>
            <w:vAlign w:val="center"/>
          </w:tcPr>
          <w:p w14:paraId="3B5992B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66" w:type="pct"/>
            <w:tcBorders>
              <w:top w:val="single" w:color="000000" w:sz="4" w:space="0"/>
              <w:left w:val="single" w:color="auto" w:sz="4" w:space="0"/>
              <w:bottom w:val="single" w:color="000000" w:sz="4" w:space="0"/>
              <w:right w:val="single" w:color="000000" w:sz="4" w:space="0"/>
            </w:tcBorders>
            <w:noWrap w:val="0"/>
            <w:vAlign w:val="center"/>
          </w:tcPr>
          <w:p w14:paraId="7210B85C">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3E49C3F6">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55DD0047">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487" w:type="pct"/>
            <w:tcBorders>
              <w:top w:val="single" w:color="000000" w:sz="4" w:space="0"/>
              <w:left w:val="nil"/>
              <w:bottom w:val="single" w:color="000000" w:sz="4" w:space="0"/>
              <w:right w:val="single" w:color="000000" w:sz="4" w:space="0"/>
            </w:tcBorders>
            <w:noWrap w:val="0"/>
            <w:vAlign w:val="center"/>
          </w:tcPr>
          <w:p w14:paraId="25FB97A5">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c>
          <w:tcPr>
            <w:tcW w:w="536" w:type="pct"/>
            <w:tcBorders>
              <w:top w:val="single" w:color="000000" w:sz="4" w:space="0"/>
              <w:left w:val="nil"/>
              <w:bottom w:val="single" w:color="000000" w:sz="4" w:space="0"/>
              <w:right w:val="single" w:color="000000" w:sz="4" w:space="0"/>
            </w:tcBorders>
            <w:noWrap w:val="0"/>
            <w:vAlign w:val="center"/>
          </w:tcPr>
          <w:p w14:paraId="48D5A7C9">
            <w:pPr>
              <w:keepNext w:val="0"/>
              <w:keepLines w:val="0"/>
              <w:pageBreakBefore w:val="0"/>
              <w:widowControl/>
              <w:kinsoku/>
              <w:wordWrap w:val="0"/>
              <w:overflowPunct/>
              <w:topLinePunct w:val="0"/>
              <w:bidi w:val="0"/>
              <w:spacing w:line="500" w:lineRule="exact"/>
              <w:jc w:val="left"/>
              <w:rPr>
                <w:rFonts w:ascii="宋体" w:hAnsi="宋体" w:cs="宋体"/>
                <w:color w:val="auto"/>
                <w:kern w:val="0"/>
                <w:sz w:val="22"/>
                <w:szCs w:val="22"/>
                <w:highlight w:val="none"/>
              </w:rPr>
            </w:pPr>
          </w:p>
        </w:tc>
      </w:tr>
      <w:tr w14:paraId="61E523B6">
        <w:trPr>
          <w:trHeight w:val="1190" w:hRule="atLeast"/>
          <w:jc w:val="center"/>
        </w:trPr>
        <w:tc>
          <w:tcPr>
            <w:tcW w:w="2035" w:type="pct"/>
            <w:gridSpan w:val="4"/>
            <w:tcBorders>
              <w:top w:val="single" w:color="000000" w:sz="4" w:space="0"/>
              <w:left w:val="single" w:color="000000" w:sz="4" w:space="0"/>
              <w:bottom w:val="single" w:color="000000" w:sz="4" w:space="0"/>
              <w:right w:val="single" w:color="auto" w:sz="4" w:space="0"/>
            </w:tcBorders>
            <w:noWrap w:val="0"/>
            <w:vAlign w:val="center"/>
          </w:tcPr>
          <w:p w14:paraId="011F10A4">
            <w:pPr>
              <w:keepNext w:val="0"/>
              <w:keepLines w:val="0"/>
              <w:pageBreakBefore w:val="0"/>
              <w:widowControl/>
              <w:kinsoku/>
              <w:wordWrap w:val="0"/>
              <w:overflowPunct/>
              <w:topLinePunct w:val="0"/>
              <w:bidi w:val="0"/>
              <w:snapToGrid w:val="0"/>
              <w:spacing w:before="100" w:beforeAutospacing="1" w:after="100" w:afterAutospacing="1" w:line="500" w:lineRule="exact"/>
              <w:ind w:right="-330"/>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报价金额合计</w:t>
            </w:r>
          </w:p>
        </w:tc>
        <w:tc>
          <w:tcPr>
            <w:tcW w:w="2964" w:type="pct"/>
            <w:gridSpan w:val="6"/>
            <w:tcBorders>
              <w:top w:val="single" w:color="000000" w:sz="4" w:space="0"/>
              <w:left w:val="single" w:color="auto" w:sz="4" w:space="0"/>
              <w:bottom w:val="single" w:color="000000" w:sz="4" w:space="0"/>
              <w:right w:val="single" w:color="000000" w:sz="4" w:space="0"/>
            </w:tcBorders>
            <w:noWrap w:val="0"/>
            <w:vAlign w:val="center"/>
          </w:tcPr>
          <w:p w14:paraId="53AE9915">
            <w:pPr>
              <w:keepNext w:val="0"/>
              <w:keepLines w:val="0"/>
              <w:pageBreakBefore w:val="0"/>
              <w:kinsoku/>
              <w:wordWrap w:val="0"/>
              <w:overflowPunct/>
              <w:topLinePunct w:val="0"/>
              <w:bidi w:val="0"/>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rPr>
              <w:t>大写：</w:t>
            </w:r>
          </w:p>
          <w:p w14:paraId="1FE1B8E7">
            <w:pPr>
              <w:keepNext w:val="0"/>
              <w:keepLines w:val="0"/>
              <w:pageBreakBefore w:val="0"/>
              <w:kinsoku/>
              <w:wordWrap w:val="0"/>
              <w:overflowPunct/>
              <w:topLinePunct w:val="0"/>
              <w:bidi w:val="0"/>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小写：</w:t>
            </w:r>
          </w:p>
        </w:tc>
      </w:tr>
      <w:tr w14:paraId="6521F6B3">
        <w:tblPrEx>
          <w:tblCellMar>
            <w:top w:w="0" w:type="dxa"/>
            <w:left w:w="108" w:type="dxa"/>
            <w:bottom w:w="0" w:type="dxa"/>
            <w:right w:w="108" w:type="dxa"/>
          </w:tblCellMar>
        </w:tblPrEx>
        <w:trPr>
          <w:trHeight w:val="8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1F05ACF3">
            <w:pPr>
              <w:keepNext w:val="0"/>
              <w:keepLines w:val="0"/>
              <w:pageBreakBefore w:val="0"/>
              <w:widowControl/>
              <w:kinsoku/>
              <w:wordWrap w:val="0"/>
              <w:overflowPunct/>
              <w:topLinePunct w:val="0"/>
              <w:bidi w:val="0"/>
              <w:snapToGrid w:val="0"/>
              <w:spacing w:before="100" w:beforeAutospacing="1" w:after="100" w:afterAutospacing="1" w:line="500" w:lineRule="exact"/>
              <w:ind w:right="-33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 xml:space="preserve">备注： </w:t>
            </w:r>
          </w:p>
        </w:tc>
      </w:tr>
    </w:tbl>
    <w:p w14:paraId="5BFF66C2">
      <w:pPr>
        <w:pStyle w:val="18"/>
        <w:keepNext w:val="0"/>
        <w:keepLines w:val="0"/>
        <w:pageBreakBefore w:val="0"/>
        <w:kinsoku/>
        <w:wordWrap w:val="0"/>
        <w:overflowPunct/>
        <w:topLinePunct w:val="0"/>
        <w:bidi w:val="0"/>
        <w:ind w:left="0" w:firstLine="480" w:firstLineChars="200"/>
        <w:jc w:val="both"/>
        <w:rPr>
          <w:rFonts w:hint="eastAsia" w:ascii="宋体" w:hAnsi="宋体"/>
          <w:color w:val="auto"/>
          <w:highlight w:val="none"/>
        </w:rPr>
      </w:pPr>
      <w:r>
        <w:rPr>
          <w:rFonts w:hint="eastAsia"/>
          <w:bCs/>
          <w:color w:val="auto"/>
          <w:sz w:val="24"/>
          <w:highlight w:val="none"/>
        </w:rPr>
        <w:t>注：此表格若不够用，可根据实际自行扩展表格。</w:t>
      </w:r>
    </w:p>
    <w:p w14:paraId="5580E3B4">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6472727C">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045BA5C0">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供应商名称：（公章签章）</w:t>
      </w:r>
    </w:p>
    <w:p w14:paraId="3B2B79CE">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 xml:space="preserve">法定代表人或委托代理人：（法人签章）                                                                     </w:t>
      </w:r>
    </w:p>
    <w:p w14:paraId="5205CBA4">
      <w:pPr>
        <w:keepNext w:val="0"/>
        <w:keepLines w:val="0"/>
        <w:pageBreakBefore w:val="0"/>
        <w:kinsoku/>
        <w:wordWrap w:val="0"/>
        <w:overflowPunct/>
        <w:topLinePunct w:val="0"/>
        <w:bidi w:val="0"/>
        <w:spacing w:line="480" w:lineRule="exact"/>
        <w:ind w:firstLine="480" w:firstLineChars="200"/>
        <w:rPr>
          <w:bCs/>
          <w:color w:val="auto"/>
          <w:sz w:val="24"/>
          <w:highlight w:val="none"/>
        </w:rPr>
      </w:pPr>
      <w:r>
        <w:rPr>
          <w:rFonts w:hint="eastAsia"/>
          <w:bCs/>
          <w:color w:val="auto"/>
          <w:sz w:val="24"/>
          <w:highlight w:val="none"/>
        </w:rPr>
        <w:t>日期：      年    月    日</w:t>
      </w:r>
    </w:p>
    <w:p w14:paraId="3338AC04">
      <w:pPr>
        <w:keepNext w:val="0"/>
        <w:keepLines w:val="0"/>
        <w:pageBreakBefore w:val="0"/>
        <w:kinsoku/>
        <w:wordWrap w:val="0"/>
        <w:overflowPunct/>
        <w:topLinePunct w:val="0"/>
        <w:bidi w:val="0"/>
        <w:spacing w:line="480" w:lineRule="exact"/>
        <w:rPr>
          <w:bCs/>
          <w:color w:val="auto"/>
          <w:sz w:val="24"/>
          <w:highlight w:val="none"/>
        </w:rPr>
      </w:pPr>
    </w:p>
    <w:p w14:paraId="492C911F">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50AF2B04">
      <w:pPr>
        <w:pStyle w:val="18"/>
        <w:keepNext w:val="0"/>
        <w:keepLines w:val="0"/>
        <w:pageBreakBefore w:val="0"/>
        <w:kinsoku/>
        <w:wordWrap w:val="0"/>
        <w:overflowPunct/>
        <w:topLinePunct w:val="0"/>
        <w:bidi w:val="0"/>
        <w:ind w:left="0"/>
        <w:jc w:val="center"/>
        <w:rPr>
          <w:rFonts w:hint="eastAsia" w:ascii="宋体" w:hAnsi="宋体"/>
          <w:color w:val="auto"/>
          <w:highlight w:val="none"/>
        </w:rPr>
      </w:pPr>
    </w:p>
    <w:p w14:paraId="5FAFB9FB">
      <w:pPr>
        <w:pStyle w:val="18"/>
        <w:keepNext w:val="0"/>
        <w:keepLines w:val="0"/>
        <w:pageBreakBefore w:val="0"/>
        <w:kinsoku/>
        <w:wordWrap w:val="0"/>
        <w:overflowPunct/>
        <w:topLinePunct w:val="0"/>
        <w:bidi w:val="0"/>
        <w:ind w:left="0"/>
        <w:jc w:val="both"/>
        <w:rPr>
          <w:rFonts w:ascii="宋体" w:hAnsi="宋体"/>
          <w:color w:val="auto"/>
          <w:highlight w:val="none"/>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附表二：</w:t>
      </w:r>
      <w:r>
        <w:rPr>
          <w:rFonts w:hint="eastAsia" w:ascii="宋体" w:hAnsi="宋体" w:eastAsia="宋体" w:cs="宋体"/>
          <w:color w:val="auto"/>
          <w:highlight w:val="none"/>
        </w:rPr>
        <w:t>货物规</w:t>
      </w:r>
      <w:r>
        <w:rPr>
          <w:rFonts w:hint="eastAsia" w:ascii="宋体" w:hAnsi="宋体"/>
          <w:color w:val="auto"/>
          <w:highlight w:val="none"/>
        </w:rPr>
        <w:t>格、技术参数偏离表</w:t>
      </w:r>
      <w:bookmarkEnd w:id="299"/>
      <w:bookmarkEnd w:id="300"/>
      <w:bookmarkEnd w:id="301"/>
      <w:bookmarkEnd w:id="302"/>
      <w:bookmarkEnd w:id="303"/>
    </w:p>
    <w:p w14:paraId="25CC0805">
      <w:pPr>
        <w:keepNext w:val="0"/>
        <w:keepLines w:val="0"/>
        <w:pageBreakBefore w:val="0"/>
        <w:kinsoku/>
        <w:wordWrap w:val="0"/>
        <w:overflowPunct/>
        <w:topLinePunct w:val="0"/>
        <w:bidi w:val="0"/>
        <w:spacing w:line="480" w:lineRule="exact"/>
        <w:rPr>
          <w:bCs/>
          <w:color w:val="auto"/>
          <w:sz w:val="24"/>
          <w:highlight w:val="none"/>
          <w:u w:val="single"/>
        </w:rPr>
      </w:pPr>
      <w:r>
        <w:rPr>
          <w:rFonts w:hint="eastAsia"/>
          <w:bCs/>
          <w:color w:val="auto"/>
          <w:sz w:val="24"/>
          <w:highlight w:val="none"/>
        </w:rPr>
        <w:t>供应商（名称）：</w:t>
      </w:r>
    </w:p>
    <w:p w14:paraId="4B7B4C6C">
      <w:pPr>
        <w:keepNext w:val="0"/>
        <w:keepLines w:val="0"/>
        <w:pageBreakBefore w:val="0"/>
        <w:kinsoku/>
        <w:wordWrap w:val="0"/>
        <w:overflowPunct/>
        <w:topLinePunct w:val="0"/>
        <w:bidi w:val="0"/>
        <w:spacing w:line="480" w:lineRule="exact"/>
        <w:rPr>
          <w:bCs/>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018"/>
        <w:gridCol w:w="1922"/>
        <w:gridCol w:w="1276"/>
      </w:tblGrid>
      <w:tr w14:paraId="3782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23C0AF1B">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序号</w:t>
            </w:r>
          </w:p>
        </w:tc>
        <w:tc>
          <w:tcPr>
            <w:tcW w:w="1620" w:type="dxa"/>
            <w:noWrap/>
            <w:vAlign w:val="top"/>
          </w:tcPr>
          <w:p w14:paraId="3ECC08B5">
            <w:pPr>
              <w:keepNext w:val="0"/>
              <w:keepLines w:val="0"/>
              <w:pageBreakBefore w:val="0"/>
              <w:kinsoku/>
              <w:wordWrap w:val="0"/>
              <w:overflowPunct/>
              <w:topLinePunct w:val="0"/>
              <w:bidi w:val="0"/>
              <w:spacing w:line="480" w:lineRule="exact"/>
              <w:jc w:val="center"/>
              <w:rPr>
                <w:bCs/>
                <w:color w:val="auto"/>
                <w:sz w:val="24"/>
                <w:highlight w:val="none"/>
              </w:rPr>
            </w:pPr>
            <w:r>
              <w:rPr>
                <w:rFonts w:hint="eastAsia"/>
                <w:bCs/>
                <w:color w:val="auto"/>
                <w:sz w:val="24"/>
                <w:highlight w:val="none"/>
              </w:rPr>
              <w:t>货物名称</w:t>
            </w:r>
          </w:p>
        </w:tc>
        <w:tc>
          <w:tcPr>
            <w:tcW w:w="1800" w:type="dxa"/>
            <w:noWrap/>
            <w:vAlign w:val="top"/>
          </w:tcPr>
          <w:p w14:paraId="27AB081A">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招标功能参数</w:t>
            </w:r>
          </w:p>
        </w:tc>
        <w:tc>
          <w:tcPr>
            <w:tcW w:w="2018" w:type="dxa"/>
            <w:noWrap/>
            <w:vAlign w:val="top"/>
          </w:tcPr>
          <w:p w14:paraId="7FE4C2DF">
            <w:pPr>
              <w:keepNext w:val="0"/>
              <w:keepLines w:val="0"/>
              <w:pageBreakBefore w:val="0"/>
              <w:kinsoku/>
              <w:wordWrap w:val="0"/>
              <w:overflowPunct/>
              <w:topLinePunct w:val="0"/>
              <w:bidi w:val="0"/>
              <w:spacing w:line="480" w:lineRule="exact"/>
              <w:rPr>
                <w:rFonts w:hint="eastAsia" w:eastAsia="宋体"/>
                <w:bCs/>
                <w:color w:val="auto"/>
                <w:sz w:val="24"/>
                <w:highlight w:val="none"/>
                <w:lang w:eastAsia="zh-CN"/>
              </w:rPr>
            </w:pPr>
            <w:r>
              <w:rPr>
                <w:rFonts w:hint="eastAsia"/>
                <w:bCs/>
                <w:color w:val="auto"/>
                <w:sz w:val="24"/>
                <w:highlight w:val="none"/>
              </w:rPr>
              <w:t>投标品牌</w:t>
            </w:r>
            <w:r>
              <w:rPr>
                <w:rFonts w:hint="eastAsia"/>
                <w:bCs/>
                <w:color w:val="auto"/>
                <w:sz w:val="24"/>
                <w:highlight w:val="none"/>
                <w:lang w:eastAsia="zh-CN"/>
              </w:rPr>
              <w:t>及型号</w:t>
            </w:r>
          </w:p>
        </w:tc>
        <w:tc>
          <w:tcPr>
            <w:tcW w:w="1922" w:type="dxa"/>
            <w:noWrap/>
            <w:vAlign w:val="top"/>
          </w:tcPr>
          <w:p w14:paraId="2840D2F8">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投标功能参数</w:t>
            </w:r>
          </w:p>
        </w:tc>
        <w:tc>
          <w:tcPr>
            <w:tcW w:w="1276" w:type="dxa"/>
            <w:noWrap/>
            <w:vAlign w:val="top"/>
          </w:tcPr>
          <w:p w14:paraId="120CC706">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偏离说明</w:t>
            </w:r>
          </w:p>
        </w:tc>
      </w:tr>
      <w:tr w14:paraId="24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5B2BCAEC">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4F4C5A77">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7787B5F4">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0DC4998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4D9C1EC">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6C6234FC">
            <w:pPr>
              <w:keepNext w:val="0"/>
              <w:keepLines w:val="0"/>
              <w:pageBreakBefore w:val="0"/>
              <w:kinsoku/>
              <w:wordWrap w:val="0"/>
              <w:overflowPunct/>
              <w:topLinePunct w:val="0"/>
              <w:bidi w:val="0"/>
              <w:spacing w:line="480" w:lineRule="exact"/>
              <w:rPr>
                <w:bCs/>
                <w:color w:val="auto"/>
                <w:sz w:val="24"/>
                <w:highlight w:val="none"/>
              </w:rPr>
            </w:pPr>
          </w:p>
        </w:tc>
      </w:tr>
      <w:tr w14:paraId="47E8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7BDC84A8">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051BB27D">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379921AD">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45A5651">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2C92F38">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21109520">
            <w:pPr>
              <w:keepNext w:val="0"/>
              <w:keepLines w:val="0"/>
              <w:pageBreakBefore w:val="0"/>
              <w:kinsoku/>
              <w:wordWrap w:val="0"/>
              <w:overflowPunct/>
              <w:topLinePunct w:val="0"/>
              <w:bidi w:val="0"/>
              <w:spacing w:line="480" w:lineRule="exact"/>
              <w:rPr>
                <w:bCs/>
                <w:color w:val="auto"/>
                <w:sz w:val="24"/>
                <w:highlight w:val="none"/>
              </w:rPr>
            </w:pPr>
          </w:p>
        </w:tc>
      </w:tr>
      <w:tr w14:paraId="3415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47168BE3">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3DA8FF3F">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5B8186E8">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163A76BE">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4746F37A">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63B25339">
            <w:pPr>
              <w:keepNext w:val="0"/>
              <w:keepLines w:val="0"/>
              <w:pageBreakBefore w:val="0"/>
              <w:kinsoku/>
              <w:wordWrap w:val="0"/>
              <w:overflowPunct/>
              <w:topLinePunct w:val="0"/>
              <w:bidi w:val="0"/>
              <w:spacing w:line="480" w:lineRule="exact"/>
              <w:rPr>
                <w:bCs/>
                <w:color w:val="auto"/>
                <w:sz w:val="24"/>
                <w:highlight w:val="none"/>
              </w:rPr>
            </w:pPr>
          </w:p>
        </w:tc>
      </w:tr>
      <w:tr w14:paraId="1721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34CC91B9">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628F1562">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7000D92">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5A342ED9">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6F53B8CC">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5C98FE56">
            <w:pPr>
              <w:keepNext w:val="0"/>
              <w:keepLines w:val="0"/>
              <w:pageBreakBefore w:val="0"/>
              <w:kinsoku/>
              <w:wordWrap w:val="0"/>
              <w:overflowPunct/>
              <w:topLinePunct w:val="0"/>
              <w:bidi w:val="0"/>
              <w:spacing w:line="480" w:lineRule="exact"/>
              <w:rPr>
                <w:bCs/>
                <w:color w:val="auto"/>
                <w:sz w:val="24"/>
                <w:highlight w:val="none"/>
              </w:rPr>
            </w:pPr>
          </w:p>
        </w:tc>
      </w:tr>
      <w:tr w14:paraId="6A3A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3456733F">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64D30C03">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562E972">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5E0AC3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212D6DC9">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16331F40">
            <w:pPr>
              <w:keepNext w:val="0"/>
              <w:keepLines w:val="0"/>
              <w:pageBreakBefore w:val="0"/>
              <w:kinsoku/>
              <w:wordWrap w:val="0"/>
              <w:overflowPunct/>
              <w:topLinePunct w:val="0"/>
              <w:bidi w:val="0"/>
              <w:spacing w:line="480" w:lineRule="exact"/>
              <w:rPr>
                <w:bCs/>
                <w:color w:val="auto"/>
                <w:sz w:val="24"/>
                <w:highlight w:val="none"/>
              </w:rPr>
            </w:pPr>
          </w:p>
        </w:tc>
      </w:tr>
      <w:tr w14:paraId="5C65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41AC40FB">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2D41DC2A">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09EFE871">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2132B2D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600F3293">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0B839654">
            <w:pPr>
              <w:keepNext w:val="0"/>
              <w:keepLines w:val="0"/>
              <w:pageBreakBefore w:val="0"/>
              <w:kinsoku/>
              <w:wordWrap w:val="0"/>
              <w:overflowPunct/>
              <w:topLinePunct w:val="0"/>
              <w:bidi w:val="0"/>
              <w:spacing w:line="480" w:lineRule="exact"/>
              <w:rPr>
                <w:bCs/>
                <w:color w:val="auto"/>
                <w:sz w:val="24"/>
                <w:highlight w:val="none"/>
              </w:rPr>
            </w:pPr>
          </w:p>
        </w:tc>
      </w:tr>
      <w:tr w14:paraId="3CC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14:paraId="020E523F">
            <w:pPr>
              <w:keepNext w:val="0"/>
              <w:keepLines w:val="0"/>
              <w:pageBreakBefore w:val="0"/>
              <w:kinsoku/>
              <w:wordWrap w:val="0"/>
              <w:overflowPunct/>
              <w:topLinePunct w:val="0"/>
              <w:bidi w:val="0"/>
              <w:spacing w:line="480" w:lineRule="exact"/>
              <w:rPr>
                <w:bCs/>
                <w:color w:val="auto"/>
                <w:sz w:val="24"/>
                <w:highlight w:val="none"/>
              </w:rPr>
            </w:pPr>
          </w:p>
        </w:tc>
        <w:tc>
          <w:tcPr>
            <w:tcW w:w="1620" w:type="dxa"/>
            <w:noWrap/>
            <w:vAlign w:val="top"/>
          </w:tcPr>
          <w:p w14:paraId="7BEED6DF">
            <w:pPr>
              <w:keepNext w:val="0"/>
              <w:keepLines w:val="0"/>
              <w:pageBreakBefore w:val="0"/>
              <w:kinsoku/>
              <w:wordWrap w:val="0"/>
              <w:overflowPunct/>
              <w:topLinePunct w:val="0"/>
              <w:bidi w:val="0"/>
              <w:spacing w:line="480" w:lineRule="exact"/>
              <w:rPr>
                <w:bCs/>
                <w:color w:val="auto"/>
                <w:sz w:val="24"/>
                <w:highlight w:val="none"/>
              </w:rPr>
            </w:pPr>
          </w:p>
        </w:tc>
        <w:tc>
          <w:tcPr>
            <w:tcW w:w="1800" w:type="dxa"/>
            <w:noWrap/>
            <w:vAlign w:val="top"/>
          </w:tcPr>
          <w:p w14:paraId="6D4357B0">
            <w:pPr>
              <w:keepNext w:val="0"/>
              <w:keepLines w:val="0"/>
              <w:pageBreakBefore w:val="0"/>
              <w:kinsoku/>
              <w:wordWrap w:val="0"/>
              <w:overflowPunct/>
              <w:topLinePunct w:val="0"/>
              <w:bidi w:val="0"/>
              <w:spacing w:line="480" w:lineRule="exact"/>
              <w:rPr>
                <w:bCs/>
                <w:color w:val="auto"/>
                <w:sz w:val="24"/>
                <w:highlight w:val="none"/>
              </w:rPr>
            </w:pPr>
          </w:p>
        </w:tc>
        <w:tc>
          <w:tcPr>
            <w:tcW w:w="2018" w:type="dxa"/>
            <w:noWrap/>
            <w:vAlign w:val="top"/>
          </w:tcPr>
          <w:p w14:paraId="45981577">
            <w:pPr>
              <w:keepNext w:val="0"/>
              <w:keepLines w:val="0"/>
              <w:pageBreakBefore w:val="0"/>
              <w:kinsoku/>
              <w:wordWrap w:val="0"/>
              <w:overflowPunct/>
              <w:topLinePunct w:val="0"/>
              <w:bidi w:val="0"/>
              <w:spacing w:line="480" w:lineRule="exact"/>
              <w:rPr>
                <w:bCs/>
                <w:color w:val="auto"/>
                <w:sz w:val="24"/>
                <w:highlight w:val="none"/>
              </w:rPr>
            </w:pPr>
          </w:p>
        </w:tc>
        <w:tc>
          <w:tcPr>
            <w:tcW w:w="1922" w:type="dxa"/>
            <w:noWrap/>
            <w:vAlign w:val="top"/>
          </w:tcPr>
          <w:p w14:paraId="3847C9D2">
            <w:pPr>
              <w:keepNext w:val="0"/>
              <w:keepLines w:val="0"/>
              <w:pageBreakBefore w:val="0"/>
              <w:kinsoku/>
              <w:wordWrap w:val="0"/>
              <w:overflowPunct/>
              <w:topLinePunct w:val="0"/>
              <w:bidi w:val="0"/>
              <w:spacing w:line="480" w:lineRule="exact"/>
              <w:rPr>
                <w:bCs/>
                <w:color w:val="auto"/>
                <w:sz w:val="24"/>
                <w:highlight w:val="none"/>
              </w:rPr>
            </w:pPr>
          </w:p>
        </w:tc>
        <w:tc>
          <w:tcPr>
            <w:tcW w:w="1276" w:type="dxa"/>
            <w:noWrap/>
            <w:vAlign w:val="top"/>
          </w:tcPr>
          <w:p w14:paraId="44E2EC4B">
            <w:pPr>
              <w:keepNext w:val="0"/>
              <w:keepLines w:val="0"/>
              <w:pageBreakBefore w:val="0"/>
              <w:kinsoku/>
              <w:wordWrap w:val="0"/>
              <w:overflowPunct/>
              <w:topLinePunct w:val="0"/>
              <w:bidi w:val="0"/>
              <w:spacing w:line="480" w:lineRule="exact"/>
              <w:rPr>
                <w:bCs/>
                <w:color w:val="auto"/>
                <w:sz w:val="24"/>
                <w:highlight w:val="none"/>
              </w:rPr>
            </w:pPr>
          </w:p>
        </w:tc>
      </w:tr>
    </w:tbl>
    <w:p w14:paraId="00D47FBF">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（注：只须对比偏离情况）</w:t>
      </w:r>
    </w:p>
    <w:p w14:paraId="38AAF532">
      <w:pPr>
        <w:pStyle w:val="7"/>
        <w:keepNext w:val="0"/>
        <w:keepLines w:val="0"/>
        <w:pageBreakBefore w:val="0"/>
        <w:kinsoku/>
        <w:wordWrap w:val="0"/>
        <w:overflowPunct/>
        <w:topLinePunct w:val="0"/>
        <w:bidi w:val="0"/>
        <w:rPr>
          <w:bCs/>
          <w:color w:val="auto"/>
          <w:highlight w:val="none"/>
        </w:rPr>
      </w:pPr>
    </w:p>
    <w:p w14:paraId="090D5BC2">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供应商名称：（公章签章）</w:t>
      </w:r>
    </w:p>
    <w:p w14:paraId="14C46ADE">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 xml:space="preserve">法定代表人或委托代理人：（法人签章）                                                                     </w:t>
      </w:r>
    </w:p>
    <w:p w14:paraId="2F39C088">
      <w:pPr>
        <w:keepNext w:val="0"/>
        <w:keepLines w:val="0"/>
        <w:pageBreakBefore w:val="0"/>
        <w:kinsoku/>
        <w:wordWrap w:val="0"/>
        <w:overflowPunct/>
        <w:topLinePunct w:val="0"/>
        <w:bidi w:val="0"/>
        <w:spacing w:line="480" w:lineRule="exact"/>
        <w:rPr>
          <w:bCs/>
          <w:color w:val="auto"/>
          <w:sz w:val="24"/>
          <w:highlight w:val="none"/>
        </w:rPr>
      </w:pPr>
      <w:r>
        <w:rPr>
          <w:rFonts w:hint="eastAsia"/>
          <w:bCs/>
          <w:color w:val="auto"/>
          <w:sz w:val="24"/>
          <w:highlight w:val="none"/>
        </w:rPr>
        <w:t>日期：      年    月    日</w:t>
      </w:r>
    </w:p>
    <w:p w14:paraId="67405836">
      <w:pPr>
        <w:keepNext w:val="0"/>
        <w:keepLines w:val="0"/>
        <w:pageBreakBefore w:val="0"/>
        <w:kinsoku/>
        <w:wordWrap w:val="0"/>
        <w:overflowPunct/>
        <w:topLinePunct w:val="0"/>
        <w:bidi w:val="0"/>
        <w:spacing w:line="480" w:lineRule="exact"/>
        <w:rPr>
          <w:bCs/>
          <w:color w:val="auto"/>
          <w:sz w:val="24"/>
          <w:highlight w:val="none"/>
        </w:rPr>
      </w:pPr>
    </w:p>
    <w:p w14:paraId="1705CCA5">
      <w:pPr>
        <w:keepNext w:val="0"/>
        <w:keepLines w:val="0"/>
        <w:pageBreakBefore w:val="0"/>
        <w:kinsoku/>
        <w:wordWrap w:val="0"/>
        <w:overflowPunct/>
        <w:topLinePunct w:val="0"/>
        <w:bidi w:val="0"/>
        <w:spacing w:line="480" w:lineRule="exact"/>
        <w:ind w:firstLine="120" w:firstLineChars="50"/>
        <w:rPr>
          <w:bCs/>
          <w:color w:val="auto"/>
          <w:sz w:val="24"/>
          <w:highlight w:val="none"/>
        </w:rPr>
      </w:pPr>
      <w:r>
        <w:rPr>
          <w:rFonts w:hint="eastAsia"/>
          <w:bCs/>
          <w:color w:val="auto"/>
          <w:sz w:val="24"/>
          <w:highlight w:val="none"/>
        </w:rPr>
        <w:t>注：此表格若不够用，可根据实际自行扩展表格。</w:t>
      </w:r>
    </w:p>
    <w:p w14:paraId="37976F23">
      <w:pPr>
        <w:keepNext w:val="0"/>
        <w:keepLines w:val="0"/>
        <w:pageBreakBefore w:val="0"/>
        <w:kinsoku/>
        <w:wordWrap w:val="0"/>
        <w:overflowPunct/>
        <w:topLinePunct w:val="0"/>
        <w:bidi w:val="0"/>
        <w:spacing w:line="440" w:lineRule="exact"/>
        <w:rPr>
          <w:color w:val="auto"/>
          <w:sz w:val="20"/>
          <w:szCs w:val="20"/>
          <w:highlight w:val="none"/>
        </w:rPr>
      </w:pPr>
      <w:r>
        <w:rPr>
          <w:bCs/>
          <w:color w:val="auto"/>
          <w:sz w:val="24"/>
          <w:highlight w:val="none"/>
        </w:rPr>
        <w:t>（本项目所涉及的技术参数，供应商可提供相应的</w:t>
      </w:r>
      <w:r>
        <w:rPr>
          <w:rFonts w:hint="eastAsia"/>
          <w:bCs/>
          <w:color w:val="auto"/>
          <w:sz w:val="24"/>
          <w:highlight w:val="none"/>
        </w:rPr>
        <w:t>证明文件附后</w:t>
      </w:r>
      <w:r>
        <w:rPr>
          <w:bCs/>
          <w:color w:val="auto"/>
          <w:sz w:val="24"/>
          <w:highlight w:val="none"/>
        </w:rPr>
        <w:t>。</w:t>
      </w:r>
      <w:r>
        <w:rPr>
          <w:rFonts w:hint="eastAsia"/>
          <w:bCs/>
          <w:color w:val="auto"/>
          <w:sz w:val="24"/>
          <w:highlight w:val="none"/>
        </w:rPr>
        <w:t>证明文件</w:t>
      </w:r>
      <w:r>
        <w:rPr>
          <w:bCs/>
          <w:color w:val="auto"/>
          <w:sz w:val="24"/>
          <w:highlight w:val="none"/>
        </w:rPr>
        <w:t>可以是产品彩页、网页公告、检测报告或投标产品详细参数说明</w:t>
      </w:r>
      <w:r>
        <w:rPr>
          <w:rFonts w:hint="eastAsia"/>
          <w:bCs/>
          <w:color w:val="auto"/>
          <w:sz w:val="24"/>
          <w:highlight w:val="none"/>
        </w:rPr>
        <w:t>等资料</w:t>
      </w:r>
      <w:r>
        <w:rPr>
          <w:bCs/>
          <w:color w:val="auto"/>
          <w:sz w:val="24"/>
          <w:highlight w:val="none"/>
        </w:rPr>
        <w:t>）</w:t>
      </w:r>
    </w:p>
    <w:p w14:paraId="32589A9D">
      <w:pPr>
        <w:keepNext w:val="0"/>
        <w:keepLines w:val="0"/>
        <w:pageBreakBefore w:val="0"/>
        <w:numPr>
          <w:ilvl w:val="0"/>
          <w:numId w:val="16"/>
        </w:numPr>
        <w:kinsoku/>
        <w:wordWrap w:val="0"/>
        <w:overflowPunct/>
        <w:topLinePunct w:val="0"/>
        <w:bidi w:val="0"/>
        <w:spacing w:before="24"/>
        <w:ind w:left="904" w:right="766"/>
        <w:jc w:val="center"/>
        <w:rPr>
          <w:rFonts w:hint="eastAsia" w:ascii="宋体" w:hAnsi="宋体" w:eastAsia="宋体" w:cs="宋体"/>
          <w:color w:val="auto"/>
          <w:sz w:val="28"/>
          <w:szCs w:val="20"/>
          <w:highlight w:val="none"/>
          <w:lang w:val="en-US"/>
        </w:rPr>
      </w:pPr>
      <w:r>
        <w:rPr>
          <w:b/>
          <w:color w:val="auto"/>
          <w:sz w:val="32"/>
          <w:highlight w:val="none"/>
        </w:rPr>
        <w:br w:type="page"/>
      </w:r>
      <w:bookmarkStart w:id="304" w:name="_Toc29682"/>
      <w:bookmarkStart w:id="305" w:name="_Toc424308521"/>
      <w:bookmarkStart w:id="306" w:name="_Toc467255652"/>
      <w:bookmarkStart w:id="307" w:name="_Toc30441"/>
      <w:bookmarkStart w:id="308" w:name="_Toc4976_WPSOffice_Level1"/>
      <w:bookmarkStart w:id="309" w:name="_Toc465887466"/>
      <w:r>
        <w:rPr>
          <w:rFonts w:hint="eastAsia" w:ascii="宋体" w:hAnsi="宋体" w:eastAsia="宋体" w:cs="宋体"/>
          <w:color w:val="auto"/>
          <w:sz w:val="28"/>
          <w:szCs w:val="20"/>
          <w:highlight w:val="none"/>
          <w:lang w:val="en-US"/>
        </w:rPr>
        <w:t>法定代表人身份证明</w:t>
      </w:r>
      <w:bookmarkEnd w:id="304"/>
      <w:bookmarkEnd w:id="305"/>
      <w:bookmarkEnd w:id="306"/>
      <w:bookmarkEnd w:id="307"/>
      <w:bookmarkEnd w:id="308"/>
      <w:bookmarkEnd w:id="309"/>
    </w:p>
    <w:p w14:paraId="08B2CB91">
      <w:pPr>
        <w:keepNext w:val="0"/>
        <w:keepLines w:val="0"/>
        <w:pageBreakBefore w:val="0"/>
        <w:numPr>
          <w:ilvl w:val="0"/>
          <w:numId w:val="0"/>
        </w:numPr>
        <w:kinsoku/>
        <w:wordWrap w:val="0"/>
        <w:overflowPunct/>
        <w:topLinePunct w:val="0"/>
        <w:bidi w:val="0"/>
        <w:spacing w:before="24"/>
        <w:ind w:right="766" w:rightChars="0"/>
        <w:jc w:val="both"/>
        <w:rPr>
          <w:rFonts w:hint="eastAsia" w:ascii="宋体" w:hAnsi="宋体" w:eastAsia="宋体" w:cs="宋体"/>
          <w:color w:val="auto"/>
          <w:sz w:val="28"/>
          <w:szCs w:val="20"/>
          <w:highlight w:val="none"/>
          <w:lang w:val="en-US"/>
        </w:rPr>
      </w:pPr>
    </w:p>
    <w:p w14:paraId="0AC78C4B">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bookmarkStart w:id="310" w:name="_Toc32377"/>
      <w:bookmarkStart w:id="311" w:name="_Toc467255653"/>
      <w:bookmarkStart w:id="312" w:name="_Toc465887467"/>
      <w:bookmarkStart w:id="313" w:name="_Toc424308522"/>
    </w:p>
    <w:p w14:paraId="322CFB77">
      <w:pPr>
        <w:pStyle w:val="3"/>
        <w:keepNext w:val="0"/>
        <w:keepLines w:val="0"/>
        <w:pageBreakBefore w:val="0"/>
        <w:tabs>
          <w:tab w:val="left" w:pos="720"/>
        </w:tabs>
        <w:kinsoku/>
        <w:wordWrap w:val="0"/>
        <w:overflowPunct/>
        <w:topLinePunct w:val="0"/>
        <w:bidi w:val="0"/>
        <w:snapToGrid w:val="0"/>
        <w:spacing w:before="0"/>
        <w:ind w:left="0"/>
        <w:rPr>
          <w:b w:val="0"/>
          <w:color w:val="auto"/>
          <w:sz w:val="24"/>
          <w:szCs w:val="24"/>
          <w:highlight w:val="none"/>
        </w:rPr>
      </w:pPr>
      <w:r>
        <w:rPr>
          <w:rFonts w:hint="eastAsia"/>
          <w:b w:val="0"/>
          <w:color w:val="auto"/>
          <w:sz w:val="24"/>
          <w:szCs w:val="24"/>
          <w:highlight w:val="none"/>
        </w:rPr>
        <w:t>单位名称：</w:t>
      </w:r>
      <w:bookmarkEnd w:id="310"/>
      <w:bookmarkEnd w:id="311"/>
      <w:bookmarkEnd w:id="312"/>
      <w:bookmarkEnd w:id="313"/>
    </w:p>
    <w:p w14:paraId="1CF8E6F1">
      <w:pPr>
        <w:keepNext w:val="0"/>
        <w:keepLines w:val="0"/>
        <w:pageBreakBefore w:val="0"/>
        <w:kinsoku/>
        <w:wordWrap w:val="0"/>
        <w:overflowPunct/>
        <w:topLinePunct w:val="0"/>
        <w:bidi w:val="0"/>
        <w:snapToGrid w:val="0"/>
        <w:rPr>
          <w:color w:val="auto"/>
          <w:sz w:val="24"/>
          <w:highlight w:val="none"/>
        </w:rPr>
      </w:pPr>
    </w:p>
    <w:p w14:paraId="6FD2A8F3">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单位性质：</w:t>
      </w:r>
    </w:p>
    <w:p w14:paraId="07A39AE9">
      <w:pPr>
        <w:keepNext w:val="0"/>
        <w:keepLines w:val="0"/>
        <w:pageBreakBefore w:val="0"/>
        <w:kinsoku/>
        <w:wordWrap w:val="0"/>
        <w:overflowPunct/>
        <w:topLinePunct w:val="0"/>
        <w:bidi w:val="0"/>
        <w:snapToGrid w:val="0"/>
        <w:rPr>
          <w:color w:val="auto"/>
          <w:sz w:val="24"/>
          <w:highlight w:val="none"/>
        </w:rPr>
      </w:pPr>
    </w:p>
    <w:p w14:paraId="3339CC2E">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地   址：</w:t>
      </w:r>
    </w:p>
    <w:p w14:paraId="2C0B6198">
      <w:pPr>
        <w:keepNext w:val="0"/>
        <w:keepLines w:val="0"/>
        <w:pageBreakBefore w:val="0"/>
        <w:kinsoku/>
        <w:wordWrap w:val="0"/>
        <w:overflowPunct/>
        <w:topLinePunct w:val="0"/>
        <w:bidi w:val="0"/>
        <w:snapToGrid w:val="0"/>
        <w:rPr>
          <w:color w:val="auto"/>
          <w:sz w:val="24"/>
          <w:highlight w:val="none"/>
        </w:rPr>
      </w:pPr>
    </w:p>
    <w:p w14:paraId="5D132019">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成立时间：</w:t>
      </w:r>
    </w:p>
    <w:p w14:paraId="0B82F2FE">
      <w:pPr>
        <w:keepNext w:val="0"/>
        <w:keepLines w:val="0"/>
        <w:pageBreakBefore w:val="0"/>
        <w:kinsoku/>
        <w:wordWrap w:val="0"/>
        <w:overflowPunct/>
        <w:topLinePunct w:val="0"/>
        <w:bidi w:val="0"/>
        <w:snapToGrid w:val="0"/>
        <w:rPr>
          <w:color w:val="auto"/>
          <w:sz w:val="24"/>
          <w:highlight w:val="none"/>
        </w:rPr>
      </w:pPr>
    </w:p>
    <w:p w14:paraId="24075548">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经营期限：</w:t>
      </w:r>
    </w:p>
    <w:p w14:paraId="48A616F1">
      <w:pPr>
        <w:keepNext w:val="0"/>
        <w:keepLines w:val="0"/>
        <w:pageBreakBefore w:val="0"/>
        <w:kinsoku/>
        <w:wordWrap w:val="0"/>
        <w:overflowPunct/>
        <w:topLinePunct w:val="0"/>
        <w:bidi w:val="0"/>
        <w:snapToGrid w:val="0"/>
        <w:rPr>
          <w:color w:val="auto"/>
          <w:sz w:val="24"/>
          <w:highlight w:val="none"/>
        </w:rPr>
      </w:pPr>
    </w:p>
    <w:p w14:paraId="32A0335A">
      <w:pPr>
        <w:keepNext w:val="0"/>
        <w:keepLines w:val="0"/>
        <w:pageBreakBefore w:val="0"/>
        <w:kinsoku/>
        <w:wordWrap w:val="0"/>
        <w:overflowPunct/>
        <w:topLinePunct w:val="0"/>
        <w:bidi w:val="0"/>
        <w:snapToGrid w:val="0"/>
        <w:rPr>
          <w:color w:val="auto"/>
          <w:sz w:val="24"/>
          <w:highlight w:val="none"/>
          <w:u w:val="single"/>
        </w:rPr>
      </w:pPr>
      <w:r>
        <w:rPr>
          <w:rFonts w:hint="eastAsia"/>
          <w:color w:val="auto"/>
          <w:sz w:val="24"/>
          <w:highlight w:val="none"/>
        </w:rPr>
        <w:t>姓  名：</w:t>
      </w:r>
      <w:r>
        <w:rPr>
          <w:rFonts w:hint="eastAsia"/>
          <w:color w:val="auto"/>
          <w:sz w:val="24"/>
          <w:highlight w:val="none"/>
          <w:lang w:val="en-US" w:eastAsia="zh-CN"/>
        </w:rPr>
        <w:t xml:space="preserve">     </w:t>
      </w:r>
      <w:r>
        <w:rPr>
          <w:rFonts w:hint="eastAsia"/>
          <w:color w:val="auto"/>
          <w:sz w:val="24"/>
          <w:highlight w:val="none"/>
        </w:rPr>
        <w:t xml:space="preserve"> 性 别：</w:t>
      </w:r>
    </w:p>
    <w:p w14:paraId="79126E24">
      <w:pPr>
        <w:keepNext w:val="0"/>
        <w:keepLines w:val="0"/>
        <w:pageBreakBefore w:val="0"/>
        <w:kinsoku/>
        <w:wordWrap w:val="0"/>
        <w:overflowPunct/>
        <w:topLinePunct w:val="0"/>
        <w:bidi w:val="0"/>
        <w:snapToGrid w:val="0"/>
        <w:rPr>
          <w:color w:val="auto"/>
          <w:sz w:val="24"/>
          <w:highlight w:val="none"/>
          <w:u w:val="single"/>
        </w:rPr>
      </w:pPr>
    </w:p>
    <w:p w14:paraId="2E5A37C5">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 xml:space="preserve">年 龄：  </w:t>
      </w:r>
      <w:r>
        <w:rPr>
          <w:rFonts w:hint="eastAsia"/>
          <w:color w:val="auto"/>
          <w:sz w:val="24"/>
          <w:highlight w:val="none"/>
          <w:lang w:val="en-US" w:eastAsia="zh-CN"/>
        </w:rPr>
        <w:t xml:space="preserve">    </w:t>
      </w:r>
      <w:r>
        <w:rPr>
          <w:rFonts w:hint="eastAsia"/>
          <w:color w:val="auto"/>
          <w:sz w:val="24"/>
          <w:highlight w:val="none"/>
        </w:rPr>
        <w:t xml:space="preserve"> 职务：</w:t>
      </w:r>
    </w:p>
    <w:p w14:paraId="3E8DEE2C">
      <w:pPr>
        <w:keepNext w:val="0"/>
        <w:keepLines w:val="0"/>
        <w:pageBreakBefore w:val="0"/>
        <w:kinsoku/>
        <w:wordWrap w:val="0"/>
        <w:overflowPunct/>
        <w:topLinePunct w:val="0"/>
        <w:bidi w:val="0"/>
        <w:snapToGrid w:val="0"/>
        <w:rPr>
          <w:color w:val="auto"/>
          <w:sz w:val="24"/>
          <w:highlight w:val="none"/>
        </w:rPr>
      </w:pPr>
    </w:p>
    <w:p w14:paraId="76F2BB05">
      <w:pPr>
        <w:keepNext w:val="0"/>
        <w:keepLines w:val="0"/>
        <w:pageBreakBefore w:val="0"/>
        <w:kinsoku/>
        <w:wordWrap w:val="0"/>
        <w:overflowPunct/>
        <w:topLinePunct w:val="0"/>
        <w:bidi w:val="0"/>
        <w:snapToGrid w:val="0"/>
        <w:rPr>
          <w:color w:val="auto"/>
          <w:sz w:val="24"/>
          <w:highlight w:val="none"/>
        </w:rPr>
      </w:pPr>
      <w:r>
        <w:rPr>
          <w:rFonts w:hint="eastAsia"/>
          <w:color w:val="auto"/>
          <w:sz w:val="24"/>
          <w:highlight w:val="none"/>
        </w:rPr>
        <w:t>系（投标供应商名称）的法定代表人。</w:t>
      </w:r>
    </w:p>
    <w:p w14:paraId="74F89A3B">
      <w:pPr>
        <w:keepNext w:val="0"/>
        <w:keepLines w:val="0"/>
        <w:pageBreakBefore w:val="0"/>
        <w:kinsoku/>
        <w:wordWrap w:val="0"/>
        <w:overflowPunct/>
        <w:topLinePunct w:val="0"/>
        <w:bidi w:val="0"/>
        <w:snapToGrid w:val="0"/>
        <w:spacing w:line="360" w:lineRule="auto"/>
        <w:rPr>
          <w:color w:val="auto"/>
          <w:sz w:val="24"/>
          <w:highlight w:val="none"/>
        </w:rPr>
      </w:pPr>
    </w:p>
    <w:p w14:paraId="767F6989">
      <w:pPr>
        <w:keepNext w:val="0"/>
        <w:keepLines w:val="0"/>
        <w:pageBreakBefore w:val="0"/>
        <w:kinsoku/>
        <w:wordWrap w:val="0"/>
        <w:overflowPunct/>
        <w:topLinePunct w:val="0"/>
        <w:bidi w:val="0"/>
        <w:snapToGrid w:val="0"/>
        <w:spacing w:line="360" w:lineRule="auto"/>
        <w:rPr>
          <w:color w:val="auto"/>
          <w:sz w:val="24"/>
          <w:highlight w:val="none"/>
        </w:rPr>
      </w:pPr>
    </w:p>
    <w:p w14:paraId="6D489232">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 xml:space="preserve">特此证明   </w:t>
      </w:r>
    </w:p>
    <w:p w14:paraId="5350EBB2">
      <w:pPr>
        <w:keepNext w:val="0"/>
        <w:keepLines w:val="0"/>
        <w:pageBreakBefore w:val="0"/>
        <w:kinsoku/>
        <w:wordWrap w:val="0"/>
        <w:overflowPunct/>
        <w:topLinePunct w:val="0"/>
        <w:bidi w:val="0"/>
        <w:snapToGrid w:val="0"/>
        <w:spacing w:line="360" w:lineRule="auto"/>
        <w:rPr>
          <w:color w:val="auto"/>
          <w:sz w:val="24"/>
          <w:highlight w:val="none"/>
        </w:rPr>
      </w:pPr>
    </w:p>
    <w:p w14:paraId="5F81AA6D">
      <w:pPr>
        <w:keepNext w:val="0"/>
        <w:keepLines w:val="0"/>
        <w:pageBreakBefore w:val="0"/>
        <w:kinsoku/>
        <w:wordWrap w:val="0"/>
        <w:overflowPunct/>
        <w:topLinePunct w:val="0"/>
        <w:bidi w:val="0"/>
        <w:snapToGrid w:val="0"/>
        <w:spacing w:line="360" w:lineRule="auto"/>
        <w:rPr>
          <w:color w:val="auto"/>
          <w:sz w:val="24"/>
          <w:highlight w:val="none"/>
        </w:rPr>
      </w:pPr>
    </w:p>
    <w:p w14:paraId="180FB36A">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r>
        <w:rPr>
          <w:rFonts w:hint="eastAsia"/>
          <w:color w:val="auto"/>
          <w:sz w:val="24"/>
          <w:highlight w:val="none"/>
        </w:rPr>
        <w:t>供应商：（公章签章）</w:t>
      </w:r>
    </w:p>
    <w:p w14:paraId="159D261D">
      <w:pPr>
        <w:keepNext w:val="0"/>
        <w:keepLines w:val="0"/>
        <w:pageBreakBefore w:val="0"/>
        <w:kinsoku/>
        <w:wordWrap w:val="0"/>
        <w:overflowPunct/>
        <w:topLinePunct w:val="0"/>
        <w:bidi w:val="0"/>
        <w:snapToGrid w:val="0"/>
        <w:spacing w:line="360" w:lineRule="auto"/>
        <w:rPr>
          <w:color w:val="auto"/>
          <w:highlight w:val="none"/>
        </w:rPr>
      </w:pPr>
    </w:p>
    <w:p w14:paraId="7C5CA7E5">
      <w:pPr>
        <w:keepNext w:val="0"/>
        <w:keepLines w:val="0"/>
        <w:pageBreakBefore w:val="0"/>
        <w:kinsoku/>
        <w:wordWrap w:val="0"/>
        <w:overflowPunct/>
        <w:topLinePunct w:val="0"/>
        <w:bidi w:val="0"/>
        <w:snapToGrid w:val="0"/>
        <w:spacing w:line="360" w:lineRule="auto"/>
        <w:jc w:val="center"/>
        <w:rPr>
          <w:color w:val="auto"/>
          <w:sz w:val="24"/>
          <w:highlight w:val="none"/>
        </w:rPr>
      </w:pPr>
      <w:bookmarkStart w:id="314" w:name="_Toc11862_WPSOffice_Level2"/>
      <w:r>
        <w:rPr>
          <w:rFonts w:hint="eastAsia"/>
          <w:color w:val="auto"/>
          <w:sz w:val="24"/>
          <w:highlight w:val="none"/>
        </w:rPr>
        <w:t>年    月    日</w:t>
      </w:r>
      <w:bookmarkEnd w:id="314"/>
    </w:p>
    <w:p w14:paraId="474667A6">
      <w:pPr>
        <w:pStyle w:val="4"/>
        <w:keepNext w:val="0"/>
        <w:keepLines w:val="0"/>
        <w:pageBreakBefore w:val="0"/>
        <w:tabs>
          <w:tab w:val="left" w:pos="425"/>
          <w:tab w:val="left" w:pos="720"/>
        </w:tabs>
        <w:kinsoku/>
        <w:wordWrap w:val="0"/>
        <w:overflowPunct/>
        <w:topLinePunct w:val="0"/>
        <w:bidi w:val="0"/>
        <w:ind w:left="288"/>
        <w:jc w:val="center"/>
        <w:rPr>
          <w:color w:val="auto"/>
          <w:highlight w:val="none"/>
        </w:rPr>
      </w:pPr>
      <w:r>
        <w:rPr>
          <w:rFonts w:hint="eastAsia"/>
          <w:bCs w:val="0"/>
          <w:color w:val="auto"/>
          <w:sz w:val="36"/>
          <w:szCs w:val="36"/>
          <w:highlight w:val="none"/>
        </w:rPr>
        <w:br w:type="page"/>
      </w:r>
    </w:p>
    <w:p w14:paraId="06741427">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15" w:name="_Toc13521"/>
      <w:bookmarkStart w:id="316" w:name="_Toc3669_WPSOffice_Level1"/>
      <w:bookmarkStart w:id="317" w:name="_Toc29749"/>
      <w:bookmarkStart w:id="318" w:name="_Toc424308523"/>
      <w:bookmarkStart w:id="319" w:name="_Toc465887468"/>
      <w:bookmarkStart w:id="320" w:name="_Toc467255654"/>
      <w:r>
        <w:rPr>
          <w:rFonts w:hint="eastAsia" w:ascii="宋体" w:hAnsi="宋体"/>
          <w:color w:val="auto"/>
          <w:highlight w:val="none"/>
        </w:rPr>
        <w:t>三、法定代表人授权书</w:t>
      </w:r>
      <w:bookmarkEnd w:id="315"/>
      <w:bookmarkEnd w:id="316"/>
      <w:bookmarkEnd w:id="317"/>
      <w:bookmarkEnd w:id="318"/>
      <w:bookmarkEnd w:id="319"/>
      <w:bookmarkEnd w:id="320"/>
    </w:p>
    <w:p w14:paraId="6A881C1B">
      <w:pPr>
        <w:pStyle w:val="20"/>
        <w:keepNext w:val="0"/>
        <w:keepLines w:val="0"/>
        <w:pageBreakBefore w:val="0"/>
        <w:kinsoku/>
        <w:wordWrap w:val="0"/>
        <w:overflowPunct/>
        <w:topLinePunct w:val="0"/>
        <w:bidi w:val="0"/>
        <w:jc w:val="both"/>
        <w:rPr>
          <w:rFonts w:hAnsi="宋体"/>
          <w:color w:val="auto"/>
          <w:highlight w:val="none"/>
        </w:rPr>
      </w:pPr>
    </w:p>
    <w:p w14:paraId="6FC8D9B6">
      <w:pPr>
        <w:keepNext w:val="0"/>
        <w:keepLines w:val="0"/>
        <w:pageBreakBefore w:val="0"/>
        <w:kinsoku/>
        <w:wordWrap w:val="0"/>
        <w:overflowPunct/>
        <w:topLinePunct w:val="0"/>
        <w:bidi w:val="0"/>
        <w:snapToGrid w:val="0"/>
        <w:spacing w:line="360" w:lineRule="auto"/>
        <w:ind w:firstLine="480" w:firstLineChars="200"/>
        <w:rPr>
          <w:color w:val="auto"/>
          <w:sz w:val="24"/>
          <w:highlight w:val="none"/>
        </w:rPr>
      </w:pPr>
    </w:p>
    <w:p w14:paraId="3EB7399B">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本人</w:t>
      </w:r>
      <w:r>
        <w:rPr>
          <w:rFonts w:hint="eastAsia"/>
          <w:color w:val="auto"/>
          <w:sz w:val="24"/>
          <w:szCs w:val="24"/>
          <w:highlight w:val="none"/>
          <w:u w:val="single"/>
        </w:rPr>
        <w:t>（姓名）</w:t>
      </w:r>
      <w:r>
        <w:rPr>
          <w:rFonts w:hint="eastAsia"/>
          <w:color w:val="auto"/>
          <w:sz w:val="24"/>
          <w:szCs w:val="24"/>
          <w:highlight w:val="none"/>
        </w:rPr>
        <w:t>系</w:t>
      </w:r>
      <w:r>
        <w:rPr>
          <w:rFonts w:hint="eastAsia"/>
          <w:color w:val="auto"/>
          <w:sz w:val="24"/>
          <w:szCs w:val="24"/>
          <w:highlight w:val="none"/>
          <w:u w:val="single"/>
        </w:rPr>
        <w:t>（供应商名称）</w:t>
      </w:r>
      <w:r>
        <w:rPr>
          <w:rFonts w:hint="eastAsia"/>
          <w:color w:val="auto"/>
          <w:sz w:val="24"/>
          <w:szCs w:val="24"/>
          <w:highlight w:val="none"/>
        </w:rPr>
        <w:t>的法定代表人，现委托</w:t>
      </w:r>
      <w:r>
        <w:rPr>
          <w:rFonts w:hint="eastAsia"/>
          <w:color w:val="auto"/>
          <w:sz w:val="24"/>
          <w:szCs w:val="24"/>
          <w:highlight w:val="none"/>
          <w:u w:val="single"/>
        </w:rPr>
        <w:t>（姓名）</w:t>
      </w:r>
      <w:r>
        <w:rPr>
          <w:rFonts w:hint="eastAsia"/>
          <w:color w:val="auto"/>
          <w:sz w:val="24"/>
          <w:szCs w:val="24"/>
          <w:highlight w:val="none"/>
        </w:rPr>
        <w:t>为我方代理人。代理人根据授权，以我方名义签署、澄清、说明、补正、递交、撤回、修改</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标段</w:t>
      </w:r>
      <w:r>
        <w:rPr>
          <w:rFonts w:hint="eastAsia"/>
          <w:color w:val="auto"/>
          <w:sz w:val="24"/>
          <w:szCs w:val="24"/>
          <w:highlight w:val="none"/>
          <w:u w:val="single"/>
          <w:lang w:eastAsia="zh-CN"/>
        </w:rPr>
        <w:t>）</w:t>
      </w:r>
      <w:r>
        <w:rPr>
          <w:rFonts w:hint="eastAsia"/>
          <w:color w:val="auto"/>
          <w:sz w:val="24"/>
          <w:szCs w:val="24"/>
          <w:highlight w:val="none"/>
        </w:rPr>
        <w:t>的响应文件、签订合同和处理有关事宜，其法律后果由我方承担。</w:t>
      </w:r>
    </w:p>
    <w:p w14:paraId="57DBDF3C">
      <w:pPr>
        <w:keepNext w:val="0"/>
        <w:keepLines w:val="0"/>
        <w:pageBreakBefore w:val="0"/>
        <w:kinsoku/>
        <w:wordWrap w:val="0"/>
        <w:overflowPunct/>
        <w:topLinePunct w:val="0"/>
        <w:bidi w:val="0"/>
        <w:spacing w:line="600" w:lineRule="auto"/>
        <w:ind w:firstLine="480" w:firstLineChars="200"/>
        <w:rPr>
          <w:color w:val="auto"/>
          <w:sz w:val="24"/>
          <w:szCs w:val="24"/>
          <w:highlight w:val="none"/>
        </w:rPr>
      </w:pPr>
      <w:r>
        <w:rPr>
          <w:rFonts w:hint="eastAsia"/>
          <w:color w:val="auto"/>
          <w:sz w:val="24"/>
          <w:szCs w:val="24"/>
          <w:highlight w:val="none"/>
        </w:rPr>
        <w:t>本授权书于</w:t>
      </w:r>
      <w:r>
        <w:rPr>
          <w:rFonts w:hint="eastAsia"/>
          <w:color w:val="auto"/>
          <w:sz w:val="24"/>
          <w:szCs w:val="24"/>
          <w:highlight w:val="none"/>
          <w:lang w:val="en-US" w:eastAsia="zh-CN"/>
        </w:rPr>
        <w:t xml:space="preserve"> </w:t>
      </w:r>
      <w:r>
        <w:rPr>
          <w:rFonts w:hint="eastAsia"/>
          <w:color w:val="auto"/>
          <w:sz w:val="24"/>
          <w:szCs w:val="24"/>
          <w:highlight w:val="none"/>
        </w:rPr>
        <w:t>年</w:t>
      </w:r>
      <w:r>
        <w:rPr>
          <w:rFonts w:hint="eastAsia"/>
          <w:color w:val="auto"/>
          <w:sz w:val="24"/>
          <w:szCs w:val="24"/>
          <w:highlight w:val="none"/>
          <w:lang w:val="en-US" w:eastAsia="zh-CN"/>
        </w:rPr>
        <w:t xml:space="preserve"> </w:t>
      </w:r>
      <w:r>
        <w:rPr>
          <w:rFonts w:hint="eastAsia"/>
          <w:color w:val="auto"/>
          <w:sz w:val="24"/>
          <w:szCs w:val="24"/>
          <w:highlight w:val="none"/>
        </w:rPr>
        <w:t>月</w:t>
      </w:r>
      <w:r>
        <w:rPr>
          <w:rFonts w:hint="eastAsia"/>
          <w:color w:val="auto"/>
          <w:sz w:val="24"/>
          <w:szCs w:val="24"/>
          <w:highlight w:val="none"/>
          <w:lang w:val="en-US" w:eastAsia="zh-CN"/>
        </w:rPr>
        <w:t xml:space="preserve"> </w:t>
      </w:r>
      <w:r>
        <w:rPr>
          <w:rFonts w:hint="eastAsia"/>
          <w:color w:val="auto"/>
          <w:sz w:val="24"/>
          <w:szCs w:val="24"/>
          <w:highlight w:val="none"/>
        </w:rPr>
        <w:t>日签字生效， 特此声明。</w:t>
      </w:r>
    </w:p>
    <w:p w14:paraId="0B8A0DCF">
      <w:pPr>
        <w:keepNext w:val="0"/>
        <w:keepLines w:val="0"/>
        <w:pageBreakBefore w:val="0"/>
        <w:kinsoku/>
        <w:wordWrap w:val="0"/>
        <w:overflowPunct/>
        <w:topLinePunct w:val="0"/>
        <w:bidi w:val="0"/>
        <w:ind w:firstLine="480" w:firstLineChars="200"/>
        <w:rPr>
          <w:color w:val="auto"/>
          <w:sz w:val="24"/>
          <w:szCs w:val="24"/>
          <w:highlight w:val="none"/>
        </w:rPr>
      </w:pPr>
      <w:r>
        <w:rPr>
          <w:rFonts w:hint="eastAsia"/>
          <w:color w:val="auto"/>
          <w:sz w:val="24"/>
          <w:szCs w:val="24"/>
          <w:highlight w:val="none"/>
        </w:rPr>
        <w:t>附：法定代表人身份证和委托人身份证扫描件</w:t>
      </w:r>
    </w:p>
    <w:p w14:paraId="12897DCF">
      <w:pPr>
        <w:keepNext w:val="0"/>
        <w:keepLines w:val="0"/>
        <w:pageBreakBefore w:val="0"/>
        <w:kinsoku/>
        <w:wordWrap w:val="0"/>
        <w:overflowPunct/>
        <w:topLinePunct w:val="0"/>
        <w:bidi w:val="0"/>
        <w:spacing w:line="740" w:lineRule="exact"/>
        <w:ind w:firstLine="480" w:firstLineChars="200"/>
        <w:rPr>
          <w:color w:val="auto"/>
          <w:sz w:val="24"/>
          <w:highlight w:val="none"/>
        </w:rPr>
      </w:pPr>
    </w:p>
    <w:p w14:paraId="58C04A66">
      <w:pPr>
        <w:keepNext w:val="0"/>
        <w:keepLines w:val="0"/>
        <w:pageBreakBefore w:val="0"/>
        <w:kinsoku/>
        <w:wordWrap w:val="0"/>
        <w:overflowPunct/>
        <w:topLinePunct w:val="0"/>
        <w:bidi w:val="0"/>
        <w:spacing w:line="740" w:lineRule="exact"/>
        <w:rPr>
          <w:color w:val="auto"/>
          <w:sz w:val="24"/>
          <w:highlight w:val="none"/>
        </w:rPr>
      </w:pPr>
      <w:r>
        <w:rPr>
          <w:rFonts w:hint="eastAsia"/>
          <w:color w:val="auto"/>
          <w:sz w:val="24"/>
          <w:highlight w:val="none"/>
        </w:rPr>
        <w:t>投标单位： （公章签章）</w:t>
      </w:r>
    </w:p>
    <w:p w14:paraId="515CFFE8">
      <w:pPr>
        <w:keepNext w:val="0"/>
        <w:keepLines w:val="0"/>
        <w:pageBreakBefore w:val="0"/>
        <w:kinsoku/>
        <w:wordWrap w:val="0"/>
        <w:overflowPunct/>
        <w:topLinePunct w:val="0"/>
        <w:bidi w:val="0"/>
        <w:spacing w:line="740" w:lineRule="exact"/>
        <w:rPr>
          <w:color w:val="auto"/>
          <w:sz w:val="24"/>
          <w:highlight w:val="none"/>
          <w:u w:val="singl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（法人签章）</w:t>
      </w:r>
    </w:p>
    <w:p w14:paraId="7D1AE31E">
      <w:pPr>
        <w:keepNext w:val="0"/>
        <w:keepLines w:val="0"/>
        <w:pageBreakBefore w:val="0"/>
        <w:kinsoku/>
        <w:wordWrap w:val="0"/>
        <w:overflowPunct/>
        <w:topLinePunct w:val="0"/>
        <w:bidi w:val="0"/>
        <w:spacing w:line="740" w:lineRule="exact"/>
        <w:rPr>
          <w:color w:val="auto"/>
          <w:szCs w:val="21"/>
          <w:highlight w:val="none"/>
          <w:u w:val="single"/>
          <w:lang w:val="en-US"/>
        </w:rPr>
      </w:pPr>
      <w:r>
        <w:rPr>
          <w:rFonts w:hint="eastAsia"/>
          <w:color w:val="auto"/>
          <w:sz w:val="24"/>
          <w:highlight w:val="none"/>
        </w:rPr>
        <w:t>委托代理人：</w:t>
      </w:r>
      <w:r>
        <w:rPr>
          <w:rFonts w:hint="eastAsia"/>
          <w:color w:val="auto"/>
          <w:sz w:val="24"/>
          <w:highlight w:val="none"/>
          <w:u w:val="single"/>
        </w:rPr>
        <w:t xml:space="preserve">  　　　　           </w:t>
      </w:r>
    </w:p>
    <w:p w14:paraId="08AE5BD2">
      <w:pPr>
        <w:keepNext w:val="0"/>
        <w:keepLines w:val="0"/>
        <w:pageBreakBefore w:val="0"/>
        <w:kinsoku/>
        <w:wordWrap w:val="0"/>
        <w:overflowPunct/>
        <w:topLinePunct w:val="0"/>
        <w:bidi w:val="0"/>
        <w:spacing w:line="740" w:lineRule="exact"/>
        <w:rPr>
          <w:rFonts w:hint="default" w:eastAsia="宋体"/>
          <w:color w:val="auto"/>
          <w:sz w:val="24"/>
          <w:highlight w:val="none"/>
          <w:lang w:val="en-US" w:eastAsia="zh-CN"/>
        </w:rPr>
      </w:pPr>
      <w:r>
        <w:rPr>
          <w:rFonts w:hint="eastAsia"/>
          <w:color w:val="auto"/>
          <w:sz w:val="24"/>
          <w:highlight w:val="none"/>
          <w:lang w:val="en-US" w:eastAsia="zh-CN"/>
        </w:rPr>
        <w:t>日期：   年  月  日</w:t>
      </w:r>
    </w:p>
    <w:p w14:paraId="724E1776">
      <w:pPr>
        <w:pStyle w:val="4"/>
        <w:keepNext w:val="0"/>
        <w:keepLines w:val="0"/>
        <w:pageBreakBefore w:val="0"/>
        <w:kinsoku/>
        <w:wordWrap w:val="0"/>
        <w:overflowPunct/>
        <w:topLinePunct w:val="0"/>
        <w:bidi w:val="0"/>
        <w:ind w:left="892" w:right="909"/>
        <w:jc w:val="center"/>
        <w:rPr>
          <w:color w:val="auto"/>
          <w:highlight w:val="none"/>
        </w:rPr>
      </w:pPr>
    </w:p>
    <w:p w14:paraId="38200375">
      <w:pPr>
        <w:keepNext w:val="0"/>
        <w:keepLines w:val="0"/>
        <w:pageBreakBefore w:val="0"/>
        <w:kinsoku/>
        <w:wordWrap w:val="0"/>
        <w:overflowPunct/>
        <w:topLinePunct w:val="0"/>
        <w:bidi w:val="0"/>
        <w:jc w:val="center"/>
        <w:rPr>
          <w:color w:val="auto"/>
          <w:highlight w:val="none"/>
        </w:rPr>
      </w:pPr>
      <w:r>
        <w:rPr>
          <w:color w:val="auto"/>
          <w:highlight w:val="none"/>
        </w:rPr>
        <w:br w:type="page"/>
      </w:r>
    </w:p>
    <w:p w14:paraId="33E49159">
      <w:pPr>
        <w:keepNext w:val="0"/>
        <w:keepLines w:val="0"/>
        <w:pageBreakBefore w:val="0"/>
        <w:kinsoku/>
        <w:wordWrap w:val="0"/>
        <w:overflowPunct/>
        <w:topLinePunct w:val="0"/>
        <w:bidi w:val="0"/>
        <w:spacing w:line="400" w:lineRule="exact"/>
        <w:ind w:firstLine="560" w:firstLineChars="200"/>
        <w:jc w:val="center"/>
        <w:outlineLvl w:val="0"/>
        <w:rPr>
          <w:color w:val="auto"/>
          <w:sz w:val="28"/>
          <w:szCs w:val="20"/>
          <w:highlight w:val="none"/>
        </w:rPr>
      </w:pPr>
      <w:bookmarkStart w:id="321" w:name="_Toc25188"/>
      <w:bookmarkStart w:id="322" w:name="_Toc27582"/>
      <w:bookmarkStart w:id="323" w:name="_Toc31152"/>
      <w:r>
        <w:rPr>
          <w:rFonts w:hint="eastAsia"/>
          <w:color w:val="auto"/>
          <w:sz w:val="28"/>
          <w:szCs w:val="20"/>
          <w:highlight w:val="none"/>
        </w:rPr>
        <w:t>四、投标承诺书</w:t>
      </w:r>
      <w:bookmarkEnd w:id="321"/>
      <w:bookmarkEnd w:id="322"/>
      <w:bookmarkEnd w:id="323"/>
    </w:p>
    <w:p w14:paraId="232CF181">
      <w:pPr>
        <w:pStyle w:val="18"/>
        <w:keepNext w:val="0"/>
        <w:keepLines w:val="0"/>
        <w:pageBreakBefore w:val="0"/>
        <w:kinsoku/>
        <w:wordWrap w:val="0"/>
        <w:overflowPunct/>
        <w:topLinePunct w:val="0"/>
        <w:bidi w:val="0"/>
        <w:outlineLvl w:val="9"/>
        <w:rPr>
          <w:rFonts w:cs="Times New Roman"/>
          <w:color w:val="auto"/>
          <w:sz w:val="21"/>
          <w:szCs w:val="21"/>
          <w:highlight w:val="none"/>
        </w:rPr>
      </w:pPr>
    </w:p>
    <w:p w14:paraId="191D829A">
      <w:pPr>
        <w:keepNext w:val="0"/>
        <w:keepLines w:val="0"/>
        <w:pageBreakBefore w:val="0"/>
        <w:kinsoku/>
        <w:wordWrap w:val="0"/>
        <w:overflowPunct/>
        <w:topLinePunct w:val="0"/>
        <w:bidi w:val="0"/>
        <w:spacing w:line="360" w:lineRule="auto"/>
        <w:rPr>
          <w:rFonts w:hint="eastAsia" w:eastAsia="宋体"/>
          <w:bCs/>
          <w:color w:val="auto"/>
          <w:sz w:val="24"/>
          <w:szCs w:val="28"/>
          <w:highlight w:val="none"/>
          <w:u w:val="single"/>
          <w:lang w:eastAsia="zh-CN"/>
        </w:rPr>
      </w:pPr>
      <w:r>
        <w:rPr>
          <w:rFonts w:hint="eastAsia"/>
          <w:b/>
          <w:bCs/>
          <w:color w:val="auto"/>
          <w:sz w:val="24"/>
          <w:szCs w:val="28"/>
          <w:highlight w:val="none"/>
        </w:rPr>
        <w:t>致：</w:t>
      </w:r>
      <w:r>
        <w:rPr>
          <w:rFonts w:hint="eastAsia"/>
          <w:bCs/>
          <w:color w:val="auto"/>
          <w:sz w:val="24"/>
          <w:szCs w:val="28"/>
          <w:highlight w:val="none"/>
          <w:u w:val="single"/>
          <w:lang w:eastAsia="zh-CN"/>
        </w:rPr>
        <w:t>卢氏县应急管理局</w:t>
      </w:r>
    </w:p>
    <w:p w14:paraId="57601EE1">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（项目名称）</w:t>
      </w:r>
      <w:r>
        <w:rPr>
          <w:rFonts w:hint="eastAsia" w:hAnsi="宋体"/>
          <w:color w:val="auto"/>
          <w:highlight w:val="none"/>
          <w:u w:val="single"/>
          <w:lang w:eastAsia="zh-CN"/>
        </w:rPr>
        <w:t>（</w:t>
      </w:r>
      <w:r>
        <w:rPr>
          <w:rFonts w:hint="eastAsia" w:hAnsi="宋体"/>
          <w:color w:val="auto"/>
          <w:highlight w:val="none"/>
          <w:u w:val="single"/>
          <w:lang w:val="en-US" w:eastAsia="zh-CN"/>
        </w:rPr>
        <w:t>标段</w:t>
      </w:r>
      <w:r>
        <w:rPr>
          <w:rFonts w:hint="eastAsia" w:hAnsi="宋体"/>
          <w:color w:val="auto"/>
          <w:highlight w:val="none"/>
          <w:u w:val="single"/>
          <w:lang w:eastAsia="zh-CN"/>
        </w:rPr>
        <w:t>）</w:t>
      </w:r>
      <w:r>
        <w:rPr>
          <w:rFonts w:hint="eastAsia" w:hAnsi="宋体"/>
          <w:color w:val="auto"/>
          <w:highlight w:val="none"/>
          <w:u w:val="single"/>
        </w:rPr>
        <w:t>（项目编号）</w:t>
      </w:r>
      <w:r>
        <w:rPr>
          <w:rFonts w:hint="eastAsia" w:hAnsi="宋体"/>
          <w:color w:val="auto"/>
          <w:highlight w:val="none"/>
        </w:rPr>
        <w:t>的竞争性磋商文件，愿意遵照本项目磋商文件、《中华人民共和国政府采购法》等有关规定参与竞标，并承诺如下：</w:t>
      </w:r>
    </w:p>
    <w:p w14:paraId="043BC31E">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29E68D6A">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2、我方承诺在投标有效期内不撤销响应文件；</w:t>
      </w:r>
    </w:p>
    <w:p w14:paraId="5B31CBDB">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3、我方承诺在响应文件中及三门峡市公共资源交易供应商市场主体信息库中提供的材料真实有效；</w:t>
      </w:r>
    </w:p>
    <w:p w14:paraId="548127C2">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4、我方承诺绝不采取不正当手段谋取中标；</w:t>
      </w:r>
    </w:p>
    <w:p w14:paraId="17422092">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5、如我方中标，我方承诺在收到成交通知书后，在成交通知书规定的期限内，根据</w:t>
      </w:r>
      <w:r>
        <w:rPr>
          <w:rFonts w:hint="eastAsia" w:hAnsi="宋体"/>
          <w:color w:val="auto"/>
          <w:highlight w:val="none"/>
          <w:lang w:eastAsia="zh-CN"/>
        </w:rPr>
        <w:t>磋商</w:t>
      </w:r>
      <w:r>
        <w:rPr>
          <w:rFonts w:hint="eastAsia" w:hAnsi="宋体"/>
          <w:color w:val="auto"/>
          <w:highlight w:val="none"/>
        </w:rPr>
        <w:t>文件、我方的响应文件及有关澄清承诺书的要求，与采购人订立书面合同，并按照合同约定承担完成合同的责任和义务.</w:t>
      </w:r>
    </w:p>
    <w:p w14:paraId="2D3834B4">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r>
        <w:rPr>
          <w:rFonts w:hint="eastAsia" w:hAnsi="宋体"/>
          <w:color w:val="auto"/>
          <w:highlight w:val="none"/>
        </w:rPr>
        <w:t>6、如我方违反以上承诺，愿意接受本项目预算金额10%的处罚，同时依法承担相应法律责任。</w:t>
      </w:r>
    </w:p>
    <w:p w14:paraId="5CE4EC4A">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5A458F4E">
      <w:pPr>
        <w:pStyle w:val="20"/>
        <w:keepNext w:val="0"/>
        <w:keepLines w:val="0"/>
        <w:pageBreakBefore w:val="0"/>
        <w:kinsoku/>
        <w:wordWrap w:val="0"/>
        <w:overflowPunct/>
        <w:topLinePunct w:val="0"/>
        <w:bidi w:val="0"/>
        <w:spacing w:line="500" w:lineRule="exact"/>
        <w:ind w:firstLine="564" w:firstLineChars="235"/>
        <w:rPr>
          <w:rFonts w:hAnsi="宋体"/>
          <w:color w:val="auto"/>
          <w:highlight w:val="none"/>
        </w:rPr>
      </w:pPr>
    </w:p>
    <w:p w14:paraId="67B70A83">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供应商：（公章签章）</w:t>
      </w:r>
    </w:p>
    <w:p w14:paraId="383A1331">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法定代表人：（签章）</w:t>
      </w:r>
    </w:p>
    <w:p w14:paraId="1D855CD3">
      <w:pPr>
        <w:keepNext w:val="0"/>
        <w:keepLines w:val="0"/>
        <w:pageBreakBefore w:val="0"/>
        <w:kinsoku/>
        <w:wordWrap w:val="0"/>
        <w:overflowPunct/>
        <w:topLinePunct w:val="0"/>
        <w:bidi w:val="0"/>
        <w:spacing w:line="500" w:lineRule="exact"/>
        <w:ind w:firstLine="4252" w:firstLineChars="1772"/>
        <w:rPr>
          <w:bCs/>
          <w:color w:val="auto"/>
          <w:sz w:val="24"/>
          <w:highlight w:val="none"/>
        </w:rPr>
      </w:pPr>
      <w:r>
        <w:rPr>
          <w:rFonts w:hint="eastAsia"/>
          <w:bCs/>
          <w:color w:val="auto"/>
          <w:sz w:val="24"/>
          <w:highlight w:val="none"/>
        </w:rPr>
        <w:t>日期：</w:t>
      </w:r>
    </w:p>
    <w:p w14:paraId="605551C6">
      <w:pPr>
        <w:pStyle w:val="7"/>
        <w:keepNext w:val="0"/>
        <w:keepLines w:val="0"/>
        <w:pageBreakBefore w:val="0"/>
        <w:kinsoku/>
        <w:wordWrap w:val="0"/>
        <w:overflowPunct/>
        <w:topLinePunct w:val="0"/>
        <w:bidi w:val="0"/>
        <w:rPr>
          <w:color w:val="auto"/>
          <w:highlight w:val="none"/>
        </w:rPr>
      </w:pPr>
      <w:r>
        <w:rPr>
          <w:color w:val="auto"/>
          <w:highlight w:val="none"/>
        </w:rPr>
        <w:br w:type="page"/>
      </w:r>
    </w:p>
    <w:p w14:paraId="3BA58EC8">
      <w:pPr>
        <w:pStyle w:val="18"/>
        <w:keepNext w:val="0"/>
        <w:keepLines w:val="0"/>
        <w:pageBreakBefore w:val="0"/>
        <w:numPr>
          <w:ilvl w:val="0"/>
          <w:numId w:val="17"/>
        </w:numPr>
        <w:kinsoku/>
        <w:wordWrap w:val="0"/>
        <w:overflowPunct/>
        <w:topLinePunct w:val="0"/>
        <w:bidi w:val="0"/>
        <w:ind w:left="0"/>
        <w:jc w:val="center"/>
        <w:outlineLvl w:val="0"/>
        <w:rPr>
          <w:rFonts w:hint="eastAsia" w:ascii="宋体" w:hAnsi="宋体"/>
          <w:color w:val="auto"/>
          <w:highlight w:val="none"/>
        </w:rPr>
      </w:pPr>
      <w:bookmarkStart w:id="324" w:name="_Toc30303"/>
      <w:bookmarkStart w:id="325" w:name="_Toc4328_WPSOffice_Level1"/>
      <w:bookmarkStart w:id="326" w:name="_Toc25743"/>
      <w:r>
        <w:rPr>
          <w:rFonts w:hint="eastAsia" w:ascii="宋体" w:hAnsi="宋体"/>
          <w:color w:val="auto"/>
          <w:highlight w:val="none"/>
        </w:rPr>
        <w:t>资格审查资料</w:t>
      </w:r>
      <w:bookmarkEnd w:id="324"/>
      <w:bookmarkEnd w:id="325"/>
      <w:bookmarkEnd w:id="326"/>
    </w:p>
    <w:p w14:paraId="12A6F146">
      <w:pPr>
        <w:pStyle w:val="18"/>
        <w:keepNext w:val="0"/>
        <w:keepLines w:val="0"/>
        <w:pageBreakBefore w:val="0"/>
        <w:numPr>
          <w:ilvl w:val="0"/>
          <w:numId w:val="0"/>
        </w:numPr>
        <w:kinsoku/>
        <w:wordWrap w:val="0"/>
        <w:overflowPunct/>
        <w:topLinePunct w:val="0"/>
        <w:bidi w:val="0"/>
        <w:jc w:val="both"/>
        <w:outlineLvl w:val="0"/>
        <w:rPr>
          <w:rFonts w:hint="eastAsia" w:ascii="宋体" w:hAnsi="宋体" w:eastAsia="宋体"/>
          <w:color w:val="auto"/>
          <w:highlight w:val="none"/>
          <w:lang w:eastAsia="zh-CN"/>
        </w:rPr>
      </w:pPr>
      <w:r>
        <w:rPr>
          <w:rFonts w:hint="eastAsia" w:ascii="宋体" w:hAnsi="宋体"/>
          <w:color w:val="auto"/>
          <w:highlight w:val="none"/>
          <w:lang w:eastAsia="zh-CN"/>
        </w:rPr>
        <w:t>（一）供应商情况一般介绍</w:t>
      </w:r>
    </w:p>
    <w:p w14:paraId="502D7DE7">
      <w:pPr>
        <w:keepNext w:val="0"/>
        <w:keepLines w:val="0"/>
        <w:pageBreakBefore w:val="0"/>
        <w:kinsoku/>
        <w:wordWrap w:val="0"/>
        <w:overflowPunct/>
        <w:topLinePunct w:val="0"/>
        <w:bidi w:val="0"/>
        <w:spacing w:line="360" w:lineRule="auto"/>
        <w:jc w:val="both"/>
        <w:rPr>
          <w:color w:val="auto"/>
          <w:sz w:val="28"/>
          <w:szCs w:val="20"/>
          <w:highlight w:val="none"/>
        </w:rPr>
      </w:pPr>
      <w:bookmarkStart w:id="327" w:name="_Toc10295_WPSOffice_Level2"/>
      <w:r>
        <w:rPr>
          <w:rFonts w:hint="eastAsia"/>
          <w:color w:val="auto"/>
          <w:sz w:val="28"/>
          <w:szCs w:val="20"/>
          <w:highlight w:val="none"/>
        </w:rPr>
        <w:t>（</w:t>
      </w:r>
      <w:r>
        <w:rPr>
          <w:rFonts w:hint="eastAsia"/>
          <w:color w:val="auto"/>
          <w:sz w:val="28"/>
          <w:szCs w:val="20"/>
          <w:highlight w:val="none"/>
          <w:lang w:eastAsia="zh-CN"/>
        </w:rPr>
        <w:t>二</w:t>
      </w:r>
      <w:r>
        <w:rPr>
          <w:rFonts w:hint="eastAsia"/>
          <w:color w:val="auto"/>
          <w:sz w:val="28"/>
          <w:szCs w:val="20"/>
          <w:highlight w:val="none"/>
        </w:rPr>
        <w:t>）供应商基本情况表</w:t>
      </w:r>
      <w:bookmarkEnd w:id="3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162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CEBE2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8D1D310">
            <w:pPr>
              <w:keepNext w:val="0"/>
              <w:keepLines w:val="0"/>
              <w:pageBreakBefore w:val="0"/>
              <w:kinsoku/>
              <w:wordWrap w:val="0"/>
              <w:overflowPunct/>
              <w:topLinePunct w:val="0"/>
              <w:bidi w:val="0"/>
              <w:spacing w:line="360" w:lineRule="auto"/>
              <w:rPr>
                <w:color w:val="auto"/>
                <w:sz w:val="24"/>
                <w:highlight w:val="none"/>
              </w:rPr>
            </w:pPr>
          </w:p>
        </w:tc>
      </w:tr>
      <w:tr w14:paraId="0309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B448F06">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5C09D716">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8FD4D7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607E16E8">
            <w:pPr>
              <w:keepNext w:val="0"/>
              <w:keepLines w:val="0"/>
              <w:pageBreakBefore w:val="0"/>
              <w:kinsoku/>
              <w:wordWrap w:val="0"/>
              <w:overflowPunct/>
              <w:topLinePunct w:val="0"/>
              <w:bidi w:val="0"/>
              <w:spacing w:line="360" w:lineRule="auto"/>
              <w:rPr>
                <w:color w:val="auto"/>
                <w:sz w:val="24"/>
                <w:highlight w:val="none"/>
              </w:rPr>
            </w:pPr>
          </w:p>
        </w:tc>
      </w:tr>
      <w:tr w14:paraId="64FF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33715D1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21BC95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6CD2A319">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EE0B7E">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C2E669B">
            <w:pPr>
              <w:keepNext w:val="0"/>
              <w:keepLines w:val="0"/>
              <w:pageBreakBefore w:val="0"/>
              <w:kinsoku/>
              <w:wordWrap w:val="0"/>
              <w:overflowPunct/>
              <w:topLinePunct w:val="0"/>
              <w:bidi w:val="0"/>
              <w:spacing w:line="360" w:lineRule="auto"/>
              <w:rPr>
                <w:color w:val="auto"/>
                <w:sz w:val="24"/>
                <w:highlight w:val="none"/>
              </w:rPr>
            </w:pPr>
          </w:p>
        </w:tc>
      </w:tr>
      <w:tr w14:paraId="315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14BDE520">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4F82AEF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83BA07D">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818388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2DC5524F">
            <w:pPr>
              <w:keepNext w:val="0"/>
              <w:keepLines w:val="0"/>
              <w:pageBreakBefore w:val="0"/>
              <w:kinsoku/>
              <w:wordWrap w:val="0"/>
              <w:overflowPunct/>
              <w:topLinePunct w:val="0"/>
              <w:bidi w:val="0"/>
              <w:spacing w:line="360" w:lineRule="auto"/>
              <w:rPr>
                <w:color w:val="auto"/>
                <w:sz w:val="24"/>
                <w:highlight w:val="none"/>
              </w:rPr>
            </w:pPr>
          </w:p>
        </w:tc>
      </w:tr>
      <w:tr w14:paraId="6D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56E6D64">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41F47C8">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56D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DE3784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5B7D11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E71642">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07A9F7B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5EE18623">
            <w:pPr>
              <w:keepNext w:val="0"/>
              <w:keepLines w:val="0"/>
              <w:pageBreakBefore w:val="0"/>
              <w:kinsoku/>
              <w:wordWrap w:val="0"/>
              <w:overflowPunct/>
              <w:topLinePunct w:val="0"/>
              <w:bidi w:val="0"/>
              <w:spacing w:line="360" w:lineRule="auto"/>
              <w:rPr>
                <w:color w:val="auto"/>
                <w:sz w:val="24"/>
                <w:highlight w:val="none"/>
              </w:rPr>
            </w:pPr>
          </w:p>
        </w:tc>
      </w:tr>
      <w:tr w14:paraId="654D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E6C8D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828D0A1">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6B2F4A5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6E3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C573847">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657616F">
            <w:pPr>
              <w:keepNext w:val="0"/>
              <w:keepLines w:val="0"/>
              <w:pageBreakBefore w:val="0"/>
              <w:kinsoku/>
              <w:wordWrap w:val="0"/>
              <w:overflowPunct/>
              <w:topLinePunct w:val="0"/>
              <w:bidi w:val="0"/>
              <w:spacing w:line="360" w:lineRule="auto"/>
              <w:rPr>
                <w:color w:val="auto"/>
                <w:sz w:val="24"/>
                <w:highlight w:val="none"/>
              </w:rPr>
            </w:pPr>
          </w:p>
        </w:tc>
      </w:tr>
      <w:tr w14:paraId="6AA8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34EDDF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5D95FCA8">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01FAE9E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FBA19DB">
            <w:pPr>
              <w:keepNext w:val="0"/>
              <w:keepLines w:val="0"/>
              <w:pageBreakBefore w:val="0"/>
              <w:kinsoku/>
              <w:wordWrap w:val="0"/>
              <w:overflowPunct/>
              <w:topLinePunct w:val="0"/>
              <w:bidi w:val="0"/>
              <w:spacing w:line="360" w:lineRule="auto"/>
              <w:rPr>
                <w:color w:val="auto"/>
                <w:sz w:val="24"/>
                <w:highlight w:val="none"/>
              </w:rPr>
            </w:pPr>
          </w:p>
        </w:tc>
      </w:tr>
      <w:tr w14:paraId="7DA6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4BDBEB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CEBB705">
            <w:pPr>
              <w:keepNext w:val="0"/>
              <w:keepLines w:val="0"/>
              <w:pageBreakBefore w:val="0"/>
              <w:kinsoku/>
              <w:wordWrap w:val="0"/>
              <w:overflowPunct/>
              <w:topLinePunct w:val="0"/>
              <w:bidi w:val="0"/>
              <w:spacing w:line="360" w:lineRule="auto"/>
              <w:rPr>
                <w:color w:val="auto"/>
                <w:sz w:val="24"/>
                <w:highlight w:val="none"/>
              </w:rPr>
            </w:pPr>
          </w:p>
        </w:tc>
      </w:tr>
      <w:tr w14:paraId="503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D722C1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2B033BB">
            <w:pPr>
              <w:keepNext w:val="0"/>
              <w:keepLines w:val="0"/>
              <w:pageBreakBefore w:val="0"/>
              <w:kinsoku/>
              <w:wordWrap w:val="0"/>
              <w:overflowPunct/>
              <w:topLinePunct w:val="0"/>
              <w:bidi w:val="0"/>
              <w:spacing w:line="360" w:lineRule="auto"/>
              <w:rPr>
                <w:color w:val="auto"/>
                <w:sz w:val="24"/>
                <w:highlight w:val="none"/>
              </w:rPr>
            </w:pPr>
          </w:p>
        </w:tc>
      </w:tr>
    </w:tbl>
    <w:p w14:paraId="3E56908C">
      <w:pPr>
        <w:keepNext w:val="0"/>
        <w:keepLines w:val="0"/>
        <w:pageBreakBefore w:val="0"/>
        <w:kinsoku/>
        <w:wordWrap w:val="0"/>
        <w:overflowPunct/>
        <w:topLinePunct w:val="0"/>
        <w:bidi w:val="0"/>
        <w:spacing w:line="360" w:lineRule="auto"/>
        <w:rPr>
          <w:color w:val="auto"/>
          <w:sz w:val="24"/>
          <w:highlight w:val="none"/>
        </w:rPr>
      </w:pPr>
      <w:bookmarkStart w:id="328" w:name="_Toc15473_WPSOffice_Level3"/>
      <w:r>
        <w:rPr>
          <w:rFonts w:hint="eastAsia"/>
          <w:color w:val="auto"/>
          <w:sz w:val="24"/>
          <w:highlight w:val="none"/>
        </w:rPr>
        <w:t>附：1、营业执照、税务登记证、组织机构代码证等相关证件的扫描件</w:t>
      </w:r>
      <w:bookmarkEnd w:id="328"/>
    </w:p>
    <w:p w14:paraId="28910060">
      <w:pPr>
        <w:keepNext w:val="0"/>
        <w:keepLines w:val="0"/>
        <w:pageBreakBefore w:val="0"/>
        <w:kinsoku/>
        <w:wordWrap w:val="0"/>
        <w:overflowPunct/>
        <w:topLinePunct w:val="0"/>
        <w:bidi w:val="0"/>
        <w:spacing w:line="360" w:lineRule="auto"/>
        <w:rPr>
          <w:color w:val="auto"/>
          <w:sz w:val="24"/>
          <w:highlight w:val="none"/>
        </w:rPr>
      </w:pPr>
    </w:p>
    <w:p w14:paraId="3AE02A61">
      <w:pPr>
        <w:keepNext w:val="0"/>
        <w:keepLines w:val="0"/>
        <w:pageBreakBefore w:val="0"/>
        <w:kinsoku/>
        <w:wordWrap w:val="0"/>
        <w:overflowPunct/>
        <w:topLinePunct w:val="0"/>
        <w:bidi w:val="0"/>
        <w:spacing w:line="360" w:lineRule="auto"/>
        <w:rPr>
          <w:color w:val="auto"/>
          <w:sz w:val="24"/>
          <w:highlight w:val="none"/>
        </w:rPr>
      </w:pPr>
    </w:p>
    <w:p w14:paraId="26EA58E6">
      <w:pPr>
        <w:keepNext w:val="0"/>
        <w:keepLines w:val="0"/>
        <w:pageBreakBefore w:val="0"/>
        <w:kinsoku/>
        <w:wordWrap w:val="0"/>
        <w:overflowPunct/>
        <w:topLinePunct w:val="0"/>
        <w:bidi w:val="0"/>
        <w:spacing w:line="360" w:lineRule="auto"/>
        <w:rPr>
          <w:color w:val="auto"/>
          <w:sz w:val="24"/>
          <w:highlight w:val="none"/>
        </w:rPr>
      </w:pPr>
    </w:p>
    <w:p w14:paraId="0CFA1252">
      <w:pPr>
        <w:keepNext w:val="0"/>
        <w:keepLines w:val="0"/>
        <w:pageBreakBefore w:val="0"/>
        <w:kinsoku/>
        <w:wordWrap w:val="0"/>
        <w:overflowPunct/>
        <w:topLinePunct w:val="0"/>
        <w:bidi w:val="0"/>
        <w:spacing w:line="360" w:lineRule="auto"/>
        <w:rPr>
          <w:color w:val="auto"/>
          <w:sz w:val="24"/>
          <w:highlight w:val="none"/>
        </w:rPr>
      </w:pPr>
    </w:p>
    <w:p w14:paraId="27E5A095">
      <w:pPr>
        <w:keepNext w:val="0"/>
        <w:keepLines w:val="0"/>
        <w:pageBreakBefore w:val="0"/>
        <w:kinsoku/>
        <w:wordWrap w:val="0"/>
        <w:overflowPunct/>
        <w:topLinePunct w:val="0"/>
        <w:bidi w:val="0"/>
        <w:spacing w:line="360" w:lineRule="auto"/>
        <w:rPr>
          <w:color w:val="auto"/>
          <w:sz w:val="24"/>
          <w:highlight w:val="none"/>
        </w:rPr>
      </w:pPr>
    </w:p>
    <w:p w14:paraId="2811D68D">
      <w:pPr>
        <w:keepNext w:val="0"/>
        <w:keepLines w:val="0"/>
        <w:pageBreakBefore w:val="0"/>
        <w:kinsoku/>
        <w:wordWrap w:val="0"/>
        <w:overflowPunct/>
        <w:topLinePunct w:val="0"/>
        <w:bidi w:val="0"/>
        <w:spacing w:line="360" w:lineRule="auto"/>
        <w:rPr>
          <w:color w:val="auto"/>
          <w:sz w:val="24"/>
          <w:highlight w:val="none"/>
        </w:rPr>
      </w:pPr>
    </w:p>
    <w:p w14:paraId="06FD0EB8">
      <w:pPr>
        <w:keepNext w:val="0"/>
        <w:keepLines w:val="0"/>
        <w:pageBreakBefore w:val="0"/>
        <w:kinsoku/>
        <w:wordWrap w:val="0"/>
        <w:overflowPunct/>
        <w:topLinePunct w:val="0"/>
        <w:bidi w:val="0"/>
        <w:spacing w:line="360" w:lineRule="auto"/>
        <w:rPr>
          <w:color w:val="auto"/>
          <w:sz w:val="24"/>
          <w:highlight w:val="none"/>
        </w:rPr>
      </w:pPr>
    </w:p>
    <w:p w14:paraId="2691428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br w:type="page"/>
      </w:r>
    </w:p>
    <w:p w14:paraId="6A795A82">
      <w:pPr>
        <w:keepNext w:val="0"/>
        <w:keepLines w:val="0"/>
        <w:pageBreakBefore w:val="0"/>
        <w:kinsoku/>
        <w:wordWrap w:val="0"/>
        <w:overflowPunct/>
        <w:topLinePunct w:val="0"/>
        <w:bidi w:val="0"/>
        <w:spacing w:line="360" w:lineRule="auto"/>
        <w:jc w:val="center"/>
        <w:rPr>
          <w:color w:val="auto"/>
          <w:sz w:val="28"/>
          <w:szCs w:val="20"/>
          <w:highlight w:val="none"/>
        </w:rPr>
      </w:pPr>
      <w:bookmarkStart w:id="329" w:name="_Toc13068_WPSOffice_Level2"/>
      <w:r>
        <w:rPr>
          <w:rFonts w:hint="eastAsia"/>
          <w:color w:val="auto"/>
          <w:sz w:val="28"/>
          <w:szCs w:val="20"/>
          <w:highlight w:val="none"/>
        </w:rPr>
        <w:t>（</w:t>
      </w:r>
      <w:r>
        <w:rPr>
          <w:rFonts w:hint="eastAsia"/>
          <w:color w:val="auto"/>
          <w:sz w:val="28"/>
          <w:szCs w:val="20"/>
          <w:highlight w:val="none"/>
          <w:lang w:eastAsia="zh-CN"/>
        </w:rPr>
        <w:t>三</w:t>
      </w:r>
      <w:r>
        <w:rPr>
          <w:rFonts w:hint="eastAsia"/>
          <w:color w:val="auto"/>
          <w:sz w:val="28"/>
          <w:szCs w:val="20"/>
          <w:highlight w:val="none"/>
        </w:rPr>
        <w:t>）竞争性磋商文件规定的资格审查资料</w:t>
      </w:r>
      <w:bookmarkEnd w:id="329"/>
    </w:p>
    <w:p w14:paraId="5DEFF225">
      <w:pPr>
        <w:keepNext w:val="0"/>
        <w:keepLines w:val="0"/>
        <w:pageBreakBefore w:val="0"/>
        <w:kinsoku/>
        <w:wordWrap w:val="0"/>
        <w:overflowPunct/>
        <w:topLinePunct w:val="0"/>
        <w:bidi w:val="0"/>
        <w:spacing w:line="360" w:lineRule="auto"/>
        <w:rPr>
          <w:color w:val="auto"/>
          <w:sz w:val="24"/>
          <w:highlight w:val="none"/>
        </w:rPr>
      </w:pPr>
    </w:p>
    <w:p w14:paraId="59173EE6">
      <w:pPr>
        <w:pStyle w:val="18"/>
        <w:keepNext w:val="0"/>
        <w:keepLines w:val="0"/>
        <w:pageBreakBefore w:val="0"/>
        <w:kinsoku/>
        <w:wordWrap w:val="0"/>
        <w:overflowPunct/>
        <w:topLinePunct w:val="0"/>
        <w:bidi w:val="0"/>
        <w:ind w:left="0"/>
        <w:jc w:val="center"/>
        <w:outlineLvl w:val="0"/>
        <w:rPr>
          <w:rFonts w:hint="eastAsia" w:eastAsia="宋体"/>
          <w:color w:val="auto"/>
          <w:highlight w:val="none"/>
          <w:lang w:eastAsia="zh-CN"/>
        </w:rPr>
        <w:sectPr>
          <w:pgSz w:w="11910" w:h="16840"/>
          <w:pgMar w:top="1400" w:right="1020" w:bottom="900" w:left="1040" w:header="0" w:footer="720" w:gutter="0"/>
          <w:pgBorders>
            <w:top w:val="none" w:sz="0" w:space="0"/>
            <w:left w:val="none" w:sz="0" w:space="0"/>
            <w:bottom w:val="none" w:sz="0" w:space="0"/>
            <w:right w:val="none" w:sz="0" w:space="0"/>
          </w:pgBorders>
          <w:pgNumType w:fmt="decimal"/>
          <w:cols w:space="720" w:num="1"/>
        </w:sectPr>
      </w:pPr>
      <w:bookmarkStart w:id="330" w:name="_Toc14892_WPSOffice_Level1"/>
      <w:bookmarkStart w:id="331" w:name="_Toc15130"/>
      <w:r>
        <w:rPr>
          <w:rFonts w:hint="eastAsia" w:ascii="宋体" w:hAnsi="宋体"/>
          <w:color w:val="auto"/>
          <w:highlight w:val="none"/>
        </w:rPr>
        <w:br w:type="page"/>
      </w:r>
      <w:r>
        <w:rPr>
          <w:rFonts w:hint="eastAsia" w:ascii="宋体" w:hAnsi="宋体"/>
          <w:color w:val="auto"/>
          <w:highlight w:val="none"/>
        </w:rPr>
        <w:t>六、</w:t>
      </w:r>
      <w:bookmarkEnd w:id="330"/>
      <w:bookmarkEnd w:id="331"/>
      <w:r>
        <w:rPr>
          <w:rFonts w:hint="eastAsia" w:ascii="宋体" w:hAnsi="宋体"/>
          <w:color w:val="auto"/>
          <w:highlight w:val="none"/>
          <w:lang w:val="en-US" w:eastAsia="zh-CN"/>
        </w:rPr>
        <w:t>技术标</w:t>
      </w:r>
    </w:p>
    <w:p w14:paraId="4D6482C0">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2" w:name="5、资格审查资料"/>
      <w:bookmarkEnd w:id="332"/>
      <w:bookmarkStart w:id="333" w:name="_Toc16713_WPSOffice_Level1"/>
      <w:bookmarkStart w:id="334" w:name="_Toc5833"/>
      <w:r>
        <w:rPr>
          <w:rFonts w:hint="eastAsia" w:ascii="宋体" w:hAnsi="宋体"/>
          <w:color w:val="auto"/>
          <w:highlight w:val="none"/>
          <w:lang w:val="en-US" w:eastAsia="zh-CN"/>
        </w:rPr>
        <w:t>七、商务标</w:t>
      </w:r>
      <w:r>
        <w:rPr>
          <w:rFonts w:hint="eastAsia" w:ascii="宋体" w:hAnsi="宋体"/>
          <w:color w:val="auto"/>
          <w:highlight w:val="none"/>
        </w:rPr>
        <w:br w:type="page"/>
      </w:r>
      <w:r>
        <w:rPr>
          <w:rFonts w:hint="eastAsia" w:ascii="宋体" w:hAnsi="宋体"/>
          <w:color w:val="auto"/>
          <w:highlight w:val="none"/>
          <w:lang w:val="en-US" w:eastAsia="zh-CN"/>
        </w:rPr>
        <w:t>八</w:t>
      </w:r>
      <w:r>
        <w:rPr>
          <w:rFonts w:hint="eastAsia" w:ascii="宋体" w:hAnsi="宋体"/>
          <w:color w:val="auto"/>
          <w:highlight w:val="none"/>
        </w:rPr>
        <w:t>、磋商设备证明材料</w:t>
      </w:r>
      <w:bookmarkEnd w:id="333"/>
      <w:bookmarkEnd w:id="334"/>
    </w:p>
    <w:p w14:paraId="0A4E5715">
      <w:pPr>
        <w:pStyle w:val="18"/>
        <w:keepNext w:val="0"/>
        <w:keepLines w:val="0"/>
        <w:pageBreakBefore w:val="0"/>
        <w:kinsoku/>
        <w:wordWrap w:val="0"/>
        <w:overflowPunct/>
        <w:topLinePunct w:val="0"/>
        <w:bidi w:val="0"/>
        <w:ind w:left="0"/>
        <w:jc w:val="center"/>
        <w:rPr>
          <w:rFonts w:ascii="宋体" w:hAnsi="宋体"/>
          <w:color w:val="auto"/>
          <w:highlight w:val="none"/>
        </w:rPr>
        <w:sectPr>
          <w:footerReference r:id="rId9" w:type="default"/>
          <w:pgSz w:w="11910" w:h="16840"/>
          <w:pgMar w:top="1300" w:right="1020" w:bottom="1180" w:left="1040" w:header="0" w:footer="993" w:gutter="0"/>
          <w:pgBorders>
            <w:top w:val="none" w:sz="0" w:space="0"/>
            <w:left w:val="none" w:sz="0" w:space="0"/>
            <w:bottom w:val="none" w:sz="0" w:space="0"/>
            <w:right w:val="none" w:sz="0" w:space="0"/>
          </w:pgBorders>
          <w:pgNumType w:fmt="decimal"/>
          <w:cols w:space="720" w:num="1"/>
        </w:sectPr>
      </w:pPr>
      <w:bookmarkStart w:id="335" w:name="_Toc9443_WPSOffice_Level2"/>
      <w:r>
        <w:rPr>
          <w:rFonts w:hint="eastAsia" w:ascii="宋体" w:hAnsi="宋体"/>
          <w:color w:val="auto"/>
          <w:highlight w:val="none"/>
        </w:rPr>
        <w:t>依据竞争性磋商文件第三章要求提供相关证明文件，磋商响应文件中附扫描件。</w:t>
      </w:r>
      <w:bookmarkEnd w:id="335"/>
    </w:p>
    <w:p w14:paraId="69C17DC3">
      <w:pPr>
        <w:pStyle w:val="18"/>
        <w:keepNext w:val="0"/>
        <w:keepLines w:val="0"/>
        <w:pageBreakBefore w:val="0"/>
        <w:kinsoku/>
        <w:wordWrap w:val="0"/>
        <w:overflowPunct/>
        <w:topLinePunct w:val="0"/>
        <w:bidi w:val="0"/>
        <w:ind w:left="0"/>
        <w:jc w:val="center"/>
        <w:outlineLvl w:val="0"/>
        <w:rPr>
          <w:rFonts w:ascii="宋体" w:hAnsi="宋体"/>
          <w:color w:val="auto"/>
          <w:highlight w:val="none"/>
        </w:rPr>
      </w:pPr>
      <w:bookmarkStart w:id="336" w:name="_Toc28583_WPSOffice_Level1"/>
      <w:bookmarkStart w:id="337" w:name="_Toc17021"/>
      <w:r>
        <w:rPr>
          <w:rFonts w:hint="eastAsia" w:ascii="宋体" w:hAnsi="宋体"/>
          <w:color w:val="auto"/>
          <w:highlight w:val="none"/>
          <w:lang w:val="en-US" w:eastAsia="zh-CN"/>
        </w:rPr>
        <w:t>九</w:t>
      </w:r>
      <w:r>
        <w:rPr>
          <w:rFonts w:hint="eastAsia" w:ascii="宋体" w:hAnsi="宋体"/>
          <w:color w:val="auto"/>
          <w:highlight w:val="none"/>
        </w:rPr>
        <w:t>、磋商响应供应商可提交的其他资料</w:t>
      </w:r>
      <w:bookmarkEnd w:id="336"/>
      <w:bookmarkEnd w:id="337"/>
    </w:p>
    <w:p w14:paraId="10C3CF45">
      <w:pPr>
        <w:keepNext w:val="0"/>
        <w:keepLines w:val="0"/>
        <w:pageBreakBefore w:val="0"/>
        <w:kinsoku/>
        <w:wordWrap w:val="0"/>
        <w:overflowPunct/>
        <w:topLinePunct w:val="0"/>
        <w:bidi w:val="0"/>
        <w:rPr>
          <w:color w:val="auto"/>
          <w:highlight w:val="none"/>
        </w:rPr>
      </w:pPr>
    </w:p>
    <w:p w14:paraId="26F51CBA">
      <w:pPr>
        <w:keepNext w:val="0"/>
        <w:keepLines w:val="0"/>
        <w:pageBreakBefore w:val="0"/>
        <w:kinsoku/>
        <w:wordWrap w:val="0"/>
        <w:overflowPunct/>
        <w:topLinePunct w:val="0"/>
        <w:bidi w:val="0"/>
        <w:rPr>
          <w:color w:val="auto"/>
          <w:highlight w:val="none"/>
        </w:rPr>
      </w:pPr>
    </w:p>
    <w:p w14:paraId="6D9B53F2">
      <w:pPr>
        <w:keepNext w:val="0"/>
        <w:keepLines w:val="0"/>
        <w:pageBreakBefore w:val="0"/>
        <w:kinsoku/>
        <w:wordWrap w:val="0"/>
        <w:overflowPunct/>
        <w:topLinePunct w:val="0"/>
        <w:bidi w:val="0"/>
        <w:rPr>
          <w:color w:val="auto"/>
          <w:highlight w:val="none"/>
        </w:rPr>
      </w:pPr>
    </w:p>
    <w:p w14:paraId="3F02DBAA">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r>
        <w:rPr>
          <w:color w:val="auto"/>
          <w:highlight w:val="none"/>
        </w:rPr>
        <w:br w:type="page"/>
      </w:r>
      <w:bookmarkStart w:id="338" w:name="OLE_LINK9"/>
      <w:r>
        <w:rPr>
          <w:rFonts w:hint="eastAsia" w:ascii="宋体" w:hAnsi="宋体"/>
          <w:color w:val="auto"/>
          <w:highlight w:val="none"/>
          <w:lang w:val="en-US" w:eastAsia="zh-CN"/>
        </w:rPr>
        <w:t>附件1：</w:t>
      </w:r>
    </w:p>
    <w:p w14:paraId="44A776D8">
      <w:pPr>
        <w:keepNext w:val="0"/>
        <w:keepLines w:val="0"/>
        <w:pageBreakBefore w:val="0"/>
        <w:kinsoku/>
        <w:wordWrap w:val="0"/>
        <w:overflowPunct/>
        <w:topLinePunct w:val="0"/>
        <w:bidi w:val="0"/>
        <w:rPr>
          <w:color w:val="auto"/>
          <w:highlight w:val="none"/>
        </w:rPr>
      </w:pPr>
    </w:p>
    <w:p w14:paraId="16E59C0E">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r>
        <w:rPr>
          <w:rFonts w:hint="eastAsia" w:ascii="宋体" w:cs="宋体"/>
          <w:color w:val="auto"/>
          <w:sz w:val="24"/>
          <w:szCs w:val="24"/>
          <w:highlight w:val="none"/>
        </w:rPr>
        <w:t>中小企业声明函（货物）</w:t>
      </w:r>
    </w:p>
    <w:p w14:paraId="4EB46871">
      <w:pPr>
        <w:pStyle w:val="12"/>
        <w:autoSpaceDE/>
        <w:autoSpaceDN/>
        <w:spacing w:line="600" w:lineRule="exact"/>
        <w:ind w:left="0" w:firstLine="0" w:firstLineChars="0"/>
        <w:jc w:val="center"/>
        <w:rPr>
          <w:rFonts w:hint="eastAsia"/>
          <w:b/>
          <w:color w:val="auto"/>
          <w:kern w:val="2"/>
          <w:szCs w:val="24"/>
          <w:highlight w:val="none"/>
          <w:lang w:val="en-US" w:bidi="ar-SA"/>
        </w:rPr>
      </w:pPr>
      <w:r>
        <w:rPr>
          <w:rFonts w:hint="eastAsia"/>
          <w:b/>
          <w:color w:val="auto"/>
          <w:kern w:val="2"/>
          <w:szCs w:val="24"/>
          <w:highlight w:val="none"/>
          <w:lang w:val="en-US" w:bidi="ar-SA"/>
        </w:rPr>
        <w:t>（属于中小微企业的填写，不属于的无需填写此项内容）</w:t>
      </w:r>
    </w:p>
    <w:p w14:paraId="57888A4B">
      <w:pPr>
        <w:keepNext w:val="0"/>
        <w:keepLines w:val="0"/>
        <w:pageBreakBefore w:val="0"/>
        <w:kinsoku/>
        <w:wordWrap w:val="0"/>
        <w:overflowPunct/>
        <w:topLinePunct w:val="0"/>
        <w:autoSpaceDE w:val="0"/>
        <w:autoSpaceDN w:val="0"/>
        <w:bidi w:val="0"/>
        <w:adjustRightInd w:val="0"/>
        <w:spacing w:line="440" w:lineRule="exact"/>
        <w:jc w:val="center"/>
        <w:rPr>
          <w:rFonts w:hint="eastAsia" w:ascii="宋体" w:cs="宋体"/>
          <w:color w:val="auto"/>
          <w:sz w:val="24"/>
          <w:szCs w:val="24"/>
          <w:highlight w:val="none"/>
        </w:rPr>
      </w:pPr>
    </w:p>
    <w:p w14:paraId="777AA60E">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本公司（联合体）郑重声明，根据《政府采购促进中小企业发展管理办法》（财库</w:t>
      </w:r>
      <w:r>
        <w:rPr>
          <w:rFonts w:hint="eastAsia" w:ascii="宋体" w:hAnsi="宋体" w:cs="宋体"/>
          <w:color w:val="auto"/>
          <w:sz w:val="24"/>
          <w:szCs w:val="24"/>
          <w:highlight w:val="none"/>
        </w:rPr>
        <w:t>﹝</w:t>
      </w:r>
      <w:r>
        <w:rPr>
          <w:rFonts w:ascii="宋体" w:hAnsi="宋体" w:cs="仿宋"/>
          <w:color w:val="auto"/>
          <w:sz w:val="24"/>
          <w:szCs w:val="24"/>
          <w:highlight w:val="none"/>
        </w:rPr>
        <w:t>2020</w:t>
      </w:r>
      <w:r>
        <w:rPr>
          <w:rFonts w:hint="eastAsia" w:ascii="宋体" w:hAnsi="宋体" w:cs="宋体"/>
          <w:color w:val="auto"/>
          <w:sz w:val="24"/>
          <w:szCs w:val="24"/>
          <w:highlight w:val="none"/>
        </w:rPr>
        <w:t>﹞</w:t>
      </w:r>
      <w:r>
        <w:rPr>
          <w:rFonts w:ascii="宋体" w:hAnsi="宋体" w:cs="仿宋"/>
          <w:color w:val="auto"/>
          <w:sz w:val="24"/>
          <w:szCs w:val="24"/>
          <w:highlight w:val="none"/>
        </w:rPr>
        <w:t xml:space="preserve">46 </w:t>
      </w:r>
      <w:r>
        <w:rPr>
          <w:rFonts w:hint="eastAsia" w:ascii="宋体" w:hAnsi="宋体" w:cs="仿宋"/>
          <w:color w:val="auto"/>
          <w:sz w:val="24"/>
          <w:szCs w:val="24"/>
          <w:highlight w:val="none"/>
        </w:rPr>
        <w:t>号）的规定，本公司（联合体）参加</w:t>
      </w:r>
      <w:r>
        <w:rPr>
          <w:rFonts w:hint="eastAsia" w:ascii="宋体" w:hAnsi="宋体" w:cs="仿宋"/>
          <w:color w:val="auto"/>
          <w:sz w:val="24"/>
          <w:szCs w:val="24"/>
          <w:highlight w:val="none"/>
          <w:u w:val="single"/>
        </w:rPr>
        <w:t>（单位名称）</w:t>
      </w:r>
      <w:r>
        <w:rPr>
          <w:rFonts w:hint="eastAsia" w:ascii="宋体" w:hAnsi="宋体" w:cs="仿宋"/>
          <w:color w:val="auto"/>
          <w:sz w:val="24"/>
          <w:szCs w:val="24"/>
          <w:highlight w:val="none"/>
        </w:rPr>
        <w:t>的</w:t>
      </w:r>
      <w:r>
        <w:rPr>
          <w:rFonts w:hint="eastAsia" w:ascii="宋体" w:hAnsi="宋体" w:cs="仿宋"/>
          <w:color w:val="auto"/>
          <w:sz w:val="24"/>
          <w:szCs w:val="24"/>
          <w:highlight w:val="none"/>
          <w:u w:val="single"/>
        </w:rPr>
        <w:t>（项目名称）</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u w:val="single"/>
          <w:lang w:val="en-US" w:eastAsia="zh-CN"/>
        </w:rPr>
        <w:t xml:space="preserve"> 标段</w:t>
      </w:r>
      <w:r>
        <w:rPr>
          <w:rFonts w:hint="eastAsia" w:ascii="宋体" w:hAnsi="宋体" w:cs="仿宋"/>
          <w:color w:val="auto"/>
          <w:sz w:val="24"/>
          <w:szCs w:val="24"/>
          <w:highlight w:val="none"/>
          <w:u w:val="single"/>
          <w:lang w:eastAsia="zh-CN"/>
        </w:rPr>
        <w:t>）</w:t>
      </w:r>
      <w:r>
        <w:rPr>
          <w:rFonts w:hint="eastAsia" w:ascii="宋体" w:hAnsi="宋体" w:cs="仿宋"/>
          <w:color w:val="auto"/>
          <w:sz w:val="24"/>
          <w:szCs w:val="24"/>
          <w:highlight w:val="none"/>
        </w:rPr>
        <w:t>采购活动，工程的施工单位全部为符合政策要求的中小企业（或者：货物全部由符合政策要求的中小企业承接）。相关企业（含联合体中的中小企业、签订分包意向协议的中小企业）的具体情况如下：</w:t>
      </w:r>
    </w:p>
    <w:p w14:paraId="1DD2BBBB">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1. </w:t>
      </w:r>
      <w:r>
        <w:rPr>
          <w:rFonts w:hint="eastAsia" w:ascii="宋体" w:hAnsi="宋体" w:cs="仿宋"/>
          <w:color w:val="auto"/>
          <w:sz w:val="24"/>
          <w:szCs w:val="24"/>
          <w:highlight w:val="none"/>
          <w:u w:val="single"/>
        </w:rPr>
        <w:t>（标的名称）</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083A53C5">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 xml:space="preserve">2. </w:t>
      </w:r>
      <w:r>
        <w:rPr>
          <w:rFonts w:hint="eastAsia" w:ascii="宋体" w:hAnsi="宋体" w:cs="仿宋"/>
          <w:color w:val="auto"/>
          <w:sz w:val="24"/>
          <w:szCs w:val="24"/>
          <w:highlight w:val="none"/>
          <w:u w:val="single"/>
        </w:rPr>
        <w:t>（标的名称</w:t>
      </w:r>
      <w:r>
        <w:rPr>
          <w:rFonts w:hint="eastAsia" w:ascii="宋体" w:hAnsi="宋体" w:cs="仿宋"/>
          <w:color w:val="auto"/>
          <w:sz w:val="24"/>
          <w:szCs w:val="24"/>
          <w:highlight w:val="none"/>
        </w:rPr>
        <w:t>）</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，属于</w:t>
      </w:r>
      <w:r>
        <w:rPr>
          <w:rFonts w:hint="eastAsia" w:ascii="宋体" w:hAnsi="宋体" w:cs="仿宋"/>
          <w:color w:val="auto"/>
          <w:sz w:val="24"/>
          <w:szCs w:val="24"/>
          <w:highlight w:val="none"/>
          <w:u w:val="single"/>
        </w:rPr>
        <w:t>（采购文件中明确的所属行业）</w:t>
      </w:r>
      <w:r>
        <w:rPr>
          <w:rFonts w:hint="eastAsia" w:ascii="宋体" w:hAnsi="宋体" w:cs="仿宋"/>
          <w:color w:val="auto"/>
          <w:sz w:val="24"/>
          <w:szCs w:val="24"/>
          <w:highlight w:val="none"/>
        </w:rPr>
        <w:t>；承建（承接）企业为（</w:t>
      </w:r>
      <w:r>
        <w:rPr>
          <w:rFonts w:hint="eastAsia" w:ascii="宋体" w:hAnsi="宋体" w:cs="仿宋"/>
          <w:color w:val="auto"/>
          <w:sz w:val="24"/>
          <w:szCs w:val="24"/>
          <w:highlight w:val="none"/>
          <w:u w:val="single"/>
        </w:rPr>
        <w:t>企业名称</w:t>
      </w:r>
      <w:r>
        <w:rPr>
          <w:rFonts w:hint="eastAsia" w:ascii="宋体" w:hAnsi="宋体" w:cs="仿宋"/>
          <w:color w:val="auto"/>
          <w:sz w:val="24"/>
          <w:szCs w:val="24"/>
          <w:highlight w:val="none"/>
        </w:rPr>
        <w:t>），从业人员</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人，营业收入为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万元，资产总额为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万元，属于</w:t>
      </w:r>
      <w:r>
        <w:rPr>
          <w:rFonts w:hint="eastAsia" w:ascii="宋体" w:hAnsi="宋体" w:cs="仿宋"/>
          <w:color w:val="auto"/>
          <w:sz w:val="24"/>
          <w:szCs w:val="24"/>
          <w:highlight w:val="none"/>
          <w:u w:val="single"/>
        </w:rPr>
        <w:t>（中型企业、小型企业、微型企业）</w:t>
      </w:r>
      <w:r>
        <w:rPr>
          <w:rFonts w:hint="eastAsia" w:ascii="宋体" w:hAnsi="宋体" w:cs="仿宋"/>
          <w:color w:val="auto"/>
          <w:sz w:val="24"/>
          <w:szCs w:val="24"/>
          <w:highlight w:val="none"/>
        </w:rPr>
        <w:t>；</w:t>
      </w:r>
    </w:p>
    <w:p w14:paraId="3799327F">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w:t>
      </w:r>
    </w:p>
    <w:p w14:paraId="2E3A51AF">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以上企业，不属于大企业的分支机构，不存在控股股东为大企业的情形，也不存在与大企业的负责人为同一人的情形。</w:t>
      </w:r>
    </w:p>
    <w:p w14:paraId="016D384B">
      <w:pPr>
        <w:keepNext w:val="0"/>
        <w:keepLines w:val="0"/>
        <w:pageBreakBefore w:val="0"/>
        <w:kinsoku/>
        <w:wordWrap w:val="0"/>
        <w:overflowPunct/>
        <w:topLinePunct w:val="0"/>
        <w:autoSpaceDE w:val="0"/>
        <w:autoSpaceDN w:val="0"/>
        <w:bidi w:val="0"/>
        <w:adjustRightInd w:val="0"/>
        <w:spacing w:line="44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本企业对上述声明内容的真实性负责。如有虚假，将依法承担相应责任。</w:t>
      </w:r>
    </w:p>
    <w:p w14:paraId="31C9D9F9">
      <w:pPr>
        <w:keepNext w:val="0"/>
        <w:keepLines w:val="0"/>
        <w:pageBreakBefore w:val="0"/>
        <w:kinsoku/>
        <w:wordWrap w:val="0"/>
        <w:overflowPunct/>
        <w:topLinePunct w:val="0"/>
        <w:autoSpaceDE w:val="0"/>
        <w:autoSpaceDN w:val="0"/>
        <w:bidi w:val="0"/>
        <w:adjustRightInd w:val="0"/>
        <w:spacing w:line="440" w:lineRule="exact"/>
        <w:jc w:val="right"/>
        <w:rPr>
          <w:rFonts w:ascii="宋体" w:hAnsi="宋体" w:cs="仿宋"/>
          <w:color w:val="auto"/>
          <w:sz w:val="24"/>
          <w:szCs w:val="24"/>
          <w:highlight w:val="none"/>
        </w:rPr>
      </w:pPr>
    </w:p>
    <w:p w14:paraId="7D37DDE1">
      <w:pPr>
        <w:keepNext w:val="0"/>
        <w:keepLines w:val="0"/>
        <w:pageBreakBefore w:val="0"/>
        <w:kinsoku/>
        <w:wordWrap w:val="0"/>
        <w:overflowPunct/>
        <w:topLinePunct w:val="0"/>
        <w:bidi w:val="0"/>
        <w:spacing w:line="400" w:lineRule="exact"/>
        <w:ind w:firstLine="504" w:firstLineChars="200"/>
        <w:rPr>
          <w:rFonts w:ascii="宋体" w:hAnsi="宋体" w:cs="宋体"/>
          <w:color w:val="auto"/>
          <w:spacing w:val="6"/>
          <w:sz w:val="24"/>
          <w:szCs w:val="24"/>
          <w:highlight w:val="none"/>
        </w:rPr>
      </w:pPr>
    </w:p>
    <w:p w14:paraId="5110850A">
      <w:pPr>
        <w:keepNext w:val="0"/>
        <w:keepLines w:val="0"/>
        <w:pageBreakBefore w:val="0"/>
        <w:widowControl w:val="0"/>
        <w:kinsoku/>
        <w:wordWrap w:val="0"/>
        <w:overflowPunct/>
        <w:topLinePunct w:val="0"/>
        <w:autoSpaceDE w:val="0"/>
        <w:autoSpaceDN w:val="0"/>
        <w:bidi w:val="0"/>
        <w:adjustRightInd/>
        <w:snapToGrid w:val="0"/>
        <w:spacing w:line="480" w:lineRule="exact"/>
        <w:ind w:right="-856" w:rightChars="-389"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（电子签章） </w:t>
      </w:r>
    </w:p>
    <w:p w14:paraId="73A0255E">
      <w:pPr>
        <w:keepNext w:val="0"/>
        <w:keepLines w:val="0"/>
        <w:pageBreakBefore w:val="0"/>
        <w:widowControl w:val="0"/>
        <w:kinsoku/>
        <w:wordWrap w:val="0"/>
        <w:overflowPunct/>
        <w:topLinePunct w:val="0"/>
        <w:autoSpaceDE w:val="0"/>
        <w:autoSpaceDN w:val="0"/>
        <w:bidi w:val="0"/>
        <w:adjustRightInd/>
        <w:spacing w:line="480" w:lineRule="exact"/>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（签章） </w:t>
      </w:r>
    </w:p>
    <w:p w14:paraId="0B1EE960">
      <w:pPr>
        <w:keepNext w:val="0"/>
        <w:keepLines w:val="0"/>
        <w:pageBreakBefore w:val="0"/>
        <w:widowControl w:val="0"/>
        <w:kinsoku/>
        <w:wordWrap w:val="0"/>
        <w:overflowPunct/>
        <w:topLinePunct w:val="0"/>
        <w:autoSpaceDE w:val="0"/>
        <w:autoSpaceDN w:val="0"/>
        <w:bidi w:val="0"/>
        <w:adjustRightInd/>
        <w:spacing w:line="480" w:lineRule="exact"/>
        <w:ind w:firstLine="3600" w:firstLineChars="1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D644A45">
      <w:pPr>
        <w:keepNext w:val="0"/>
        <w:keepLines w:val="0"/>
        <w:pageBreakBefore w:val="0"/>
        <w:kinsoku/>
        <w:wordWrap w:val="0"/>
        <w:overflowPunct/>
        <w:topLinePunct w:val="0"/>
        <w:bidi w:val="0"/>
        <w:spacing w:line="400" w:lineRule="exact"/>
        <w:ind w:firstLine="506" w:firstLineChars="200"/>
        <w:rPr>
          <w:rFonts w:hint="eastAsia" w:ascii="宋体" w:hAnsi="宋体" w:cs="宋体"/>
          <w:b/>
          <w:color w:val="auto"/>
          <w:spacing w:val="6"/>
          <w:sz w:val="24"/>
          <w:szCs w:val="24"/>
          <w:highlight w:val="none"/>
        </w:rPr>
      </w:pPr>
    </w:p>
    <w:p w14:paraId="776A7456">
      <w:pPr>
        <w:keepNext w:val="0"/>
        <w:keepLines w:val="0"/>
        <w:pageBreakBefore w:val="0"/>
        <w:kinsoku/>
        <w:wordWrap w:val="0"/>
        <w:overflowPunct/>
        <w:topLinePunct w:val="0"/>
        <w:bidi w:val="0"/>
        <w:spacing w:line="400" w:lineRule="exact"/>
        <w:ind w:firstLine="506" w:firstLineChars="200"/>
        <w:rPr>
          <w:rFonts w:ascii="宋体" w:hAnsi="宋体"/>
          <w:color w:val="auto"/>
          <w:highlight w:val="none"/>
        </w:rPr>
      </w:pPr>
      <w:r>
        <w:rPr>
          <w:rFonts w:hint="eastAsia" w:ascii="宋体" w:hAnsi="宋体" w:cs="宋体"/>
          <w:b/>
          <w:color w:val="auto"/>
          <w:spacing w:val="6"/>
          <w:sz w:val="24"/>
          <w:szCs w:val="24"/>
          <w:highlight w:val="none"/>
        </w:rPr>
        <w:t>从业人员、营业收入、资产总额填报上一年度数据，无上一年度数据的新成立企业可不填报</w:t>
      </w:r>
    </w:p>
    <w:bookmarkEnd w:id="338"/>
    <w:p w14:paraId="6A5AF991">
      <w:pPr>
        <w:pStyle w:val="18"/>
        <w:keepNext w:val="0"/>
        <w:keepLines w:val="0"/>
        <w:pageBreakBefore w:val="0"/>
        <w:kinsoku/>
        <w:wordWrap w:val="0"/>
        <w:overflowPunct/>
        <w:topLinePunct w:val="0"/>
        <w:bidi w:val="0"/>
        <w:ind w:left="0"/>
        <w:jc w:val="both"/>
        <w:outlineLvl w:val="0"/>
        <w:rPr>
          <w:rFonts w:hint="eastAsia" w:ascii="宋体" w:hAnsi="宋体" w:eastAsia="宋体"/>
          <w:color w:val="auto"/>
          <w:highlight w:val="none"/>
          <w:lang w:val="en-US" w:eastAsia="zh-CN"/>
        </w:rPr>
      </w:pPr>
    </w:p>
    <w:p w14:paraId="65035B5E">
      <w:pPr>
        <w:keepNext w:val="0"/>
        <w:keepLines w:val="0"/>
        <w:pageBreakBefore w:val="0"/>
        <w:kinsoku/>
        <w:wordWrap w:val="0"/>
        <w:overflowPunct/>
        <w:topLinePunct w:val="0"/>
        <w:bidi w:val="0"/>
        <w:rPr>
          <w:rFonts w:hint="eastAsia" w:ascii="宋体" w:hAnsi="宋体" w:eastAsia="宋体" w:cs="宋体"/>
          <w:b w:val="0"/>
          <w:bCs w:val="0"/>
          <w:color w:val="auto"/>
          <w:sz w:val="28"/>
          <w:szCs w:val="20"/>
          <w:highlight w:val="none"/>
          <w:lang w:val="en-US" w:eastAsia="zh-CN" w:bidi="zh-CN"/>
        </w:rPr>
      </w:pPr>
      <w:r>
        <w:rPr>
          <w:color w:val="auto"/>
          <w:highlight w:val="none"/>
        </w:rPr>
        <w:br w:type="page"/>
      </w:r>
      <w:r>
        <w:rPr>
          <w:rFonts w:hint="eastAsia" w:ascii="宋体" w:hAnsi="宋体" w:eastAsia="宋体" w:cs="宋体"/>
          <w:b w:val="0"/>
          <w:bCs w:val="0"/>
          <w:color w:val="auto"/>
          <w:sz w:val="28"/>
          <w:szCs w:val="20"/>
          <w:highlight w:val="none"/>
          <w:lang w:val="en-US" w:eastAsia="zh-CN" w:bidi="zh-CN"/>
        </w:rPr>
        <w:t>附件2：</w:t>
      </w:r>
    </w:p>
    <w:p w14:paraId="2195CD48">
      <w:pPr>
        <w:pStyle w:val="11"/>
        <w:spacing w:line="500" w:lineRule="exact"/>
        <w:ind w:firstLine="2650" w:firstLineChars="1100"/>
        <w:jc w:val="both"/>
        <w:rPr>
          <w:rFonts w:hint="eastAsia" w:cs="宋体"/>
          <w:color w:val="auto"/>
          <w:kern w:val="2"/>
          <w:sz w:val="24"/>
          <w:szCs w:val="24"/>
          <w:highlight w:val="none"/>
          <w:lang w:val="en-US" w:bidi="ar-SA"/>
        </w:rPr>
      </w:pPr>
      <w:r>
        <w:rPr>
          <w:rFonts w:hint="eastAsia" w:cs="宋体"/>
          <w:bCs/>
          <w:color w:val="auto"/>
          <w:kern w:val="2"/>
          <w:sz w:val="24"/>
          <w:szCs w:val="24"/>
          <w:highlight w:val="none"/>
          <w:lang w:val="en-US" w:bidi="ar-SA"/>
        </w:rPr>
        <w:t>残疾人福利性单位声明函</w:t>
      </w:r>
    </w:p>
    <w:p w14:paraId="7C95431A">
      <w:pPr>
        <w:pStyle w:val="11"/>
        <w:spacing w:line="500" w:lineRule="exact"/>
        <w:ind w:firstLine="482" w:firstLineChars="200"/>
        <w:rPr>
          <w:rFonts w:hint="eastAsia" w:cs="宋体"/>
          <w:color w:val="auto"/>
          <w:sz w:val="24"/>
          <w:szCs w:val="22"/>
          <w:highlight w:val="none"/>
          <w:lang w:val="en-US"/>
        </w:rPr>
      </w:pPr>
      <w:bookmarkStart w:id="339" w:name="_Toc18688"/>
      <w:bookmarkStart w:id="340" w:name="_Toc31670_WPSOffice_Level2"/>
      <w:bookmarkStart w:id="341" w:name="_Toc30155"/>
      <w:bookmarkStart w:id="342" w:name="_Toc13796_WPSOffice_Level2"/>
      <w:bookmarkStart w:id="343" w:name="_Toc21113_WPSOffice_Level2"/>
      <w:r>
        <w:rPr>
          <w:rFonts w:hint="eastAsia" w:cs="宋体"/>
          <w:color w:val="auto"/>
          <w:kern w:val="2"/>
          <w:sz w:val="24"/>
          <w:szCs w:val="24"/>
          <w:highlight w:val="none"/>
          <w:lang w:val="en-US" w:bidi="ar-SA"/>
        </w:rPr>
        <w:t>（属于残疾人福利性单位的填写，不属于的无需填写此项内容）</w:t>
      </w:r>
      <w:bookmarkEnd w:id="339"/>
      <w:bookmarkEnd w:id="340"/>
      <w:bookmarkEnd w:id="341"/>
      <w:bookmarkEnd w:id="342"/>
      <w:bookmarkEnd w:id="343"/>
    </w:p>
    <w:p w14:paraId="7D10D0DE">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本单位郑重声明，根据《财政部 民政部 中国残疾人联合会关于促进残疾人就业政府采购政策的通知》（财库〔2017〕141 号）的规定，本单位为符合条件的残疾人福利性单位，且本单位参加</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单位的</w:t>
      </w:r>
      <w:r>
        <w:rPr>
          <w:rFonts w:hint="eastAsia"/>
          <w:color w:val="auto"/>
          <w:kern w:val="2"/>
          <w:sz w:val="24"/>
          <w:highlight w:val="none"/>
          <w:u w:val="single"/>
          <w:lang w:val="en-US" w:bidi="ar"/>
        </w:rPr>
        <w:t xml:space="preserve">         </w:t>
      </w:r>
      <w:r>
        <w:rPr>
          <w:rFonts w:hint="eastAsia"/>
          <w:color w:val="auto"/>
          <w:kern w:val="2"/>
          <w:sz w:val="24"/>
          <w:highlight w:val="none"/>
          <w:lang w:val="en-US" w:bidi="ar"/>
        </w:rPr>
        <w:t>项目采购活动，提供本单位制造的货物（由本单位承担工程/提供服务），或者提供其他残疾人福利性单位制造的货物（不包括使用非残疾人福利性单位注册商标的货物）。</w:t>
      </w:r>
    </w:p>
    <w:p w14:paraId="37A38DD9">
      <w:pPr>
        <w:spacing w:line="500" w:lineRule="exact"/>
        <w:ind w:firstLine="480" w:firstLineChars="200"/>
        <w:jc w:val="both"/>
        <w:rPr>
          <w:rFonts w:hint="eastAsia"/>
          <w:color w:val="auto"/>
          <w:sz w:val="24"/>
          <w:highlight w:val="none"/>
          <w:lang w:val="en-US"/>
        </w:rPr>
      </w:pPr>
      <w:r>
        <w:rPr>
          <w:rFonts w:hint="eastAsia"/>
          <w:color w:val="auto"/>
          <w:kern w:val="2"/>
          <w:sz w:val="24"/>
          <w:highlight w:val="none"/>
          <w:lang w:val="en-US" w:bidi="ar"/>
        </w:rPr>
        <w:t>本单位对上述声明的真实性负责。如有虚假，将依法承担相应责任。</w:t>
      </w:r>
    </w:p>
    <w:p w14:paraId="7274E978">
      <w:pPr>
        <w:pStyle w:val="11"/>
        <w:rPr>
          <w:rFonts w:hint="eastAsia" w:cs="宋体"/>
          <w:color w:val="auto"/>
          <w:kern w:val="2"/>
          <w:sz w:val="24"/>
          <w:szCs w:val="24"/>
          <w:highlight w:val="none"/>
          <w:lang w:val="en-US" w:bidi="ar-SA"/>
        </w:rPr>
      </w:pPr>
    </w:p>
    <w:p w14:paraId="6A0F9D35">
      <w:pPr>
        <w:pStyle w:val="12"/>
        <w:spacing w:line="500" w:lineRule="exact"/>
        <w:ind w:firstLine="480" w:firstLineChars="200"/>
        <w:jc w:val="right"/>
        <w:rPr>
          <w:rFonts w:hint="eastAsia"/>
          <w:color w:val="auto"/>
          <w:kern w:val="2"/>
          <w:szCs w:val="24"/>
          <w:highlight w:val="none"/>
          <w:lang w:val="en-US" w:bidi="ar-SA"/>
        </w:rPr>
      </w:pPr>
      <w:r>
        <w:rPr>
          <w:rFonts w:hint="eastAsia"/>
          <w:color w:val="auto"/>
          <w:kern w:val="2"/>
          <w:szCs w:val="24"/>
          <w:highlight w:val="none"/>
          <w:lang w:val="en-US" w:bidi="ar-SA"/>
        </w:rPr>
        <w:t xml:space="preserve">    </w:t>
      </w:r>
    </w:p>
    <w:p w14:paraId="40C9A6A3">
      <w:pPr>
        <w:pStyle w:val="12"/>
        <w:spacing w:line="500" w:lineRule="exact"/>
        <w:ind w:firstLine="480" w:firstLineChars="200"/>
        <w:jc w:val="right"/>
        <w:rPr>
          <w:rFonts w:hint="eastAsia"/>
          <w:color w:val="auto"/>
          <w:kern w:val="2"/>
          <w:szCs w:val="24"/>
          <w:highlight w:val="none"/>
          <w:lang w:val="en-US" w:bidi="ar-SA"/>
        </w:rPr>
      </w:pPr>
    </w:p>
    <w:p w14:paraId="5B43BBEA">
      <w:pPr>
        <w:pStyle w:val="12"/>
        <w:spacing w:line="500" w:lineRule="exact"/>
        <w:ind w:firstLine="480" w:firstLineChars="200"/>
        <w:jc w:val="right"/>
        <w:rPr>
          <w:rFonts w:hint="eastAsia"/>
          <w:color w:val="auto"/>
          <w:szCs w:val="24"/>
          <w:highlight w:val="none"/>
        </w:rPr>
      </w:pPr>
      <w:r>
        <w:rPr>
          <w:rFonts w:hint="eastAsia"/>
          <w:color w:val="auto"/>
          <w:kern w:val="2"/>
          <w:szCs w:val="24"/>
          <w:highlight w:val="none"/>
          <w:lang w:val="en-US" w:bidi="ar-SA"/>
        </w:rPr>
        <w:t xml:space="preserve"> 投标</w:t>
      </w:r>
      <w:r>
        <w:rPr>
          <w:rFonts w:hint="eastAsia"/>
          <w:color w:val="auto"/>
          <w:szCs w:val="24"/>
          <w:highlight w:val="none"/>
        </w:rPr>
        <w:t>供应商：</w:t>
      </w:r>
      <w:r>
        <w:rPr>
          <w:rFonts w:hint="eastAsia"/>
          <w:color w:val="auto"/>
          <w:kern w:val="2"/>
          <w:szCs w:val="24"/>
          <w:highlight w:val="none"/>
          <w:u w:val="single"/>
          <w:lang w:val="en-US"/>
        </w:rPr>
        <w:t xml:space="preserve">       </w:t>
      </w:r>
      <w:r>
        <w:rPr>
          <w:rFonts w:hint="eastAsia"/>
          <w:color w:val="auto"/>
          <w:szCs w:val="24"/>
          <w:highlight w:val="none"/>
        </w:rPr>
        <w:t>（公章电子签章）</w:t>
      </w:r>
    </w:p>
    <w:p w14:paraId="60DBB27B">
      <w:pPr>
        <w:pStyle w:val="12"/>
        <w:spacing w:line="500" w:lineRule="exact"/>
        <w:ind w:firstLine="480" w:firstLineChars="200"/>
        <w:jc w:val="center"/>
        <w:rPr>
          <w:rFonts w:hint="eastAsia"/>
          <w:color w:val="auto"/>
          <w:kern w:val="2"/>
          <w:szCs w:val="24"/>
          <w:highlight w:val="none"/>
          <w:lang w:val="en-US" w:bidi="ar-SA"/>
        </w:rPr>
      </w:pPr>
      <w:r>
        <w:rPr>
          <w:rFonts w:hint="eastAsia"/>
          <w:color w:val="auto"/>
          <w:szCs w:val="24"/>
          <w:highlight w:val="none"/>
          <w:lang w:val="en-US"/>
        </w:rPr>
        <w:t xml:space="preserve">                                   </w:t>
      </w:r>
      <w:r>
        <w:rPr>
          <w:rFonts w:hint="eastAsia"/>
          <w:color w:val="auto"/>
          <w:szCs w:val="24"/>
          <w:highlight w:val="none"/>
        </w:rPr>
        <w:t>日</w:t>
      </w:r>
      <w:r>
        <w:rPr>
          <w:rFonts w:hint="eastAsia"/>
          <w:color w:val="auto"/>
          <w:szCs w:val="24"/>
          <w:highlight w:val="none"/>
          <w:lang w:val="en-US"/>
        </w:rPr>
        <w:t xml:space="preserve">      </w:t>
      </w:r>
      <w:r>
        <w:rPr>
          <w:rFonts w:hint="eastAsia"/>
          <w:color w:val="auto"/>
          <w:szCs w:val="24"/>
          <w:highlight w:val="none"/>
        </w:rPr>
        <w:t>期：</w:t>
      </w:r>
      <w:r>
        <w:rPr>
          <w:rFonts w:hint="eastAsia"/>
          <w:color w:val="auto"/>
          <w:szCs w:val="24"/>
          <w:highlight w:val="none"/>
          <w:lang w:val="en-US"/>
        </w:rPr>
        <w:t xml:space="preserve">     </w:t>
      </w:r>
      <w:r>
        <w:rPr>
          <w:rFonts w:hint="eastAsia"/>
          <w:color w:val="auto"/>
          <w:szCs w:val="24"/>
          <w:highlight w:val="none"/>
        </w:rPr>
        <w:t>年  月  日</w:t>
      </w:r>
    </w:p>
    <w:p w14:paraId="6DF0BEB9">
      <w:pPr>
        <w:spacing w:line="400" w:lineRule="exact"/>
        <w:ind w:firstLine="506" w:firstLineChars="200"/>
        <w:rPr>
          <w:b/>
          <w:color w:val="auto"/>
          <w:spacing w:val="6"/>
          <w:sz w:val="24"/>
          <w:szCs w:val="24"/>
          <w:highlight w:val="none"/>
        </w:rPr>
      </w:pPr>
    </w:p>
    <w:p w14:paraId="51AADE4F">
      <w:pPr>
        <w:keepNext w:val="0"/>
        <w:keepLines w:val="0"/>
        <w:pageBreakBefore w:val="0"/>
        <w:kinsoku/>
        <w:wordWrap w:val="0"/>
        <w:overflowPunct/>
        <w:topLinePunct w:val="0"/>
        <w:bidi w:val="0"/>
        <w:rPr>
          <w:rFonts w:hint="default" w:ascii="宋体" w:hAnsi="宋体" w:eastAsia="宋体" w:cs="宋体"/>
          <w:b w:val="0"/>
          <w:bCs w:val="0"/>
          <w:color w:val="auto"/>
          <w:sz w:val="28"/>
          <w:szCs w:val="20"/>
          <w:highlight w:val="none"/>
          <w:lang w:val="en-US" w:eastAsia="zh-CN" w:bidi="zh-CN"/>
        </w:rPr>
      </w:pPr>
    </w:p>
    <w:p w14:paraId="6882360D"/>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C841">
    <w:pPr>
      <w:pStyle w:val="7"/>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1DD3">
    <w:pPr>
      <w:pStyle w:val="7"/>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CE90">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AED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BAED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2FE7">
    <w:pPr>
      <w:pStyle w:val="7"/>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31011">
                          <w:pPr>
                            <w:pStyle w:val="10"/>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1031011">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0506">
    <w:pPr>
      <w:pStyle w:val="7"/>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E48E5">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29E48E5">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9E72">
    <w:pPr>
      <w:pStyle w:val="7"/>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52D61">
                          <w:pPr>
                            <w:pStyle w:val="10"/>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FB52D61">
                    <w:pPr>
                      <w:pStyle w:val="1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1CD6">
    <w:pPr>
      <w:pStyle w:val="7"/>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8715A">
                          <w:pPr>
                            <w:pStyle w:val="10"/>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1D8715A">
                    <w:pPr>
                      <w:pStyle w:val="1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B3BB">
    <w:pPr>
      <w:pStyle w:val="7"/>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11E71">
                          <w:pPr>
                            <w:pStyle w:val="10"/>
                          </w:pPr>
                          <w:r>
                            <w:fldChar w:fldCharType="begin"/>
                          </w:r>
                          <w:r>
                            <w:instrText xml:space="preserve"> PAGE  \* MERGEFORMAT </w:instrText>
                          </w:r>
                          <w:r>
                            <w:fldChar w:fldCharType="separate"/>
                          </w:r>
                          <w:r>
                            <w:t>99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F11E71">
                    <w:pPr>
                      <w:pStyle w:val="10"/>
                    </w:pPr>
                    <w:r>
                      <w:fldChar w:fldCharType="begin"/>
                    </w:r>
                    <w:r>
                      <w:instrText xml:space="preserve"> PAGE  \* MERGEFORMAT </w:instrText>
                    </w:r>
                    <w:r>
                      <w:fldChar w:fldCharType="separate"/>
                    </w:r>
                    <w:r>
                      <w:t>99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78700D7"/>
    <w:multiLevelType w:val="singleLevel"/>
    <w:tmpl w:val="B78700D7"/>
    <w:lvl w:ilvl="0" w:tentative="0">
      <w:start w:val="5"/>
      <w:numFmt w:val="chineseCounting"/>
      <w:suff w:val="nothing"/>
      <w:lvlText w:val="%1、"/>
      <w:lvlJc w:val="left"/>
      <w:rPr>
        <w:rFonts w:hint="eastAsia"/>
      </w:rPr>
    </w:lvl>
  </w:abstractNum>
  <w:abstractNum w:abstractNumId="3">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4">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5">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6">
    <w:nsid w:val="F89862C1"/>
    <w:multiLevelType w:val="singleLevel"/>
    <w:tmpl w:val="F89862C1"/>
    <w:lvl w:ilvl="0" w:tentative="0">
      <w:start w:val="2"/>
      <w:numFmt w:val="chineseCounting"/>
      <w:suff w:val="nothing"/>
      <w:lvlText w:val="%1、"/>
      <w:lvlJc w:val="left"/>
      <w:rPr>
        <w:rFonts w:hint="eastAsia"/>
      </w:rPr>
    </w:lvl>
  </w:abstractNum>
  <w:abstractNum w:abstractNumId="7">
    <w:nsid w:val="03D62ECE"/>
    <w:multiLevelType w:val="multilevel"/>
    <w:tmpl w:val="03D62ECE"/>
    <w:lvl w:ilvl="0" w:tentative="0">
      <w:start w:val="2"/>
      <w:numFmt w:val="decimal"/>
      <w:lvlText w:val="%1"/>
      <w:lvlJc w:val="left"/>
      <w:pPr>
        <w:ind w:left="320" w:hanging="420"/>
        <w:jc w:val="right"/>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8">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9">
    <w:nsid w:val="243FCF68"/>
    <w:multiLevelType w:val="multilevel"/>
    <w:tmpl w:val="243FCF68"/>
    <w:lvl w:ilvl="0" w:tentative="0">
      <w:start w:val="1"/>
      <w:numFmt w:val="decimal"/>
      <w:lvlText w:val="%1."/>
      <w:lvlJc w:val="left"/>
      <w:pPr>
        <w:ind w:left="1044" w:hanging="244"/>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28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840"/>
      </w:pPr>
      <w:rPr>
        <w:rFonts w:hint="default" w:ascii="宋体" w:hAnsi="宋体" w:eastAsia="宋体" w:cs="宋体"/>
        <w:spacing w:val="-29"/>
        <w:w w:val="100"/>
        <w:sz w:val="24"/>
        <w:szCs w:val="24"/>
        <w:lang w:val="zh-CN" w:eastAsia="zh-CN" w:bidi="zh-CN"/>
      </w:rPr>
    </w:lvl>
    <w:lvl w:ilvl="3" w:tentative="0">
      <w:start w:val="0"/>
      <w:numFmt w:val="bullet"/>
      <w:lvlText w:val="•"/>
      <w:lvlJc w:val="left"/>
      <w:pPr>
        <w:ind w:left="1280" w:hanging="840"/>
      </w:pPr>
      <w:rPr>
        <w:rFonts w:hint="default"/>
        <w:lang w:val="zh-CN" w:eastAsia="zh-CN" w:bidi="zh-CN"/>
      </w:rPr>
    </w:lvl>
    <w:lvl w:ilvl="4" w:tentative="0">
      <w:start w:val="0"/>
      <w:numFmt w:val="bullet"/>
      <w:lvlText w:val="•"/>
      <w:lvlJc w:val="left"/>
      <w:pPr>
        <w:ind w:left="1400" w:hanging="840"/>
      </w:pPr>
      <w:rPr>
        <w:rFonts w:hint="default"/>
        <w:lang w:val="zh-CN" w:eastAsia="zh-CN" w:bidi="zh-CN"/>
      </w:rPr>
    </w:lvl>
    <w:lvl w:ilvl="5" w:tentative="0">
      <w:start w:val="0"/>
      <w:numFmt w:val="bullet"/>
      <w:lvlText w:val="•"/>
      <w:lvlJc w:val="left"/>
      <w:pPr>
        <w:ind w:left="2807" w:hanging="840"/>
      </w:pPr>
      <w:rPr>
        <w:rFonts w:hint="default"/>
        <w:lang w:val="zh-CN" w:eastAsia="zh-CN" w:bidi="zh-CN"/>
      </w:rPr>
    </w:lvl>
    <w:lvl w:ilvl="6" w:tentative="0">
      <w:start w:val="0"/>
      <w:numFmt w:val="bullet"/>
      <w:lvlText w:val="•"/>
      <w:lvlJc w:val="left"/>
      <w:pPr>
        <w:ind w:left="4215" w:hanging="840"/>
      </w:pPr>
      <w:rPr>
        <w:rFonts w:hint="default"/>
        <w:lang w:val="zh-CN" w:eastAsia="zh-CN" w:bidi="zh-CN"/>
      </w:rPr>
    </w:lvl>
    <w:lvl w:ilvl="7" w:tentative="0">
      <w:start w:val="0"/>
      <w:numFmt w:val="bullet"/>
      <w:lvlText w:val="•"/>
      <w:lvlJc w:val="left"/>
      <w:pPr>
        <w:ind w:left="5623" w:hanging="840"/>
      </w:pPr>
      <w:rPr>
        <w:rFonts w:hint="default"/>
        <w:lang w:val="zh-CN" w:eastAsia="zh-CN" w:bidi="zh-CN"/>
      </w:rPr>
    </w:lvl>
    <w:lvl w:ilvl="8" w:tentative="0">
      <w:start w:val="0"/>
      <w:numFmt w:val="bullet"/>
      <w:lvlText w:val="•"/>
      <w:lvlJc w:val="left"/>
      <w:pPr>
        <w:ind w:left="7030" w:hanging="8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6">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11"/>
  </w:num>
  <w:num w:numId="2">
    <w:abstractNumId w:val="13"/>
  </w:num>
  <w:num w:numId="3">
    <w:abstractNumId w:val="5"/>
  </w:num>
  <w:num w:numId="4">
    <w:abstractNumId w:val="10"/>
  </w:num>
  <w:num w:numId="5">
    <w:abstractNumId w:val="4"/>
  </w:num>
  <w:num w:numId="6">
    <w:abstractNumId w:val="0"/>
  </w:num>
  <w:num w:numId="7">
    <w:abstractNumId w:val="12"/>
  </w:num>
  <w:num w:numId="8">
    <w:abstractNumId w:val="14"/>
  </w:num>
  <w:num w:numId="9">
    <w:abstractNumId w:val="8"/>
  </w:num>
  <w:num w:numId="10">
    <w:abstractNumId w:val="1"/>
  </w:num>
  <w:num w:numId="11">
    <w:abstractNumId w:val="16"/>
  </w:num>
  <w:num w:numId="12">
    <w:abstractNumId w:val="15"/>
  </w:num>
  <w:num w:numId="13">
    <w:abstractNumId w:val="3"/>
  </w:num>
  <w:num w:numId="14">
    <w:abstractNumId w:val="9"/>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28C5"/>
    <w:rsid w:val="098B239E"/>
    <w:rsid w:val="1A367F46"/>
    <w:rsid w:val="2D256324"/>
    <w:rsid w:val="3B3A743F"/>
    <w:rsid w:val="57DF5B38"/>
    <w:rsid w:val="5F2228C5"/>
    <w:rsid w:val="6F6B4645"/>
    <w:rsid w:val="71FB09CF"/>
    <w:rsid w:val="79FD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892"/>
      <w:outlineLvl w:val="0"/>
    </w:pPr>
    <w:rPr>
      <w:b/>
      <w:bCs/>
      <w:sz w:val="32"/>
      <w:szCs w:val="32"/>
    </w:rPr>
  </w:style>
  <w:style w:type="paragraph" w:styleId="3">
    <w:name w:val="heading 2"/>
    <w:basedOn w:val="1"/>
    <w:next w:val="1"/>
    <w:qFormat/>
    <w:uiPriority w:val="1"/>
    <w:pPr>
      <w:spacing w:before="1"/>
      <w:ind w:left="1600"/>
      <w:outlineLvl w:val="1"/>
    </w:pPr>
    <w:rPr>
      <w:b/>
      <w:bCs/>
      <w:sz w:val="30"/>
      <w:szCs w:val="30"/>
    </w:rPr>
  </w:style>
  <w:style w:type="paragraph" w:styleId="4">
    <w:name w:val="heading 3"/>
    <w:basedOn w:val="1"/>
    <w:next w:val="1"/>
    <w:qFormat/>
    <w:uiPriority w:val="1"/>
    <w:pPr>
      <w:ind w:left="2015"/>
      <w:outlineLvl w:val="2"/>
    </w:pPr>
    <w:rPr>
      <w:b/>
      <w:bCs/>
      <w:sz w:val="28"/>
      <w:szCs w:val="28"/>
    </w:rPr>
  </w:style>
  <w:style w:type="paragraph" w:styleId="5">
    <w:name w:val="heading 4"/>
    <w:basedOn w:val="1"/>
    <w:next w:val="1"/>
    <w:qFormat/>
    <w:uiPriority w:val="1"/>
    <w:pPr>
      <w:ind w:left="740"/>
      <w:outlineLvl w:val="3"/>
    </w:pPr>
    <w:rPr>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rPr>
      <w:sz w:val="20"/>
    </w:rPr>
  </w:style>
  <w:style w:type="paragraph" w:styleId="7">
    <w:name w:val="Body Text"/>
    <w:basedOn w:val="1"/>
    <w:next w:val="1"/>
    <w:qFormat/>
    <w:uiPriority w:val="1"/>
    <w:pPr>
      <w:ind w:left="320"/>
    </w:pPr>
    <w:rPr>
      <w:sz w:val="24"/>
      <w:szCs w:val="24"/>
    </w:rPr>
  </w:style>
  <w:style w:type="paragraph" w:styleId="8">
    <w:name w:val="Body Text Indent"/>
    <w:basedOn w:val="1"/>
    <w:next w:val="9"/>
    <w:qFormat/>
    <w:uiPriority w:val="0"/>
    <w:pPr>
      <w:spacing w:line="700" w:lineRule="exact"/>
      <w:ind w:left="960"/>
    </w:pPr>
    <w:rPr>
      <w:sz w:val="44"/>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pPr>
    <w:rPr>
      <w:sz w:val="18"/>
      <w:szCs w:val="18"/>
    </w:rPr>
  </w:style>
  <w:style w:type="paragraph" w:styleId="11">
    <w:name w:val="Body Text 2"/>
    <w:basedOn w:val="1"/>
    <w:qFormat/>
    <w:uiPriority w:val="0"/>
    <w:rPr>
      <w:rFonts w:ascii="宋体" w:hAnsi="宋体" w:eastAsia="宋体" w:cs="Arial"/>
      <w:b/>
      <w:kern w:val="0"/>
      <w:sz w:val="28"/>
      <w:szCs w:val="20"/>
    </w:rPr>
  </w:style>
  <w:style w:type="paragraph" w:styleId="12">
    <w:name w:val="Body Text First Indent"/>
    <w:basedOn w:val="7"/>
    <w:next w:val="1"/>
    <w:unhideWhenUsed/>
    <w:qFormat/>
    <w:uiPriority w:val="99"/>
    <w:pPr>
      <w:ind w:firstLine="420" w:firstLineChars="100"/>
    </w:pPr>
    <w:rPr>
      <w:szCs w:val="20"/>
    </w:rPr>
  </w:style>
  <w:style w:type="paragraph" w:styleId="13">
    <w:name w:val="Body Text First Indent 2"/>
    <w:basedOn w:val="8"/>
    <w:next w:val="12"/>
    <w:qFormat/>
    <w:uiPriority w:val="0"/>
    <w:pPr>
      <w:ind w:firstLine="20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Table Paragraph"/>
    <w:basedOn w:val="1"/>
    <w:qFormat/>
    <w:uiPriority w:val="1"/>
  </w:style>
  <w:style w:type="paragraph" w:customStyle="1" w:styleId="18">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sz w:val="28"/>
      <w:szCs w:val="20"/>
    </w:rPr>
  </w:style>
  <w:style w:type="paragraph" w:styleId="19">
    <w:name w:val="List Paragraph"/>
    <w:basedOn w:val="1"/>
    <w:qFormat/>
    <w:uiPriority w:val="1"/>
    <w:pPr>
      <w:ind w:left="320" w:firstLine="4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4195</Words>
  <Characters>4788</Characters>
  <Lines>0</Lines>
  <Paragraphs>0</Paragraphs>
  <TotalTime>24</TotalTime>
  <ScaleCrop>false</ScaleCrop>
  <LinksUpToDate>false</LinksUpToDate>
  <CharactersWithSpaces>4865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2025-06-24T08:23:00Z</dcterms:created>
  <dc:creator>Administrator</dc:creator>
  <cp:lastModifiedBy>Administrator</cp:lastModifiedBy>
  <dcterms:modified xsi:type="dcterms:W3CDTF">2025-06-24T09:20:33Z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EB1D386F9DFE496A8CC0C334E7FCE95A_13</vt:lpwstr>
  </property>
  <property fmtid="{D5CDD505-2E9C-101B-9397-08002B2CF9AE}" pid="4" name="KSOTemplateDocerSaveRecord">
    <vt:lpwstr>eyJoZGlkIjoiNjg2N2YzN2FkMDBjOWNlNTA4YjMyMDg1ZGYzZjRmZDgifQ==</vt:lpwstr>
  </property>
</Properties>
</file>