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7C826">
      <w:pPr>
        <w:keepNext w:val="0"/>
        <w:keepLines w:val="0"/>
        <w:pageBreakBefore w:val="0"/>
        <w:widowControl w:val="0"/>
        <w:kinsoku/>
        <w:wordWrap w:val="0"/>
        <w:overflowPunct/>
        <w:topLinePunct w:val="0"/>
        <w:autoSpaceDE w:val="0"/>
        <w:autoSpaceDN w:val="0"/>
        <w:bidi w:val="0"/>
        <w:adjustRightInd/>
        <w:snapToGrid/>
        <w:spacing w:before="268"/>
        <w:jc w:val="center"/>
        <w:textAlignment w:val="auto"/>
        <w:outlineLvl w:val="0"/>
        <w:rPr>
          <w:rFonts w:hint="default"/>
          <w:b/>
          <w:bCs w:val="0"/>
          <w:color w:val="auto"/>
          <w:sz w:val="48"/>
          <w:szCs w:val="48"/>
          <w:lang w:val="en-US" w:eastAsia="zh-CN"/>
        </w:rPr>
      </w:pPr>
      <w:bookmarkStart w:id="387" w:name="_GoBack"/>
      <w:bookmarkEnd w:id="387"/>
      <w:bookmarkStart w:id="0" w:name="_Toc10036"/>
      <w:r>
        <w:rPr>
          <w:rFonts w:hint="eastAsia"/>
          <w:b/>
          <w:bCs w:val="0"/>
          <w:color w:val="auto"/>
          <w:sz w:val="48"/>
          <w:szCs w:val="48"/>
          <w:lang w:val="en-US" w:eastAsia="zh-CN"/>
        </w:rPr>
        <w:t xml:space="preserve">卢氏县完善全民健身场所行动建设项目设计（二次） </w:t>
      </w:r>
    </w:p>
    <w:p w14:paraId="3956490E">
      <w:pPr>
        <w:wordWrap w:val="0"/>
        <w:spacing w:before="268"/>
        <w:ind w:left="2245"/>
        <w:outlineLvl w:val="0"/>
        <w:rPr>
          <w:b w:val="0"/>
          <w:bCs/>
          <w:color w:val="auto"/>
          <w:sz w:val="72"/>
          <w:szCs w:val="21"/>
        </w:rPr>
      </w:pPr>
      <w:r>
        <w:rPr>
          <w:b/>
          <w:color w:val="auto"/>
          <w:sz w:val="72"/>
          <w:szCs w:val="21"/>
        </w:rPr>
        <w:t>竞争性磋商文件</w:t>
      </w:r>
      <w:bookmarkEnd w:id="0"/>
    </w:p>
    <w:p w14:paraId="0AE54E27">
      <w:pPr>
        <w:pStyle w:val="8"/>
        <w:wordWrap w:val="0"/>
        <w:spacing w:before="6"/>
        <w:ind w:left="0"/>
        <w:jc w:val="center"/>
        <w:rPr>
          <w:rFonts w:hint="eastAsia"/>
          <w:b/>
          <w:color w:val="auto"/>
          <w:sz w:val="32"/>
          <w:szCs w:val="15"/>
          <w:lang w:val="en-US"/>
        </w:rPr>
      </w:pPr>
    </w:p>
    <w:p w14:paraId="342730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eastAsia" w:ascii="宋体" w:hAnsi="宋体" w:eastAsia="宋体" w:cs="宋体"/>
          <w:b/>
          <w:color w:val="auto"/>
          <w:sz w:val="28"/>
          <w:szCs w:val="21"/>
          <w:lang w:val="en-US" w:eastAsia="zh-CN"/>
        </w:rPr>
      </w:pPr>
    </w:p>
    <w:p w14:paraId="23C92F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ascii="微软雅黑" w:hAnsi="微软雅黑" w:eastAsia="微软雅黑" w:cs="微软雅黑"/>
          <w:color w:val="3D4B64"/>
          <w:sz w:val="21"/>
          <w:szCs w:val="21"/>
        </w:rPr>
      </w:pPr>
      <w:r>
        <w:rPr>
          <w:rFonts w:hint="eastAsia" w:ascii="宋体" w:hAnsi="宋体" w:eastAsia="宋体" w:cs="宋体"/>
          <w:b/>
          <w:color w:val="auto"/>
          <w:sz w:val="28"/>
          <w:szCs w:val="21"/>
          <w:lang w:val="en-US" w:eastAsia="zh-CN"/>
        </w:rPr>
        <w:t>项目编号：三卢竞磋采购-2025-70、LSGZ[2025]170-ZC119</w:t>
      </w:r>
    </w:p>
    <w:p w14:paraId="14B3E9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center"/>
        <w:rPr>
          <w:rFonts w:hint="default" w:ascii="宋体" w:hAnsi="宋体" w:eastAsia="宋体" w:cs="宋体"/>
          <w:b/>
          <w:color w:val="FF0000"/>
          <w:sz w:val="28"/>
          <w:szCs w:val="21"/>
          <w:lang w:val="en-US" w:eastAsia="zh-CN"/>
        </w:rPr>
      </w:pPr>
    </w:p>
    <w:p w14:paraId="6B8DEF19">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rPr>
          <w:rFonts w:hint="eastAsia" w:ascii="宋体" w:hAnsi="宋体" w:eastAsia="宋体" w:cs="宋体"/>
          <w:b/>
          <w:color w:val="auto"/>
          <w:sz w:val="32"/>
          <w:lang w:eastAsia="zh-CN"/>
        </w:rPr>
      </w:pPr>
    </w:p>
    <w:p w14:paraId="65DB90B2">
      <w:pPr>
        <w:widowControl/>
        <w:shd w:val="clear" w:color="auto" w:fill="FFFFFF"/>
        <w:spacing w:line="390" w:lineRule="atLeast"/>
        <w:jc w:val="center"/>
        <w:rPr>
          <w:rFonts w:hint="eastAsia" w:ascii="微软雅黑" w:cs="微软雅黑"/>
          <w:color w:val="auto"/>
          <w:sz w:val="21"/>
          <w:szCs w:val="21"/>
          <w:lang w:bidi="ar-SA"/>
        </w:rPr>
      </w:pPr>
    </w:p>
    <w:p w14:paraId="09CD084C">
      <w:pPr>
        <w:pStyle w:val="18"/>
        <w:ind w:left="440" w:firstLine="420"/>
        <w:rPr>
          <w:rFonts w:hint="eastAsia"/>
          <w:color w:val="auto"/>
        </w:rPr>
      </w:pPr>
    </w:p>
    <w:p w14:paraId="52FA2E00">
      <w:pPr>
        <w:pStyle w:val="8"/>
        <w:wordWrap w:val="0"/>
        <w:ind w:left="0"/>
        <w:jc w:val="center"/>
        <w:rPr>
          <w:b/>
          <w:color w:val="auto"/>
          <w:sz w:val="32"/>
          <w:szCs w:val="32"/>
          <w:lang w:val="en-US"/>
        </w:rPr>
      </w:pPr>
      <w:r>
        <w:rPr>
          <w:color w:val="auto"/>
        </w:rPr>
        <w:drawing>
          <wp:anchor distT="0" distB="0" distL="114300" distR="114300" simplePos="0" relativeHeight="251661312" behindDoc="0" locked="0" layoutInCell="1" allowOverlap="1">
            <wp:simplePos x="0" y="0"/>
            <wp:positionH relativeFrom="column">
              <wp:posOffset>2524125</wp:posOffset>
            </wp:positionH>
            <wp:positionV relativeFrom="paragraph">
              <wp:posOffset>4445</wp:posOffset>
            </wp:positionV>
            <wp:extent cx="1620520" cy="2153920"/>
            <wp:effectExtent l="0" t="0" r="17780" b="1778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1"/>
                    <a:stretch>
                      <a:fillRect/>
                    </a:stretch>
                  </pic:blipFill>
                  <pic:spPr>
                    <a:xfrm>
                      <a:off x="0" y="0"/>
                      <a:ext cx="1620520" cy="2153920"/>
                    </a:xfrm>
                    <a:prstGeom prst="rect">
                      <a:avLst/>
                    </a:prstGeom>
                    <a:noFill/>
                    <a:ln>
                      <a:noFill/>
                    </a:ln>
                  </pic:spPr>
                </pic:pic>
              </a:graphicData>
            </a:graphic>
          </wp:anchor>
        </w:drawing>
      </w:r>
    </w:p>
    <w:p w14:paraId="4A44052F">
      <w:pPr>
        <w:tabs>
          <w:tab w:val="left" w:pos="2090"/>
          <w:tab w:val="left" w:pos="3555"/>
          <w:tab w:val="left" w:pos="9072"/>
        </w:tabs>
        <w:wordWrap w:val="0"/>
        <w:spacing w:line="360" w:lineRule="auto"/>
        <w:ind w:right="610" w:rightChars="0"/>
        <w:jc w:val="both"/>
        <w:rPr>
          <w:b/>
          <w:color w:val="auto"/>
          <w:sz w:val="32"/>
        </w:rPr>
      </w:pPr>
    </w:p>
    <w:p w14:paraId="1A9E6D7A">
      <w:pPr>
        <w:tabs>
          <w:tab w:val="left" w:pos="2090"/>
          <w:tab w:val="left" w:pos="3555"/>
          <w:tab w:val="left" w:pos="9072"/>
        </w:tabs>
        <w:wordWrap w:val="0"/>
        <w:spacing w:line="360" w:lineRule="auto"/>
        <w:ind w:right="610" w:rightChars="0"/>
        <w:jc w:val="both"/>
        <w:rPr>
          <w:b/>
          <w:color w:val="auto"/>
          <w:sz w:val="32"/>
        </w:rPr>
      </w:pPr>
    </w:p>
    <w:p w14:paraId="6F195043">
      <w:pPr>
        <w:tabs>
          <w:tab w:val="left" w:pos="2090"/>
          <w:tab w:val="left" w:pos="3555"/>
          <w:tab w:val="left" w:pos="9072"/>
        </w:tabs>
        <w:wordWrap w:val="0"/>
        <w:spacing w:line="360" w:lineRule="auto"/>
        <w:ind w:right="610" w:rightChars="0"/>
        <w:jc w:val="both"/>
        <w:rPr>
          <w:b/>
          <w:color w:val="auto"/>
          <w:sz w:val="32"/>
        </w:rPr>
      </w:pPr>
    </w:p>
    <w:p w14:paraId="0B357025">
      <w:pPr>
        <w:tabs>
          <w:tab w:val="left" w:pos="2090"/>
          <w:tab w:val="left" w:pos="3555"/>
          <w:tab w:val="left" w:pos="9072"/>
        </w:tabs>
        <w:wordWrap w:val="0"/>
        <w:spacing w:line="360" w:lineRule="auto"/>
        <w:ind w:right="610" w:rightChars="0"/>
        <w:jc w:val="both"/>
        <w:rPr>
          <w:b/>
          <w:color w:val="auto"/>
          <w:sz w:val="32"/>
        </w:rPr>
      </w:pPr>
    </w:p>
    <w:p w14:paraId="20A914C2">
      <w:pPr>
        <w:tabs>
          <w:tab w:val="left" w:pos="2090"/>
          <w:tab w:val="left" w:pos="3555"/>
          <w:tab w:val="left" w:pos="9072"/>
        </w:tabs>
        <w:wordWrap w:val="0"/>
        <w:spacing w:line="360" w:lineRule="auto"/>
        <w:ind w:right="610" w:rightChars="0"/>
        <w:jc w:val="both"/>
        <w:rPr>
          <w:b/>
          <w:color w:val="auto"/>
          <w:sz w:val="32"/>
        </w:rPr>
      </w:pPr>
    </w:p>
    <w:p w14:paraId="3CB4E7DD">
      <w:pPr>
        <w:pStyle w:val="3"/>
        <w:outlineLvl w:val="9"/>
        <w:rPr>
          <w:color w:val="auto"/>
        </w:rPr>
      </w:pPr>
    </w:p>
    <w:p w14:paraId="100E6570">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both"/>
        <w:textAlignment w:val="auto"/>
        <w:rPr>
          <w:b/>
          <w:color w:val="auto"/>
          <w:sz w:val="32"/>
        </w:rPr>
      </w:pPr>
    </w:p>
    <w:p w14:paraId="19454069">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both"/>
        <w:textAlignment w:val="auto"/>
        <w:rPr>
          <w:b/>
          <w:color w:val="auto"/>
          <w:sz w:val="32"/>
        </w:rPr>
      </w:pPr>
    </w:p>
    <w:p w14:paraId="316BB528">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b/>
          <w:color w:val="auto"/>
          <w:sz w:val="32"/>
        </w:rPr>
      </w:pPr>
      <w:bookmarkStart w:id="1" w:name="_Toc13937"/>
    </w:p>
    <w:p w14:paraId="1CB3CCA1">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rFonts w:hint="default" w:eastAsia="宋体"/>
          <w:b/>
          <w:color w:val="auto"/>
          <w:sz w:val="32"/>
          <w:lang w:val="en-US" w:eastAsia="zh-CN"/>
        </w:rPr>
      </w:pPr>
      <w:r>
        <w:rPr>
          <w:b/>
          <w:color w:val="auto"/>
          <w:sz w:val="32"/>
        </w:rPr>
        <w:t>采购人:</w:t>
      </w:r>
      <w:bookmarkEnd w:id="1"/>
      <w:r>
        <w:rPr>
          <w:rFonts w:hint="eastAsia"/>
          <w:b/>
          <w:color w:val="auto"/>
          <w:sz w:val="32"/>
          <w:lang w:val="en-US" w:eastAsia="zh-CN"/>
        </w:rPr>
        <w:t>卢氏县城市管理局</w:t>
      </w:r>
    </w:p>
    <w:p w14:paraId="7282A954">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rFonts w:hint="eastAsia"/>
          <w:b/>
          <w:color w:val="auto"/>
          <w:sz w:val="32"/>
          <w:lang w:eastAsia="zh-CN"/>
        </w:rPr>
      </w:pPr>
      <w:r>
        <w:rPr>
          <w:rFonts w:hint="eastAsia"/>
          <w:b/>
          <w:color w:val="auto"/>
          <w:sz w:val="32"/>
          <w:lang w:val="en-US" w:eastAsia="zh-CN"/>
        </w:rPr>
        <w:t xml:space="preserve">  </w:t>
      </w:r>
      <w:bookmarkStart w:id="2" w:name="_Toc29437"/>
      <w:r>
        <w:rPr>
          <w:b/>
          <w:color w:val="auto"/>
          <w:sz w:val="32"/>
        </w:rPr>
        <w:t>代理机构：</w:t>
      </w:r>
      <w:r>
        <w:rPr>
          <w:rFonts w:hint="eastAsia"/>
          <w:b/>
          <w:color w:val="auto"/>
          <w:sz w:val="32"/>
          <w:lang w:eastAsia="zh-CN"/>
        </w:rPr>
        <w:t>中瑞建园工程管理有限公司</w:t>
      </w:r>
      <w:bookmarkEnd w:id="2"/>
    </w:p>
    <w:p w14:paraId="50BAA7F2">
      <w:pPr>
        <w:keepNext w:val="0"/>
        <w:keepLines w:val="0"/>
        <w:pageBreakBefore w:val="0"/>
        <w:widowControl w:val="0"/>
        <w:tabs>
          <w:tab w:val="left" w:pos="2090"/>
          <w:tab w:val="left" w:pos="3555"/>
          <w:tab w:val="left" w:pos="9072"/>
        </w:tabs>
        <w:kinsoku/>
        <w:wordWrap w:val="0"/>
        <w:overflowPunct/>
        <w:topLinePunct w:val="0"/>
        <w:autoSpaceDE w:val="0"/>
        <w:autoSpaceDN w:val="0"/>
        <w:bidi w:val="0"/>
        <w:adjustRightInd/>
        <w:snapToGrid/>
        <w:spacing w:line="480" w:lineRule="auto"/>
        <w:ind w:right="612" w:rightChars="0"/>
        <w:jc w:val="center"/>
        <w:textAlignment w:val="auto"/>
        <w:outlineLvl w:val="0"/>
        <w:rPr>
          <w:b/>
          <w:color w:val="auto"/>
          <w:sz w:val="32"/>
        </w:rPr>
      </w:pPr>
      <w:bookmarkStart w:id="3" w:name="_Toc15102"/>
      <w:r>
        <w:rPr>
          <w:rFonts w:hint="eastAsia"/>
          <w:b/>
          <w:color w:val="auto"/>
          <w:sz w:val="32"/>
          <w:lang w:eastAsia="zh-CN"/>
        </w:rPr>
        <w:t>日</w:t>
      </w:r>
      <w:r>
        <w:rPr>
          <w:b/>
          <w:color w:val="auto"/>
          <w:sz w:val="32"/>
        </w:rPr>
        <w:t>期：二</w:t>
      </w:r>
      <w:r>
        <w:rPr>
          <w:rFonts w:hint="eastAsia"/>
          <w:b/>
          <w:color w:val="auto"/>
          <w:sz w:val="32"/>
          <w:lang w:val="en-US" w:eastAsia="zh-CN"/>
        </w:rPr>
        <w:t>〇</w:t>
      </w:r>
      <w:r>
        <w:rPr>
          <w:b/>
          <w:color w:val="auto"/>
          <w:sz w:val="32"/>
        </w:rPr>
        <w:t>二</w:t>
      </w:r>
      <w:r>
        <w:rPr>
          <w:rFonts w:hint="eastAsia"/>
          <w:b/>
          <w:color w:val="auto"/>
          <w:sz w:val="32"/>
          <w:lang w:val="en-US" w:eastAsia="zh-CN"/>
        </w:rPr>
        <w:t>五</w:t>
      </w:r>
      <w:r>
        <w:rPr>
          <w:b/>
          <w:color w:val="auto"/>
          <w:sz w:val="32"/>
        </w:rPr>
        <w:t>年</w:t>
      </w:r>
      <w:r>
        <w:rPr>
          <w:rFonts w:hint="eastAsia"/>
          <w:b/>
          <w:color w:val="auto"/>
          <w:sz w:val="32"/>
          <w:lang w:val="en-US" w:eastAsia="zh-CN"/>
        </w:rPr>
        <w:t>七</w:t>
      </w:r>
      <w:r>
        <w:rPr>
          <w:b/>
          <w:color w:val="auto"/>
          <w:sz w:val="32"/>
        </w:rPr>
        <w:t>月</w:t>
      </w:r>
      <w:bookmarkEnd w:id="3"/>
    </w:p>
    <w:p w14:paraId="1C8A2B4B">
      <w:pPr>
        <w:wordWrap w:val="0"/>
        <w:spacing w:line="364" w:lineRule="auto"/>
        <w:jc w:val="center"/>
        <w:rPr>
          <w:color w:val="auto"/>
          <w:sz w:val="32"/>
        </w:rPr>
        <w:sectPr>
          <w:footerReference r:id="rId3" w:type="default"/>
          <w:pgSz w:w="11910" w:h="16840"/>
          <w:pgMar w:top="1380" w:right="1020" w:bottom="820" w:left="1040" w:header="720" w:footer="640" w:gutter="0"/>
          <w:pgNumType w:start="1"/>
          <w:cols w:space="720" w:num="1"/>
          <w:docGrid w:linePitch="299" w:charSpace="0"/>
        </w:sectPr>
      </w:pPr>
    </w:p>
    <w:sdt>
      <w:sdtPr>
        <w:rPr>
          <w:rFonts w:ascii="宋体" w:hAnsi="宋体" w:eastAsia="宋体" w:cs="宋体"/>
          <w:color w:val="auto"/>
          <w:sz w:val="18"/>
          <w:szCs w:val="20"/>
          <w:lang w:val="zh-CN" w:eastAsia="zh-CN" w:bidi="zh-CN"/>
        </w:rPr>
        <w:id w:val="147483583"/>
        <w15:color w:val="DBDBDB"/>
        <w:docPartObj>
          <w:docPartGallery w:val="Table of Contents"/>
          <w:docPartUnique/>
        </w:docPartObj>
      </w:sdtPr>
      <w:sdtEndPr>
        <w:rPr>
          <w:rFonts w:ascii="宋体" w:hAnsi="宋体" w:eastAsia="宋体" w:cs="宋体"/>
          <w:color w:val="auto"/>
          <w:sz w:val="21"/>
          <w:szCs w:val="22"/>
          <w:lang w:val="zh-CN" w:eastAsia="zh-CN" w:bidi="zh-CN"/>
        </w:rPr>
      </w:sdtEndPr>
      <w:sdtContent>
        <w:p w14:paraId="176CB0DA">
          <w:pPr>
            <w:spacing w:before="0" w:beforeLines="0" w:after="0" w:afterLines="0" w:line="360" w:lineRule="auto"/>
            <w:ind w:left="0" w:leftChars="0" w:right="0" w:rightChars="0" w:firstLine="0" w:firstLineChars="0"/>
            <w:jc w:val="center"/>
            <w:rPr>
              <w:rFonts w:hint="eastAsia" w:ascii="宋体" w:hAnsi="宋体" w:eastAsia="宋体" w:cs="宋体"/>
              <w:color w:val="auto"/>
              <w:sz w:val="40"/>
              <w:szCs w:val="40"/>
            </w:rPr>
          </w:pPr>
          <w:bookmarkStart w:id="4" w:name="_Toc22569_WPSOffice_Level1"/>
          <w:r>
            <w:rPr>
              <w:rFonts w:hint="eastAsia" w:ascii="宋体" w:hAnsi="宋体" w:eastAsia="宋体" w:cs="宋体"/>
              <w:color w:val="auto"/>
              <w:sz w:val="36"/>
              <w:szCs w:val="40"/>
            </w:rPr>
            <w:t>目</w:t>
          </w:r>
          <w:r>
            <w:rPr>
              <w:rFonts w:hint="eastAsia" w:ascii="宋体" w:hAnsi="宋体" w:eastAsia="宋体" w:cs="宋体"/>
              <w:color w:val="auto"/>
              <w:sz w:val="36"/>
              <w:szCs w:val="40"/>
              <w:lang w:val="en-US" w:eastAsia="zh-CN"/>
            </w:rPr>
            <w:t xml:space="preserve"> </w:t>
          </w:r>
          <w:r>
            <w:rPr>
              <w:rFonts w:hint="eastAsia" w:ascii="宋体" w:hAnsi="宋体" w:eastAsia="宋体" w:cs="宋体"/>
              <w:color w:val="auto"/>
              <w:sz w:val="36"/>
              <w:szCs w:val="40"/>
            </w:rPr>
            <w:t>录</w:t>
          </w:r>
        </w:p>
        <w:p w14:paraId="4DD04977">
          <w:pPr>
            <w:pStyle w:val="34"/>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TOC \o "1-1" \h \u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_Toc29890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48"/>
            </w:rPr>
            <w:t>第一章 竞争性磋商公告</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_Toc29890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1</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64609B10">
          <w:pPr>
            <w:pStyle w:val="34"/>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_Toc12815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44"/>
            </w:rPr>
            <w:t>第二章 供应商须知</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_Toc12815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6</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588C9CB1">
          <w:pPr>
            <w:pStyle w:val="34"/>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_Toc29960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lang w:val="en-US" w:eastAsia="zh-CN"/>
            </w:rPr>
            <w:t>第三章 服务需求</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_Toc29960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25</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13560638">
          <w:pPr>
            <w:pStyle w:val="34"/>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_Toc22448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rPr>
            <w:t>第四章</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评审办法</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_Toc22448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29</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5808AD63">
          <w:pPr>
            <w:pStyle w:val="34"/>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_Toc22577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rPr>
            <w:t>第五章 合同主要条款及格式</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_Toc22577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36</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48A923C8">
          <w:pPr>
            <w:pStyle w:val="34"/>
            <w:tabs>
              <w:tab w:val="right" w:leader="dot" w:pos="9850"/>
            </w:tabs>
            <w:spacing w:line="360" w:lineRule="auto"/>
            <w:rPr>
              <w:rFonts w:hint="eastAsia" w:ascii="宋体" w:hAnsi="宋体" w:eastAsia="宋体" w:cs="宋体"/>
              <w:color w:val="auto"/>
              <w:sz w:val="32"/>
              <w:szCs w:val="32"/>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_Toc9875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rPr>
            <w:t>第六章</w:t>
          </w:r>
          <w:r>
            <w:rPr>
              <w:rFonts w:hint="eastAsia" w:ascii="宋体" w:hAnsi="宋体" w:eastAsia="宋体" w:cs="宋体"/>
              <w:bCs/>
              <w:color w:val="auto"/>
              <w:sz w:val="32"/>
              <w:szCs w:val="32"/>
              <w:lang w:val="en-US" w:eastAsia="zh-CN"/>
            </w:rPr>
            <w:t xml:space="preserve"> </w:t>
          </w:r>
          <w:r>
            <w:rPr>
              <w:rFonts w:hint="eastAsia" w:ascii="宋体" w:hAnsi="宋体" w:eastAsia="宋体" w:cs="宋体"/>
              <w:bCs/>
              <w:color w:val="auto"/>
              <w:sz w:val="32"/>
              <w:szCs w:val="32"/>
            </w:rPr>
            <w:t>响应文件内容及格式</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PAGEREF _Toc9875 \h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38</w:t>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rPr>
            <w:fldChar w:fldCharType="end"/>
          </w:r>
        </w:p>
        <w:p w14:paraId="642E871D">
          <w:pPr>
            <w:pStyle w:val="34"/>
            <w:tabs>
              <w:tab w:val="right" w:leader="dot" w:pos="9850"/>
            </w:tabs>
            <w:spacing w:line="360" w:lineRule="auto"/>
            <w:rPr>
              <w:rFonts w:hint="eastAsia" w:ascii="宋体" w:hAnsi="宋体" w:eastAsia="宋体" w:cs="宋体"/>
              <w:color w:val="auto"/>
              <w:sz w:val="32"/>
              <w:szCs w:val="32"/>
            </w:rPr>
          </w:pPr>
        </w:p>
        <w:p w14:paraId="406029BA">
          <w:pPr>
            <w:spacing w:line="360" w:lineRule="auto"/>
            <w:rPr>
              <w:color w:val="auto"/>
            </w:rPr>
          </w:pPr>
          <w:r>
            <w:rPr>
              <w:rFonts w:hint="eastAsia" w:ascii="宋体" w:hAnsi="宋体" w:eastAsia="宋体" w:cs="宋体"/>
              <w:color w:val="auto"/>
              <w:sz w:val="32"/>
              <w:szCs w:val="32"/>
            </w:rPr>
            <w:fldChar w:fldCharType="end"/>
          </w:r>
        </w:p>
      </w:sdtContent>
    </w:sdt>
    <w:p w14:paraId="59092311">
      <w:pPr>
        <w:rPr>
          <w:color w:val="auto"/>
        </w:rPr>
      </w:pPr>
    </w:p>
    <w:p w14:paraId="0D033DBD">
      <w:pPr>
        <w:wordWrap w:val="0"/>
        <w:rPr>
          <w:color w:val="auto"/>
        </w:rPr>
      </w:pPr>
    </w:p>
    <w:p w14:paraId="0960A2C4">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outlineLvl w:val="9"/>
        <w:rPr>
          <w:rFonts w:hint="eastAsia"/>
          <w:b/>
          <w:bCs/>
          <w:color w:val="auto"/>
          <w:sz w:val="36"/>
          <w:szCs w:val="28"/>
        </w:rPr>
        <w:sectPr>
          <w:footerReference r:id="rId4" w:type="default"/>
          <w:pgSz w:w="11910" w:h="16840"/>
          <w:pgMar w:top="1340" w:right="1020" w:bottom="1200" w:left="1040" w:header="0" w:footer="640" w:gutter="0"/>
          <w:pgNumType w:start="1"/>
          <w:cols w:space="720" w:num="1"/>
        </w:sectPr>
      </w:pPr>
      <w:bookmarkStart w:id="5" w:name="_Toc15183"/>
    </w:p>
    <w:p w14:paraId="09ACBFA4">
      <w:pPr>
        <w:pStyle w:val="2"/>
        <w:keepNext w:val="0"/>
        <w:keepLines w:val="0"/>
        <w:pageBreakBefore w:val="0"/>
        <w:widowControl w:val="0"/>
        <w:kinsoku/>
        <w:wordWrap w:val="0"/>
        <w:overflowPunct/>
        <w:topLinePunct w:val="0"/>
        <w:autoSpaceDE w:val="0"/>
        <w:autoSpaceDN w:val="0"/>
        <w:bidi w:val="0"/>
        <w:adjustRightInd/>
        <w:snapToGrid/>
        <w:spacing w:line="540" w:lineRule="exact"/>
        <w:ind w:left="0"/>
        <w:textAlignment w:val="auto"/>
        <w:rPr>
          <w:color w:val="auto"/>
        </w:rPr>
      </w:pPr>
      <w:bookmarkStart w:id="6" w:name="_Toc29890"/>
      <w:r>
        <w:rPr>
          <w:rFonts w:hint="eastAsia"/>
          <w:b/>
          <w:bCs/>
          <w:color w:val="auto"/>
          <w:sz w:val="36"/>
          <w:szCs w:val="28"/>
        </w:rPr>
        <w:t xml:space="preserve">第一章   </w:t>
      </w:r>
      <w:r>
        <w:rPr>
          <w:b/>
          <w:bCs/>
          <w:color w:val="auto"/>
          <w:sz w:val="36"/>
          <w:szCs w:val="28"/>
        </w:rPr>
        <w:t>竞争性磋商公告</w:t>
      </w:r>
      <w:bookmarkEnd w:id="4"/>
      <w:bookmarkEnd w:id="5"/>
      <w:bookmarkEnd w:id="6"/>
    </w:p>
    <w:p w14:paraId="757ED83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rPr>
      </w:pPr>
      <w:bookmarkStart w:id="7" w:name="_Hlk536538549"/>
      <w:r>
        <w:rPr>
          <w:rFonts w:hint="eastAsia" w:ascii="宋体" w:hAnsi="宋体" w:cs="宋体"/>
          <w:color w:val="auto"/>
          <w:sz w:val="28"/>
          <w:szCs w:val="28"/>
          <w:lang w:val="en-US" w:eastAsia="zh-CN"/>
        </w:rPr>
        <w:t>中瑞建园工程管理有限公司</w:t>
      </w:r>
      <w:r>
        <w:rPr>
          <w:rFonts w:hint="eastAsia" w:ascii="宋体" w:hAnsi="宋体" w:eastAsia="宋体" w:cs="宋体"/>
          <w:color w:val="auto"/>
          <w:sz w:val="28"/>
          <w:szCs w:val="28"/>
          <w:lang w:val="en-US"/>
        </w:rPr>
        <w:t>受</w:t>
      </w:r>
      <w:r>
        <w:rPr>
          <w:rFonts w:hint="eastAsia" w:ascii="宋体" w:hAnsi="宋体" w:cs="宋体"/>
          <w:color w:val="auto"/>
          <w:sz w:val="28"/>
          <w:szCs w:val="28"/>
          <w:lang w:val="en-US" w:eastAsia="zh-CN"/>
        </w:rPr>
        <w:t>卢氏县城市管理局</w:t>
      </w:r>
      <w:r>
        <w:rPr>
          <w:rFonts w:hint="eastAsia" w:ascii="宋体" w:hAnsi="宋体" w:eastAsia="宋体" w:cs="宋体"/>
          <w:color w:val="auto"/>
          <w:sz w:val="28"/>
          <w:szCs w:val="28"/>
          <w:lang w:val="en-US"/>
        </w:rPr>
        <w:t>的委托，就</w:t>
      </w:r>
      <w:r>
        <w:rPr>
          <w:rFonts w:hint="eastAsia" w:ascii="宋体" w:hAnsi="宋体" w:cs="宋体"/>
          <w:color w:val="auto"/>
          <w:sz w:val="28"/>
          <w:szCs w:val="28"/>
          <w:lang w:val="en-US" w:eastAsia="zh-CN"/>
        </w:rPr>
        <w:t>卢氏县完善全民健身场所行动建设项目设计（二次）</w:t>
      </w:r>
      <w:r>
        <w:rPr>
          <w:rFonts w:hint="eastAsia" w:ascii="宋体" w:hAnsi="宋体" w:eastAsia="宋体" w:cs="宋体"/>
          <w:color w:val="auto"/>
          <w:sz w:val="28"/>
          <w:szCs w:val="28"/>
        </w:rPr>
        <w:t>进行竞争性磋商，欢迎符合资格条件的供应商参加磋商。</w:t>
      </w:r>
    </w:p>
    <w:p w14:paraId="7F8C850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一、项目概况与</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lang w:val="en-US" w:eastAsia="zh-CN"/>
        </w:rPr>
        <w:t>范围</w:t>
      </w:r>
    </w:p>
    <w:p w14:paraId="1A9E744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cs="宋体"/>
          <w:color w:val="auto"/>
          <w:sz w:val="28"/>
          <w:szCs w:val="28"/>
          <w:lang w:val="en-US" w:eastAsia="zh-CN"/>
        </w:rPr>
      </w:pPr>
      <w:bookmarkStart w:id="8" w:name="OLE_LINK1"/>
      <w:r>
        <w:rPr>
          <w:rFonts w:hint="eastAsia" w:ascii="宋体" w:hAnsi="宋体" w:eastAsia="宋体" w:cs="宋体"/>
          <w:color w:val="auto"/>
          <w:sz w:val="28"/>
          <w:szCs w:val="28"/>
          <w:lang w:val="en-US" w:eastAsia="zh-CN"/>
        </w:rPr>
        <w:t>1、采购人：</w:t>
      </w:r>
      <w:r>
        <w:rPr>
          <w:rFonts w:hint="eastAsia" w:ascii="宋体" w:hAnsi="宋体" w:cs="宋体"/>
          <w:color w:val="auto"/>
          <w:sz w:val="28"/>
          <w:szCs w:val="28"/>
          <w:lang w:val="en-US" w:eastAsia="zh-CN"/>
        </w:rPr>
        <w:t>卢氏县城市管理局</w:t>
      </w:r>
    </w:p>
    <w:p w14:paraId="6C24624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2、项目名称：</w:t>
      </w:r>
      <w:r>
        <w:rPr>
          <w:rFonts w:hint="eastAsia" w:ascii="宋体" w:hAnsi="宋体" w:cs="宋体"/>
          <w:color w:val="auto"/>
          <w:sz w:val="28"/>
          <w:szCs w:val="28"/>
          <w:lang w:val="en-US" w:eastAsia="zh-CN"/>
        </w:rPr>
        <w:t>卢氏县完善全民健身场所行动建设项目设计（二次）</w:t>
      </w:r>
    </w:p>
    <w:p w14:paraId="5B68C39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3、项目编号：三卢竞磋采购-2025-70、</w:t>
      </w:r>
      <w:r>
        <w:rPr>
          <w:rFonts w:hint="eastAsia" w:ascii="宋体" w:hAnsi="宋体" w:cs="宋体"/>
          <w:color w:val="auto"/>
          <w:sz w:val="28"/>
          <w:szCs w:val="28"/>
          <w:lang w:val="en-US" w:eastAsia="zh-CN"/>
        </w:rPr>
        <w:t>LSGZ[2025]170-ZC119</w:t>
      </w:r>
    </w:p>
    <w:p w14:paraId="19DBC78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atLeas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4、项目预算金额：</w:t>
      </w:r>
      <w:r>
        <w:rPr>
          <w:rFonts w:hint="default" w:ascii="宋体" w:hAnsi="宋体" w:eastAsia="宋体" w:cs="宋体"/>
          <w:color w:val="auto"/>
          <w:sz w:val="28"/>
          <w:szCs w:val="28"/>
          <w:lang w:val="en-US" w:eastAsia="zh-CN"/>
        </w:rPr>
        <w:t>¥</w:t>
      </w:r>
      <w:r>
        <w:rPr>
          <w:rFonts w:hint="eastAsia" w:ascii="宋体" w:hAnsi="宋体" w:cs="宋体"/>
          <w:color w:val="auto"/>
          <w:sz w:val="28"/>
          <w:szCs w:val="28"/>
          <w:lang w:val="en-US" w:eastAsia="zh-CN"/>
        </w:rPr>
        <w:t>532800元</w:t>
      </w:r>
    </w:p>
    <w:p w14:paraId="570EB31A">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000000"/>
          <w:sz w:val="28"/>
          <w:szCs w:val="28"/>
          <w:lang w:val="en-US" w:eastAsia="zh-CN"/>
        </w:rPr>
      </w:pPr>
      <w:r>
        <w:rPr>
          <w:rFonts w:hint="eastAsia" w:ascii="宋体" w:hAnsi="宋体" w:cs="宋体"/>
          <w:color w:val="auto"/>
          <w:sz w:val="28"/>
          <w:szCs w:val="28"/>
          <w:lang w:val="en-US" w:eastAsia="zh-CN"/>
        </w:rPr>
        <w:t>5</w:t>
      </w:r>
      <w:r>
        <w:rPr>
          <w:rFonts w:hint="eastAsia" w:ascii="宋体" w:hAnsi="宋体" w:eastAsia="宋体" w:cs="宋体"/>
          <w:color w:val="auto"/>
          <w:sz w:val="28"/>
          <w:szCs w:val="28"/>
          <w:lang w:val="en-US" w:eastAsia="zh-CN"/>
        </w:rPr>
        <w:t>、</w:t>
      </w:r>
      <w:r>
        <w:rPr>
          <w:rFonts w:hint="eastAsia" w:cs="宋体"/>
          <w:color w:val="auto"/>
          <w:sz w:val="28"/>
          <w:szCs w:val="28"/>
          <w:lang w:val="en-US" w:eastAsia="zh-CN"/>
        </w:rPr>
        <w:t>项目规模</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卢氏县完善全民健身场所行动建设项目设计（二次）</w:t>
      </w:r>
      <w:r>
        <w:rPr>
          <w:rFonts w:hint="eastAsia" w:asciiTheme="minorEastAsia" w:hAnsiTheme="minorEastAsia" w:cstheme="minorEastAsia"/>
          <w:sz w:val="28"/>
          <w:szCs w:val="28"/>
        </w:rPr>
        <w:t>共有三个部分，其中老中医院周边健身场所完善项目占地4780平方米，淇河路北段文化提升建设项目占地7290平方米，淇河路南段东侧健身场所完善项目占地9305平方米。主要建设内容包括新建绿地、健身步道、健身广场铺装、健身文化小品、健身设施、休闲廊架、坐凳和门头改造、给排水、监控、照明等室外工程和配套健身设施</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本项目需完成</w:t>
      </w:r>
      <w:r>
        <w:rPr>
          <w:rFonts w:hint="eastAsia" w:ascii="宋体" w:hAnsi="宋体" w:cs="宋体"/>
          <w:color w:val="auto"/>
          <w:sz w:val="28"/>
          <w:szCs w:val="28"/>
          <w:lang w:val="en-US" w:eastAsia="zh-CN"/>
        </w:rPr>
        <w:t>卢氏县完善全民健身场所行动建设项目设计</w:t>
      </w:r>
      <w:r>
        <w:rPr>
          <w:rFonts w:hint="eastAsia" w:asciiTheme="minorEastAsia" w:hAnsiTheme="minorEastAsia" w:cstheme="minorEastAsia"/>
          <w:sz w:val="28"/>
          <w:szCs w:val="28"/>
          <w:lang w:val="en-US" w:eastAsia="zh-CN"/>
        </w:rPr>
        <w:t>要求进行测绘规划设计。</w:t>
      </w:r>
    </w:p>
    <w:p w14:paraId="3577944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Theme="minorEastAsia" w:hAnsiTheme="minorEastAsia" w:cstheme="minorEastAsia"/>
          <w:sz w:val="28"/>
          <w:szCs w:val="28"/>
          <w:lang w:eastAsia="zh-CN"/>
        </w:rPr>
      </w:pPr>
      <w:r>
        <w:rPr>
          <w:rFonts w:hint="eastAsia" w:ascii="宋体" w:hAnsi="宋体" w:cs="宋体"/>
          <w:color w:val="auto"/>
          <w:sz w:val="28"/>
          <w:szCs w:val="28"/>
          <w:lang w:val="en-US" w:eastAsia="zh-CN"/>
        </w:rPr>
        <w:t>6、</w:t>
      </w:r>
      <w:r>
        <w:rPr>
          <w:rFonts w:hint="eastAsia" w:asciiTheme="minorEastAsia" w:hAnsiTheme="minorEastAsia" w:cstheme="minorEastAsia"/>
          <w:sz w:val="28"/>
          <w:szCs w:val="28"/>
          <w:lang w:val="en-US" w:eastAsia="zh-CN"/>
        </w:rPr>
        <w:t>服务内容：按照</w:t>
      </w:r>
      <w:r>
        <w:rPr>
          <w:rFonts w:hint="eastAsia" w:ascii="宋体" w:hAnsi="宋体" w:cs="宋体"/>
          <w:color w:val="auto"/>
          <w:sz w:val="28"/>
          <w:szCs w:val="28"/>
          <w:lang w:val="en-US" w:eastAsia="zh-CN"/>
        </w:rPr>
        <w:t>卢氏县完善全民健身场所行动建设项目设计</w:t>
      </w:r>
      <w:r>
        <w:rPr>
          <w:rFonts w:hint="eastAsia" w:asciiTheme="minorEastAsia" w:hAnsiTheme="minorEastAsia" w:cstheme="minorEastAsia"/>
          <w:sz w:val="28"/>
          <w:szCs w:val="28"/>
          <w:lang w:val="en-US" w:eastAsia="zh-CN"/>
        </w:rPr>
        <w:t>要求进行测绘规划设计，主要包含：老中医院周边健身场所、淇河路北段、淇河路南段东侧健身场所项目施工图设计。</w:t>
      </w:r>
    </w:p>
    <w:p w14:paraId="7A17819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7</w:t>
      </w:r>
      <w:r>
        <w:rPr>
          <w:rFonts w:hint="eastAsia" w:ascii="宋体" w:hAnsi="宋体" w:eastAsia="宋体" w:cs="宋体"/>
          <w:color w:val="auto"/>
          <w:sz w:val="28"/>
          <w:szCs w:val="28"/>
          <w:lang w:val="en-US" w:eastAsia="zh-CN"/>
        </w:rPr>
        <w:t>、标段划分：本项目共分1个标段</w:t>
      </w:r>
      <w:r>
        <w:rPr>
          <w:rFonts w:hint="eastAsia" w:ascii="宋体" w:hAnsi="宋体" w:cs="宋体"/>
          <w:color w:val="auto"/>
          <w:sz w:val="28"/>
          <w:szCs w:val="28"/>
          <w:lang w:val="en-US" w:eastAsia="zh-CN"/>
        </w:rPr>
        <w:t>：</w:t>
      </w:r>
    </w:p>
    <w:p w14:paraId="776158EF">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8、资金来源：财政资金，已落实</w:t>
      </w:r>
      <w:r>
        <w:rPr>
          <w:rFonts w:hint="eastAsia" w:ascii="宋体" w:hAnsi="宋体" w:cs="宋体"/>
          <w:color w:val="auto"/>
          <w:sz w:val="28"/>
          <w:szCs w:val="28"/>
          <w:lang w:val="en-US" w:eastAsia="zh-CN"/>
        </w:rPr>
        <w:t>3万</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剩余部分按实际需要向县级财政申请；</w:t>
      </w:r>
    </w:p>
    <w:p w14:paraId="1325A3EA">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9、设计周期：</w:t>
      </w:r>
      <w:r>
        <w:rPr>
          <w:rFonts w:hint="eastAsia" w:ascii="宋体" w:hAnsi="宋体" w:cs="宋体"/>
          <w:color w:val="auto"/>
          <w:sz w:val="28"/>
          <w:szCs w:val="28"/>
          <w:lang w:val="en-US" w:eastAsia="zh-CN"/>
        </w:rPr>
        <w:t>合同签订后5日历天完成</w:t>
      </w:r>
      <w:r>
        <w:rPr>
          <w:rFonts w:hint="eastAsia" w:ascii="宋体" w:hAnsi="宋体" w:eastAsia="宋体" w:cs="宋体"/>
          <w:color w:val="auto"/>
          <w:sz w:val="28"/>
          <w:szCs w:val="28"/>
          <w:lang w:val="en-US" w:eastAsia="zh-CN"/>
        </w:rPr>
        <w:t>；</w:t>
      </w:r>
    </w:p>
    <w:p w14:paraId="0955AE6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10、质量要求：符合国家现行规范和标准，并满足采购人要求；</w:t>
      </w:r>
    </w:p>
    <w:bookmarkEnd w:id="8"/>
    <w:p w14:paraId="3B71D2D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lang w:val="en-US"/>
        </w:rPr>
      </w:pPr>
      <w:r>
        <w:rPr>
          <w:rFonts w:hint="eastAsia" w:ascii="宋体" w:hAnsi="宋体" w:eastAsia="宋体" w:cs="宋体"/>
          <w:color w:val="auto"/>
          <w:sz w:val="28"/>
          <w:szCs w:val="28"/>
          <w:lang w:val="en-US"/>
        </w:rPr>
        <w:t>二、供应商资格要求</w:t>
      </w:r>
    </w:p>
    <w:bookmarkEnd w:id="7"/>
    <w:p w14:paraId="6A968CC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（一）</w:t>
      </w:r>
      <w:r>
        <w:rPr>
          <w:rFonts w:hint="eastAsia" w:ascii="宋体" w:hAnsi="宋体" w:eastAsia="宋体" w:cs="宋体"/>
          <w:color w:val="auto"/>
          <w:sz w:val="28"/>
          <w:szCs w:val="28"/>
        </w:rPr>
        <w:t>落实政府采购政策满足的资格要求：</w:t>
      </w:r>
      <w:bookmarkStart w:id="9" w:name="OLE_LINK5"/>
      <w:bookmarkStart w:id="10" w:name="OLE_LINK2"/>
      <w:r>
        <w:rPr>
          <w:rFonts w:hint="eastAsia" w:ascii="宋体" w:hAnsi="宋体" w:eastAsia="宋体" w:cs="宋体"/>
          <w:color w:val="auto"/>
          <w:sz w:val="28"/>
          <w:szCs w:val="28"/>
        </w:rPr>
        <w:t>根据《政府采购促进中小企业发展管理办法》（财库〔2020〕46号）规定，本项目专门面向中小企业采购；同时投标供应商须提供《中小企业声明函》。</w:t>
      </w:r>
      <w:bookmarkEnd w:id="9"/>
    </w:p>
    <w:bookmarkEnd w:id="10"/>
    <w:p w14:paraId="7F3B4AC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（二）符合《中华人民共和国政府采购法》第二十二条规定并同时具备下列条件：</w:t>
      </w:r>
    </w:p>
    <w:p w14:paraId="3359248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bookmarkStart w:id="11" w:name="OLE_LINK3"/>
      <w:r>
        <w:rPr>
          <w:rFonts w:hint="eastAsia" w:ascii="宋体" w:hAnsi="宋体" w:eastAsia="宋体" w:cs="宋体"/>
          <w:bCs/>
          <w:color w:val="auto"/>
          <w:sz w:val="28"/>
          <w:szCs w:val="28"/>
          <w:lang w:val="en-US" w:eastAsia="zh-CN"/>
        </w:rPr>
        <w:t>1、</w:t>
      </w:r>
      <w:r>
        <w:rPr>
          <w:rFonts w:hint="eastAsia" w:ascii="宋体" w:hAnsi="宋体" w:eastAsia="宋体" w:cs="宋体"/>
          <w:bCs/>
          <w:color w:val="auto"/>
          <w:sz w:val="28"/>
          <w:szCs w:val="28"/>
          <w:lang w:val="en-US"/>
        </w:rPr>
        <w:t>须具有有效的营业执照、税务登记证、组织机构代码证（或有效的统一社会信用代码三证合一营业执照）</w:t>
      </w:r>
      <w:r>
        <w:rPr>
          <w:rFonts w:hint="eastAsia" w:ascii="宋体" w:hAnsi="宋体" w:eastAsia="宋体" w:cs="宋体"/>
          <w:bCs/>
          <w:color w:val="auto"/>
          <w:sz w:val="28"/>
          <w:szCs w:val="28"/>
          <w:lang w:val="en-US" w:eastAsia="zh-CN"/>
        </w:rPr>
        <w:t>或事业单位法人证书</w:t>
      </w:r>
      <w:r>
        <w:rPr>
          <w:rFonts w:hint="eastAsia" w:ascii="宋体" w:hAnsi="宋体" w:eastAsia="宋体" w:cs="宋体"/>
          <w:bCs/>
          <w:color w:val="auto"/>
          <w:sz w:val="28"/>
          <w:szCs w:val="28"/>
          <w:lang w:val="en-US"/>
        </w:rPr>
        <w:t>；</w:t>
      </w:r>
    </w:p>
    <w:p w14:paraId="5E7ABDE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、须具有城乡规划乙级（含）以上资质或风景园林设计乙级（含）以上资质；</w:t>
      </w:r>
    </w:p>
    <w:p w14:paraId="17B0DF8B">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Cs/>
          <w:color w:val="000000" w:themeColor="text1"/>
          <w:sz w:val="28"/>
          <w:szCs w:val="28"/>
          <w:highlight w:val="none"/>
          <w:lang w:val="en-US" w:eastAsia="zh-CN"/>
          <w14:textFill>
            <w14:solidFill>
              <w14:schemeClr w14:val="tx1"/>
            </w14:solidFill>
          </w14:textFill>
        </w:rPr>
        <w:t>3、拟派项目负责人须具有一级注册建筑师证书和相关专业高级及以上技术职称，须为本企业正式人员（须提供与本企业签订的劳务合同)</w:t>
      </w:r>
    </w:p>
    <w:p w14:paraId="497A0BA4">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highlight w:val="none"/>
          <w:lang w:val="en-US" w:eastAsia="zh-CN"/>
        </w:rPr>
        <w:t>4、须提供企业近半年任意连续三个月依法缴纳税</w:t>
      </w:r>
      <w:r>
        <w:rPr>
          <w:rFonts w:hint="eastAsia" w:ascii="宋体" w:hAnsi="宋体" w:eastAsia="宋体" w:cs="宋体"/>
          <w:bCs/>
          <w:color w:val="auto"/>
          <w:sz w:val="28"/>
          <w:szCs w:val="28"/>
          <w:highlight w:val="none"/>
          <w:lang w:val="en-US"/>
        </w:rPr>
        <w:t>收的证明资料</w:t>
      </w:r>
      <w:r>
        <w:rPr>
          <w:rFonts w:hint="eastAsia" w:ascii="宋体" w:hAnsi="宋体" w:eastAsia="宋体" w:cs="宋体"/>
          <w:bCs/>
          <w:color w:val="auto"/>
          <w:sz w:val="28"/>
          <w:szCs w:val="28"/>
          <w:lang w:val="en-US"/>
        </w:rPr>
        <w:t>（新成立的企业从成立之日起计算）</w:t>
      </w:r>
      <w:r>
        <w:rPr>
          <w:rFonts w:hint="eastAsia" w:ascii="宋体" w:hAnsi="宋体" w:eastAsia="宋体" w:cs="宋体"/>
          <w:bCs/>
          <w:color w:val="auto"/>
          <w:sz w:val="28"/>
          <w:szCs w:val="28"/>
          <w:lang w:val="en-US" w:eastAsia="zh-CN"/>
        </w:rPr>
        <w:t xml:space="preserve"> </w:t>
      </w:r>
      <w:r>
        <w:rPr>
          <w:rFonts w:hint="eastAsia" w:ascii="宋体" w:hAnsi="宋体" w:eastAsia="宋体" w:cs="宋体"/>
          <w:bCs/>
          <w:color w:val="auto"/>
          <w:sz w:val="28"/>
          <w:szCs w:val="28"/>
          <w:lang w:val="en-US"/>
        </w:rPr>
        <w:t>主要是指缴纳增值税或企业所得税或企业附加税的缴费证明，依法免税的投标响应人，应提供相应文件证明其依法免税；</w:t>
      </w:r>
    </w:p>
    <w:p w14:paraId="74CA0F6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cs="宋体"/>
          <w:bCs/>
          <w:color w:val="auto"/>
          <w:sz w:val="28"/>
          <w:szCs w:val="28"/>
          <w:lang w:val="en-US" w:eastAsia="zh-CN" w:bidi="ar-SA"/>
        </w:rPr>
        <w:t>5</w:t>
      </w:r>
      <w:r>
        <w:rPr>
          <w:rFonts w:hint="eastAsia" w:ascii="宋体" w:hAnsi="宋体" w:eastAsia="宋体" w:cs="宋体"/>
          <w:bCs/>
          <w:color w:val="auto"/>
          <w:sz w:val="28"/>
          <w:szCs w:val="28"/>
          <w:lang w:val="en-US" w:eastAsia="zh-CN" w:bidi="ar-SA"/>
        </w:rPr>
        <w:t>、</w:t>
      </w:r>
      <w:r>
        <w:rPr>
          <w:rFonts w:hint="eastAsia" w:ascii="宋体" w:hAnsi="宋体" w:eastAsia="宋体" w:cs="宋体"/>
          <w:bCs/>
          <w:color w:val="auto"/>
          <w:sz w:val="28"/>
          <w:szCs w:val="28"/>
          <w:lang w:val="en-US"/>
        </w:rPr>
        <w:t>参加政府采购活动前3年内无行贿犯罪记录、商业贿赂、不正当竞争行为、骗取中标、严重违约等问题；供应商出具无行贿犯罪记录在中国裁判文书网自行查询或自行承诺（查询对象：企业、法定代表人）；</w:t>
      </w:r>
    </w:p>
    <w:p w14:paraId="4FDF7C0E">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cs="宋体"/>
          <w:bCs/>
          <w:color w:val="auto"/>
          <w:sz w:val="28"/>
          <w:szCs w:val="28"/>
          <w:lang w:val="en-US" w:eastAsia="zh-CN" w:bidi="ar-SA"/>
        </w:rPr>
        <w:t>6</w:t>
      </w:r>
      <w:r>
        <w:rPr>
          <w:rFonts w:hint="eastAsia" w:ascii="宋体" w:hAnsi="宋体" w:eastAsia="宋体" w:cs="宋体"/>
          <w:bCs/>
          <w:color w:val="auto"/>
          <w:sz w:val="28"/>
          <w:szCs w:val="28"/>
          <w:lang w:val="en-US" w:eastAsia="zh-CN" w:bidi="ar-SA"/>
        </w:rPr>
        <w:t>、</w:t>
      </w:r>
      <w:r>
        <w:rPr>
          <w:rFonts w:hint="eastAsia" w:ascii="宋体" w:hAnsi="宋体" w:eastAsia="宋体" w:cs="宋体"/>
          <w:bCs/>
          <w:color w:val="auto"/>
          <w:sz w:val="28"/>
          <w:szCs w:val="28"/>
          <w:lang w:val="en-US"/>
        </w:rPr>
        <w:t>提供企业注册地工商管理部门出具的无商业贿赂和不正当竞争行为的查询证明（若当地工商管理部门不办理此项业务，供应商须自行出具本企业无商业贿赂和不正当竞争行为承诺书）；</w:t>
      </w:r>
    </w:p>
    <w:p w14:paraId="2247BF0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cs="宋体"/>
          <w:bCs/>
          <w:color w:val="auto"/>
          <w:sz w:val="28"/>
          <w:szCs w:val="28"/>
          <w:lang w:val="en-US" w:eastAsia="zh-CN" w:bidi="ar-SA"/>
        </w:rPr>
        <w:t>7</w:t>
      </w:r>
      <w:r>
        <w:rPr>
          <w:rFonts w:hint="eastAsia" w:ascii="宋体" w:hAnsi="宋体" w:eastAsia="宋体" w:cs="宋体"/>
          <w:bCs/>
          <w:color w:val="auto"/>
          <w:sz w:val="28"/>
          <w:szCs w:val="28"/>
          <w:lang w:val="en-US" w:eastAsia="zh-CN" w:bidi="ar-SA"/>
        </w:rPr>
        <w:t>、</w:t>
      </w:r>
      <w:r>
        <w:rPr>
          <w:rFonts w:hint="eastAsia" w:ascii="宋体" w:hAnsi="宋体" w:eastAsia="宋体" w:cs="宋体"/>
          <w:bCs/>
          <w:color w:val="auto"/>
          <w:sz w:val="28"/>
          <w:szCs w:val="28"/>
          <w:lang w:val="en-US"/>
        </w:rPr>
        <w:t>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提供网站的查询信息截图；(注：査询时间必须是磋商公告发布以后开标时间以前并提供网站查询网页截图，查询结果清晰可见)；</w:t>
      </w:r>
    </w:p>
    <w:p w14:paraId="660B263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cs="宋体"/>
          <w:bCs/>
          <w:color w:val="auto"/>
          <w:sz w:val="28"/>
          <w:szCs w:val="28"/>
          <w:lang w:val="en-US" w:eastAsia="zh-CN" w:bidi="ar-SA"/>
        </w:rPr>
      </w:pPr>
      <w:r>
        <w:rPr>
          <w:rFonts w:hint="eastAsia" w:ascii="宋体" w:hAnsi="宋体" w:cs="宋体"/>
          <w:bCs/>
          <w:color w:val="auto"/>
          <w:sz w:val="28"/>
          <w:szCs w:val="28"/>
          <w:lang w:val="en-US" w:eastAsia="zh-CN" w:bidi="ar-SA"/>
        </w:rPr>
        <w:t>8</w:t>
      </w:r>
      <w:r>
        <w:rPr>
          <w:rFonts w:hint="eastAsia" w:ascii="宋体" w:hAnsi="宋体" w:eastAsia="宋体" w:cs="宋体"/>
          <w:bCs/>
          <w:color w:val="auto"/>
          <w:sz w:val="28"/>
          <w:szCs w:val="28"/>
          <w:lang w:val="zh-CN" w:eastAsia="zh-CN" w:bidi="ar-SA"/>
        </w:rPr>
        <w:t>、</w:t>
      </w:r>
      <w:r>
        <w:rPr>
          <w:rFonts w:hint="eastAsia" w:ascii="宋体" w:hAnsi="宋体" w:cs="宋体"/>
          <w:bCs/>
          <w:color w:val="auto"/>
          <w:sz w:val="28"/>
          <w:szCs w:val="28"/>
          <w:lang w:val="en-US" w:eastAsia="zh-CN" w:bidi="ar-SA"/>
        </w:rPr>
        <w:t>本项目不接受联合体投标；</w:t>
      </w:r>
    </w:p>
    <w:p w14:paraId="254A6D6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rPr>
      </w:pPr>
      <w:r>
        <w:rPr>
          <w:rFonts w:hint="eastAsia" w:ascii="宋体" w:hAnsi="宋体" w:cs="宋体"/>
          <w:bCs/>
          <w:color w:val="auto"/>
          <w:sz w:val="28"/>
          <w:szCs w:val="28"/>
          <w:lang w:val="en-US" w:eastAsia="zh-CN" w:bidi="ar-SA"/>
        </w:rPr>
        <w:t>9、</w:t>
      </w:r>
      <w:r>
        <w:rPr>
          <w:rFonts w:hint="eastAsia" w:ascii="宋体" w:hAnsi="宋体" w:eastAsia="宋体" w:cs="宋体"/>
          <w:bCs/>
          <w:color w:val="auto"/>
          <w:sz w:val="28"/>
          <w:szCs w:val="28"/>
        </w:rPr>
        <w:t>本次磋商实行资格后审。</w:t>
      </w:r>
    </w:p>
    <w:bookmarkEnd w:id="11"/>
    <w:p w14:paraId="60964AE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注：</w:t>
      </w:r>
      <w:r>
        <w:rPr>
          <w:rFonts w:hint="eastAsia" w:ascii="宋体" w:hAnsi="宋体" w:eastAsia="宋体" w:cs="宋体"/>
          <w:bCs/>
          <w:color w:val="auto"/>
          <w:sz w:val="28"/>
          <w:szCs w:val="28"/>
        </w:rPr>
        <w:t>被列入失信被执行人及重大税收违法失信主体的企业做无效标处理。采购人或采购代理机构有权对供应商信用记录进行甄别和复查。</w:t>
      </w:r>
    </w:p>
    <w:p w14:paraId="3DDD1179">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三、磋商文件的获取</w:t>
      </w:r>
    </w:p>
    <w:p w14:paraId="39CAF52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560" w:firstLineChars="200"/>
        <w:textAlignment w:val="auto"/>
        <w:rPr>
          <w:rFonts w:hint="default" w:ascii="宋体" w:hAnsi="宋体" w:eastAsia="宋体" w:cs="宋体"/>
          <w:bCs/>
          <w:color w:val="auto"/>
          <w:sz w:val="28"/>
          <w:szCs w:val="28"/>
          <w:lang w:val="en-US"/>
        </w:rPr>
      </w:pPr>
      <w:r>
        <w:rPr>
          <w:rFonts w:hint="eastAsia" w:ascii="宋体" w:hAnsi="宋体" w:eastAsia="宋体" w:cs="宋体"/>
          <w:bCs/>
          <w:color w:val="auto"/>
          <w:sz w:val="28"/>
          <w:szCs w:val="28"/>
        </w:rPr>
        <w:t>1</w:t>
      </w:r>
      <w:r>
        <w:rPr>
          <w:rFonts w:hint="eastAsia" w:ascii="宋体" w:hAnsi="宋体" w:eastAsia="宋体" w:cs="宋体"/>
          <w:bCs/>
          <w:color w:val="auto"/>
          <w:sz w:val="28"/>
          <w:szCs w:val="28"/>
          <w:lang w:val="en-US" w:eastAsia="zh-CN"/>
        </w:rPr>
        <w:t>、磋商文件下载时间：2025年7月</w:t>
      </w:r>
      <w:r>
        <w:rPr>
          <w:rFonts w:hint="eastAsia" w:ascii="宋体" w:hAnsi="宋体" w:cs="宋体"/>
          <w:bCs/>
          <w:color w:val="auto"/>
          <w:sz w:val="28"/>
          <w:szCs w:val="28"/>
          <w:lang w:val="en-US" w:eastAsia="zh-CN"/>
        </w:rPr>
        <w:t>22</w:t>
      </w:r>
      <w:r>
        <w:rPr>
          <w:rFonts w:hint="eastAsia" w:ascii="宋体" w:hAnsi="宋体" w:eastAsia="宋体" w:cs="宋体"/>
          <w:bCs/>
          <w:color w:val="auto"/>
          <w:sz w:val="28"/>
          <w:szCs w:val="28"/>
          <w:lang w:val="en-US" w:eastAsia="zh-CN"/>
        </w:rPr>
        <w:t>日08时00分至2025年</w:t>
      </w:r>
      <w:r>
        <w:rPr>
          <w:rFonts w:hint="eastAsia" w:ascii="宋体" w:hAnsi="宋体" w:cs="宋体"/>
          <w:bCs/>
          <w:color w:val="auto"/>
          <w:sz w:val="28"/>
          <w:szCs w:val="28"/>
          <w:lang w:val="en-US" w:eastAsia="zh-CN"/>
        </w:rPr>
        <w:t>8</w:t>
      </w:r>
      <w:r>
        <w:rPr>
          <w:rFonts w:hint="eastAsia" w:ascii="宋体" w:hAnsi="宋体" w:eastAsia="宋体" w:cs="宋体"/>
          <w:bCs/>
          <w:color w:val="auto"/>
          <w:sz w:val="28"/>
          <w:szCs w:val="28"/>
          <w:lang w:val="en-US" w:eastAsia="zh-CN"/>
        </w:rPr>
        <w:t>月1日0</w:t>
      </w:r>
      <w:r>
        <w:rPr>
          <w:rFonts w:hint="eastAsia" w:ascii="宋体" w:hAnsi="宋体" w:cs="宋体"/>
          <w:bCs/>
          <w:color w:val="auto"/>
          <w:sz w:val="28"/>
          <w:szCs w:val="28"/>
          <w:lang w:val="en-US" w:eastAsia="zh-CN"/>
        </w:rPr>
        <w:t>8</w:t>
      </w:r>
      <w:r>
        <w:rPr>
          <w:rFonts w:hint="eastAsia" w:ascii="宋体" w:hAnsi="宋体" w:eastAsia="宋体" w:cs="宋体"/>
          <w:bCs/>
          <w:color w:val="auto"/>
          <w:sz w:val="28"/>
          <w:szCs w:val="28"/>
          <w:lang w:val="en-US" w:eastAsia="zh-CN"/>
        </w:rPr>
        <w:t>时</w:t>
      </w:r>
      <w:r>
        <w:rPr>
          <w:rFonts w:hint="eastAsia" w:ascii="宋体" w:hAnsi="宋体" w:cs="宋体"/>
          <w:bCs/>
          <w:color w:val="auto"/>
          <w:sz w:val="28"/>
          <w:szCs w:val="28"/>
          <w:lang w:val="en-US" w:eastAsia="zh-CN"/>
        </w:rPr>
        <w:t>40分</w:t>
      </w:r>
    </w:p>
    <w:p w14:paraId="0D5BAC93">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2、</w:t>
      </w:r>
      <w:bookmarkStart w:id="12" w:name="OLE_LINK7"/>
      <w:r>
        <w:rPr>
          <w:rFonts w:hint="eastAsia" w:ascii="宋体" w:hAnsi="宋体" w:eastAsia="宋体" w:cs="宋体"/>
          <w:bCs/>
          <w:color w:val="auto"/>
          <w:sz w:val="28"/>
          <w:szCs w:val="28"/>
          <w:lang w:val="en-US" w:eastAsia="zh-CN"/>
        </w:rPr>
        <w:t>本项目没有报名环节，供应商凭CA数字证书通过</w:t>
      </w:r>
      <w:bookmarkStart w:id="13" w:name="OLE_LINK6"/>
      <w:r>
        <w:rPr>
          <w:rFonts w:hint="eastAsia" w:ascii="宋体" w:hAnsi="宋体" w:eastAsia="宋体" w:cs="宋体"/>
          <w:bCs/>
          <w:color w:val="auto"/>
          <w:sz w:val="28"/>
          <w:szCs w:val="28"/>
          <w:lang w:val="en-US" w:eastAsia="zh-CN"/>
        </w:rPr>
        <w:t>三门峡市公共资源交易中心网（网址：http://gzjy.smx.gov.cn/）</w:t>
      </w:r>
      <w:bookmarkEnd w:id="13"/>
      <w:r>
        <w:rPr>
          <w:rFonts w:hint="eastAsia" w:ascii="宋体" w:hAnsi="宋体" w:eastAsia="宋体" w:cs="宋体"/>
          <w:bCs/>
          <w:color w:val="auto"/>
          <w:sz w:val="28"/>
          <w:szCs w:val="28"/>
          <w:lang w:val="en-US" w:eastAsia="zh-CN"/>
        </w:rPr>
        <w:t>，点击交易平台选择“交易主体登录”，在所参与项目右侧点击参与投标，即可直接下载本项目磋商文件及其相关资料</w:t>
      </w:r>
      <w:bookmarkEnd w:id="12"/>
      <w:r>
        <w:rPr>
          <w:rFonts w:hint="eastAsia" w:ascii="宋体" w:hAnsi="宋体" w:eastAsia="宋体" w:cs="宋体"/>
          <w:bCs/>
          <w:color w:val="auto"/>
          <w:sz w:val="28"/>
          <w:szCs w:val="28"/>
          <w:lang w:val="en-US" w:eastAsia="zh-CN"/>
        </w:rPr>
        <w:t>；</w:t>
      </w:r>
    </w:p>
    <w:p w14:paraId="156AEDDB">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办理CA证书：</w:t>
      </w:r>
      <w:r>
        <w:rPr>
          <w:rFonts w:hint="eastAsia" w:ascii="宋体" w:hAnsi="宋体" w:eastAsia="宋体" w:cs="宋体"/>
          <w:bCs/>
          <w:color w:val="auto"/>
          <w:sz w:val="28"/>
          <w:szCs w:val="28"/>
          <w:lang w:val="en-US" w:eastAsia="zh-CN"/>
        </w:rPr>
        <w:fldChar w:fldCharType="begin"/>
      </w:r>
      <w:r>
        <w:rPr>
          <w:rFonts w:hint="eastAsia" w:ascii="宋体" w:hAnsi="宋体" w:eastAsia="宋体" w:cs="宋体"/>
          <w:bCs/>
          <w:color w:val="auto"/>
          <w:sz w:val="28"/>
          <w:szCs w:val="28"/>
          <w:lang w:val="en-US" w:eastAsia="zh-CN"/>
        </w:rPr>
        <w:instrText xml:space="preserve"> HYPERLINK "http://gzjy.smx.gov.cn/bzzx/008001/20231102/4defc9b5-408e-47f2-9e9f-1f376a06ee1f.html" </w:instrText>
      </w:r>
      <w:r>
        <w:rPr>
          <w:rFonts w:hint="eastAsia" w:ascii="宋体" w:hAnsi="宋体" w:eastAsia="宋体" w:cs="宋体"/>
          <w:bCs/>
          <w:color w:val="auto"/>
          <w:sz w:val="28"/>
          <w:szCs w:val="28"/>
          <w:lang w:val="en-US" w:eastAsia="zh-CN"/>
        </w:rPr>
        <w:fldChar w:fldCharType="separate"/>
      </w:r>
      <w:r>
        <w:rPr>
          <w:rFonts w:hint="eastAsia" w:ascii="宋体" w:hAnsi="宋体" w:eastAsia="宋体" w:cs="宋体"/>
          <w:bCs/>
          <w:color w:val="auto"/>
          <w:sz w:val="28"/>
          <w:szCs w:val="28"/>
          <w:lang w:val="en-US" w:eastAsia="zh-CN"/>
        </w:rPr>
        <w:t>http://gzjy.smx.gov.cn/bzzx/008001/20231102/4defc9b5-408e-47f2-9e9f-1f376a06ee1f.html</w:t>
      </w:r>
      <w:r>
        <w:rPr>
          <w:rFonts w:hint="eastAsia" w:ascii="宋体" w:hAnsi="宋体" w:eastAsia="宋体" w:cs="宋体"/>
          <w:bCs/>
          <w:color w:val="auto"/>
          <w:sz w:val="28"/>
          <w:szCs w:val="28"/>
          <w:lang w:val="en-US" w:eastAsia="zh-CN"/>
        </w:rPr>
        <w:fldChar w:fldCharType="end"/>
      </w:r>
    </w:p>
    <w:p w14:paraId="07DBF3BD">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3、本项目采用全电子化招标，不再收取竞争性磋商文件费。</w:t>
      </w:r>
    </w:p>
    <w:p w14:paraId="2074B444">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注：本项目为不见面开标项目，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响应文件解密等。每位响应人的解密时间为开标时间起30分钟内完成。因响应人原因未能解密、解密失败或解密超时的将被拒绝。</w:t>
      </w:r>
    </w:p>
    <w:p w14:paraId="28BE0928">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四、供应商资料的提交</w:t>
      </w:r>
    </w:p>
    <w:p w14:paraId="481735BD">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bookmarkStart w:id="14" w:name="OLE_LINK10"/>
      <w:r>
        <w:rPr>
          <w:rFonts w:hint="eastAsia" w:ascii="宋体" w:hAnsi="宋体" w:eastAsia="宋体" w:cs="宋体"/>
          <w:bCs/>
          <w:color w:val="auto"/>
          <w:sz w:val="28"/>
          <w:szCs w:val="28"/>
          <w:lang w:val="en-US" w:eastAsia="zh-CN"/>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235BF7DC">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五、磋商保证金</w:t>
      </w:r>
    </w:p>
    <w:p w14:paraId="441AE312">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按照《河南省财政厅关于优化政府采购营商环境有关问题的通知》（豫财购[2019]4号文）的要求本项目不再收取磋商保证金。</w:t>
      </w:r>
    </w:p>
    <w:bookmarkEnd w:id="14"/>
    <w:p w14:paraId="0F038F97">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六、响应文件的递交截止时间及开评标地点</w:t>
      </w:r>
    </w:p>
    <w:p w14:paraId="622FCD0F">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1、响应文件递交的截止时间（开标时间）：</w:t>
      </w:r>
      <w:r>
        <w:rPr>
          <w:rFonts w:hint="eastAsia" w:ascii="宋体" w:hAnsi="宋体" w:cs="宋体"/>
          <w:bCs/>
          <w:color w:val="auto"/>
          <w:sz w:val="28"/>
          <w:szCs w:val="28"/>
          <w:lang w:val="en-US" w:eastAsia="zh-CN"/>
        </w:rPr>
        <w:t>2025年8月1日08时40分</w:t>
      </w:r>
      <w:r>
        <w:rPr>
          <w:rFonts w:hint="eastAsia" w:ascii="宋体" w:hAnsi="宋体" w:eastAsia="宋体" w:cs="宋体"/>
          <w:bCs/>
          <w:color w:val="auto"/>
          <w:sz w:val="28"/>
          <w:szCs w:val="28"/>
          <w:lang w:val="en-US" w:eastAsia="zh-CN"/>
        </w:rPr>
        <w:t>；</w:t>
      </w:r>
    </w:p>
    <w:p w14:paraId="7F9413AB">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2、开标地点：</w:t>
      </w:r>
      <w:bookmarkStart w:id="15" w:name="OLE_LINK8"/>
      <w:r>
        <w:rPr>
          <w:rFonts w:hint="eastAsia" w:ascii="宋体" w:hAnsi="宋体" w:eastAsia="宋体" w:cs="宋体"/>
          <w:bCs/>
          <w:color w:val="auto"/>
          <w:sz w:val="28"/>
          <w:szCs w:val="28"/>
          <w:lang w:val="en-US" w:eastAsia="zh-CN"/>
        </w:rPr>
        <w:t>卢氏县公共资源交易中心四楼第</w:t>
      </w:r>
      <w:r>
        <w:rPr>
          <w:rFonts w:hint="eastAsia" w:ascii="宋体" w:hAnsi="宋体" w:cs="宋体"/>
          <w:bCs/>
          <w:color w:val="auto"/>
          <w:sz w:val="28"/>
          <w:szCs w:val="28"/>
          <w:lang w:val="en-US" w:eastAsia="zh-CN"/>
        </w:rPr>
        <w:t>二</w:t>
      </w:r>
      <w:r>
        <w:rPr>
          <w:rFonts w:hint="eastAsia" w:ascii="宋体" w:hAnsi="宋体" w:eastAsia="宋体" w:cs="宋体"/>
          <w:bCs/>
          <w:color w:val="auto"/>
          <w:sz w:val="28"/>
          <w:szCs w:val="28"/>
          <w:lang w:val="en-US" w:eastAsia="zh-CN"/>
        </w:rPr>
        <w:t>开标室</w:t>
      </w:r>
      <w:bookmarkEnd w:id="15"/>
      <w:r>
        <w:rPr>
          <w:rFonts w:hint="eastAsia" w:ascii="宋体" w:hAnsi="宋体" w:eastAsia="宋体" w:cs="宋体"/>
          <w:bCs/>
          <w:color w:val="auto"/>
          <w:sz w:val="28"/>
          <w:szCs w:val="28"/>
          <w:lang w:val="en-US" w:eastAsia="zh-CN"/>
        </w:rPr>
        <w:t>；</w:t>
      </w:r>
    </w:p>
    <w:p w14:paraId="2AAC9BE5">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3、评标地点：卢氏县公共资源交易中心二楼第</w:t>
      </w:r>
      <w:r>
        <w:rPr>
          <w:rFonts w:hint="eastAsia" w:ascii="宋体" w:hAnsi="宋体" w:cs="宋体"/>
          <w:bCs/>
          <w:color w:val="auto"/>
          <w:sz w:val="28"/>
          <w:szCs w:val="28"/>
          <w:lang w:val="en-US" w:eastAsia="zh-CN"/>
        </w:rPr>
        <w:t>二</w:t>
      </w:r>
      <w:r>
        <w:rPr>
          <w:rFonts w:hint="eastAsia" w:ascii="宋体" w:hAnsi="宋体" w:eastAsia="宋体" w:cs="宋体"/>
          <w:bCs/>
          <w:color w:val="auto"/>
          <w:sz w:val="28"/>
          <w:szCs w:val="28"/>
          <w:lang w:val="en-US" w:eastAsia="zh-CN"/>
        </w:rPr>
        <w:t>评标室；</w:t>
      </w:r>
    </w:p>
    <w:p w14:paraId="1B747D8A">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七、其他事项</w:t>
      </w:r>
    </w:p>
    <w:p w14:paraId="528D9CB9">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bookmarkStart w:id="16" w:name="OLE_LINK11"/>
      <w:r>
        <w:rPr>
          <w:rFonts w:hint="eastAsia" w:ascii="宋体" w:hAnsi="宋体" w:eastAsia="宋体" w:cs="宋体"/>
          <w:bCs/>
          <w:color w:val="auto"/>
          <w:sz w:val="28"/>
          <w:szCs w:val="28"/>
          <w:lang w:val="en-US" w:eastAsia="zh-CN"/>
        </w:rPr>
        <w:t>1、响应人应仔细阅读操作手册，在本公告中要求的截止时间前完成磋商文件下载工作。因响应人操作不当问题造成的无法下载磋商文件等一切后果，由响应人自行承担。</w:t>
      </w:r>
    </w:p>
    <w:p w14:paraId="208DFE4D">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2、响应人递交的响应文件不论中标与否均不予退还。</w:t>
      </w:r>
    </w:p>
    <w:p w14:paraId="7A45A83C">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3、采购人不组织投标单位踏勘现场。</w:t>
      </w:r>
    </w:p>
    <w:bookmarkEnd w:id="16"/>
    <w:p w14:paraId="4CAB26CD">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rPr>
      </w:pPr>
      <w:r>
        <w:rPr>
          <w:rFonts w:hint="eastAsia" w:ascii="宋体" w:hAnsi="宋体" w:eastAsia="宋体" w:cs="宋体"/>
          <w:bCs/>
          <w:color w:val="auto"/>
          <w:sz w:val="28"/>
          <w:szCs w:val="28"/>
          <w:lang w:val="en-US" w:eastAsia="zh-CN"/>
        </w:rPr>
        <w:t>八、发布公告的媒介</w:t>
      </w:r>
    </w:p>
    <w:p w14:paraId="68A14B38">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auto"/>
          <w:sz w:val="28"/>
          <w:szCs w:val="28"/>
          <w:lang w:val="en-US" w:eastAsia="zh-CN"/>
        </w:rPr>
      </w:pPr>
      <w:r>
        <w:rPr>
          <w:rFonts w:hint="eastAsia" w:ascii="宋体" w:hAnsi="宋体" w:eastAsia="宋体" w:cs="宋体"/>
          <w:bCs/>
          <w:color w:val="auto"/>
          <w:sz w:val="28"/>
          <w:szCs w:val="28"/>
          <w:lang w:val="en-US" w:eastAsia="zh-CN"/>
        </w:rPr>
        <w:t>本次公告在</w:t>
      </w:r>
      <w:bookmarkStart w:id="17" w:name="OLE_LINK9"/>
      <w:r>
        <w:rPr>
          <w:rFonts w:hint="eastAsia" w:ascii="宋体" w:hAnsi="宋体" w:eastAsia="宋体" w:cs="宋体"/>
          <w:bCs/>
          <w:color w:val="auto"/>
          <w:sz w:val="28"/>
          <w:szCs w:val="28"/>
          <w:lang w:val="en-US" w:eastAsia="zh-CN"/>
        </w:rPr>
        <w:t>《中国招标投标公共服务平台》、《三门峡市公共资源交易中心网》</w:t>
      </w:r>
      <w:bookmarkEnd w:id="17"/>
      <w:r>
        <w:rPr>
          <w:rFonts w:hint="eastAsia" w:ascii="宋体" w:hAnsi="宋体" w:eastAsia="宋体" w:cs="宋体"/>
          <w:bCs/>
          <w:color w:val="auto"/>
          <w:sz w:val="28"/>
          <w:szCs w:val="28"/>
          <w:lang w:val="en-US" w:eastAsia="zh-CN"/>
        </w:rPr>
        <w:t>、《河南省政府采购网》同时发布。</w:t>
      </w:r>
    </w:p>
    <w:p w14:paraId="73B7C466">
      <w:pPr>
        <w:pStyle w:val="8"/>
        <w:keepNext w:val="0"/>
        <w:keepLines w:val="0"/>
        <w:pageBreakBefore w:val="0"/>
        <w:widowControl w:val="0"/>
        <w:kinsoku/>
        <w:wordWrap w:val="0"/>
        <w:overflowPunct/>
        <w:topLinePunct w:val="0"/>
        <w:autoSpaceDE w:val="0"/>
        <w:autoSpaceDN w:val="0"/>
        <w:bidi w:val="0"/>
        <w:adjustRightInd/>
        <w:snapToGrid/>
        <w:spacing w:line="650" w:lineRule="exact"/>
        <w:ind w:left="0" w:leftChars="0" w:firstLine="560" w:firstLineChars="200"/>
        <w:textAlignment w:val="auto"/>
        <w:rPr>
          <w:rFonts w:hint="eastAsia" w:ascii="宋体" w:hAnsi="宋体" w:eastAsia="宋体" w:cs="宋体"/>
          <w:bCs/>
          <w:color w:val="FF0000"/>
          <w:sz w:val="28"/>
          <w:szCs w:val="28"/>
          <w:lang w:val="en-US" w:eastAsia="zh-CN"/>
        </w:rPr>
      </w:pPr>
      <w:r>
        <w:rPr>
          <w:rFonts w:hint="eastAsia" w:ascii="宋体" w:hAnsi="宋体" w:eastAsia="宋体" w:cs="宋体"/>
          <w:bCs/>
          <w:color w:val="000000" w:themeColor="text1"/>
          <w:sz w:val="28"/>
          <w:szCs w:val="28"/>
          <w:lang w:val="en-US" w:eastAsia="zh-CN"/>
          <w14:textFill>
            <w14:solidFill>
              <w14:schemeClr w14:val="tx1"/>
            </w14:solidFill>
          </w14:textFill>
        </w:rPr>
        <w:t>九、联系方式</w:t>
      </w:r>
    </w:p>
    <w:p w14:paraId="1702719A">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bookmarkStart w:id="18" w:name="_Toc19177"/>
      <w:r>
        <w:rPr>
          <w:rFonts w:hint="eastAsia" w:ascii="宋体" w:hAnsi="宋体" w:eastAsia="宋体" w:cs="宋体"/>
          <w:bCs/>
          <w:color w:val="auto"/>
          <w:sz w:val="28"/>
          <w:szCs w:val="28"/>
          <w:lang w:val="en-US" w:eastAsia="zh-CN" w:bidi="ar-SA"/>
        </w:rPr>
        <w:t>监督单位：卢氏县政府采购办公室</w:t>
      </w:r>
    </w:p>
    <w:p w14:paraId="7939BDAE">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联系人：郭伟静</w:t>
      </w:r>
    </w:p>
    <w:p w14:paraId="05C9FE9D">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电话：0398-7863556</w:t>
      </w:r>
    </w:p>
    <w:p w14:paraId="4DDA0B1F">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地址：卢氏县城关镇解放路中段</w:t>
      </w:r>
    </w:p>
    <w:p w14:paraId="5C9F70EA">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监督单位：</w:t>
      </w:r>
      <w:r>
        <w:rPr>
          <w:rFonts w:hint="eastAsia" w:cs="宋体"/>
          <w:bCs/>
          <w:color w:val="auto"/>
          <w:sz w:val="28"/>
          <w:szCs w:val="28"/>
          <w:lang w:val="en-US" w:eastAsia="zh-CN" w:bidi="ar-SA"/>
        </w:rPr>
        <w:t>卢氏县城市管理局</w:t>
      </w:r>
    </w:p>
    <w:p w14:paraId="5362976B">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联系人：张海林</w:t>
      </w:r>
      <w:r>
        <w:rPr>
          <w:rFonts w:hint="eastAsia" w:cs="宋体"/>
          <w:bCs/>
          <w:color w:val="auto"/>
          <w:sz w:val="28"/>
          <w:szCs w:val="28"/>
          <w:lang w:val="en-US" w:eastAsia="zh-CN" w:bidi="ar-SA"/>
        </w:rPr>
        <w:t xml:space="preserve"> </w:t>
      </w:r>
    </w:p>
    <w:p w14:paraId="5F1489E3">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cs="宋体"/>
          <w:bCs/>
          <w:color w:val="auto"/>
          <w:sz w:val="28"/>
          <w:szCs w:val="28"/>
          <w:lang w:val="en-US" w:eastAsia="zh-CN" w:bidi="ar-SA"/>
        </w:rPr>
        <w:t>电话：15039883585、13781015021</w:t>
      </w:r>
    </w:p>
    <w:p w14:paraId="7C434150">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地址：卢氏县东明路与解放路交叉口东北100米</w:t>
      </w:r>
    </w:p>
    <w:p w14:paraId="1A0DA26B">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ascii="宋体" w:hAnsi="宋体" w:eastAsia="宋体" w:cs="宋体"/>
          <w:bCs/>
          <w:color w:val="auto"/>
          <w:sz w:val="28"/>
          <w:szCs w:val="28"/>
          <w:lang w:val="en-US" w:eastAsia="zh-CN" w:bidi="ar-SA"/>
        </w:rPr>
        <w:t>采购人：</w:t>
      </w:r>
      <w:r>
        <w:rPr>
          <w:rFonts w:hint="eastAsia" w:cs="宋体"/>
          <w:bCs/>
          <w:color w:val="auto"/>
          <w:sz w:val="28"/>
          <w:szCs w:val="28"/>
          <w:lang w:val="en-US" w:eastAsia="zh-CN" w:bidi="ar-SA"/>
        </w:rPr>
        <w:t>卢氏县城市管理局</w:t>
      </w:r>
    </w:p>
    <w:p w14:paraId="13A6E1E5">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联系人：陈文君</w:t>
      </w:r>
    </w:p>
    <w:p w14:paraId="625EA3DB">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cs="宋体"/>
          <w:bCs/>
          <w:color w:val="auto"/>
          <w:sz w:val="28"/>
          <w:szCs w:val="28"/>
          <w:lang w:val="en-US" w:eastAsia="zh-CN" w:bidi="ar-SA"/>
        </w:rPr>
      </w:pPr>
      <w:r>
        <w:rPr>
          <w:rFonts w:hint="eastAsia" w:cs="宋体"/>
          <w:bCs/>
          <w:color w:val="auto"/>
          <w:sz w:val="28"/>
          <w:szCs w:val="28"/>
          <w:lang w:val="en-US" w:eastAsia="zh-CN" w:bidi="ar-SA"/>
        </w:rPr>
        <w:t>电话：18858281803、0398-2157008</w:t>
      </w:r>
    </w:p>
    <w:p w14:paraId="15E00C8B">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地址：卢氏县东明路与解放路交叉口东北100米</w:t>
      </w:r>
    </w:p>
    <w:p w14:paraId="4252D9C8">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代理机构：中瑞建园工程管理有限公司</w:t>
      </w:r>
    </w:p>
    <w:p w14:paraId="373A32D6">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w:t>
      </w:r>
      <w:r>
        <w:rPr>
          <w:rFonts w:hint="eastAsia" w:cs="宋体"/>
          <w:bCs/>
          <w:color w:val="auto"/>
          <w:sz w:val="28"/>
          <w:szCs w:val="28"/>
          <w:lang w:val="en-US" w:eastAsia="zh-CN" w:bidi="ar-SA"/>
        </w:rPr>
        <w:t>赵敏</w:t>
      </w:r>
    </w:p>
    <w:p w14:paraId="2C666650">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电话：15</w:t>
      </w:r>
      <w:r>
        <w:rPr>
          <w:rFonts w:hint="eastAsia" w:cs="宋体"/>
          <w:bCs/>
          <w:color w:val="auto"/>
          <w:sz w:val="28"/>
          <w:szCs w:val="28"/>
          <w:lang w:val="en-US" w:eastAsia="zh-CN" w:bidi="ar-SA"/>
        </w:rPr>
        <w:t>139855300、15303833293</w:t>
      </w:r>
    </w:p>
    <w:p w14:paraId="2428043D">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地址：河南自贸试验区郑州片区（郑东）金水东路80号绿地新都会8号楼901号</w:t>
      </w:r>
    </w:p>
    <w:p w14:paraId="309DD217">
      <w:pPr>
        <w:jc w:val="center"/>
        <w:outlineLvl w:val="0"/>
        <w:rPr>
          <w:b/>
          <w:color w:val="auto"/>
        </w:rPr>
      </w:pPr>
      <w:r>
        <w:rPr>
          <w:b/>
          <w:color w:val="auto"/>
          <w:sz w:val="32"/>
        </w:rPr>
        <w:br w:type="page"/>
      </w:r>
      <w:bookmarkStart w:id="19" w:name="_Toc12815"/>
      <w:r>
        <w:rPr>
          <w:b/>
          <w:color w:val="auto"/>
          <w:sz w:val="36"/>
          <w:szCs w:val="24"/>
        </w:rPr>
        <w:t>第二章 供应商须知</w:t>
      </w:r>
      <w:bookmarkEnd w:id="18"/>
      <w:bookmarkEnd w:id="19"/>
    </w:p>
    <w:p w14:paraId="05A37B40">
      <w:pPr>
        <w:pStyle w:val="8"/>
        <w:ind w:left="0"/>
        <w:rPr>
          <w:b/>
          <w:color w:val="auto"/>
          <w:sz w:val="32"/>
        </w:rPr>
      </w:pPr>
    </w:p>
    <w:p w14:paraId="39C32097">
      <w:pPr>
        <w:pStyle w:val="5"/>
        <w:spacing w:before="244"/>
        <w:ind w:left="320"/>
        <w:jc w:val="center"/>
        <w:rPr>
          <w:color w:val="auto"/>
        </w:rPr>
      </w:pPr>
      <w:r>
        <w:rPr>
          <w:color w:val="auto"/>
        </w:rPr>
        <w:t>供应商须知前附表</w:t>
      </w:r>
    </w:p>
    <w:p w14:paraId="209B1AB5">
      <w:pPr>
        <w:pStyle w:val="8"/>
        <w:spacing w:before="3"/>
        <w:ind w:left="0"/>
        <w:rPr>
          <w:b/>
          <w:color w:val="auto"/>
          <w:sz w:val="6"/>
        </w:rPr>
      </w:pPr>
    </w:p>
    <w:tbl>
      <w:tblPr>
        <w:tblStyle w:val="19"/>
        <w:tblW w:w="9852"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1"/>
        <w:gridCol w:w="1710"/>
        <w:gridCol w:w="7041"/>
      </w:tblGrid>
      <w:tr w14:paraId="14CD9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1101" w:type="dxa"/>
            <w:vAlign w:val="top"/>
          </w:tcPr>
          <w:p w14:paraId="1549E134">
            <w:pPr>
              <w:pStyle w:val="35"/>
              <w:spacing w:before="130"/>
              <w:ind w:left="169" w:right="158"/>
              <w:jc w:val="center"/>
              <w:rPr>
                <w:b/>
                <w:color w:val="auto"/>
                <w:sz w:val="24"/>
              </w:rPr>
            </w:pPr>
            <w:r>
              <w:rPr>
                <w:b/>
                <w:color w:val="auto"/>
                <w:sz w:val="24"/>
              </w:rPr>
              <w:t>条款号</w:t>
            </w:r>
          </w:p>
        </w:tc>
        <w:tc>
          <w:tcPr>
            <w:tcW w:w="1710" w:type="dxa"/>
            <w:vAlign w:val="top"/>
          </w:tcPr>
          <w:p w14:paraId="64F0A6FE">
            <w:pPr>
              <w:pStyle w:val="35"/>
              <w:spacing w:before="130"/>
              <w:ind w:left="110" w:right="98"/>
              <w:jc w:val="center"/>
              <w:rPr>
                <w:b/>
                <w:color w:val="auto"/>
                <w:sz w:val="24"/>
              </w:rPr>
            </w:pPr>
            <w:r>
              <w:rPr>
                <w:b/>
                <w:color w:val="auto"/>
                <w:sz w:val="24"/>
              </w:rPr>
              <w:t>条款名称</w:t>
            </w:r>
          </w:p>
        </w:tc>
        <w:tc>
          <w:tcPr>
            <w:tcW w:w="7041" w:type="dxa"/>
            <w:vAlign w:val="top"/>
          </w:tcPr>
          <w:p w14:paraId="3E731BC9">
            <w:pPr>
              <w:pStyle w:val="35"/>
              <w:spacing w:before="130"/>
              <w:ind w:left="1408" w:right="1397"/>
              <w:jc w:val="center"/>
              <w:rPr>
                <w:b/>
                <w:color w:val="auto"/>
                <w:sz w:val="24"/>
              </w:rPr>
            </w:pPr>
            <w:r>
              <w:rPr>
                <w:b/>
                <w:color w:val="auto"/>
                <w:sz w:val="24"/>
              </w:rPr>
              <w:t>编列内容</w:t>
            </w:r>
          </w:p>
        </w:tc>
      </w:tr>
      <w:tr w14:paraId="0CB5E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0" w:hRule="atLeast"/>
        </w:trPr>
        <w:tc>
          <w:tcPr>
            <w:tcW w:w="1101" w:type="dxa"/>
            <w:vAlign w:val="center"/>
          </w:tcPr>
          <w:p w14:paraId="21A0D795">
            <w:pPr>
              <w:pStyle w:val="35"/>
              <w:spacing w:before="1"/>
              <w:jc w:val="center"/>
              <w:rPr>
                <w:color w:val="auto"/>
                <w:sz w:val="24"/>
              </w:rPr>
            </w:pPr>
            <w:r>
              <w:rPr>
                <w:color w:val="auto"/>
                <w:sz w:val="24"/>
              </w:rPr>
              <w:t>1.1</w:t>
            </w:r>
          </w:p>
        </w:tc>
        <w:tc>
          <w:tcPr>
            <w:tcW w:w="1710" w:type="dxa"/>
            <w:vAlign w:val="center"/>
          </w:tcPr>
          <w:p w14:paraId="42EB026F">
            <w:pPr>
              <w:pStyle w:val="35"/>
              <w:spacing w:before="1" w:line="360" w:lineRule="auto"/>
              <w:jc w:val="center"/>
              <w:rPr>
                <w:color w:val="auto"/>
                <w:sz w:val="24"/>
              </w:rPr>
            </w:pPr>
            <w:r>
              <w:rPr>
                <w:color w:val="auto"/>
                <w:sz w:val="24"/>
              </w:rPr>
              <w:t>采购人</w:t>
            </w:r>
          </w:p>
        </w:tc>
        <w:tc>
          <w:tcPr>
            <w:tcW w:w="7041" w:type="dxa"/>
            <w:vAlign w:val="center"/>
          </w:tcPr>
          <w:p w14:paraId="684DB764">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rFonts w:hint="eastAsia"/>
                <w:color w:val="auto"/>
                <w:sz w:val="24"/>
                <w:lang w:val="en-US"/>
              </w:rPr>
            </w:pPr>
            <w:r>
              <w:rPr>
                <w:rFonts w:hint="eastAsia"/>
                <w:color w:val="auto"/>
                <w:sz w:val="24"/>
                <w:lang w:val="en-US"/>
              </w:rPr>
              <w:t>采购人：卢氏县城市管理局</w:t>
            </w:r>
          </w:p>
          <w:p w14:paraId="7440BC5D">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rFonts w:hint="eastAsia"/>
                <w:color w:val="auto"/>
                <w:sz w:val="24"/>
                <w:lang w:val="en-US"/>
              </w:rPr>
            </w:pPr>
            <w:r>
              <w:rPr>
                <w:rFonts w:hint="eastAsia"/>
                <w:color w:val="auto"/>
                <w:sz w:val="24"/>
                <w:lang w:val="en-US"/>
              </w:rPr>
              <w:t>联系人：陈文君</w:t>
            </w:r>
          </w:p>
          <w:p w14:paraId="3457232A">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rFonts w:hint="eastAsia"/>
                <w:color w:val="auto"/>
                <w:sz w:val="24"/>
                <w:lang w:val="en-US"/>
              </w:rPr>
            </w:pPr>
            <w:r>
              <w:rPr>
                <w:rFonts w:hint="eastAsia"/>
                <w:color w:val="auto"/>
                <w:sz w:val="24"/>
                <w:lang w:val="en-US"/>
              </w:rPr>
              <w:t>电话：18858281803、0398-2157008</w:t>
            </w:r>
          </w:p>
          <w:p w14:paraId="05549005">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rFonts w:hint="eastAsia"/>
                <w:color w:val="auto"/>
                <w:sz w:val="24"/>
                <w:lang w:val="en-US"/>
              </w:rPr>
            </w:pPr>
            <w:r>
              <w:rPr>
                <w:rFonts w:hint="eastAsia"/>
                <w:color w:val="auto"/>
                <w:sz w:val="24"/>
                <w:lang w:val="en-US"/>
              </w:rPr>
              <w:t>地址：卢氏县东明路与解放路交叉口东北100米</w:t>
            </w:r>
          </w:p>
        </w:tc>
      </w:tr>
      <w:tr w14:paraId="101FE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4" w:hRule="atLeast"/>
        </w:trPr>
        <w:tc>
          <w:tcPr>
            <w:tcW w:w="1101" w:type="dxa"/>
            <w:vAlign w:val="center"/>
          </w:tcPr>
          <w:p w14:paraId="707D6912">
            <w:pPr>
              <w:pStyle w:val="35"/>
              <w:spacing w:before="1"/>
              <w:jc w:val="center"/>
              <w:rPr>
                <w:color w:val="auto"/>
                <w:sz w:val="24"/>
              </w:rPr>
            </w:pPr>
            <w:r>
              <w:rPr>
                <w:color w:val="auto"/>
                <w:sz w:val="24"/>
              </w:rPr>
              <w:t>1.2</w:t>
            </w:r>
          </w:p>
        </w:tc>
        <w:tc>
          <w:tcPr>
            <w:tcW w:w="1710" w:type="dxa"/>
            <w:vAlign w:val="center"/>
          </w:tcPr>
          <w:p w14:paraId="0A8CA1E5">
            <w:pPr>
              <w:pStyle w:val="35"/>
              <w:spacing w:before="1" w:line="360" w:lineRule="auto"/>
              <w:jc w:val="center"/>
              <w:rPr>
                <w:color w:val="auto"/>
                <w:sz w:val="24"/>
              </w:rPr>
            </w:pPr>
            <w:r>
              <w:rPr>
                <w:color w:val="auto"/>
                <w:sz w:val="24"/>
              </w:rPr>
              <w:t>代理机构</w:t>
            </w:r>
          </w:p>
        </w:tc>
        <w:tc>
          <w:tcPr>
            <w:tcW w:w="7041" w:type="dxa"/>
            <w:vAlign w:val="top"/>
          </w:tcPr>
          <w:p w14:paraId="3F834E74">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rFonts w:hint="eastAsia"/>
                <w:color w:val="auto"/>
                <w:sz w:val="24"/>
                <w:lang w:val="en-US"/>
              </w:rPr>
            </w:pPr>
            <w:r>
              <w:rPr>
                <w:rFonts w:hint="eastAsia"/>
                <w:color w:val="auto"/>
                <w:sz w:val="24"/>
                <w:lang w:val="en-US"/>
              </w:rPr>
              <w:t>代理机构：中瑞建园工程管理有限公司</w:t>
            </w:r>
          </w:p>
          <w:p w14:paraId="6261A59C">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rFonts w:hint="eastAsia"/>
                <w:color w:val="auto"/>
                <w:sz w:val="24"/>
                <w:lang w:val="en-US"/>
              </w:rPr>
            </w:pPr>
            <w:r>
              <w:rPr>
                <w:rFonts w:hint="eastAsia"/>
                <w:color w:val="auto"/>
                <w:sz w:val="24"/>
                <w:lang w:val="en-US"/>
              </w:rPr>
              <w:t>联系人：赵敏</w:t>
            </w:r>
          </w:p>
          <w:p w14:paraId="79CE03FC">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rFonts w:hint="eastAsia"/>
                <w:color w:val="auto"/>
                <w:sz w:val="24"/>
                <w:lang w:val="en-US"/>
              </w:rPr>
            </w:pPr>
            <w:r>
              <w:rPr>
                <w:rFonts w:hint="eastAsia"/>
                <w:color w:val="auto"/>
                <w:sz w:val="24"/>
                <w:lang w:val="en-US"/>
              </w:rPr>
              <w:t>电话：15139855300、15303833293</w:t>
            </w:r>
          </w:p>
          <w:p w14:paraId="0DB2788D">
            <w:pPr>
              <w:pStyle w:val="8"/>
              <w:keepNext w:val="0"/>
              <w:keepLines w:val="0"/>
              <w:pageBreakBefore w:val="0"/>
              <w:widowControl w:val="0"/>
              <w:kinsoku/>
              <w:wordWrap w:val="0"/>
              <w:overflowPunct/>
              <w:topLinePunct w:val="0"/>
              <w:autoSpaceDE w:val="0"/>
              <w:autoSpaceDN w:val="0"/>
              <w:bidi w:val="0"/>
              <w:adjustRightInd/>
              <w:snapToGrid/>
              <w:spacing w:before="161" w:line="240" w:lineRule="auto"/>
              <w:ind w:left="0" w:leftChars="0" w:firstLine="0" w:firstLineChars="0"/>
              <w:textAlignment w:val="auto"/>
              <w:rPr>
                <w:color w:val="auto"/>
                <w:sz w:val="24"/>
                <w:lang w:val="en-US"/>
              </w:rPr>
            </w:pPr>
            <w:r>
              <w:rPr>
                <w:rFonts w:hint="eastAsia"/>
                <w:color w:val="auto"/>
                <w:sz w:val="24"/>
                <w:lang w:val="en-US"/>
              </w:rPr>
              <w:t>地址：河南自贸试验区郑州片区（郑东）金水东路80号绿地新都会8号楼901号</w:t>
            </w:r>
          </w:p>
        </w:tc>
      </w:tr>
      <w:tr w14:paraId="3584C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1101" w:type="dxa"/>
            <w:vAlign w:val="center"/>
          </w:tcPr>
          <w:p w14:paraId="08397AD9">
            <w:pPr>
              <w:pStyle w:val="35"/>
              <w:ind w:right="158" w:firstLine="240" w:firstLineChars="100"/>
              <w:jc w:val="center"/>
              <w:rPr>
                <w:color w:val="auto"/>
                <w:sz w:val="24"/>
              </w:rPr>
            </w:pPr>
            <w:r>
              <w:rPr>
                <w:color w:val="auto"/>
                <w:sz w:val="24"/>
              </w:rPr>
              <w:t>1.3</w:t>
            </w:r>
          </w:p>
        </w:tc>
        <w:tc>
          <w:tcPr>
            <w:tcW w:w="1710" w:type="dxa"/>
            <w:vAlign w:val="center"/>
          </w:tcPr>
          <w:p w14:paraId="17C434C0">
            <w:pPr>
              <w:pStyle w:val="35"/>
              <w:ind w:right="100"/>
              <w:jc w:val="center"/>
              <w:rPr>
                <w:color w:val="auto"/>
                <w:sz w:val="24"/>
              </w:rPr>
            </w:pPr>
            <w:r>
              <w:rPr>
                <w:color w:val="auto"/>
                <w:sz w:val="24"/>
              </w:rPr>
              <w:t>项目名称</w:t>
            </w:r>
          </w:p>
        </w:tc>
        <w:tc>
          <w:tcPr>
            <w:tcW w:w="7041" w:type="dxa"/>
            <w:vAlign w:val="center"/>
          </w:tcPr>
          <w:p w14:paraId="0049CAEE">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textAlignment w:val="auto"/>
              <w:rPr>
                <w:rFonts w:hint="eastAsia" w:ascii="宋体" w:hAnsi="宋体" w:eastAsia="宋体" w:cs="宋体"/>
                <w:color w:val="auto"/>
                <w:sz w:val="28"/>
                <w:szCs w:val="28"/>
                <w:lang w:val="en-US" w:eastAsia="zh-CN"/>
              </w:rPr>
            </w:pPr>
            <w:r>
              <w:rPr>
                <w:rFonts w:hint="eastAsia" w:ascii="宋体" w:hAnsi="宋体" w:cs="宋体"/>
                <w:color w:val="auto"/>
                <w:sz w:val="24"/>
                <w:szCs w:val="24"/>
                <w:lang w:val="en-US" w:eastAsia="zh-CN"/>
              </w:rPr>
              <w:t>卢氏县完善全民健身场所行动建设项目设计（二次）</w:t>
            </w:r>
          </w:p>
          <w:p w14:paraId="1AD315B6">
            <w:pPr>
              <w:pStyle w:val="35"/>
              <w:ind w:left="107" w:right="96"/>
              <w:jc w:val="both"/>
              <w:rPr>
                <w:rFonts w:hint="eastAsia" w:eastAsia="宋体"/>
                <w:color w:val="auto"/>
                <w:sz w:val="24"/>
                <w:lang w:eastAsia="zh-CN"/>
              </w:rPr>
            </w:pPr>
          </w:p>
        </w:tc>
      </w:tr>
      <w:tr w14:paraId="10E78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1101" w:type="dxa"/>
            <w:vAlign w:val="center"/>
          </w:tcPr>
          <w:p w14:paraId="4ECA425A">
            <w:pPr>
              <w:pStyle w:val="35"/>
              <w:jc w:val="center"/>
              <w:rPr>
                <w:b/>
                <w:color w:val="auto"/>
                <w:sz w:val="18"/>
              </w:rPr>
            </w:pPr>
          </w:p>
          <w:p w14:paraId="20307772">
            <w:pPr>
              <w:pStyle w:val="35"/>
              <w:ind w:left="166" w:right="158"/>
              <w:jc w:val="center"/>
              <w:rPr>
                <w:color w:val="auto"/>
                <w:sz w:val="24"/>
              </w:rPr>
            </w:pPr>
            <w:r>
              <w:rPr>
                <w:color w:val="auto"/>
                <w:sz w:val="24"/>
              </w:rPr>
              <w:t>1.4</w:t>
            </w:r>
          </w:p>
        </w:tc>
        <w:tc>
          <w:tcPr>
            <w:tcW w:w="1710" w:type="dxa"/>
            <w:vAlign w:val="top"/>
          </w:tcPr>
          <w:p w14:paraId="3B558F4F">
            <w:pPr>
              <w:pStyle w:val="35"/>
              <w:rPr>
                <w:b/>
                <w:color w:val="auto"/>
                <w:sz w:val="18"/>
              </w:rPr>
            </w:pPr>
          </w:p>
          <w:p w14:paraId="1BF5FF8D">
            <w:pPr>
              <w:pStyle w:val="35"/>
              <w:ind w:left="110" w:right="100"/>
              <w:jc w:val="center"/>
              <w:rPr>
                <w:color w:val="auto"/>
                <w:sz w:val="24"/>
              </w:rPr>
            </w:pPr>
            <w:r>
              <w:rPr>
                <w:color w:val="auto"/>
                <w:sz w:val="24"/>
              </w:rPr>
              <w:t>预算金额</w:t>
            </w:r>
          </w:p>
        </w:tc>
        <w:tc>
          <w:tcPr>
            <w:tcW w:w="7041" w:type="dxa"/>
            <w:vAlign w:val="center"/>
          </w:tcPr>
          <w:p w14:paraId="65C1522A">
            <w:pPr>
              <w:pStyle w:val="35"/>
              <w:ind w:left="107"/>
              <w:jc w:val="both"/>
              <w:rPr>
                <w:rFonts w:hint="default" w:eastAsia="宋体"/>
                <w:color w:val="auto"/>
                <w:sz w:val="24"/>
                <w:lang w:val="en-US" w:eastAsia="zh-CN"/>
              </w:rPr>
            </w:pPr>
            <w:r>
              <w:rPr>
                <w:rFonts w:hint="eastAsia"/>
                <w:color w:val="auto"/>
                <w:sz w:val="24"/>
              </w:rPr>
              <w:t>¥</w:t>
            </w:r>
            <w:r>
              <w:rPr>
                <w:rFonts w:hint="eastAsia"/>
                <w:color w:val="auto"/>
                <w:sz w:val="24"/>
                <w:lang w:val="en-US" w:eastAsia="zh-CN"/>
              </w:rPr>
              <w:t>532800元</w:t>
            </w:r>
          </w:p>
        </w:tc>
      </w:tr>
      <w:tr w14:paraId="0816B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101" w:type="dxa"/>
            <w:vAlign w:val="center"/>
          </w:tcPr>
          <w:p w14:paraId="74DCAE12">
            <w:pPr>
              <w:pStyle w:val="35"/>
              <w:jc w:val="center"/>
              <w:rPr>
                <w:b/>
                <w:color w:val="auto"/>
                <w:sz w:val="28"/>
              </w:rPr>
            </w:pPr>
          </w:p>
          <w:p w14:paraId="26164327">
            <w:pPr>
              <w:pStyle w:val="35"/>
              <w:ind w:left="166" w:right="158"/>
              <w:jc w:val="center"/>
              <w:rPr>
                <w:color w:val="auto"/>
                <w:sz w:val="24"/>
              </w:rPr>
            </w:pPr>
            <w:r>
              <w:rPr>
                <w:color w:val="auto"/>
                <w:sz w:val="24"/>
              </w:rPr>
              <w:t>1.5</w:t>
            </w:r>
          </w:p>
        </w:tc>
        <w:tc>
          <w:tcPr>
            <w:tcW w:w="1710" w:type="dxa"/>
            <w:vAlign w:val="top"/>
          </w:tcPr>
          <w:p w14:paraId="48F392AA">
            <w:pPr>
              <w:pStyle w:val="35"/>
              <w:spacing w:before="1" w:line="460" w:lineRule="exact"/>
              <w:ind w:left="490" w:right="118" w:hanging="360"/>
              <w:rPr>
                <w:color w:val="auto"/>
                <w:sz w:val="24"/>
              </w:rPr>
            </w:pPr>
            <w:r>
              <w:rPr>
                <w:color w:val="auto"/>
                <w:sz w:val="24"/>
              </w:rPr>
              <w:t>资金来源及落实情况</w:t>
            </w:r>
          </w:p>
        </w:tc>
        <w:tc>
          <w:tcPr>
            <w:tcW w:w="7041" w:type="dxa"/>
            <w:vAlign w:val="top"/>
          </w:tcPr>
          <w:p w14:paraId="7FC76DCE">
            <w:pPr>
              <w:pStyle w:val="35"/>
              <w:rPr>
                <w:b/>
                <w:color w:val="auto"/>
                <w:sz w:val="28"/>
              </w:rPr>
            </w:pPr>
          </w:p>
          <w:p w14:paraId="1F1AEB0A">
            <w:pPr>
              <w:pStyle w:val="35"/>
              <w:ind w:left="107"/>
              <w:rPr>
                <w:color w:val="auto"/>
                <w:sz w:val="24"/>
              </w:rPr>
            </w:pPr>
            <w:r>
              <w:rPr>
                <w:rFonts w:hint="eastAsia"/>
                <w:color w:val="auto"/>
                <w:sz w:val="24"/>
                <w:lang w:eastAsia="zh-CN"/>
              </w:rPr>
              <w:t>财政</w:t>
            </w:r>
            <w:r>
              <w:rPr>
                <w:rFonts w:hint="eastAsia"/>
                <w:color w:val="auto"/>
                <w:sz w:val="24"/>
              </w:rPr>
              <w:t>资金，已落实</w:t>
            </w:r>
          </w:p>
        </w:tc>
      </w:tr>
      <w:tr w14:paraId="311B9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1101" w:type="dxa"/>
            <w:vAlign w:val="center"/>
          </w:tcPr>
          <w:p w14:paraId="79D83F02">
            <w:pPr>
              <w:pStyle w:val="35"/>
              <w:spacing w:before="172"/>
              <w:ind w:left="166" w:right="158"/>
              <w:jc w:val="center"/>
              <w:rPr>
                <w:color w:val="auto"/>
                <w:sz w:val="24"/>
              </w:rPr>
            </w:pPr>
            <w:r>
              <w:rPr>
                <w:color w:val="auto"/>
                <w:sz w:val="24"/>
              </w:rPr>
              <w:t>1.6</w:t>
            </w:r>
          </w:p>
        </w:tc>
        <w:tc>
          <w:tcPr>
            <w:tcW w:w="1710" w:type="dxa"/>
            <w:vAlign w:val="center"/>
          </w:tcPr>
          <w:p w14:paraId="24981852">
            <w:pPr>
              <w:pStyle w:val="35"/>
              <w:spacing w:before="172"/>
              <w:ind w:left="110" w:right="100"/>
              <w:jc w:val="center"/>
              <w:rPr>
                <w:rFonts w:hint="default" w:eastAsia="宋体"/>
                <w:color w:val="auto"/>
                <w:sz w:val="24"/>
                <w:lang w:val="en-US" w:eastAsia="zh-CN"/>
              </w:rPr>
            </w:pPr>
            <w:r>
              <w:rPr>
                <w:rFonts w:hint="eastAsia"/>
                <w:color w:val="auto"/>
                <w:sz w:val="24"/>
                <w:lang w:val="en-US" w:eastAsia="zh-CN"/>
              </w:rPr>
              <w:t>项目规模</w:t>
            </w:r>
          </w:p>
        </w:tc>
        <w:tc>
          <w:tcPr>
            <w:tcW w:w="7041" w:type="dxa"/>
            <w:vAlign w:val="top"/>
          </w:tcPr>
          <w:p w14:paraId="7AB6338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360" w:lineRule="auto"/>
              <w:textAlignment w:val="auto"/>
              <w:rPr>
                <w:rFonts w:hint="eastAsia" w:eastAsia="宋体"/>
                <w:color w:val="auto"/>
                <w:sz w:val="24"/>
                <w:lang w:eastAsia="zh-CN"/>
              </w:rPr>
            </w:pPr>
            <w:r>
              <w:rPr>
                <w:rFonts w:hint="eastAsia"/>
                <w:color w:val="auto"/>
                <w:sz w:val="24"/>
                <w:lang w:eastAsia="zh-CN"/>
              </w:rPr>
              <w:t>卢氏县完善全民健身场所行动建设项目设计</w:t>
            </w:r>
            <w:r>
              <w:rPr>
                <w:rFonts w:hint="eastAsia" w:eastAsia="宋体"/>
                <w:color w:val="auto"/>
                <w:sz w:val="24"/>
                <w:lang w:eastAsia="zh-CN"/>
              </w:rPr>
              <w:t>共有三个部分，其中老中医院周边健身场所完善项目占地4780平方米，淇河路北段文化提升建设项目占地7290平方米，淇河路南段东侧健身场所完善项目占地9305平方米。主要建设内容包括新建绿地、健身步道、健身广场铺装、健身文化小品、健身设施、休闲廊架、坐凳和门头改造、给排水、监控、照明等室外工程和配套健身设施；本项目需完成</w:t>
            </w:r>
            <w:r>
              <w:rPr>
                <w:rFonts w:hint="eastAsia"/>
                <w:color w:val="auto"/>
                <w:sz w:val="24"/>
                <w:lang w:eastAsia="zh-CN"/>
              </w:rPr>
              <w:t>卢氏县完善全民健身场所行动建设项目设计</w:t>
            </w:r>
            <w:r>
              <w:rPr>
                <w:rFonts w:hint="eastAsia" w:eastAsia="宋体"/>
                <w:color w:val="auto"/>
                <w:sz w:val="24"/>
                <w:lang w:eastAsia="zh-CN"/>
              </w:rPr>
              <w:t>要求进行测绘规划设计。</w:t>
            </w:r>
          </w:p>
        </w:tc>
      </w:tr>
      <w:tr w14:paraId="657DE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1101" w:type="dxa"/>
            <w:vAlign w:val="center"/>
          </w:tcPr>
          <w:p w14:paraId="3A374974">
            <w:pPr>
              <w:pStyle w:val="35"/>
              <w:ind w:right="158"/>
              <w:jc w:val="center"/>
              <w:rPr>
                <w:color w:val="auto"/>
                <w:sz w:val="24"/>
              </w:rPr>
            </w:pPr>
            <w:r>
              <w:rPr>
                <w:color w:val="auto"/>
                <w:sz w:val="24"/>
              </w:rPr>
              <w:t>1.7</w:t>
            </w:r>
          </w:p>
        </w:tc>
        <w:tc>
          <w:tcPr>
            <w:tcW w:w="1710" w:type="dxa"/>
            <w:vAlign w:val="center"/>
          </w:tcPr>
          <w:p w14:paraId="06523EED">
            <w:pPr>
              <w:pStyle w:val="35"/>
              <w:ind w:right="100"/>
              <w:jc w:val="center"/>
              <w:rPr>
                <w:color w:val="auto"/>
                <w:sz w:val="24"/>
              </w:rPr>
            </w:pPr>
            <w:r>
              <w:rPr>
                <w:rFonts w:hint="eastAsia"/>
                <w:color w:val="auto"/>
                <w:sz w:val="24"/>
                <w:lang w:val="en-US" w:eastAsia="zh-CN"/>
              </w:rPr>
              <w:t>服务内容</w:t>
            </w:r>
          </w:p>
        </w:tc>
        <w:tc>
          <w:tcPr>
            <w:tcW w:w="7041" w:type="dxa"/>
            <w:vAlign w:val="top"/>
          </w:tcPr>
          <w:p w14:paraId="145D4025">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textAlignment w:val="auto"/>
              <w:rPr>
                <w:color w:val="auto"/>
                <w:sz w:val="24"/>
              </w:rPr>
            </w:pPr>
            <w:r>
              <w:rPr>
                <w:rFonts w:hint="eastAsia"/>
                <w:color w:val="auto"/>
                <w:sz w:val="24"/>
              </w:rPr>
              <w:t>按照</w:t>
            </w:r>
            <w:r>
              <w:rPr>
                <w:rFonts w:hint="eastAsia"/>
                <w:color w:val="auto"/>
                <w:sz w:val="24"/>
                <w:lang w:eastAsia="zh-CN"/>
              </w:rPr>
              <w:t>卢氏县完善全民健身场所行动建设项目设计（二次）</w:t>
            </w:r>
            <w:r>
              <w:rPr>
                <w:rFonts w:hint="eastAsia"/>
                <w:color w:val="auto"/>
                <w:sz w:val="24"/>
              </w:rPr>
              <w:t>要求进行测绘规划设计，主要包含：老中医院周边健身场所、淇河路北段、淇河路南段东侧健身场所项目施工图设计。</w:t>
            </w:r>
          </w:p>
        </w:tc>
      </w:tr>
      <w:tr w14:paraId="04BC3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101" w:type="dxa"/>
            <w:vAlign w:val="center"/>
          </w:tcPr>
          <w:p w14:paraId="510654A5">
            <w:pPr>
              <w:pStyle w:val="35"/>
              <w:spacing w:before="190"/>
              <w:ind w:right="158"/>
              <w:jc w:val="center"/>
              <w:rPr>
                <w:color w:val="auto"/>
                <w:sz w:val="24"/>
              </w:rPr>
            </w:pPr>
            <w:r>
              <w:rPr>
                <w:color w:val="auto"/>
                <w:sz w:val="24"/>
              </w:rPr>
              <w:t>1.8</w:t>
            </w:r>
          </w:p>
        </w:tc>
        <w:tc>
          <w:tcPr>
            <w:tcW w:w="1710" w:type="dxa"/>
            <w:vAlign w:val="center"/>
          </w:tcPr>
          <w:p w14:paraId="108FC8F8">
            <w:pPr>
              <w:pStyle w:val="35"/>
              <w:spacing w:line="460" w:lineRule="atLeast"/>
              <w:ind w:left="107" w:right="-29"/>
              <w:jc w:val="center"/>
              <w:rPr>
                <w:rFonts w:hint="eastAsia"/>
                <w:color w:val="auto"/>
                <w:sz w:val="24"/>
              </w:rPr>
            </w:pPr>
            <w:r>
              <w:rPr>
                <w:rFonts w:hint="eastAsia"/>
                <w:color w:val="auto"/>
                <w:sz w:val="24"/>
                <w:lang w:val="en-US" w:eastAsia="zh-CN"/>
              </w:rPr>
              <w:t>设计周</w:t>
            </w:r>
            <w:r>
              <w:rPr>
                <w:rFonts w:hint="eastAsia"/>
                <w:color w:val="auto"/>
                <w:sz w:val="24"/>
                <w:lang w:val="en-US"/>
              </w:rPr>
              <w:t>期</w:t>
            </w:r>
          </w:p>
        </w:tc>
        <w:tc>
          <w:tcPr>
            <w:tcW w:w="7041" w:type="dxa"/>
            <w:vAlign w:val="center"/>
          </w:tcPr>
          <w:p w14:paraId="6A17B055">
            <w:pPr>
              <w:pStyle w:val="35"/>
              <w:spacing w:line="460" w:lineRule="atLeast"/>
              <w:ind w:left="107" w:right="-29"/>
              <w:rPr>
                <w:rFonts w:hint="eastAsia" w:eastAsia="宋体"/>
                <w:color w:val="auto"/>
                <w:sz w:val="24"/>
                <w:lang w:val="en-US" w:eastAsia="zh-CN"/>
              </w:rPr>
            </w:pPr>
            <w:r>
              <w:rPr>
                <w:rFonts w:hint="eastAsia"/>
                <w:color w:val="auto"/>
                <w:sz w:val="24"/>
                <w:lang w:val="en-US" w:eastAsia="zh-CN"/>
              </w:rPr>
              <w:t>合同签订后5日历天完成</w:t>
            </w:r>
          </w:p>
        </w:tc>
      </w:tr>
      <w:tr w14:paraId="32882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01" w:type="dxa"/>
            <w:vAlign w:val="center"/>
          </w:tcPr>
          <w:p w14:paraId="6EABC2FB">
            <w:pPr>
              <w:pStyle w:val="35"/>
              <w:ind w:right="158"/>
              <w:jc w:val="center"/>
              <w:rPr>
                <w:color w:val="auto"/>
                <w:sz w:val="24"/>
              </w:rPr>
            </w:pPr>
            <w:r>
              <w:rPr>
                <w:color w:val="auto"/>
                <w:sz w:val="24"/>
              </w:rPr>
              <w:t>1.9</w:t>
            </w:r>
          </w:p>
        </w:tc>
        <w:tc>
          <w:tcPr>
            <w:tcW w:w="1710" w:type="dxa"/>
            <w:vAlign w:val="center"/>
          </w:tcPr>
          <w:p w14:paraId="43F24193">
            <w:pPr>
              <w:pStyle w:val="35"/>
              <w:ind w:right="100"/>
              <w:jc w:val="center"/>
              <w:rPr>
                <w:color w:val="auto"/>
                <w:sz w:val="24"/>
              </w:rPr>
            </w:pPr>
            <w:r>
              <w:rPr>
                <w:color w:val="auto"/>
                <w:sz w:val="24"/>
              </w:rPr>
              <w:t>质量要求</w:t>
            </w:r>
          </w:p>
        </w:tc>
        <w:tc>
          <w:tcPr>
            <w:tcW w:w="7041" w:type="dxa"/>
            <w:vAlign w:val="center"/>
          </w:tcPr>
          <w:p w14:paraId="4DCBAB96">
            <w:pPr>
              <w:pStyle w:val="35"/>
              <w:jc w:val="both"/>
              <w:rPr>
                <w:color w:val="auto"/>
                <w:sz w:val="24"/>
                <w:lang w:val="en-US"/>
              </w:rPr>
            </w:pPr>
            <w:r>
              <w:rPr>
                <w:rFonts w:hint="eastAsia"/>
                <w:color w:val="auto"/>
                <w:sz w:val="24"/>
                <w:lang w:val="en-US"/>
              </w:rPr>
              <w:t>符合国家现行规范和标准，并满足采购人要求；</w:t>
            </w:r>
          </w:p>
        </w:tc>
      </w:tr>
      <w:tr w14:paraId="312FA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1" w:type="dxa"/>
            <w:vAlign w:val="center"/>
          </w:tcPr>
          <w:p w14:paraId="1F669179">
            <w:pPr>
              <w:pStyle w:val="35"/>
              <w:jc w:val="center"/>
              <w:rPr>
                <w:b/>
                <w:color w:val="auto"/>
                <w:sz w:val="19"/>
              </w:rPr>
            </w:pPr>
          </w:p>
          <w:p w14:paraId="3CEE30F4">
            <w:pPr>
              <w:pStyle w:val="35"/>
              <w:ind w:left="166" w:right="158"/>
              <w:jc w:val="center"/>
              <w:rPr>
                <w:color w:val="auto"/>
                <w:sz w:val="24"/>
              </w:rPr>
            </w:pPr>
            <w:r>
              <w:rPr>
                <w:color w:val="auto"/>
                <w:sz w:val="24"/>
              </w:rPr>
              <w:t>2.0</w:t>
            </w:r>
          </w:p>
        </w:tc>
        <w:tc>
          <w:tcPr>
            <w:tcW w:w="1710" w:type="dxa"/>
            <w:vAlign w:val="center"/>
          </w:tcPr>
          <w:p w14:paraId="69577633">
            <w:pPr>
              <w:pStyle w:val="35"/>
              <w:spacing w:before="130" w:line="240" w:lineRule="auto"/>
              <w:ind w:left="107"/>
              <w:jc w:val="center"/>
              <w:rPr>
                <w:color w:val="auto"/>
                <w:sz w:val="24"/>
              </w:rPr>
            </w:pPr>
            <w:r>
              <w:rPr>
                <w:rFonts w:hint="eastAsia"/>
                <w:color w:val="auto"/>
                <w:sz w:val="24"/>
              </w:rPr>
              <w:t>供应商资格要求</w:t>
            </w:r>
          </w:p>
        </w:tc>
        <w:tc>
          <w:tcPr>
            <w:tcW w:w="7041" w:type="dxa"/>
            <w:vAlign w:val="top"/>
          </w:tcPr>
          <w:p w14:paraId="16C66DE5">
            <w:pPr>
              <w:pStyle w:val="8"/>
              <w:keepNext w:val="0"/>
              <w:keepLines w:val="0"/>
              <w:pageBreakBefore w:val="0"/>
              <w:widowControl w:val="0"/>
              <w:numPr>
                <w:ilvl w:val="0"/>
                <w:numId w:val="0"/>
              </w:numPr>
              <w:kinsoku/>
              <w:wordWrap w:val="0"/>
              <w:overflowPunct/>
              <w:topLinePunct w:val="0"/>
              <w:autoSpaceDE w:val="0"/>
              <w:autoSpaceDN w:val="0"/>
              <w:bidi w:val="0"/>
              <w:spacing w:before="161" w:line="240" w:lineRule="auto"/>
              <w:textAlignment w:val="auto"/>
              <w:rPr>
                <w:rFonts w:hint="eastAsia" w:eastAsia="宋体"/>
                <w:color w:val="auto"/>
                <w:sz w:val="24"/>
                <w:lang w:eastAsia="zh-CN"/>
              </w:rPr>
            </w:pPr>
            <w:r>
              <w:rPr>
                <w:rFonts w:hint="eastAsia"/>
                <w:color w:val="auto"/>
                <w:lang w:val="en-US" w:eastAsia="zh-CN"/>
              </w:rPr>
              <w:t>详见竞争性磋商公告</w:t>
            </w:r>
          </w:p>
        </w:tc>
      </w:tr>
      <w:tr w14:paraId="7E455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1101" w:type="dxa"/>
            <w:vAlign w:val="center"/>
          </w:tcPr>
          <w:p w14:paraId="64A9B3C9">
            <w:pPr>
              <w:pStyle w:val="35"/>
              <w:spacing w:before="130"/>
              <w:ind w:left="107"/>
              <w:jc w:val="center"/>
              <w:rPr>
                <w:color w:val="auto"/>
                <w:sz w:val="24"/>
              </w:rPr>
            </w:pPr>
            <w:r>
              <w:rPr>
                <w:rFonts w:hint="eastAsia"/>
                <w:color w:val="auto"/>
                <w:sz w:val="24"/>
                <w:lang w:val="en-US"/>
              </w:rPr>
              <w:t>2.1</w:t>
            </w:r>
          </w:p>
        </w:tc>
        <w:tc>
          <w:tcPr>
            <w:tcW w:w="1710" w:type="dxa"/>
            <w:vAlign w:val="center"/>
          </w:tcPr>
          <w:p w14:paraId="16029B2E">
            <w:pPr>
              <w:pStyle w:val="35"/>
              <w:spacing w:before="128" w:line="240" w:lineRule="auto"/>
              <w:ind w:left="130" w:right="118"/>
              <w:jc w:val="center"/>
              <w:rPr>
                <w:color w:val="auto"/>
                <w:sz w:val="24"/>
              </w:rPr>
            </w:pPr>
            <w:r>
              <w:rPr>
                <w:color w:val="auto"/>
                <w:sz w:val="24"/>
              </w:rPr>
              <w:t>磋商响应供应商提出问题的</w:t>
            </w:r>
          </w:p>
          <w:p w14:paraId="3E3CB2E4">
            <w:pPr>
              <w:pStyle w:val="35"/>
              <w:spacing w:line="240" w:lineRule="auto"/>
              <w:ind w:left="110" w:right="100"/>
              <w:jc w:val="center"/>
              <w:rPr>
                <w:color w:val="auto"/>
                <w:sz w:val="24"/>
              </w:rPr>
            </w:pPr>
            <w:r>
              <w:rPr>
                <w:color w:val="auto"/>
                <w:sz w:val="24"/>
              </w:rPr>
              <w:t>截止时间</w:t>
            </w:r>
          </w:p>
        </w:tc>
        <w:tc>
          <w:tcPr>
            <w:tcW w:w="7041" w:type="dxa"/>
            <w:vAlign w:val="top"/>
          </w:tcPr>
          <w:p w14:paraId="54394A4B">
            <w:pPr>
              <w:pStyle w:val="35"/>
              <w:spacing w:line="240" w:lineRule="auto"/>
              <w:ind w:left="107"/>
              <w:rPr>
                <w:color w:val="auto"/>
                <w:sz w:val="24"/>
              </w:rPr>
            </w:pPr>
          </w:p>
          <w:p w14:paraId="44132DA1">
            <w:pPr>
              <w:pStyle w:val="35"/>
              <w:spacing w:line="240" w:lineRule="auto"/>
              <w:ind w:left="107"/>
              <w:rPr>
                <w:rFonts w:hint="default" w:eastAsia="宋体"/>
                <w:color w:val="auto"/>
                <w:lang w:val="en-US" w:eastAsia="zh-CN"/>
              </w:rPr>
            </w:pPr>
            <w:r>
              <w:rPr>
                <w:color w:val="auto"/>
                <w:sz w:val="24"/>
              </w:rPr>
              <w:t>递交磋商响应文件截止之日</w:t>
            </w:r>
            <w:r>
              <w:rPr>
                <w:rFonts w:hint="eastAsia"/>
                <w:color w:val="auto"/>
                <w:sz w:val="24"/>
                <w:lang w:val="en-US" w:eastAsia="zh-CN"/>
              </w:rPr>
              <w:t>5</w:t>
            </w:r>
            <w:r>
              <w:rPr>
                <w:color w:val="auto"/>
                <w:sz w:val="24"/>
              </w:rPr>
              <w:t>日前</w:t>
            </w:r>
          </w:p>
        </w:tc>
      </w:tr>
      <w:tr w14:paraId="50D94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101" w:type="dxa"/>
            <w:vAlign w:val="top"/>
          </w:tcPr>
          <w:p w14:paraId="357FB16C">
            <w:pPr>
              <w:pStyle w:val="35"/>
              <w:spacing w:before="12"/>
              <w:rPr>
                <w:b/>
                <w:color w:val="auto"/>
                <w:sz w:val="21"/>
              </w:rPr>
            </w:pPr>
          </w:p>
          <w:p w14:paraId="63BBDD0B">
            <w:pPr>
              <w:pStyle w:val="35"/>
              <w:ind w:left="166" w:right="158"/>
              <w:jc w:val="center"/>
              <w:rPr>
                <w:color w:val="auto"/>
                <w:sz w:val="24"/>
                <w:lang w:val="en-US"/>
              </w:rPr>
            </w:pPr>
            <w:r>
              <w:rPr>
                <w:color w:val="auto"/>
                <w:sz w:val="24"/>
              </w:rPr>
              <w:t>2.2</w:t>
            </w:r>
          </w:p>
        </w:tc>
        <w:tc>
          <w:tcPr>
            <w:tcW w:w="1710" w:type="dxa"/>
            <w:vAlign w:val="center"/>
          </w:tcPr>
          <w:p w14:paraId="204B7638">
            <w:pPr>
              <w:pStyle w:val="35"/>
              <w:spacing w:before="57" w:line="240" w:lineRule="auto"/>
              <w:ind w:left="250" w:right="238"/>
              <w:jc w:val="center"/>
              <w:rPr>
                <w:color w:val="auto"/>
                <w:sz w:val="24"/>
              </w:rPr>
            </w:pPr>
            <w:r>
              <w:rPr>
                <w:color w:val="auto"/>
                <w:sz w:val="24"/>
              </w:rPr>
              <w:t>采购人书面澄清的时间</w:t>
            </w:r>
          </w:p>
        </w:tc>
        <w:tc>
          <w:tcPr>
            <w:tcW w:w="7041" w:type="dxa"/>
            <w:vAlign w:val="top"/>
          </w:tcPr>
          <w:p w14:paraId="4DA32AE1">
            <w:pPr>
              <w:pStyle w:val="35"/>
              <w:spacing w:line="240" w:lineRule="auto"/>
              <w:ind w:left="107"/>
              <w:rPr>
                <w:color w:val="auto"/>
                <w:sz w:val="24"/>
              </w:rPr>
            </w:pPr>
          </w:p>
          <w:p w14:paraId="35F40AB5">
            <w:pPr>
              <w:pStyle w:val="35"/>
              <w:spacing w:line="240" w:lineRule="auto"/>
              <w:ind w:left="107"/>
              <w:rPr>
                <w:color w:val="auto"/>
                <w:sz w:val="24"/>
              </w:rPr>
            </w:pPr>
            <w:r>
              <w:rPr>
                <w:color w:val="auto"/>
                <w:sz w:val="24"/>
              </w:rPr>
              <w:t>递交磋商响应文件截止之日</w:t>
            </w:r>
            <w:r>
              <w:rPr>
                <w:rFonts w:hint="eastAsia"/>
                <w:color w:val="auto"/>
                <w:sz w:val="24"/>
                <w:lang w:val="en-US" w:eastAsia="zh-CN"/>
              </w:rPr>
              <w:t>5</w:t>
            </w:r>
            <w:r>
              <w:rPr>
                <w:color w:val="auto"/>
                <w:sz w:val="24"/>
              </w:rPr>
              <w:t>日前</w:t>
            </w:r>
          </w:p>
        </w:tc>
      </w:tr>
      <w:tr w14:paraId="464D0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top"/>
          </w:tcPr>
          <w:p w14:paraId="7CFC73F4">
            <w:pPr>
              <w:pStyle w:val="35"/>
              <w:spacing w:before="4"/>
              <w:rPr>
                <w:b/>
                <w:color w:val="auto"/>
                <w:sz w:val="34"/>
              </w:rPr>
            </w:pPr>
          </w:p>
          <w:p w14:paraId="6A49B264">
            <w:pPr>
              <w:pStyle w:val="35"/>
              <w:ind w:left="166" w:right="158"/>
              <w:jc w:val="center"/>
              <w:rPr>
                <w:color w:val="auto"/>
                <w:sz w:val="24"/>
                <w:lang w:val="en-US"/>
              </w:rPr>
            </w:pPr>
            <w:r>
              <w:rPr>
                <w:color w:val="auto"/>
                <w:sz w:val="24"/>
              </w:rPr>
              <w:t>2.3</w:t>
            </w:r>
          </w:p>
        </w:tc>
        <w:tc>
          <w:tcPr>
            <w:tcW w:w="1710" w:type="dxa"/>
            <w:vAlign w:val="center"/>
          </w:tcPr>
          <w:p w14:paraId="30A9F1F4">
            <w:pPr>
              <w:pStyle w:val="35"/>
              <w:spacing w:before="193" w:line="240" w:lineRule="auto"/>
              <w:ind w:right="100"/>
              <w:jc w:val="center"/>
              <w:rPr>
                <w:color w:val="auto"/>
                <w:sz w:val="24"/>
              </w:rPr>
            </w:pPr>
            <w:r>
              <w:rPr>
                <w:color w:val="auto"/>
                <w:sz w:val="24"/>
              </w:rPr>
              <w:t>磋商截止时间</w:t>
            </w:r>
          </w:p>
        </w:tc>
        <w:tc>
          <w:tcPr>
            <w:tcW w:w="7041" w:type="dxa"/>
            <w:vAlign w:val="center"/>
          </w:tcPr>
          <w:p w14:paraId="7316E28C">
            <w:pPr>
              <w:pStyle w:val="35"/>
              <w:spacing w:line="240" w:lineRule="auto"/>
              <w:ind w:left="107"/>
              <w:jc w:val="both"/>
              <w:rPr>
                <w:color w:val="auto"/>
                <w:sz w:val="24"/>
              </w:rPr>
            </w:pPr>
            <w:r>
              <w:rPr>
                <w:rFonts w:hint="eastAsia"/>
                <w:color w:val="auto"/>
                <w:sz w:val="24"/>
                <w:lang w:val="en-US" w:eastAsia="zh-CN"/>
              </w:rPr>
              <w:t>2025年8月1日08时40分</w:t>
            </w:r>
          </w:p>
        </w:tc>
      </w:tr>
      <w:tr w14:paraId="169C2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top"/>
          </w:tcPr>
          <w:p w14:paraId="1786A0CF">
            <w:pPr>
              <w:pStyle w:val="35"/>
              <w:spacing w:before="193"/>
              <w:ind w:left="166" w:right="158"/>
              <w:jc w:val="center"/>
              <w:rPr>
                <w:color w:val="auto"/>
                <w:sz w:val="24"/>
                <w:lang w:val="en-US"/>
              </w:rPr>
            </w:pPr>
            <w:r>
              <w:rPr>
                <w:color w:val="auto"/>
                <w:sz w:val="24"/>
              </w:rPr>
              <w:t>2.4</w:t>
            </w:r>
          </w:p>
        </w:tc>
        <w:tc>
          <w:tcPr>
            <w:tcW w:w="1710" w:type="dxa"/>
            <w:vAlign w:val="center"/>
          </w:tcPr>
          <w:p w14:paraId="3C8379A0">
            <w:pPr>
              <w:pStyle w:val="35"/>
              <w:spacing w:line="240" w:lineRule="auto"/>
              <w:ind w:right="100"/>
              <w:jc w:val="center"/>
              <w:rPr>
                <w:color w:val="auto"/>
                <w:sz w:val="24"/>
              </w:rPr>
            </w:pPr>
            <w:r>
              <w:rPr>
                <w:color w:val="auto"/>
                <w:sz w:val="24"/>
              </w:rPr>
              <w:t>磋商有效期</w:t>
            </w:r>
          </w:p>
        </w:tc>
        <w:tc>
          <w:tcPr>
            <w:tcW w:w="7041" w:type="dxa"/>
            <w:vAlign w:val="top"/>
          </w:tcPr>
          <w:p w14:paraId="576177D3">
            <w:pPr>
              <w:pStyle w:val="35"/>
              <w:spacing w:before="7" w:line="240" w:lineRule="auto"/>
              <w:rPr>
                <w:b/>
                <w:color w:val="auto"/>
                <w:sz w:val="18"/>
              </w:rPr>
            </w:pPr>
          </w:p>
          <w:p w14:paraId="4E29BC95">
            <w:pPr>
              <w:pStyle w:val="35"/>
              <w:spacing w:line="240" w:lineRule="auto"/>
              <w:ind w:left="107"/>
              <w:rPr>
                <w:color w:val="auto"/>
                <w:sz w:val="24"/>
              </w:rPr>
            </w:pPr>
            <w:r>
              <w:rPr>
                <w:color w:val="auto"/>
                <w:sz w:val="24"/>
              </w:rPr>
              <w:t>60日历天</w:t>
            </w:r>
          </w:p>
        </w:tc>
      </w:tr>
      <w:tr w14:paraId="2AF6B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101" w:type="dxa"/>
            <w:vAlign w:val="top"/>
          </w:tcPr>
          <w:p w14:paraId="1B656D48">
            <w:pPr>
              <w:pStyle w:val="35"/>
              <w:spacing w:before="7"/>
              <w:rPr>
                <w:b/>
                <w:color w:val="auto"/>
                <w:sz w:val="18"/>
              </w:rPr>
            </w:pPr>
          </w:p>
          <w:p w14:paraId="2EEA551D">
            <w:pPr>
              <w:pStyle w:val="35"/>
              <w:ind w:left="166" w:right="158"/>
              <w:jc w:val="center"/>
              <w:rPr>
                <w:color w:val="auto"/>
                <w:sz w:val="24"/>
                <w:lang w:val="en-US"/>
              </w:rPr>
            </w:pPr>
            <w:r>
              <w:rPr>
                <w:color w:val="auto"/>
                <w:sz w:val="24"/>
              </w:rPr>
              <w:t>2.5</w:t>
            </w:r>
          </w:p>
        </w:tc>
        <w:tc>
          <w:tcPr>
            <w:tcW w:w="1710" w:type="dxa"/>
            <w:vAlign w:val="center"/>
          </w:tcPr>
          <w:p w14:paraId="430C534C">
            <w:pPr>
              <w:pStyle w:val="35"/>
              <w:spacing w:before="1" w:line="240" w:lineRule="auto"/>
              <w:ind w:right="100"/>
              <w:jc w:val="center"/>
              <w:rPr>
                <w:color w:val="auto"/>
                <w:sz w:val="24"/>
              </w:rPr>
            </w:pPr>
            <w:r>
              <w:rPr>
                <w:color w:val="auto"/>
                <w:sz w:val="24"/>
              </w:rPr>
              <w:t>磋商保证金</w:t>
            </w:r>
          </w:p>
        </w:tc>
        <w:tc>
          <w:tcPr>
            <w:tcW w:w="7041" w:type="dxa"/>
            <w:vAlign w:val="top"/>
          </w:tcPr>
          <w:p w14:paraId="2E30D88B">
            <w:pPr>
              <w:pStyle w:val="35"/>
              <w:spacing w:before="103" w:line="240" w:lineRule="auto"/>
              <w:rPr>
                <w:color w:val="auto"/>
                <w:sz w:val="24"/>
              </w:rPr>
            </w:pPr>
            <w:r>
              <w:rPr>
                <w:rFonts w:hint="eastAsia"/>
                <w:color w:val="auto"/>
                <w:sz w:val="24"/>
              </w:rPr>
              <w:t>按照《河南省财政厅关于优化政府采购营商环境有关问题的通知》（豫财购[2019]4号文）的要求本项目不再收取投标保证金</w:t>
            </w:r>
          </w:p>
        </w:tc>
      </w:tr>
      <w:tr w14:paraId="12744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101" w:type="dxa"/>
            <w:vAlign w:val="top"/>
          </w:tcPr>
          <w:p w14:paraId="0492781D">
            <w:pPr>
              <w:pStyle w:val="35"/>
              <w:jc w:val="center"/>
              <w:rPr>
                <w:b/>
                <w:color w:val="auto"/>
                <w:sz w:val="24"/>
              </w:rPr>
            </w:pPr>
          </w:p>
          <w:p w14:paraId="557D4FA2">
            <w:pPr>
              <w:pStyle w:val="35"/>
              <w:jc w:val="center"/>
              <w:rPr>
                <w:b/>
                <w:color w:val="auto"/>
                <w:sz w:val="24"/>
              </w:rPr>
            </w:pPr>
          </w:p>
          <w:p w14:paraId="4DBC36BF">
            <w:pPr>
              <w:pStyle w:val="35"/>
              <w:spacing w:before="1"/>
              <w:ind w:right="158"/>
              <w:jc w:val="center"/>
              <w:rPr>
                <w:color w:val="auto"/>
                <w:sz w:val="24"/>
                <w:lang w:val="en-US"/>
              </w:rPr>
            </w:pPr>
            <w:r>
              <w:rPr>
                <w:color w:val="auto"/>
                <w:sz w:val="24"/>
              </w:rPr>
              <w:t>2.6</w:t>
            </w:r>
          </w:p>
        </w:tc>
        <w:tc>
          <w:tcPr>
            <w:tcW w:w="1710" w:type="dxa"/>
            <w:vAlign w:val="center"/>
          </w:tcPr>
          <w:p w14:paraId="4ADA112D">
            <w:pPr>
              <w:pStyle w:val="35"/>
              <w:spacing w:before="130" w:line="240" w:lineRule="auto"/>
              <w:ind w:right="118"/>
              <w:jc w:val="center"/>
              <w:rPr>
                <w:color w:val="auto"/>
                <w:sz w:val="24"/>
              </w:rPr>
            </w:pPr>
            <w:r>
              <w:rPr>
                <w:color w:val="auto"/>
                <w:sz w:val="24"/>
              </w:rPr>
              <w:t>近年完成的类似项目的年份</w:t>
            </w:r>
          </w:p>
          <w:p w14:paraId="53164334">
            <w:pPr>
              <w:pStyle w:val="35"/>
              <w:spacing w:before="3" w:line="240" w:lineRule="auto"/>
              <w:ind w:left="110" w:right="100"/>
              <w:jc w:val="center"/>
              <w:rPr>
                <w:color w:val="auto"/>
                <w:sz w:val="24"/>
              </w:rPr>
            </w:pPr>
            <w:r>
              <w:rPr>
                <w:color w:val="auto"/>
                <w:sz w:val="24"/>
              </w:rPr>
              <w:t>要求</w:t>
            </w:r>
          </w:p>
        </w:tc>
        <w:tc>
          <w:tcPr>
            <w:tcW w:w="7041" w:type="dxa"/>
            <w:vAlign w:val="top"/>
          </w:tcPr>
          <w:p w14:paraId="45EF61EA">
            <w:pPr>
              <w:pStyle w:val="35"/>
              <w:spacing w:line="240" w:lineRule="auto"/>
              <w:rPr>
                <w:b/>
                <w:color w:val="auto"/>
                <w:sz w:val="24"/>
              </w:rPr>
            </w:pPr>
          </w:p>
          <w:p w14:paraId="68483A99">
            <w:pPr>
              <w:pStyle w:val="35"/>
              <w:spacing w:before="1" w:line="240" w:lineRule="auto"/>
              <w:ind w:left="107"/>
              <w:rPr>
                <w:color w:val="auto"/>
                <w:sz w:val="24"/>
              </w:rPr>
            </w:pPr>
            <w:r>
              <w:rPr>
                <w:color w:val="auto"/>
                <w:sz w:val="24"/>
              </w:rPr>
              <w:t>20</w:t>
            </w:r>
            <w:r>
              <w:rPr>
                <w:rFonts w:hint="eastAsia"/>
                <w:color w:val="auto"/>
                <w:sz w:val="24"/>
                <w:lang w:val="en-US" w:eastAsia="zh-CN"/>
              </w:rPr>
              <w:t>22</w:t>
            </w:r>
            <w:r>
              <w:rPr>
                <w:color w:val="auto"/>
                <w:sz w:val="24"/>
              </w:rPr>
              <w:t>年</w:t>
            </w:r>
            <w:r>
              <w:rPr>
                <w:rFonts w:hint="eastAsia"/>
                <w:color w:val="auto"/>
                <w:sz w:val="24"/>
                <w:lang w:val="en-US"/>
              </w:rPr>
              <w:t>01</w:t>
            </w:r>
            <w:r>
              <w:rPr>
                <w:color w:val="auto"/>
                <w:sz w:val="24"/>
              </w:rPr>
              <w:t>月</w:t>
            </w:r>
            <w:r>
              <w:rPr>
                <w:rFonts w:hint="eastAsia"/>
                <w:color w:val="auto"/>
                <w:sz w:val="24"/>
                <w:lang w:val="en-US"/>
              </w:rPr>
              <w:t>0</w:t>
            </w:r>
            <w:r>
              <w:rPr>
                <w:color w:val="auto"/>
                <w:sz w:val="24"/>
              </w:rPr>
              <w:t>1日以来</w:t>
            </w:r>
            <w:r>
              <w:rPr>
                <w:rFonts w:hint="eastAsia"/>
                <w:color w:val="auto"/>
                <w:sz w:val="24"/>
                <w:lang w:val="en-US" w:eastAsia="zh-CN"/>
              </w:rPr>
              <w:t>同</w:t>
            </w:r>
            <w:r>
              <w:rPr>
                <w:rFonts w:hint="eastAsia"/>
                <w:color w:val="auto"/>
                <w:sz w:val="24"/>
                <w:lang w:eastAsia="zh-CN"/>
              </w:rPr>
              <w:t>类项目</w:t>
            </w:r>
          </w:p>
        </w:tc>
      </w:tr>
      <w:tr w14:paraId="04C9B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7" w:hRule="atLeast"/>
        </w:trPr>
        <w:tc>
          <w:tcPr>
            <w:tcW w:w="1101" w:type="dxa"/>
            <w:vAlign w:val="top"/>
          </w:tcPr>
          <w:p w14:paraId="587A4BD5">
            <w:pPr>
              <w:pStyle w:val="35"/>
              <w:rPr>
                <w:b/>
                <w:color w:val="auto"/>
                <w:sz w:val="24"/>
              </w:rPr>
            </w:pPr>
          </w:p>
          <w:p w14:paraId="46D31316">
            <w:pPr>
              <w:pStyle w:val="35"/>
              <w:spacing w:before="11"/>
              <w:rPr>
                <w:b/>
                <w:color w:val="auto"/>
                <w:sz w:val="21"/>
              </w:rPr>
            </w:pPr>
          </w:p>
          <w:p w14:paraId="5EE35F36">
            <w:pPr>
              <w:pStyle w:val="35"/>
              <w:spacing w:before="1"/>
              <w:ind w:left="166" w:right="158"/>
              <w:jc w:val="center"/>
              <w:rPr>
                <w:color w:val="auto"/>
                <w:sz w:val="24"/>
              </w:rPr>
            </w:pPr>
            <w:r>
              <w:rPr>
                <w:color w:val="auto"/>
                <w:sz w:val="24"/>
              </w:rPr>
              <w:t>2.7</w:t>
            </w:r>
          </w:p>
        </w:tc>
        <w:tc>
          <w:tcPr>
            <w:tcW w:w="1710" w:type="dxa"/>
            <w:vAlign w:val="center"/>
          </w:tcPr>
          <w:p w14:paraId="5796F53D">
            <w:pPr>
              <w:pStyle w:val="35"/>
              <w:spacing w:line="240" w:lineRule="auto"/>
              <w:ind w:right="238"/>
              <w:jc w:val="center"/>
              <w:rPr>
                <w:rFonts w:hint="default" w:eastAsia="宋体"/>
                <w:color w:val="FF0000"/>
                <w:sz w:val="24"/>
                <w:lang w:val="en-US" w:eastAsia="zh-CN"/>
              </w:rPr>
            </w:pPr>
            <w:r>
              <w:rPr>
                <w:rFonts w:hint="eastAsia"/>
                <w:color w:val="auto"/>
                <w:sz w:val="24"/>
              </w:rPr>
              <w:t>响应文件签</w:t>
            </w:r>
            <w:r>
              <w:rPr>
                <w:color w:val="auto"/>
                <w:sz w:val="24"/>
              </w:rPr>
              <w:t>章要求</w:t>
            </w:r>
          </w:p>
        </w:tc>
        <w:tc>
          <w:tcPr>
            <w:tcW w:w="7041" w:type="dxa"/>
            <w:vAlign w:val="top"/>
          </w:tcPr>
          <w:p w14:paraId="38166809">
            <w:pPr>
              <w:pStyle w:val="35"/>
              <w:spacing w:before="156" w:line="240" w:lineRule="auto"/>
              <w:ind w:left="107" w:right="96"/>
              <w:rPr>
                <w:rFonts w:hint="eastAsia" w:eastAsia="宋体"/>
                <w:color w:val="FF0000"/>
                <w:sz w:val="24"/>
                <w:lang w:eastAsia="zh-CN"/>
              </w:rPr>
            </w:pPr>
            <w:r>
              <w:rPr>
                <w:color w:val="auto"/>
                <w:sz w:val="24"/>
              </w:rPr>
              <w:t>磋商响应供应商在进行电子化磋商响应文件签章时，竞争性磋商文件中要求磋商响应供应商盖章的，以签盖单位章为准；要求法定代表人</w:t>
            </w:r>
            <w:r>
              <w:rPr>
                <w:rFonts w:hint="eastAsia"/>
                <w:color w:val="auto"/>
                <w:sz w:val="24"/>
              </w:rPr>
              <w:t>或授权委托人签字盖章</w:t>
            </w:r>
            <w:r>
              <w:rPr>
                <w:color w:val="auto"/>
                <w:sz w:val="24"/>
              </w:rPr>
              <w:t>的，以法定代表人签章为准</w:t>
            </w:r>
          </w:p>
        </w:tc>
      </w:tr>
      <w:tr w14:paraId="3C176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5" w:hRule="atLeast"/>
        </w:trPr>
        <w:tc>
          <w:tcPr>
            <w:tcW w:w="1101" w:type="dxa"/>
            <w:vAlign w:val="top"/>
          </w:tcPr>
          <w:p w14:paraId="4554C490">
            <w:pPr>
              <w:pStyle w:val="35"/>
              <w:rPr>
                <w:b/>
                <w:color w:val="auto"/>
                <w:sz w:val="24"/>
              </w:rPr>
            </w:pPr>
          </w:p>
          <w:p w14:paraId="235661F6">
            <w:pPr>
              <w:pStyle w:val="35"/>
              <w:rPr>
                <w:b/>
                <w:color w:val="auto"/>
                <w:sz w:val="24"/>
              </w:rPr>
            </w:pPr>
          </w:p>
          <w:p w14:paraId="006E8676">
            <w:pPr>
              <w:pStyle w:val="35"/>
              <w:ind w:left="369"/>
              <w:rPr>
                <w:color w:val="auto"/>
                <w:sz w:val="24"/>
              </w:rPr>
            </w:pPr>
            <w:r>
              <w:rPr>
                <w:color w:val="auto"/>
                <w:sz w:val="24"/>
              </w:rPr>
              <w:t>2.8</w:t>
            </w:r>
          </w:p>
        </w:tc>
        <w:tc>
          <w:tcPr>
            <w:tcW w:w="1710" w:type="dxa"/>
            <w:vAlign w:val="center"/>
          </w:tcPr>
          <w:p w14:paraId="25028E2A">
            <w:pPr>
              <w:pStyle w:val="35"/>
              <w:spacing w:before="194" w:line="240" w:lineRule="auto"/>
              <w:ind w:right="118"/>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电子化磋商响应文件的格式及上传</w:t>
            </w:r>
          </w:p>
        </w:tc>
        <w:tc>
          <w:tcPr>
            <w:tcW w:w="7041" w:type="dxa"/>
            <w:vAlign w:val="top"/>
          </w:tcPr>
          <w:p w14:paraId="6CC87E9E">
            <w:pPr>
              <w:pStyle w:val="35"/>
              <w:spacing w:line="240" w:lineRule="auto"/>
              <w:ind w:left="107" w:right="9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投标供应商所上传的电子化响应文件，应是通过中心响应文件制作系统制作的，经过签章和加密后生成的电子版响应文件。上传投标文件格式后缀为SMXTF。上传完后，为了验证CA锁是否正常，建议模拟解密下。</w:t>
            </w:r>
          </w:p>
        </w:tc>
      </w:tr>
      <w:tr w14:paraId="7B4ED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center"/>
          </w:tcPr>
          <w:p w14:paraId="36028BA6">
            <w:pPr>
              <w:pStyle w:val="35"/>
              <w:jc w:val="center"/>
              <w:rPr>
                <w:color w:val="auto"/>
                <w:sz w:val="24"/>
              </w:rPr>
            </w:pPr>
            <w:r>
              <w:rPr>
                <w:color w:val="auto"/>
                <w:sz w:val="24"/>
              </w:rPr>
              <w:t>2.9</w:t>
            </w:r>
          </w:p>
        </w:tc>
        <w:tc>
          <w:tcPr>
            <w:tcW w:w="1710" w:type="dxa"/>
            <w:vAlign w:val="center"/>
          </w:tcPr>
          <w:p w14:paraId="62E9FECA">
            <w:pPr>
              <w:pStyle w:val="35"/>
              <w:spacing w:line="240" w:lineRule="auto"/>
              <w:ind w:right="358"/>
              <w:jc w:val="center"/>
              <w:rPr>
                <w:color w:val="auto"/>
                <w:sz w:val="24"/>
              </w:rPr>
            </w:pPr>
            <w:r>
              <w:rPr>
                <w:rFonts w:hint="eastAsia"/>
                <w:color w:val="auto"/>
                <w:sz w:val="24"/>
              </w:rPr>
              <w:t>开</w:t>
            </w:r>
            <w:r>
              <w:rPr>
                <w:rFonts w:hint="eastAsia"/>
                <w:color w:val="auto"/>
                <w:sz w:val="24"/>
                <w:lang w:val="en-US" w:eastAsia="zh-CN"/>
              </w:rPr>
              <w:t>评标</w:t>
            </w:r>
            <w:r>
              <w:rPr>
                <w:color w:val="auto"/>
                <w:sz w:val="24"/>
              </w:rPr>
              <w:t>地点</w:t>
            </w:r>
          </w:p>
        </w:tc>
        <w:tc>
          <w:tcPr>
            <w:tcW w:w="7041" w:type="dxa"/>
            <w:vAlign w:val="center"/>
          </w:tcPr>
          <w:p w14:paraId="3771D0BB">
            <w:pPr>
              <w:pStyle w:val="35"/>
              <w:spacing w:line="240" w:lineRule="auto"/>
              <w:ind w:left="107" w:right="96"/>
              <w:rPr>
                <w:rFonts w:hint="eastAsia"/>
                <w:color w:val="000000" w:themeColor="text1"/>
                <w:sz w:val="24"/>
                <w:lang w:val="en-US"/>
                <w14:textFill>
                  <w14:solidFill>
                    <w14:schemeClr w14:val="tx1"/>
                  </w14:solidFill>
                </w14:textFill>
              </w:rPr>
            </w:pPr>
            <w:r>
              <w:rPr>
                <w:rFonts w:hint="eastAsia"/>
                <w:color w:val="000000" w:themeColor="text1"/>
                <w:sz w:val="24"/>
                <w:lang w:val="en-US"/>
                <w14:textFill>
                  <w14:solidFill>
                    <w14:schemeClr w14:val="tx1"/>
                  </w14:solidFill>
                </w14:textFill>
              </w:rPr>
              <w:t>开标地点：卢氏县公共资源交易中心</w:t>
            </w:r>
            <w:r>
              <w:rPr>
                <w:rFonts w:hint="eastAsia"/>
                <w:color w:val="000000" w:themeColor="text1"/>
                <w:sz w:val="24"/>
                <w:lang w:val="en-US" w:eastAsia="zh-CN"/>
                <w14:textFill>
                  <w14:solidFill>
                    <w14:schemeClr w14:val="tx1"/>
                  </w14:solidFill>
                </w14:textFill>
              </w:rPr>
              <w:t>四</w:t>
            </w:r>
            <w:r>
              <w:rPr>
                <w:rFonts w:hint="eastAsia"/>
                <w:color w:val="000000" w:themeColor="text1"/>
                <w:sz w:val="24"/>
                <w:lang w:val="en-US"/>
                <w14:textFill>
                  <w14:solidFill>
                    <w14:schemeClr w14:val="tx1"/>
                  </w14:solidFill>
                </w14:textFill>
              </w:rPr>
              <w:t>楼第</w:t>
            </w:r>
            <w:r>
              <w:rPr>
                <w:rFonts w:hint="eastAsia"/>
                <w:color w:val="000000" w:themeColor="text1"/>
                <w:sz w:val="24"/>
                <w:lang w:val="en-US" w:eastAsia="zh-CN"/>
                <w14:textFill>
                  <w14:solidFill>
                    <w14:schemeClr w14:val="tx1"/>
                  </w14:solidFill>
                </w14:textFill>
              </w:rPr>
              <w:t>二</w:t>
            </w:r>
            <w:r>
              <w:rPr>
                <w:rFonts w:hint="eastAsia"/>
                <w:color w:val="000000" w:themeColor="text1"/>
                <w:sz w:val="24"/>
                <w:lang w:val="en-US"/>
                <w14:textFill>
                  <w14:solidFill>
                    <w14:schemeClr w14:val="tx1"/>
                  </w14:solidFill>
                </w14:textFill>
              </w:rPr>
              <w:t>开标室；</w:t>
            </w:r>
          </w:p>
          <w:p w14:paraId="7E66AB22">
            <w:pPr>
              <w:pStyle w:val="35"/>
              <w:spacing w:line="240" w:lineRule="auto"/>
              <w:ind w:left="107" w:right="96"/>
              <w:rPr>
                <w:color w:val="auto"/>
                <w:sz w:val="24"/>
              </w:rPr>
            </w:pPr>
            <w:r>
              <w:rPr>
                <w:rFonts w:hint="eastAsia"/>
                <w:color w:val="000000" w:themeColor="text1"/>
                <w:sz w:val="24"/>
                <w:lang w:val="en-US"/>
                <w14:textFill>
                  <w14:solidFill>
                    <w14:schemeClr w14:val="tx1"/>
                  </w14:solidFill>
                </w14:textFill>
              </w:rPr>
              <w:t>评标地点：卢氏县公共资源交易中心</w:t>
            </w:r>
            <w:r>
              <w:rPr>
                <w:rFonts w:hint="eastAsia"/>
                <w:color w:val="000000" w:themeColor="text1"/>
                <w:sz w:val="24"/>
                <w:lang w:val="en-US" w:eastAsia="zh-CN"/>
                <w14:textFill>
                  <w14:solidFill>
                    <w14:schemeClr w14:val="tx1"/>
                  </w14:solidFill>
                </w14:textFill>
              </w:rPr>
              <w:t>二</w:t>
            </w:r>
            <w:r>
              <w:rPr>
                <w:rFonts w:hint="eastAsia"/>
                <w:color w:val="000000" w:themeColor="text1"/>
                <w:sz w:val="24"/>
                <w:lang w:val="en-US"/>
                <w14:textFill>
                  <w14:solidFill>
                    <w14:schemeClr w14:val="tx1"/>
                  </w14:solidFill>
                </w14:textFill>
              </w:rPr>
              <w:t>楼第</w:t>
            </w:r>
            <w:r>
              <w:rPr>
                <w:rFonts w:hint="eastAsia"/>
                <w:color w:val="000000" w:themeColor="text1"/>
                <w:sz w:val="24"/>
                <w:lang w:val="en-US" w:eastAsia="zh-CN"/>
                <w14:textFill>
                  <w14:solidFill>
                    <w14:schemeClr w14:val="tx1"/>
                  </w14:solidFill>
                </w14:textFill>
              </w:rPr>
              <w:t>二评</w:t>
            </w:r>
            <w:r>
              <w:rPr>
                <w:rFonts w:hint="eastAsia"/>
                <w:color w:val="000000" w:themeColor="text1"/>
                <w:sz w:val="24"/>
                <w:lang w:val="en-US"/>
                <w14:textFill>
                  <w14:solidFill>
                    <w14:schemeClr w14:val="tx1"/>
                  </w14:solidFill>
                </w14:textFill>
              </w:rPr>
              <w:t>标室；</w:t>
            </w:r>
          </w:p>
        </w:tc>
      </w:tr>
      <w:tr w14:paraId="06CD6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center"/>
          </w:tcPr>
          <w:p w14:paraId="7C5A364E">
            <w:pPr>
              <w:pStyle w:val="35"/>
              <w:ind w:left="348"/>
              <w:jc w:val="both"/>
              <w:rPr>
                <w:color w:val="auto"/>
                <w:sz w:val="24"/>
              </w:rPr>
            </w:pPr>
            <w:r>
              <w:rPr>
                <w:color w:val="auto"/>
                <w:sz w:val="24"/>
              </w:rPr>
              <w:t>3.0</w:t>
            </w:r>
          </w:p>
        </w:tc>
        <w:tc>
          <w:tcPr>
            <w:tcW w:w="1710" w:type="dxa"/>
            <w:vAlign w:val="center"/>
          </w:tcPr>
          <w:p w14:paraId="34605707">
            <w:pPr>
              <w:pStyle w:val="35"/>
              <w:spacing w:line="240" w:lineRule="auto"/>
              <w:ind w:left="490" w:right="358" w:hanging="12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磋商顺序</w:t>
            </w:r>
          </w:p>
        </w:tc>
        <w:tc>
          <w:tcPr>
            <w:tcW w:w="7041" w:type="dxa"/>
            <w:vAlign w:val="center"/>
          </w:tcPr>
          <w:p w14:paraId="10106A7F">
            <w:pPr>
              <w:pStyle w:val="35"/>
              <w:spacing w:line="240" w:lineRule="auto"/>
              <w:ind w:right="358"/>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按电子化磋商响应文件上传的顺序磋商。</w:t>
            </w:r>
          </w:p>
        </w:tc>
      </w:tr>
      <w:tr w14:paraId="0EECB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101" w:type="dxa"/>
            <w:vAlign w:val="center"/>
          </w:tcPr>
          <w:p w14:paraId="6F410454">
            <w:pPr>
              <w:pStyle w:val="35"/>
              <w:spacing w:line="360" w:lineRule="auto"/>
              <w:ind w:left="490" w:right="358" w:hanging="120"/>
              <w:jc w:val="center"/>
              <w:rPr>
                <w:color w:val="auto"/>
                <w:sz w:val="24"/>
              </w:rPr>
            </w:pPr>
            <w:r>
              <w:rPr>
                <w:color w:val="auto"/>
                <w:sz w:val="24"/>
              </w:rPr>
              <w:t>3.1</w:t>
            </w:r>
          </w:p>
        </w:tc>
        <w:tc>
          <w:tcPr>
            <w:tcW w:w="1710" w:type="dxa"/>
            <w:vAlign w:val="center"/>
          </w:tcPr>
          <w:p w14:paraId="11D5126B">
            <w:pPr>
              <w:pStyle w:val="35"/>
              <w:spacing w:line="240" w:lineRule="auto"/>
              <w:ind w:left="490" w:right="358" w:hanging="120"/>
              <w:jc w:val="center"/>
              <w:rPr>
                <w:rFonts w:hint="eastAsia"/>
                <w:color w:val="auto"/>
                <w:sz w:val="24"/>
              </w:rPr>
            </w:pPr>
            <w:r>
              <w:rPr>
                <w:rFonts w:hint="eastAsia"/>
                <w:color w:val="auto"/>
                <w:sz w:val="24"/>
              </w:rPr>
              <w:t>磋商小组的组建</w:t>
            </w:r>
          </w:p>
        </w:tc>
        <w:tc>
          <w:tcPr>
            <w:tcW w:w="7041" w:type="dxa"/>
            <w:vAlign w:val="top"/>
          </w:tcPr>
          <w:p w14:paraId="3A13222E">
            <w:pPr>
              <w:pStyle w:val="35"/>
              <w:keepNext w:val="0"/>
              <w:keepLines w:val="0"/>
              <w:pageBreakBefore w:val="0"/>
              <w:widowControl w:val="0"/>
              <w:kinsoku/>
              <w:wordWrap w:val="0"/>
              <w:overflowPunct/>
              <w:topLinePunct w:val="0"/>
              <w:autoSpaceDE w:val="0"/>
              <w:autoSpaceDN w:val="0"/>
              <w:bidi w:val="0"/>
              <w:adjustRightInd/>
              <w:snapToGrid/>
              <w:spacing w:line="240" w:lineRule="auto"/>
              <w:ind w:left="0" w:right="0" w:firstLine="0"/>
              <w:textAlignment w:val="auto"/>
              <w:rPr>
                <w:rFonts w:hint="eastAsia"/>
                <w:color w:val="auto"/>
                <w:sz w:val="24"/>
              </w:rPr>
            </w:pPr>
            <w:r>
              <w:rPr>
                <w:rFonts w:hint="eastAsia"/>
                <w:color w:val="auto"/>
                <w:sz w:val="24"/>
                <w:lang w:val="en-US"/>
              </w:rPr>
              <w:t>磋商小组成员为 3 人，采购人代表 1 人，其余技术、经济等方面的专家 2 人</w:t>
            </w:r>
            <w:r>
              <w:rPr>
                <w:rFonts w:hint="eastAsia"/>
                <w:color w:val="auto"/>
                <w:sz w:val="24"/>
                <w:lang w:val="en-US" w:eastAsia="zh-CN"/>
              </w:rPr>
              <w:t>，</w:t>
            </w:r>
            <w:r>
              <w:rPr>
                <w:rFonts w:hint="eastAsia"/>
                <w:color w:val="auto"/>
                <w:sz w:val="24"/>
                <w:lang w:val="en-US"/>
              </w:rPr>
              <w:t>从</w:t>
            </w:r>
            <w:r>
              <w:rPr>
                <w:rFonts w:hint="eastAsia"/>
                <w:color w:val="auto"/>
                <w:sz w:val="24"/>
                <w:lang w:val="en-US" w:eastAsia="zh-CN"/>
              </w:rPr>
              <w:t>河南省财政厅专家库卢氏终端</w:t>
            </w:r>
            <w:r>
              <w:rPr>
                <w:rFonts w:hint="eastAsia"/>
                <w:color w:val="auto"/>
                <w:sz w:val="24"/>
                <w:lang w:val="en-US"/>
              </w:rPr>
              <w:t>随机抽取。</w:t>
            </w:r>
          </w:p>
        </w:tc>
      </w:tr>
      <w:tr w14:paraId="3DE91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7" w:hRule="atLeast"/>
        </w:trPr>
        <w:tc>
          <w:tcPr>
            <w:tcW w:w="1101" w:type="dxa"/>
            <w:vAlign w:val="center"/>
          </w:tcPr>
          <w:p w14:paraId="53B6C3B9">
            <w:pPr>
              <w:pStyle w:val="35"/>
              <w:jc w:val="center"/>
              <w:rPr>
                <w:color w:val="auto"/>
                <w:sz w:val="24"/>
              </w:rPr>
            </w:pPr>
            <w:r>
              <w:rPr>
                <w:color w:val="auto"/>
                <w:sz w:val="24"/>
              </w:rPr>
              <w:t>3.2</w:t>
            </w:r>
          </w:p>
        </w:tc>
        <w:tc>
          <w:tcPr>
            <w:tcW w:w="1710" w:type="dxa"/>
            <w:vAlign w:val="center"/>
          </w:tcPr>
          <w:p w14:paraId="474FCBFB">
            <w:pPr>
              <w:pStyle w:val="35"/>
              <w:spacing w:before="129" w:line="357" w:lineRule="auto"/>
              <w:ind w:left="130" w:right="118"/>
              <w:jc w:val="center"/>
              <w:rPr>
                <w:color w:val="auto"/>
                <w:sz w:val="24"/>
              </w:rPr>
            </w:pPr>
            <w:r>
              <w:rPr>
                <w:color w:val="auto"/>
                <w:sz w:val="24"/>
              </w:rPr>
              <w:t>是否授权磋商专家确定成交</w:t>
            </w:r>
          </w:p>
          <w:p w14:paraId="7ABB1C35">
            <w:pPr>
              <w:pStyle w:val="35"/>
              <w:spacing w:before="3"/>
              <w:ind w:left="110" w:right="100"/>
              <w:jc w:val="center"/>
              <w:rPr>
                <w:color w:val="auto"/>
                <w:sz w:val="24"/>
              </w:rPr>
            </w:pPr>
            <w:r>
              <w:rPr>
                <w:color w:val="auto"/>
                <w:sz w:val="24"/>
              </w:rPr>
              <w:t>供应商</w:t>
            </w:r>
          </w:p>
        </w:tc>
        <w:tc>
          <w:tcPr>
            <w:tcW w:w="7041" w:type="dxa"/>
            <w:vAlign w:val="center"/>
          </w:tcPr>
          <w:p w14:paraId="21D1A7AC">
            <w:pPr>
              <w:pStyle w:val="35"/>
              <w:ind w:left="107"/>
              <w:jc w:val="both"/>
              <w:rPr>
                <w:color w:val="auto"/>
                <w:sz w:val="24"/>
              </w:rPr>
            </w:pPr>
            <w:r>
              <w:rPr>
                <w:rFonts w:hint="eastAsia"/>
                <w:color w:val="auto"/>
                <w:sz w:val="24"/>
              </w:rPr>
              <w:t>否，由磋商小组按照评审得分由高到底推荐3名成交候选供应商</w:t>
            </w:r>
          </w:p>
        </w:tc>
      </w:tr>
      <w:tr w14:paraId="3325A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trPr>
        <w:tc>
          <w:tcPr>
            <w:tcW w:w="1101" w:type="dxa"/>
            <w:vAlign w:val="top"/>
          </w:tcPr>
          <w:p w14:paraId="7C08FACF">
            <w:pPr>
              <w:pStyle w:val="35"/>
              <w:rPr>
                <w:b/>
                <w:color w:val="auto"/>
                <w:sz w:val="24"/>
              </w:rPr>
            </w:pPr>
          </w:p>
          <w:p w14:paraId="7F253D28">
            <w:pPr>
              <w:pStyle w:val="35"/>
              <w:ind w:left="369"/>
              <w:rPr>
                <w:color w:val="auto"/>
                <w:sz w:val="24"/>
              </w:rPr>
            </w:pPr>
            <w:r>
              <w:rPr>
                <w:color w:val="auto"/>
                <w:sz w:val="24"/>
              </w:rPr>
              <w:t>3.3</w:t>
            </w:r>
          </w:p>
        </w:tc>
        <w:tc>
          <w:tcPr>
            <w:tcW w:w="1710" w:type="dxa"/>
            <w:vAlign w:val="center"/>
          </w:tcPr>
          <w:p w14:paraId="17ACDD98">
            <w:pPr>
              <w:pStyle w:val="35"/>
              <w:ind w:left="107"/>
              <w:jc w:val="center"/>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14:textFill>
                  <w14:solidFill>
                    <w14:schemeClr w14:val="tx1"/>
                  </w14:solidFill>
                </w14:textFill>
              </w:rPr>
              <w:t>付款方式</w:t>
            </w:r>
          </w:p>
        </w:tc>
        <w:tc>
          <w:tcPr>
            <w:tcW w:w="7041" w:type="dxa"/>
            <w:vAlign w:val="center"/>
          </w:tcPr>
          <w:p w14:paraId="79A13ADD">
            <w:pPr>
              <w:pStyle w:val="35"/>
              <w:jc w:val="both"/>
              <w:rPr>
                <w:rFonts w:hint="eastAsia"/>
                <w:color w:val="000000" w:themeColor="text1"/>
                <w:sz w:val="24"/>
                <w:highlight w:val="none"/>
                <w:lang w:val="en-US" w:eastAsia="zh-CN"/>
                <w14:textFill>
                  <w14:solidFill>
                    <w14:schemeClr w14:val="tx1"/>
                  </w14:solidFill>
                </w14:textFill>
              </w:rPr>
            </w:pPr>
          </w:p>
          <w:p w14:paraId="44A532A4">
            <w:pPr>
              <w:pStyle w:val="35"/>
              <w:spacing w:line="360" w:lineRule="auto"/>
              <w:jc w:val="both"/>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合</w:t>
            </w:r>
            <w:r>
              <w:rPr>
                <w:rFonts w:hint="eastAsia"/>
                <w:color w:val="auto"/>
                <w:sz w:val="24"/>
                <w:lang w:val="en-US" w:eastAsia="zh-CN"/>
              </w:rPr>
              <w:t>同签订后，为保证设计质量，设计成果必须</w:t>
            </w:r>
            <w:r>
              <w:rPr>
                <w:rFonts w:hint="eastAsia"/>
                <w:color w:val="auto"/>
                <w:sz w:val="24"/>
                <w:lang w:val="en-US"/>
              </w:rPr>
              <w:t>符合国家现行规范和标准，</w:t>
            </w:r>
            <w:r>
              <w:rPr>
                <w:rFonts w:hint="eastAsia"/>
                <w:color w:val="auto"/>
                <w:sz w:val="24"/>
                <w:lang w:val="en-US" w:eastAsia="zh-CN"/>
              </w:rPr>
              <w:t>符合预算要求，设计成果落地率达90%以上，认定为合格，付款100%，设计成果落地率达80%以上付设计总价的90%，设计成果落地率达70%以上付设计总价的80%；</w:t>
            </w:r>
          </w:p>
        </w:tc>
      </w:tr>
      <w:tr w14:paraId="572E8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0" w:hRule="atLeast"/>
        </w:trPr>
        <w:tc>
          <w:tcPr>
            <w:tcW w:w="1101" w:type="dxa"/>
            <w:vAlign w:val="center"/>
          </w:tcPr>
          <w:p w14:paraId="1FB5AB37">
            <w:pPr>
              <w:pStyle w:val="35"/>
              <w:ind w:left="369"/>
              <w:jc w:val="both"/>
              <w:rPr>
                <w:color w:val="auto"/>
                <w:sz w:val="24"/>
              </w:rPr>
            </w:pPr>
            <w:r>
              <w:rPr>
                <w:color w:val="auto"/>
                <w:sz w:val="24"/>
              </w:rPr>
              <w:t>3.4</w:t>
            </w:r>
          </w:p>
        </w:tc>
        <w:tc>
          <w:tcPr>
            <w:tcW w:w="1710" w:type="dxa"/>
            <w:vAlign w:val="center"/>
          </w:tcPr>
          <w:p w14:paraId="0BC801FE">
            <w:pPr>
              <w:pStyle w:val="35"/>
              <w:ind w:left="110" w:right="100"/>
              <w:jc w:val="center"/>
              <w:rPr>
                <w:color w:val="auto"/>
                <w:sz w:val="24"/>
              </w:rPr>
            </w:pPr>
            <w:r>
              <w:rPr>
                <w:rFonts w:hint="eastAsia"/>
                <w:color w:val="auto"/>
                <w:sz w:val="24"/>
              </w:rPr>
              <w:t>代理</w:t>
            </w:r>
            <w:r>
              <w:rPr>
                <w:color w:val="auto"/>
                <w:sz w:val="24"/>
              </w:rPr>
              <w:t>服务费</w:t>
            </w:r>
          </w:p>
        </w:tc>
        <w:tc>
          <w:tcPr>
            <w:tcW w:w="7041" w:type="dxa"/>
            <w:vAlign w:val="top"/>
          </w:tcPr>
          <w:p w14:paraId="5B13BF62">
            <w:pPr>
              <w:pStyle w:val="35"/>
              <w:spacing w:before="1" w:line="460" w:lineRule="exact"/>
              <w:ind w:right="2"/>
              <w:rPr>
                <w:rFonts w:hint="eastAsia"/>
                <w:color w:val="auto"/>
                <w:sz w:val="24"/>
              </w:rPr>
            </w:pPr>
            <w:r>
              <w:rPr>
                <w:rFonts w:hint="eastAsia"/>
                <w:color w:val="auto"/>
                <w:sz w:val="24"/>
              </w:rPr>
              <w:t>收取标准：招标代理服务收费参照豫招协[2023]002号河南省招标投标协会关于印发《河南省招标代理服务收费指导意见》规定的收费标准的收取中标服务费。招标代理服务收费按差额定率累进法计算。代理服务费计算方式及金额在发布</w:t>
            </w:r>
            <w:r>
              <w:rPr>
                <w:rFonts w:hint="eastAsia"/>
                <w:color w:val="auto"/>
                <w:sz w:val="24"/>
                <w:lang w:eastAsia="zh-CN"/>
              </w:rPr>
              <w:t>成交</w:t>
            </w:r>
            <w:r>
              <w:rPr>
                <w:rFonts w:hint="eastAsia"/>
                <w:color w:val="auto"/>
                <w:sz w:val="24"/>
              </w:rPr>
              <w:t>公告时一并公布。</w:t>
            </w:r>
          </w:p>
          <w:p w14:paraId="47E7B664">
            <w:pPr>
              <w:pStyle w:val="35"/>
              <w:spacing w:before="1" w:line="460" w:lineRule="exact"/>
              <w:ind w:right="2"/>
              <w:rPr>
                <w:rFonts w:hint="eastAsia"/>
                <w:color w:val="auto"/>
                <w:sz w:val="24"/>
              </w:rPr>
            </w:pPr>
            <w:r>
              <w:rPr>
                <w:rFonts w:hint="eastAsia"/>
                <w:color w:val="auto"/>
                <w:sz w:val="24"/>
              </w:rPr>
              <w:t>收取方式：转账形式</w:t>
            </w:r>
          </w:p>
          <w:p w14:paraId="24EE7155">
            <w:pPr>
              <w:pStyle w:val="35"/>
              <w:spacing w:before="1" w:line="460" w:lineRule="exact"/>
              <w:ind w:right="2"/>
              <w:rPr>
                <w:rFonts w:hint="eastAsia"/>
                <w:color w:val="auto"/>
                <w:sz w:val="24"/>
              </w:rPr>
            </w:pPr>
            <w:r>
              <w:rPr>
                <w:rFonts w:hint="eastAsia"/>
                <w:color w:val="auto"/>
                <w:sz w:val="24"/>
              </w:rPr>
              <w:t>收款账户名称：中瑞建园工程管理有限公司三门峡分公司</w:t>
            </w:r>
          </w:p>
          <w:p w14:paraId="62258B65">
            <w:pPr>
              <w:pStyle w:val="35"/>
              <w:spacing w:before="1" w:line="460" w:lineRule="exact"/>
              <w:ind w:left="107" w:right="2"/>
              <w:rPr>
                <w:rFonts w:hint="eastAsia"/>
                <w:color w:val="auto"/>
                <w:sz w:val="24"/>
              </w:rPr>
            </w:pPr>
            <w:r>
              <w:rPr>
                <w:rFonts w:hint="eastAsia"/>
                <w:color w:val="auto"/>
                <w:sz w:val="24"/>
              </w:rPr>
              <w:t>账户号码：1713020309200190984</w:t>
            </w:r>
          </w:p>
          <w:p w14:paraId="20B6624C">
            <w:pPr>
              <w:pStyle w:val="35"/>
              <w:spacing w:before="1" w:line="460" w:lineRule="exact"/>
              <w:ind w:left="107" w:right="2"/>
              <w:rPr>
                <w:color w:val="auto"/>
                <w:sz w:val="24"/>
              </w:rPr>
            </w:pPr>
            <w:r>
              <w:rPr>
                <w:rFonts w:hint="eastAsia"/>
                <w:color w:val="auto"/>
                <w:sz w:val="24"/>
              </w:rPr>
              <w:t>开户银行：中国工商银行股份有限公司三门峡商务中心支行</w:t>
            </w:r>
          </w:p>
        </w:tc>
      </w:tr>
      <w:tr w14:paraId="1A903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top"/>
          </w:tcPr>
          <w:p w14:paraId="176931E4">
            <w:pPr>
              <w:pStyle w:val="35"/>
              <w:spacing w:before="1"/>
              <w:rPr>
                <w:b/>
                <w:color w:val="auto"/>
                <w:sz w:val="28"/>
              </w:rPr>
            </w:pPr>
          </w:p>
          <w:p w14:paraId="3A8C2BF5">
            <w:pPr>
              <w:pStyle w:val="35"/>
              <w:ind w:left="369"/>
              <w:rPr>
                <w:color w:val="auto"/>
                <w:sz w:val="24"/>
                <w:lang w:val="en-US"/>
              </w:rPr>
            </w:pPr>
            <w:r>
              <w:rPr>
                <w:color w:val="auto"/>
                <w:sz w:val="24"/>
              </w:rPr>
              <w:t>3.</w:t>
            </w:r>
            <w:r>
              <w:rPr>
                <w:rFonts w:hint="eastAsia"/>
                <w:color w:val="auto"/>
                <w:sz w:val="24"/>
                <w:lang w:val="en-US"/>
              </w:rPr>
              <w:t>5</w:t>
            </w:r>
          </w:p>
        </w:tc>
        <w:tc>
          <w:tcPr>
            <w:tcW w:w="1710" w:type="dxa"/>
            <w:vAlign w:val="top"/>
          </w:tcPr>
          <w:p w14:paraId="1D77BBFF">
            <w:pPr>
              <w:pStyle w:val="35"/>
              <w:rPr>
                <w:b/>
                <w:color w:val="auto"/>
                <w:sz w:val="24"/>
              </w:rPr>
            </w:pPr>
          </w:p>
          <w:p w14:paraId="6A17ED29">
            <w:pPr>
              <w:pStyle w:val="35"/>
              <w:spacing w:before="204"/>
              <w:ind w:left="110" w:right="100"/>
              <w:jc w:val="center"/>
              <w:rPr>
                <w:color w:val="auto"/>
                <w:sz w:val="24"/>
              </w:rPr>
            </w:pPr>
            <w:r>
              <w:rPr>
                <w:color w:val="auto"/>
                <w:sz w:val="24"/>
              </w:rPr>
              <w:t>采购预算价</w:t>
            </w:r>
          </w:p>
        </w:tc>
        <w:tc>
          <w:tcPr>
            <w:tcW w:w="7041" w:type="dxa"/>
            <w:vAlign w:val="top"/>
          </w:tcPr>
          <w:p w14:paraId="7A406488">
            <w:pPr>
              <w:pStyle w:val="35"/>
              <w:spacing w:before="1" w:line="460" w:lineRule="atLeast"/>
              <w:ind w:left="107" w:right="182"/>
              <w:jc w:val="left"/>
              <w:rPr>
                <w:rFonts w:hint="eastAsia"/>
                <w:b/>
                <w:bCs/>
                <w:color w:val="auto"/>
                <w:sz w:val="24"/>
                <w:lang w:val="en-US" w:eastAsia="zh-CN"/>
              </w:rPr>
            </w:pPr>
            <w:r>
              <w:rPr>
                <w:rFonts w:hint="eastAsia"/>
                <w:b/>
                <w:bCs/>
                <w:color w:val="auto"/>
                <w:sz w:val="24"/>
                <w:lang w:val="en-US" w:eastAsia="zh-CN"/>
              </w:rPr>
              <w:t>本项目的招标控制价为532800.00元</w:t>
            </w:r>
          </w:p>
          <w:p w14:paraId="17153FEC">
            <w:pPr>
              <w:pStyle w:val="35"/>
              <w:spacing w:before="1" w:line="460" w:lineRule="atLeast"/>
              <w:ind w:left="107" w:right="182" w:firstLine="240" w:firstLineChars="100"/>
              <w:rPr>
                <w:color w:val="auto"/>
                <w:sz w:val="24"/>
              </w:rPr>
            </w:pPr>
            <w:r>
              <w:rPr>
                <w:color w:val="auto"/>
                <w:sz w:val="24"/>
              </w:rPr>
              <w:t>凡磋商响应供应商磋商报价超出“采购预算价”的，该磋商响应供应商的磋商响应文件应作无效标处理。</w:t>
            </w:r>
          </w:p>
        </w:tc>
      </w:tr>
      <w:tr w14:paraId="2261C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center"/>
          </w:tcPr>
          <w:p w14:paraId="2DAC3A27">
            <w:pPr>
              <w:pStyle w:val="35"/>
              <w:spacing w:before="204"/>
              <w:ind w:left="369"/>
              <w:jc w:val="both"/>
              <w:rPr>
                <w:rFonts w:hint="default" w:eastAsia="宋体"/>
                <w:color w:val="auto"/>
                <w:sz w:val="24"/>
                <w:lang w:val="en-US" w:eastAsia="zh-CN"/>
              </w:rPr>
            </w:pPr>
            <w:r>
              <w:rPr>
                <w:rFonts w:hint="eastAsia"/>
                <w:color w:val="auto"/>
                <w:sz w:val="24"/>
                <w:lang w:val="en-US" w:eastAsia="zh-CN"/>
              </w:rPr>
              <w:t>3.6</w:t>
            </w:r>
          </w:p>
        </w:tc>
        <w:tc>
          <w:tcPr>
            <w:tcW w:w="1710" w:type="dxa"/>
            <w:vAlign w:val="center"/>
          </w:tcPr>
          <w:p w14:paraId="7BE9F335">
            <w:pPr>
              <w:adjustRightInd w:val="0"/>
              <w:spacing w:line="480" w:lineRule="exact"/>
              <w:jc w:val="center"/>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szCs w:val="22"/>
                <w:lang w:val="en-US" w:eastAsia="zh-CN" w:bidi="zh-CN"/>
              </w:rPr>
              <w:t>采购标的所属行业</w:t>
            </w:r>
          </w:p>
        </w:tc>
        <w:tc>
          <w:tcPr>
            <w:tcW w:w="7041" w:type="dxa"/>
            <w:vAlign w:val="center"/>
          </w:tcPr>
          <w:p w14:paraId="1F13D1AB">
            <w:pPr>
              <w:adjustRightInd w:val="0"/>
              <w:spacing w:line="480" w:lineRule="exact"/>
              <w:ind w:firstLine="240" w:firstLineChars="1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划定标准为：本项目采购标的属于</w:t>
            </w:r>
            <w:r>
              <w:rPr>
                <w:rFonts w:hint="eastAsia" w:cs="宋体"/>
                <w:color w:val="auto"/>
                <w:sz w:val="24"/>
                <w:lang w:val="en-US" w:eastAsia="zh-CN"/>
              </w:rPr>
              <w:t>技术服务业</w:t>
            </w:r>
            <w:r>
              <w:rPr>
                <w:rFonts w:hint="eastAsia" w:ascii="宋体" w:hAnsi="宋体" w:eastAsia="宋体" w:cs="宋体"/>
                <w:color w:val="auto"/>
                <w:sz w:val="24"/>
                <w:lang w:val="en-US" w:eastAsia="zh-CN"/>
              </w:rPr>
              <w:t>。</w:t>
            </w:r>
          </w:p>
          <w:p w14:paraId="044EA777">
            <w:pPr>
              <w:adjustRightInd w:val="0"/>
              <w:spacing w:line="480" w:lineRule="exact"/>
              <w:ind w:firstLine="240" w:firstLineChars="100"/>
              <w:textAlignment w:val="baseline"/>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《工业和信息化部、国家统计局、国家发展和改革委员会、财政部关于印发&lt;中小企业划型标准规定的通知&gt;（工信部联企业〔2011〕300号）规定的划分标准为依据。</w:t>
            </w:r>
          </w:p>
        </w:tc>
      </w:tr>
      <w:tr w14:paraId="58DF9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top"/>
          </w:tcPr>
          <w:p w14:paraId="42A9A4FA">
            <w:pPr>
              <w:pStyle w:val="35"/>
              <w:rPr>
                <w:b/>
                <w:color w:val="auto"/>
                <w:sz w:val="24"/>
              </w:rPr>
            </w:pPr>
          </w:p>
          <w:p w14:paraId="4E712BAD">
            <w:pPr>
              <w:pStyle w:val="35"/>
              <w:rPr>
                <w:b/>
                <w:color w:val="auto"/>
                <w:sz w:val="24"/>
              </w:rPr>
            </w:pPr>
          </w:p>
          <w:p w14:paraId="111C264E">
            <w:pPr>
              <w:pStyle w:val="35"/>
              <w:spacing w:before="204"/>
              <w:ind w:left="369"/>
              <w:rPr>
                <w:color w:val="auto"/>
                <w:sz w:val="24"/>
              </w:rPr>
            </w:pPr>
          </w:p>
          <w:p w14:paraId="2EF169E1">
            <w:pPr>
              <w:pStyle w:val="35"/>
              <w:spacing w:before="204"/>
              <w:ind w:left="369"/>
              <w:rPr>
                <w:rFonts w:hint="eastAsia" w:eastAsia="宋体"/>
                <w:color w:val="auto"/>
                <w:sz w:val="24"/>
                <w:lang w:eastAsia="zh-CN"/>
              </w:rPr>
            </w:pPr>
            <w:r>
              <w:rPr>
                <w:color w:val="auto"/>
                <w:sz w:val="24"/>
              </w:rPr>
              <w:t>3.</w:t>
            </w:r>
            <w:r>
              <w:rPr>
                <w:rFonts w:hint="eastAsia"/>
                <w:color w:val="auto"/>
                <w:sz w:val="24"/>
                <w:lang w:val="en-US" w:eastAsia="zh-CN"/>
              </w:rPr>
              <w:t>7</w:t>
            </w:r>
          </w:p>
        </w:tc>
        <w:tc>
          <w:tcPr>
            <w:tcW w:w="1710" w:type="dxa"/>
            <w:vAlign w:val="center"/>
          </w:tcPr>
          <w:p w14:paraId="12A5FED1">
            <w:pPr>
              <w:adjustRightInd w:val="0"/>
              <w:spacing w:line="480" w:lineRule="exact"/>
              <w:jc w:val="center"/>
              <w:textAlignment w:val="baseline"/>
              <w:rPr>
                <w:color w:val="auto"/>
                <w:sz w:val="24"/>
              </w:rPr>
            </w:pPr>
            <w:r>
              <w:rPr>
                <w:rFonts w:hint="eastAsia"/>
                <w:color w:val="auto"/>
                <w:sz w:val="24"/>
              </w:rPr>
              <w:t>解释权</w:t>
            </w:r>
          </w:p>
        </w:tc>
        <w:tc>
          <w:tcPr>
            <w:tcW w:w="7041" w:type="dxa"/>
            <w:vAlign w:val="center"/>
          </w:tcPr>
          <w:p w14:paraId="474DF822">
            <w:pPr>
              <w:adjustRightInd w:val="0"/>
              <w:spacing w:line="480" w:lineRule="exact"/>
              <w:ind w:firstLine="240" w:firstLineChars="100"/>
              <w:textAlignment w:val="baseline"/>
              <w:rPr>
                <w:color w:val="auto"/>
                <w:sz w:val="24"/>
              </w:rPr>
            </w:pPr>
            <w:r>
              <w:rPr>
                <w:rFonts w:hint="eastAsia"/>
                <w:color w:val="auto"/>
                <w:sz w:val="24"/>
              </w:rPr>
              <w:t>构成本磋商文件的各个组成文件应互为解释，互为说明；如有不明确或不一致，按磋商公告、供应商须知、评标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50D2F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1101" w:type="dxa"/>
            <w:vAlign w:val="center"/>
          </w:tcPr>
          <w:p w14:paraId="5C4CBB5C">
            <w:pPr>
              <w:pStyle w:val="35"/>
              <w:spacing w:before="1"/>
              <w:ind w:left="166" w:right="158"/>
              <w:jc w:val="center"/>
              <w:rPr>
                <w:rFonts w:hint="eastAsia" w:eastAsia="宋体"/>
                <w:color w:val="auto"/>
                <w:sz w:val="24"/>
                <w:lang w:val="en-US" w:eastAsia="zh-CN"/>
              </w:rPr>
            </w:pPr>
            <w:r>
              <w:rPr>
                <w:rFonts w:hint="eastAsia"/>
                <w:color w:val="auto"/>
                <w:sz w:val="24"/>
                <w:lang w:val="en-US"/>
              </w:rPr>
              <w:t>3.</w:t>
            </w:r>
            <w:r>
              <w:rPr>
                <w:rFonts w:hint="eastAsia"/>
                <w:color w:val="auto"/>
                <w:sz w:val="24"/>
                <w:lang w:val="en-US" w:eastAsia="zh-CN"/>
              </w:rPr>
              <w:t>8</w:t>
            </w:r>
          </w:p>
        </w:tc>
        <w:tc>
          <w:tcPr>
            <w:tcW w:w="1710" w:type="dxa"/>
            <w:vAlign w:val="center"/>
          </w:tcPr>
          <w:p w14:paraId="157B13FD">
            <w:pPr>
              <w:adjustRightInd w:val="0"/>
              <w:spacing w:line="480" w:lineRule="exact"/>
              <w:ind w:firstLine="480" w:firstLineChars="200"/>
              <w:textAlignment w:val="baseline"/>
              <w:rPr>
                <w:b w:val="0"/>
                <w:bCs w:val="0"/>
                <w:color w:val="auto"/>
                <w:sz w:val="24"/>
              </w:rPr>
            </w:pPr>
            <w:r>
              <w:rPr>
                <w:rFonts w:hint="eastAsia"/>
                <w:b w:val="0"/>
                <w:bCs w:val="0"/>
                <w:color w:val="auto"/>
                <w:sz w:val="24"/>
              </w:rPr>
              <w:t>报价</w:t>
            </w:r>
          </w:p>
        </w:tc>
        <w:tc>
          <w:tcPr>
            <w:tcW w:w="7041" w:type="dxa"/>
            <w:vAlign w:val="center"/>
          </w:tcPr>
          <w:p w14:paraId="0C6142B7">
            <w:pPr>
              <w:pStyle w:val="36"/>
              <w:numPr>
                <w:ilvl w:val="0"/>
                <w:numId w:val="1"/>
              </w:numPr>
              <w:ind w:left="0"/>
              <w:outlineLvl w:val="0"/>
              <w:rPr>
                <w:rFonts w:ascii="宋体" w:hAnsi="宋体"/>
                <w:b w:val="0"/>
                <w:bCs w:val="0"/>
                <w:color w:val="auto"/>
                <w:kern w:val="2"/>
                <w:sz w:val="24"/>
                <w:szCs w:val="24"/>
                <w:lang w:val="en-US"/>
              </w:rPr>
            </w:pPr>
            <w:bookmarkStart w:id="20" w:name="_Toc6793"/>
            <w:r>
              <w:rPr>
                <w:rFonts w:hint="eastAsia" w:ascii="宋体" w:hAnsi="宋体"/>
                <w:b w:val="0"/>
                <w:bCs w:val="0"/>
                <w:color w:val="auto"/>
                <w:kern w:val="2"/>
                <w:sz w:val="24"/>
                <w:szCs w:val="24"/>
                <w:lang w:val="en-US"/>
              </w:rPr>
              <w:t>本次竞争性磋商</w:t>
            </w:r>
            <w:r>
              <w:rPr>
                <w:rFonts w:ascii="宋体" w:hAnsi="宋体"/>
                <w:b w:val="0"/>
                <w:bCs w:val="0"/>
                <w:color w:val="auto"/>
                <w:kern w:val="2"/>
                <w:sz w:val="24"/>
                <w:szCs w:val="24"/>
                <w:lang w:val="en-US"/>
              </w:rPr>
              <w:t>采取两轮报价</w:t>
            </w:r>
            <w:r>
              <w:rPr>
                <w:rFonts w:hint="eastAsia" w:ascii="宋体" w:hAnsi="宋体"/>
                <w:b w:val="0"/>
                <w:bCs w:val="0"/>
                <w:color w:val="auto"/>
                <w:kern w:val="2"/>
                <w:sz w:val="24"/>
                <w:szCs w:val="24"/>
                <w:lang w:val="en-US"/>
              </w:rPr>
              <w:t>：第一轮报价直接填报于磋商响应文件中，</w:t>
            </w:r>
            <w:r>
              <w:rPr>
                <w:rFonts w:ascii="宋体" w:hAnsi="宋体"/>
                <w:b w:val="0"/>
                <w:bCs w:val="0"/>
                <w:color w:val="auto"/>
                <w:kern w:val="2"/>
                <w:sz w:val="24"/>
                <w:szCs w:val="24"/>
                <w:lang w:val="en-US"/>
              </w:rPr>
              <w:t>综合评标基本完毕后进行第二轮报价</w:t>
            </w:r>
            <w:r>
              <w:rPr>
                <w:rFonts w:hint="eastAsia" w:ascii="宋体" w:hAnsi="宋体"/>
                <w:b w:val="0"/>
                <w:bCs w:val="0"/>
                <w:color w:val="auto"/>
                <w:kern w:val="2"/>
                <w:sz w:val="24"/>
                <w:szCs w:val="24"/>
                <w:lang w:val="en-US"/>
              </w:rPr>
              <w:t>。</w:t>
            </w:r>
            <w:bookmarkEnd w:id="20"/>
          </w:p>
          <w:p w14:paraId="6FB24329">
            <w:pPr>
              <w:pStyle w:val="36"/>
              <w:numPr>
                <w:ilvl w:val="0"/>
                <w:numId w:val="1"/>
              </w:numPr>
              <w:ind w:left="0"/>
              <w:outlineLvl w:val="0"/>
              <w:rPr>
                <w:b w:val="0"/>
                <w:bCs w:val="0"/>
                <w:color w:val="auto"/>
                <w:sz w:val="24"/>
              </w:rPr>
            </w:pPr>
            <w:bookmarkStart w:id="21" w:name="_Toc14229"/>
            <w:r>
              <w:rPr>
                <w:rFonts w:hint="eastAsia" w:ascii="宋体" w:hAnsi="宋体"/>
                <w:b w:val="0"/>
                <w:bCs w:val="0"/>
                <w:color w:val="auto"/>
                <w:kern w:val="2"/>
                <w:sz w:val="24"/>
                <w:szCs w:val="24"/>
                <w:lang w:val="en-US"/>
              </w:rPr>
              <w:t>供应商所报总价包含此项目中</w:t>
            </w:r>
            <w:r>
              <w:rPr>
                <w:rFonts w:hint="eastAsia" w:ascii="宋体" w:hAnsi="宋体"/>
                <w:b w:val="0"/>
                <w:bCs w:val="0"/>
                <w:color w:val="auto"/>
                <w:kern w:val="2"/>
                <w:sz w:val="24"/>
                <w:szCs w:val="24"/>
                <w:lang w:val="en-US" w:eastAsia="zh-CN"/>
              </w:rPr>
              <w:t>所有服务内容</w:t>
            </w:r>
            <w:r>
              <w:rPr>
                <w:rFonts w:hint="eastAsia" w:ascii="宋体" w:hAnsi="宋体"/>
                <w:b w:val="0"/>
                <w:bCs w:val="0"/>
                <w:color w:val="auto"/>
                <w:kern w:val="2"/>
                <w:sz w:val="24"/>
                <w:szCs w:val="24"/>
                <w:lang w:val="en-US"/>
              </w:rPr>
              <w:t>、税金、等所有费用。</w:t>
            </w:r>
            <w:bookmarkEnd w:id="21"/>
          </w:p>
        </w:tc>
      </w:tr>
      <w:tr w14:paraId="37BE7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5" w:hRule="atLeast"/>
        </w:trPr>
        <w:tc>
          <w:tcPr>
            <w:tcW w:w="1101" w:type="dxa"/>
            <w:vAlign w:val="center"/>
          </w:tcPr>
          <w:p w14:paraId="2B88D866">
            <w:pPr>
              <w:pStyle w:val="35"/>
              <w:spacing w:before="1"/>
              <w:ind w:left="166" w:right="158"/>
              <w:jc w:val="center"/>
              <w:rPr>
                <w:rFonts w:hint="eastAsia" w:eastAsia="宋体"/>
                <w:color w:val="auto"/>
                <w:sz w:val="24"/>
                <w:lang w:val="en-US" w:eastAsia="zh-CN"/>
              </w:rPr>
            </w:pPr>
            <w:r>
              <w:rPr>
                <w:rFonts w:hint="eastAsia"/>
                <w:color w:val="auto"/>
                <w:sz w:val="24"/>
                <w:lang w:val="en-US"/>
              </w:rPr>
              <w:t>3.</w:t>
            </w:r>
            <w:r>
              <w:rPr>
                <w:rFonts w:hint="eastAsia"/>
                <w:color w:val="auto"/>
                <w:sz w:val="24"/>
                <w:lang w:val="en-US" w:eastAsia="zh-CN"/>
              </w:rPr>
              <w:t>9</w:t>
            </w:r>
          </w:p>
        </w:tc>
        <w:tc>
          <w:tcPr>
            <w:tcW w:w="1710" w:type="dxa"/>
            <w:vAlign w:val="center"/>
          </w:tcPr>
          <w:p w14:paraId="70EF5220">
            <w:pPr>
              <w:wordWrap w:val="0"/>
              <w:autoSpaceDE w:val="0"/>
              <w:autoSpaceDN w:val="0"/>
              <w:adjustRightInd w:val="0"/>
              <w:spacing w:line="360" w:lineRule="auto"/>
              <w:jc w:val="center"/>
              <w:rPr>
                <w:b w:val="0"/>
                <w:bCs w:val="0"/>
                <w:color w:val="auto"/>
                <w:sz w:val="24"/>
              </w:rPr>
            </w:pPr>
            <w:r>
              <w:rPr>
                <w:rFonts w:hint="eastAsia" w:ascii="宋体" w:hAnsi="宋体" w:eastAsia="宋体" w:cs="宋体"/>
                <w:b w:val="0"/>
                <w:bCs w:val="0"/>
                <w:color w:val="auto"/>
                <w:sz w:val="24"/>
              </w:rPr>
              <w:t>磋商响应文件副本份数及其他要求</w:t>
            </w:r>
          </w:p>
        </w:tc>
        <w:tc>
          <w:tcPr>
            <w:tcW w:w="7041" w:type="dxa"/>
            <w:vAlign w:val="center"/>
          </w:tcPr>
          <w:p w14:paraId="410C2088">
            <w:pPr>
              <w:pStyle w:val="36"/>
              <w:numPr>
                <w:ilvl w:val="0"/>
                <w:numId w:val="0"/>
              </w:numPr>
              <w:outlineLvl w:val="0"/>
              <w:rPr>
                <w:rFonts w:ascii="宋体" w:hAnsi="宋体" w:eastAsia="宋体" w:cs="宋体"/>
                <w:b w:val="0"/>
                <w:bCs w:val="0"/>
                <w:color w:val="auto"/>
                <w:kern w:val="2"/>
                <w:sz w:val="24"/>
                <w:szCs w:val="24"/>
                <w:lang w:val="en-US"/>
              </w:rPr>
            </w:pPr>
            <w:bookmarkStart w:id="22" w:name="_Toc5535"/>
            <w:r>
              <w:rPr>
                <w:rFonts w:hint="eastAsia" w:ascii="宋体" w:hAnsi="宋体" w:eastAsia="宋体" w:cs="宋体"/>
                <w:b w:val="0"/>
                <w:bCs w:val="0"/>
                <w:color w:val="auto"/>
                <w:kern w:val="2"/>
                <w:sz w:val="24"/>
                <w:szCs w:val="24"/>
                <w:lang w:val="en-US"/>
              </w:rPr>
              <w:t>1、本项目采用电子招标，根据三门峡市公共资源交易中心系统编制响应文件，供应商需用CA在电子平台上传电子响应文件；</w:t>
            </w:r>
            <w:bookmarkEnd w:id="22"/>
          </w:p>
          <w:p w14:paraId="61395D34">
            <w:pPr>
              <w:pStyle w:val="36"/>
              <w:numPr>
                <w:ilvl w:val="0"/>
                <w:numId w:val="0"/>
              </w:numPr>
              <w:outlineLvl w:val="0"/>
              <w:rPr>
                <w:rFonts w:ascii="宋体" w:hAnsi="宋体"/>
                <w:b w:val="0"/>
                <w:bCs w:val="0"/>
                <w:color w:val="auto"/>
                <w:sz w:val="24"/>
              </w:rPr>
            </w:pPr>
            <w:bookmarkStart w:id="23" w:name="_Toc30460"/>
            <w:r>
              <w:rPr>
                <w:rFonts w:hint="eastAsia" w:ascii="宋体" w:hAnsi="宋体" w:eastAsia="宋体" w:cs="宋体"/>
                <w:b w:val="0"/>
                <w:bCs w:val="0"/>
                <w:color w:val="auto"/>
                <w:kern w:val="2"/>
                <w:sz w:val="24"/>
                <w:szCs w:val="24"/>
                <w:lang w:val="en-US"/>
              </w:rPr>
              <w:t>2、开标时不再递交纸质响应文件，中标单位领取成交通知书时提交</w:t>
            </w:r>
            <w:r>
              <w:rPr>
                <w:rFonts w:hint="eastAsia" w:ascii="宋体" w:hAnsi="宋体" w:eastAsia="宋体" w:cs="宋体"/>
                <w:b w:val="0"/>
                <w:bCs w:val="0"/>
                <w:color w:val="auto"/>
                <w:kern w:val="2"/>
                <w:sz w:val="24"/>
                <w:szCs w:val="24"/>
                <w:lang w:val="en-US" w:eastAsia="zh-CN"/>
              </w:rPr>
              <w:t>贰</w:t>
            </w:r>
            <w:r>
              <w:rPr>
                <w:rFonts w:hint="eastAsia" w:ascii="宋体" w:hAnsi="宋体" w:eastAsia="宋体" w:cs="宋体"/>
                <w:b w:val="0"/>
                <w:bCs w:val="0"/>
                <w:color w:val="auto"/>
                <w:kern w:val="2"/>
                <w:sz w:val="24"/>
                <w:szCs w:val="24"/>
                <w:lang w:val="en-US"/>
              </w:rPr>
              <w:t>份纸质响应文件，响应文件应按以下要求装订：胶装（不得采用活页装订），应有目录，并逐页标注连续页码，需加盖公章。</w:t>
            </w:r>
            <w:bookmarkEnd w:id="23"/>
          </w:p>
        </w:tc>
      </w:tr>
      <w:tr w14:paraId="5F7ED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101" w:type="dxa"/>
            <w:vAlign w:val="center"/>
          </w:tcPr>
          <w:p w14:paraId="469C1128">
            <w:pPr>
              <w:pStyle w:val="35"/>
              <w:spacing w:before="1"/>
              <w:ind w:left="166" w:right="158"/>
              <w:jc w:val="center"/>
              <w:rPr>
                <w:rFonts w:hint="default" w:eastAsia="宋体"/>
                <w:color w:val="auto"/>
                <w:sz w:val="24"/>
                <w:lang w:val="en-US" w:eastAsia="zh-CN"/>
              </w:rPr>
            </w:pPr>
            <w:r>
              <w:rPr>
                <w:rFonts w:hint="eastAsia"/>
                <w:color w:val="auto"/>
                <w:sz w:val="24"/>
                <w:lang w:val="en-US" w:eastAsia="zh-CN"/>
              </w:rPr>
              <w:t>4.0</w:t>
            </w:r>
          </w:p>
        </w:tc>
        <w:tc>
          <w:tcPr>
            <w:tcW w:w="1710" w:type="dxa"/>
            <w:vAlign w:val="center"/>
          </w:tcPr>
          <w:p w14:paraId="539E783A">
            <w:pPr>
              <w:wordWrap w:val="0"/>
              <w:autoSpaceDE w:val="0"/>
              <w:autoSpaceDN w:val="0"/>
              <w:adjustRightInd w:val="0"/>
              <w:spacing w:line="360" w:lineRule="auto"/>
              <w:jc w:val="center"/>
              <w:rPr>
                <w:rFonts w:ascii="宋体" w:hAnsi="宋体" w:cs="宋体"/>
                <w:color w:val="auto"/>
                <w:sz w:val="24"/>
                <w:szCs w:val="24"/>
              </w:rPr>
            </w:pPr>
            <w:r>
              <w:rPr>
                <w:rFonts w:hint="eastAsia" w:ascii="宋体" w:hAnsi="宋体" w:cs="宋体"/>
                <w:color w:val="auto"/>
                <w:sz w:val="24"/>
                <w:szCs w:val="24"/>
              </w:rPr>
              <w:t>电子化交易</w:t>
            </w:r>
          </w:p>
          <w:p w14:paraId="436E945E">
            <w:pPr>
              <w:wordWrap w:val="0"/>
              <w:autoSpaceDE w:val="0"/>
              <w:autoSpaceDN w:val="0"/>
              <w:adjustRightInd w:val="0"/>
              <w:spacing w:line="360" w:lineRule="auto"/>
              <w:jc w:val="center"/>
              <w:rPr>
                <w:rFonts w:hint="eastAsia" w:ascii="宋体" w:hAnsi="宋体" w:eastAsia="宋体" w:cs="黑体"/>
                <w:color w:val="auto"/>
                <w:kern w:val="0"/>
                <w:sz w:val="28"/>
                <w:szCs w:val="28"/>
                <w:lang w:val="zh-CN" w:eastAsia="zh-CN" w:bidi="zh-CN"/>
              </w:rPr>
            </w:pPr>
            <w:r>
              <w:rPr>
                <w:rFonts w:hint="eastAsia" w:ascii="宋体" w:hAnsi="宋体" w:cs="宋体"/>
                <w:color w:val="auto"/>
                <w:sz w:val="24"/>
                <w:szCs w:val="24"/>
              </w:rPr>
              <w:t>注意事项</w:t>
            </w:r>
          </w:p>
        </w:tc>
        <w:tc>
          <w:tcPr>
            <w:tcW w:w="7041" w:type="dxa"/>
            <w:vAlign w:val="center"/>
          </w:tcPr>
          <w:p w14:paraId="678B2F80">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rPr>
              <w:t>本</w:t>
            </w:r>
            <w:r>
              <w:rPr>
                <w:rFonts w:hint="eastAsia" w:asciiTheme="minorEastAsia" w:hAnsiTheme="minorEastAsia" w:eastAsiaTheme="minorEastAsia" w:cstheme="minorEastAsia"/>
                <w:color w:val="auto"/>
                <w:sz w:val="24"/>
                <w:szCs w:val="24"/>
                <w:highlight w:val="none"/>
              </w:rPr>
              <w:t>项目为电子化、无纸化交易项目，投标文件是投标人、供应商 （ 以下简称 “ 投标人 ”）通过中心投标文件制作系统制作，并经过电子签章和加密后生成的电子版投标文件。投标人投标时，将不再接受任何纸质文件资料。</w:t>
            </w:r>
          </w:p>
          <w:p w14:paraId="22EA39A2">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电子化投标文件具体制作教材请投标人通过CA证书登录三门峡市公共资源电子交易系统在“组件下载”中查看。</w:t>
            </w:r>
          </w:p>
          <w:p w14:paraId="0537B7BF">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温馨提示：本项目为电子化、无纸化交易项目，开标时不接受任何纸质资料，为保证您能投标成功，请需仔细阅读以下条款。</w:t>
            </w:r>
          </w:p>
          <w:p w14:paraId="0B5CED35">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一、电子化投标</w:t>
            </w:r>
          </w:p>
          <w:p w14:paraId="3F1AEE63">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（一）电子化投标文件的签章</w:t>
            </w:r>
          </w:p>
          <w:p w14:paraId="10089C3E">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1、投标人在生成电子化投标文件后，应对电子化投标文件进行签章，未进行签章的视为无效投标。</w:t>
            </w:r>
          </w:p>
          <w:p w14:paraId="7C7EAF84">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2、招标文件中要求法定代表人或授权委托人签字或盖章的，投标人在进行电子化投标文件签章时，以签盖法定代表人签章为准 。电子化投标文件具体制作教材请投标人通过CA证书登录三门峡市公共资源电子化交易系统在右上角“组件下载”中查看。</w:t>
            </w:r>
          </w:p>
          <w:p w14:paraId="34FCA939">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（二）电子化投标文件的格式及上传投标</w:t>
            </w:r>
          </w:p>
          <w:p w14:paraId="602B8B69">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1、投标人所上传的电子化投标文件，应是通过中心投标文件制作系统制作的（投标文件制作工具下载地址：http://t.cn/A6ZvtVob），经过签章和加密后生成的电子版投标文件。</w:t>
            </w:r>
          </w:p>
          <w:p w14:paraId="1B8AC801">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注：（1）投标人投报多个标段的，所生成的电子化投标文件仍为一个电子文件，投标人制作电子化投标文件时应将所报标段全部勾选后制作生成。</w:t>
            </w:r>
          </w:p>
          <w:p w14:paraId="74A7BD7D">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2、电子化投标文件应在投标截止时间前成功上传至三门峡市公共资源电子化交易系统。至投标截止时间止，仍未上传成功的电子化投标文件将不予接收。</w:t>
            </w:r>
          </w:p>
          <w:p w14:paraId="6964865B">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 ：如按照电子化投标操作教材制作完成的电子化投标文件无法上传的，投标人应在投标截止时间前尽早的联系中心技术人员，以便有充分的时间进行处理。 投标人应充分考虑到处理技术问题和上传数据等工作所需的时间问题，投标文件未在投标截止时间前成功上传的，其投标文件不予接收。</w:t>
            </w:r>
          </w:p>
          <w:p w14:paraId="7FCEA29A">
            <w:pPr>
              <w:widowControl/>
              <w:spacing w:line="360" w:lineRule="auto"/>
              <w:jc w:val="both"/>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技术联系电话：</w:t>
            </w:r>
            <w:r>
              <w:rPr>
                <w:rFonts w:hint="eastAsia" w:asciiTheme="minorEastAsia" w:hAnsiTheme="minorEastAsia" w:eastAsiaTheme="minorEastAsia" w:cstheme="minorEastAsia"/>
                <w:color w:val="auto"/>
                <w:sz w:val="24"/>
                <w:szCs w:val="24"/>
                <w:highlight w:val="none"/>
                <w:lang w:val="en-US" w:eastAsia="zh-CN"/>
              </w:rPr>
              <w:t>400 998 0000</w:t>
            </w:r>
          </w:p>
          <w:p w14:paraId="6E2547EF">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（四）电子化项目开标、解密、唱标、评标</w:t>
            </w:r>
          </w:p>
          <w:p w14:paraId="045016FA">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1、本项目采用电子化、无纸化进行招标，开标当日，投标人无需到开标现场参加开标会议。</w:t>
            </w:r>
          </w:p>
          <w:p w14:paraId="0AC57D76">
            <w:pPr>
              <w:keepNext w:val="0"/>
              <w:keepLines w:val="0"/>
              <w:pageBreakBefore w:val="0"/>
              <w:widowControl/>
              <w:kinsoku/>
              <w:wordWrap w:val="0"/>
              <w:overflowPunct/>
              <w:topLinePunct w:val="0"/>
              <w:autoSpaceDE w:val="0"/>
              <w:autoSpaceDN w:val="0"/>
              <w:bidi w:val="0"/>
              <w:adjustRightInd/>
              <w:snapToGrid/>
              <w:spacing w:line="360" w:lineRule="auto"/>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应当在投标截止时间前，登陆不见面开标大厅选择登陆三门峡市公共资源电子招投标系统进行登陆http://120.194.249.36:10094/BidOpening/bidopeninghallaction/hall/login）,在线准时参加开标活动并进行投标文件解密等。每位供应商的解密时间为开标时间起30分钟内完成。未按时解密的其投标将被否决。因供应商原因未能解密、解密失败或解密超时的将被拒绝。</w:t>
            </w:r>
          </w:p>
          <w:p w14:paraId="4F0C78C4">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3、电子化投标文件解密异常的处理</w:t>
            </w:r>
          </w:p>
          <w:p w14:paraId="3EAF4BEE">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如出现投标人的电子投标文件无法解密的情况，投标人应及时致电中介服务机构说明。投标文件解密异常，按以下步骤进行处理：</w:t>
            </w:r>
          </w:p>
          <w:p w14:paraId="0CD41075">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（1）首先由技术人员进行问题排查。</w:t>
            </w:r>
          </w:p>
          <w:p w14:paraId="78AFF7B7">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（2）经技术人员排查后，是投标人文件自身问题导致投标文件无法解密的，该投标文件将不予接收、解密和唱标。开标会议继续进行。</w:t>
            </w:r>
          </w:p>
          <w:p w14:paraId="7809D979">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31357633">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4、待所有投标人投标文件解密完成后，由中介服务机构操作，对所有已解密投标文件进行唱标。</w:t>
            </w:r>
          </w:p>
          <w:p w14:paraId="4A1676F2">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投标人应保证在开标期间电话、电脑、网络能够正常工作，投标人因停电、电脑病毒、网络堵塞等原因，未在规定的解密时间内对投标文件进行解密的，其投标文件不予接收、唱标。</w:t>
            </w:r>
          </w:p>
          <w:p w14:paraId="73D93423">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5、开标时投标人可登录到交易系统中在开标大厅中点击开标一览表查看自己的投标报价。</w:t>
            </w:r>
            <w:r>
              <w:rPr>
                <w:rFonts w:hint="eastAsia" w:asciiTheme="minorEastAsia" w:hAnsiTheme="minorEastAsia" w:eastAsiaTheme="minorEastAsia" w:cstheme="minorEastAsia"/>
                <w:color w:val="auto"/>
                <w:sz w:val="24"/>
                <w:szCs w:val="24"/>
                <w:highlight w:val="none"/>
                <w:u w:val="single"/>
              </w:rPr>
              <w:t>如对自己的唱标内容有异议的，应在唱标内容显示后10分钟内</w:t>
            </w:r>
            <w:r>
              <w:rPr>
                <w:rFonts w:hint="eastAsia" w:asciiTheme="minorEastAsia" w:hAnsiTheme="minorEastAsia" w:eastAsiaTheme="minorEastAsia" w:cstheme="minorEastAsia"/>
                <w:color w:val="auto"/>
                <w:sz w:val="24"/>
                <w:szCs w:val="24"/>
                <w:highlight w:val="none"/>
                <w:u w:val="single"/>
                <w:lang w:val="en-US" w:eastAsia="zh-CN"/>
              </w:rPr>
              <w:t>向中介服务机构通过开标大厅对话框提出质疑</w:t>
            </w:r>
            <w:r>
              <w:rPr>
                <w:rFonts w:hint="eastAsia" w:asciiTheme="minorEastAsia" w:hAnsiTheme="minorEastAsia" w:eastAsiaTheme="minorEastAsia" w:cstheme="minorEastAsia"/>
                <w:color w:val="auto"/>
                <w:sz w:val="24"/>
                <w:szCs w:val="24"/>
                <w:highlight w:val="none"/>
                <w:u w:val="single"/>
              </w:rPr>
              <w:t>。中介服务机构接受投标人的质疑并做好书面记录。投标人未在规定时间内提出质疑的，视为认可唱标内容。</w:t>
            </w:r>
          </w:p>
          <w:p w14:paraId="75060A13">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6、评标时，</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对电子化投标文件有质疑的，将通过电子化交易系统对投标人发起质疑，投标人的回复文件必须以经过投标人和其法定代表人签章的PDF 格式文件为准，并通过电子化交易系统提交至</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w:t>
            </w:r>
          </w:p>
          <w:p w14:paraId="6C96F521">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7、需要回复的投标人</w:t>
            </w:r>
            <w:r>
              <w:rPr>
                <w:rFonts w:hint="eastAsia" w:asciiTheme="minorEastAsia" w:hAnsiTheme="minorEastAsia" w:eastAsiaTheme="minorEastAsia" w:cstheme="minorEastAsia"/>
                <w:color w:val="auto"/>
                <w:sz w:val="24"/>
                <w:szCs w:val="24"/>
                <w:highlight w:val="none"/>
                <w:lang w:eastAsia="zh-CN"/>
              </w:rPr>
              <w:t>在规定的时间内未回复的</w:t>
            </w:r>
            <w:r>
              <w:rPr>
                <w:rFonts w:hint="eastAsia" w:asciiTheme="minorEastAsia" w:hAnsiTheme="minorEastAsia" w:eastAsiaTheme="minorEastAsia" w:cstheme="minorEastAsia"/>
                <w:color w:val="auto"/>
                <w:sz w:val="24"/>
                <w:szCs w:val="24"/>
                <w:highlight w:val="none"/>
              </w:rPr>
              <w:t>，视为投标人放弃回复，</w:t>
            </w:r>
            <w:r>
              <w:rPr>
                <w:rFonts w:hint="eastAsia" w:asciiTheme="minorEastAsia" w:hAnsiTheme="minorEastAsia" w:eastAsiaTheme="minorEastAsia" w:cstheme="minorEastAsia"/>
                <w:color w:val="auto"/>
                <w:sz w:val="24"/>
                <w:szCs w:val="24"/>
                <w:highlight w:val="none"/>
                <w:lang w:eastAsia="zh-CN"/>
              </w:rPr>
              <w:t>评标委员会</w:t>
            </w:r>
            <w:r>
              <w:rPr>
                <w:rFonts w:hint="eastAsia" w:asciiTheme="minorEastAsia" w:hAnsiTheme="minorEastAsia" w:eastAsiaTheme="minorEastAsia" w:cstheme="minorEastAsia"/>
                <w:color w:val="auto"/>
                <w:sz w:val="24"/>
                <w:szCs w:val="24"/>
                <w:highlight w:val="none"/>
              </w:rPr>
              <w:t>将自行对需要回复的内容进行认定。</w:t>
            </w:r>
          </w:p>
          <w:p w14:paraId="5B2877D4">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 相关证书原件的提交</w:t>
            </w:r>
          </w:p>
          <w:p w14:paraId="7CB9B9F5">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本项目实行资格后审，</w:t>
            </w: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文件中要求</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提交资质、业绩、人员等相关资料原件的，</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需将原件扫描件制作到电子</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文件中，其上传资料真实性由</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自行承担，同时，</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要完善主体库。</w:t>
            </w:r>
            <w:r>
              <w:rPr>
                <w:rFonts w:hint="eastAsia" w:asciiTheme="minorEastAsia" w:hAnsiTheme="minorEastAsia" w:eastAsiaTheme="minorEastAsia" w:cstheme="minorEastAsia"/>
                <w:color w:val="auto"/>
                <w:sz w:val="24"/>
                <w:szCs w:val="24"/>
                <w:highlight w:val="none"/>
                <w:lang w:eastAsia="zh-CN"/>
              </w:rPr>
              <w:t>评标小组</w:t>
            </w:r>
            <w:r>
              <w:rPr>
                <w:rFonts w:hint="eastAsia" w:asciiTheme="minorEastAsia" w:hAnsiTheme="minorEastAsia" w:eastAsiaTheme="minorEastAsia" w:cstheme="minorEastAsia"/>
                <w:color w:val="auto"/>
                <w:sz w:val="24"/>
                <w:szCs w:val="24"/>
                <w:highlight w:val="none"/>
              </w:rPr>
              <w:t>对原件的核验工作按以下条款进行：</w:t>
            </w:r>
          </w:p>
          <w:p w14:paraId="49C5BA2E">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（一）</w:t>
            </w:r>
            <w:r>
              <w:rPr>
                <w:rFonts w:hint="eastAsia" w:asciiTheme="minorEastAsia" w:hAnsiTheme="minorEastAsia" w:eastAsiaTheme="minorEastAsia" w:cstheme="minorEastAsia"/>
                <w:color w:val="auto"/>
                <w:sz w:val="24"/>
                <w:szCs w:val="24"/>
                <w:highlight w:val="none"/>
              </w:rPr>
              <w:t>评标时，评委先查阅</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文件中是否具有该资料的原件扫描件，其上传资料真实性由</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自行承担，同时，</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需要完善主体库信息。本项目需要提交的原件扫描件以</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截止时间前在以</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自行上传到</w:t>
            </w:r>
            <w:r>
              <w:rPr>
                <w:rFonts w:hint="eastAsia" w:asciiTheme="minorEastAsia" w:hAnsiTheme="minorEastAsia" w:eastAsiaTheme="minorEastAsia" w:cstheme="minorEastAsia"/>
                <w:color w:val="auto"/>
                <w:sz w:val="24"/>
                <w:szCs w:val="24"/>
                <w:highlight w:val="none"/>
                <w:lang w:eastAsia="zh-CN"/>
              </w:rPr>
              <w:t>响应</w:t>
            </w:r>
            <w:r>
              <w:rPr>
                <w:rFonts w:hint="eastAsia" w:asciiTheme="minorEastAsia" w:hAnsiTheme="minorEastAsia" w:eastAsiaTheme="minorEastAsia" w:cstheme="minorEastAsia"/>
                <w:color w:val="auto"/>
                <w:sz w:val="24"/>
                <w:szCs w:val="24"/>
                <w:highlight w:val="none"/>
              </w:rPr>
              <w:t>文件中的相应内容为准。规定时间外上传或更改的信息不作为评标依据。评标时不接受</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所提交的任何原件</w:t>
            </w:r>
            <w:r>
              <w:rPr>
                <w:rFonts w:hint="eastAsia" w:asciiTheme="minorEastAsia" w:hAnsiTheme="minorEastAsia" w:eastAsiaTheme="minorEastAsia" w:cstheme="minorEastAsia"/>
                <w:color w:val="auto"/>
                <w:sz w:val="24"/>
                <w:szCs w:val="24"/>
                <w:highlight w:val="none"/>
                <w:lang w:eastAsia="zh-CN"/>
              </w:rPr>
              <w:t>。</w:t>
            </w:r>
          </w:p>
          <w:p w14:paraId="097A8F5B">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需应仔细阅读操作手册，保证上传内容齐全，真实有效，原件扫描件清晰可辨。因</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上传原因导致应得分项而未得分或资格审查不合格等情况的，由</w:t>
            </w:r>
            <w:r>
              <w:rPr>
                <w:rFonts w:hint="eastAsia" w:asciiTheme="minorEastAsia" w:hAnsiTheme="minorEastAsia" w:eastAsiaTheme="minorEastAsia" w:cstheme="minorEastAsia"/>
                <w:color w:val="auto"/>
                <w:sz w:val="24"/>
                <w:szCs w:val="24"/>
                <w:highlight w:val="none"/>
                <w:lang w:eastAsia="zh-CN"/>
              </w:rPr>
              <w:t>响应人</w:t>
            </w:r>
            <w:r>
              <w:rPr>
                <w:rFonts w:hint="eastAsia" w:asciiTheme="minorEastAsia" w:hAnsiTheme="minorEastAsia" w:eastAsiaTheme="minorEastAsia" w:cstheme="minorEastAsia"/>
                <w:color w:val="auto"/>
                <w:sz w:val="24"/>
                <w:szCs w:val="24"/>
                <w:highlight w:val="none"/>
              </w:rPr>
              <w:t>自行承担责任。</w:t>
            </w:r>
          </w:p>
          <w:p w14:paraId="7D8000D7">
            <w:pPr>
              <w:widowControl/>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提示：本项目为电子化、无纸化交易项目，开标时不再接受任何纸质资料，为保证您能</w:t>
            </w:r>
            <w:r>
              <w:rPr>
                <w:rFonts w:hint="eastAsia" w:asciiTheme="minorEastAsia" w:hAnsiTheme="minorEastAsia" w:eastAsiaTheme="minorEastAsia" w:cstheme="minorEastAsia"/>
                <w:color w:val="auto"/>
                <w:sz w:val="24"/>
                <w:szCs w:val="24"/>
                <w:highlight w:val="none"/>
                <w:lang w:eastAsia="zh-CN"/>
              </w:rPr>
              <w:t>开</w:t>
            </w:r>
            <w:r>
              <w:rPr>
                <w:rFonts w:hint="eastAsia" w:asciiTheme="minorEastAsia" w:hAnsiTheme="minorEastAsia" w:eastAsiaTheme="minorEastAsia" w:cstheme="minorEastAsia"/>
                <w:color w:val="auto"/>
                <w:sz w:val="24"/>
                <w:szCs w:val="24"/>
                <w:highlight w:val="none"/>
              </w:rPr>
              <w:t>标成功，请需仔细阅读以上条款。</w:t>
            </w:r>
          </w:p>
          <w:p w14:paraId="2BD8ADD4">
            <w:pPr>
              <w:widowControl/>
              <w:spacing w:line="360" w:lineRule="auto"/>
              <w:jc w:val="both"/>
              <w:rPr>
                <w:rFonts w:hint="eastAsia" w:asciiTheme="minorEastAsia" w:hAnsiTheme="minorEastAsia" w:eastAsiaTheme="minorEastAsia" w:cstheme="minorEastAsia"/>
                <w:b w:val="0"/>
                <w:bCs w:val="0"/>
                <w:color w:val="auto"/>
                <w:sz w:val="24"/>
                <w:szCs w:val="24"/>
                <w:highlight w:val="none"/>
                <w:u w:val="singl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注：</w:t>
            </w:r>
            <w:r>
              <w:rPr>
                <w:rFonts w:hint="eastAsia" w:asciiTheme="minorEastAsia" w:hAnsiTheme="minorEastAsia" w:eastAsiaTheme="minorEastAsia" w:cstheme="minorEastAsia"/>
                <w:b w:val="0"/>
                <w:bCs w:val="0"/>
                <w:color w:val="auto"/>
                <w:sz w:val="24"/>
                <w:szCs w:val="24"/>
                <w:highlight w:val="none"/>
                <w:u w:val="single"/>
                <w:lang w:val="en-US" w:eastAsia="zh-CN"/>
              </w:rPr>
              <w:t xml:space="preserve">开标时供应商需自行配置电脑上网环境，准备好企业CA进行签到解密。因供应商原因导致的未能在规定的时间内签到解密的，造成的损失由供应商自负。 </w:t>
            </w:r>
          </w:p>
          <w:p w14:paraId="7890099A">
            <w:pPr>
              <w:autoSpaceDE w:val="0"/>
              <w:autoSpaceDN w:val="0"/>
              <w:adjustRightInd w:val="0"/>
              <w:spacing w:line="360" w:lineRule="auto"/>
              <w:jc w:val="left"/>
              <w:rPr>
                <w:rFonts w:hint="eastAsia" w:ascii="宋体" w:hAnsi="宋体" w:eastAsia="宋体" w:cs="宋体"/>
                <w:color w:val="auto"/>
                <w:sz w:val="28"/>
                <w:szCs w:val="28"/>
                <w:lang w:val="en-US" w:eastAsia="zh-CN" w:bidi="zh-CN"/>
              </w:rPr>
            </w:pPr>
            <w:r>
              <w:rPr>
                <w:rFonts w:hint="eastAsia" w:asciiTheme="minorEastAsia" w:hAnsiTheme="minorEastAsia" w:eastAsiaTheme="minorEastAsia" w:cstheme="minorEastAsia"/>
                <w:b w:val="0"/>
                <w:bCs w:val="0"/>
                <w:color w:val="auto"/>
                <w:sz w:val="24"/>
                <w:szCs w:val="24"/>
                <w:highlight w:val="none"/>
                <w:u w:val="single"/>
                <w:lang w:val="en-US" w:eastAsia="zh-CN"/>
              </w:rPr>
              <w:t>投标文件递交、解密完成后，供应商应在评审结束前保持在线状态，确保可以及时接收评标委员会提出的质询等要求。</w:t>
            </w:r>
          </w:p>
        </w:tc>
      </w:tr>
    </w:tbl>
    <w:p w14:paraId="5DDDBB9C">
      <w:pPr>
        <w:pStyle w:val="5"/>
        <w:spacing w:before="66"/>
        <w:ind w:left="0" w:right="105"/>
        <w:jc w:val="both"/>
        <w:outlineLvl w:val="9"/>
        <w:rPr>
          <w:color w:val="auto"/>
        </w:rPr>
        <w:sectPr>
          <w:footerReference r:id="rId5" w:type="default"/>
          <w:pgSz w:w="11910" w:h="16840"/>
          <w:pgMar w:top="1340" w:right="1020" w:bottom="1200" w:left="1040" w:header="0" w:footer="640" w:gutter="0"/>
          <w:pgNumType w:fmt="decimal" w:start="1"/>
          <w:cols w:space="720" w:num="1"/>
        </w:sectPr>
      </w:pPr>
    </w:p>
    <w:p w14:paraId="6DF5E3D1">
      <w:pPr>
        <w:pStyle w:val="5"/>
        <w:keepNext w:val="0"/>
        <w:keepLines w:val="0"/>
        <w:pageBreakBefore w:val="0"/>
        <w:widowControl w:val="0"/>
        <w:kinsoku/>
        <w:wordWrap/>
        <w:overflowPunct/>
        <w:topLinePunct w:val="0"/>
        <w:bidi w:val="0"/>
        <w:adjustRightInd/>
        <w:snapToGrid/>
        <w:spacing w:before="244" w:line="480" w:lineRule="exact"/>
        <w:ind w:left="320"/>
        <w:jc w:val="center"/>
        <w:textAlignment w:val="auto"/>
        <w:rPr>
          <w:color w:val="auto"/>
        </w:rPr>
      </w:pPr>
      <w:r>
        <w:rPr>
          <w:color w:val="auto"/>
        </w:rPr>
        <w:t>供应商须知</w:t>
      </w:r>
    </w:p>
    <w:p w14:paraId="336C3A1C">
      <w:pPr>
        <w:pStyle w:val="36"/>
        <w:keepNext w:val="0"/>
        <w:keepLines w:val="0"/>
        <w:pageBreakBefore w:val="0"/>
        <w:widowControl w:val="0"/>
        <w:kinsoku/>
        <w:wordWrap/>
        <w:overflowPunct/>
        <w:topLinePunct w:val="0"/>
        <w:autoSpaceDE w:val="0"/>
        <w:autoSpaceDN w:val="0"/>
        <w:bidi w:val="0"/>
        <w:adjustRightInd/>
        <w:snapToGrid/>
        <w:spacing w:line="480" w:lineRule="exact"/>
        <w:ind w:left="0" w:firstLine="482" w:firstLineChars="200"/>
        <w:textAlignment w:val="auto"/>
        <w:outlineLvl w:val="0"/>
        <w:rPr>
          <w:rFonts w:ascii="宋体" w:hAnsi="宋体"/>
          <w:b/>
          <w:bCs/>
          <w:color w:val="auto"/>
          <w:sz w:val="24"/>
          <w:szCs w:val="24"/>
        </w:rPr>
      </w:pPr>
      <w:bookmarkStart w:id="24" w:name="_Toc7628"/>
      <w:bookmarkStart w:id="25" w:name="_Toc487498474"/>
      <w:bookmarkStart w:id="26" w:name="_Toc455080108"/>
      <w:bookmarkStart w:id="27" w:name="_Toc488504474"/>
      <w:bookmarkStart w:id="28" w:name="_Toc21223"/>
      <w:bookmarkStart w:id="29" w:name="_Toc20123_WPSOffice_Level2"/>
      <w:bookmarkStart w:id="30" w:name="_Toc22449"/>
      <w:r>
        <w:rPr>
          <w:rFonts w:hint="eastAsia" w:ascii="宋体" w:hAnsi="宋体"/>
          <w:b/>
          <w:bCs/>
          <w:color w:val="auto"/>
          <w:sz w:val="24"/>
          <w:szCs w:val="24"/>
        </w:rPr>
        <w:t>1. 总则</w:t>
      </w:r>
      <w:bookmarkEnd w:id="24"/>
      <w:bookmarkEnd w:id="25"/>
      <w:bookmarkEnd w:id="26"/>
      <w:bookmarkEnd w:id="27"/>
      <w:bookmarkEnd w:id="28"/>
      <w:bookmarkEnd w:id="29"/>
      <w:bookmarkEnd w:id="30"/>
    </w:p>
    <w:p w14:paraId="7B89FD1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bookmarkStart w:id="31" w:name="_Toc15709"/>
      <w:bookmarkStart w:id="32" w:name="_Toc281380952"/>
      <w:bookmarkStart w:id="33" w:name="_Toc29023"/>
      <w:bookmarkStart w:id="34" w:name="_Toc463701031"/>
      <w:bookmarkStart w:id="35" w:name="_Toc464035510"/>
      <w:bookmarkStart w:id="36" w:name="_Toc274409866"/>
      <w:bookmarkStart w:id="37" w:name="_Toc455080109"/>
      <w:bookmarkStart w:id="38" w:name="_Toc21458"/>
      <w:bookmarkStart w:id="39" w:name="_Toc318450675"/>
      <w:bookmarkStart w:id="40" w:name="_Toc21496_WPSOffice_Level3"/>
      <w:bookmarkStart w:id="41" w:name="_Toc31404"/>
      <w:bookmarkStart w:id="42" w:name="_Toc10273"/>
      <w:bookmarkStart w:id="43" w:name="_Toc1172"/>
      <w:bookmarkStart w:id="44" w:name="_Toc144974499"/>
      <w:bookmarkStart w:id="45" w:name="_Toc152042307"/>
      <w:bookmarkStart w:id="46" w:name="_Toc152045531"/>
      <w:r>
        <w:rPr>
          <w:rFonts w:hint="eastAsia"/>
          <w:color w:val="auto"/>
          <w:sz w:val="24"/>
        </w:rPr>
        <w:t>1.1 适用范围</w:t>
      </w:r>
      <w:bookmarkEnd w:id="31"/>
      <w:bookmarkEnd w:id="32"/>
      <w:bookmarkEnd w:id="33"/>
      <w:bookmarkEnd w:id="34"/>
      <w:bookmarkEnd w:id="35"/>
      <w:bookmarkEnd w:id="36"/>
      <w:bookmarkEnd w:id="37"/>
      <w:bookmarkEnd w:id="38"/>
      <w:bookmarkEnd w:id="39"/>
      <w:bookmarkEnd w:id="40"/>
      <w:bookmarkEnd w:id="41"/>
      <w:bookmarkEnd w:id="42"/>
      <w:bookmarkEnd w:id="43"/>
    </w:p>
    <w:p w14:paraId="16C9319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1.1.1根据《中华人民共和国政府采购法》等有关法律、法规和规章的规定，编制本项目磋商文件。</w:t>
      </w:r>
    </w:p>
    <w:p w14:paraId="569CE64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bookmarkStart w:id="47" w:name="_Toc464035511"/>
      <w:bookmarkStart w:id="48" w:name="_Toc25773"/>
      <w:bookmarkStart w:id="49" w:name="_Toc318450676"/>
      <w:bookmarkStart w:id="50" w:name="_Toc2929"/>
      <w:bookmarkStart w:id="51" w:name="_Toc25399_WPSOffice_Level3"/>
      <w:bookmarkStart w:id="52" w:name="_Toc274409867"/>
      <w:bookmarkStart w:id="53" w:name="_Toc455080110"/>
      <w:bookmarkStart w:id="54" w:name="_Toc463701032"/>
      <w:bookmarkStart w:id="55" w:name="_Toc30891"/>
      <w:bookmarkStart w:id="56" w:name="_Toc281405468"/>
      <w:bookmarkStart w:id="57" w:name="_Toc32619"/>
      <w:bookmarkStart w:id="58" w:name="_Toc710"/>
      <w:bookmarkStart w:id="59" w:name="_Toc3336"/>
      <w:r>
        <w:rPr>
          <w:rFonts w:hint="eastAsia"/>
          <w:color w:val="auto"/>
          <w:sz w:val="24"/>
        </w:rPr>
        <w:t>1.2 采购项目说明</w:t>
      </w:r>
      <w:bookmarkEnd w:id="47"/>
      <w:bookmarkEnd w:id="48"/>
      <w:bookmarkEnd w:id="49"/>
      <w:bookmarkEnd w:id="50"/>
      <w:bookmarkEnd w:id="51"/>
      <w:bookmarkEnd w:id="52"/>
      <w:bookmarkEnd w:id="53"/>
      <w:bookmarkEnd w:id="54"/>
      <w:bookmarkEnd w:id="55"/>
      <w:bookmarkEnd w:id="56"/>
      <w:bookmarkEnd w:id="57"/>
      <w:bookmarkEnd w:id="58"/>
      <w:bookmarkEnd w:id="59"/>
    </w:p>
    <w:p w14:paraId="11723BD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1.2.1 本项目采购人：见供应商须知前附表。</w:t>
      </w:r>
    </w:p>
    <w:p w14:paraId="74D4990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1.2.2 本项目采购代理机构：见供应商须知前附表。</w:t>
      </w:r>
    </w:p>
    <w:p w14:paraId="0712DC5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1.2.3 本项目名称：见供应商须知前附表。</w:t>
      </w:r>
    </w:p>
    <w:p w14:paraId="5AEE6774">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bookmarkStart w:id="60" w:name="_Toc455080111"/>
      <w:bookmarkStart w:id="61" w:name="_Toc464035512"/>
      <w:bookmarkStart w:id="62" w:name="_Toc463701033"/>
      <w:bookmarkStart w:id="63" w:name="_Toc281405469"/>
      <w:bookmarkStart w:id="64" w:name="_Toc16931"/>
      <w:bookmarkStart w:id="65" w:name="_Toc274409868"/>
      <w:bookmarkStart w:id="66" w:name="_Toc3477"/>
      <w:bookmarkStart w:id="67" w:name="_Toc18960"/>
      <w:bookmarkStart w:id="68" w:name="_Toc318450677"/>
      <w:bookmarkStart w:id="69" w:name="_Toc17016"/>
      <w:bookmarkStart w:id="70" w:name="_Toc31122_WPSOffice_Level3"/>
      <w:bookmarkStart w:id="71" w:name="_Toc1373"/>
      <w:bookmarkStart w:id="72" w:name="_Toc4952"/>
      <w:r>
        <w:rPr>
          <w:rFonts w:hint="eastAsia"/>
          <w:color w:val="auto"/>
          <w:sz w:val="24"/>
        </w:rPr>
        <w:t>1.3 定义及解释</w:t>
      </w:r>
      <w:bookmarkEnd w:id="60"/>
      <w:bookmarkEnd w:id="61"/>
      <w:bookmarkEnd w:id="62"/>
      <w:bookmarkEnd w:id="63"/>
      <w:bookmarkEnd w:id="64"/>
      <w:bookmarkEnd w:id="65"/>
      <w:bookmarkEnd w:id="66"/>
      <w:bookmarkEnd w:id="67"/>
      <w:bookmarkEnd w:id="68"/>
      <w:bookmarkEnd w:id="69"/>
      <w:bookmarkEnd w:id="70"/>
      <w:bookmarkEnd w:id="71"/>
      <w:bookmarkEnd w:id="72"/>
    </w:p>
    <w:p w14:paraId="7397459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1.3.1采购人：依法进行政府采购的国家机关、事业单位、团体组织。</w:t>
      </w:r>
    </w:p>
    <w:p w14:paraId="3D83C9D9">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1.3.2采购代理机构：取得政府采购招标代理资质，受采购人委托组织招标活动的社会中介组织。</w:t>
      </w:r>
    </w:p>
    <w:p w14:paraId="4AC3A24D">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1.3.3服务：系指根据本磋商文件规定供应商须承担的方案编制以及其他类似的义务等。</w:t>
      </w:r>
    </w:p>
    <w:p w14:paraId="5B39339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1.3.4供应商：供应商是响应磋商文件、参加磋商竞争的中华人民共和国境内的法人、其它组织。</w:t>
      </w:r>
    </w:p>
    <w:p w14:paraId="58677B6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1.3.5响应文件：指供应商根据磋商文件提交的所有文件。</w:t>
      </w:r>
    </w:p>
    <w:p w14:paraId="217F9FF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1.3.6磋商小组：依据</w:t>
      </w:r>
      <w:r>
        <w:rPr>
          <w:rFonts w:hint="eastAsia"/>
          <w:color w:val="auto"/>
          <w:sz w:val="24"/>
          <w:lang w:bidi="en-US"/>
        </w:rPr>
        <w:t>《中华人民共和国政府采购法》及有关法律、法规的规定依法组建的专门负责本次评标工作的临时机构</w:t>
      </w:r>
      <w:r>
        <w:rPr>
          <w:rFonts w:hint="eastAsia"/>
          <w:color w:val="auto"/>
          <w:sz w:val="24"/>
        </w:rPr>
        <w:t>。</w:t>
      </w:r>
    </w:p>
    <w:p w14:paraId="610C68B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1.3.7偏离：响应文件的响应相对于磋商文件要求的偏差，该偏差优于磋商文件要求的为正偏离；劣于的，为负偏离。</w:t>
      </w:r>
    </w:p>
    <w:p w14:paraId="23A6335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1.3.8“日期”或“天”：指日历天。</w:t>
      </w:r>
    </w:p>
    <w:p w14:paraId="1444DC6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1.3.9合同：指依据本次采购招标结果签订的协议或合约文件。</w:t>
      </w:r>
    </w:p>
    <w:p w14:paraId="077D56B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1.3.10磋商文件中的标题或题名仅起引导作用，而不应视为对磋商文件内容的理解和解释。</w:t>
      </w:r>
    </w:p>
    <w:bookmarkEnd w:id="44"/>
    <w:bookmarkEnd w:id="45"/>
    <w:bookmarkEnd w:id="46"/>
    <w:p w14:paraId="006721C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bookmarkStart w:id="73" w:name="_Toc144974500"/>
      <w:bookmarkStart w:id="74" w:name="_Toc27407"/>
      <w:bookmarkStart w:id="75" w:name="_Toc455080112"/>
      <w:bookmarkStart w:id="76" w:name="_Toc14043"/>
      <w:bookmarkStart w:id="77" w:name="_Toc21766"/>
      <w:bookmarkStart w:id="78" w:name="_Toc464035513"/>
      <w:bookmarkStart w:id="79" w:name="_Toc3626_WPSOffice_Level3"/>
      <w:bookmarkStart w:id="80" w:name="_Toc152045532"/>
      <w:bookmarkStart w:id="81" w:name="_Toc152042308"/>
      <w:bookmarkStart w:id="82" w:name="_Toc12752"/>
      <w:bookmarkStart w:id="83" w:name="_Toc16470"/>
      <w:bookmarkStart w:id="84" w:name="_Toc19363"/>
      <w:bookmarkStart w:id="85" w:name="_Toc318450678"/>
      <w:bookmarkStart w:id="86" w:name="_Toc463701034"/>
      <w:r>
        <w:rPr>
          <w:rFonts w:hint="eastAsia"/>
          <w:color w:val="auto"/>
          <w:sz w:val="24"/>
        </w:rPr>
        <w:t xml:space="preserve">1.4 </w:t>
      </w:r>
      <w:r>
        <w:rPr>
          <w:rFonts w:hint="eastAsia"/>
          <w:color w:val="auto"/>
          <w:sz w:val="24"/>
          <w:lang w:val="en-US" w:eastAsia="zh-CN"/>
        </w:rPr>
        <w:t>服务</w:t>
      </w:r>
      <w:r>
        <w:rPr>
          <w:rFonts w:hint="eastAsia"/>
          <w:color w:val="auto"/>
          <w:sz w:val="24"/>
        </w:rPr>
        <w:t>内容</w:t>
      </w:r>
      <w:r>
        <w:rPr>
          <w:rFonts w:hint="eastAsia"/>
          <w:color w:val="auto"/>
          <w:sz w:val="24"/>
          <w:lang w:eastAsia="zh-CN"/>
        </w:rPr>
        <w:t>、</w:t>
      </w:r>
      <w:r>
        <w:rPr>
          <w:rFonts w:hint="eastAsia"/>
          <w:color w:val="auto"/>
          <w:sz w:val="24"/>
          <w:lang w:val="en-US" w:eastAsia="zh-CN"/>
        </w:rPr>
        <w:t>设计周期</w:t>
      </w:r>
      <w:r>
        <w:rPr>
          <w:rFonts w:hint="eastAsia"/>
          <w:color w:val="auto"/>
          <w:sz w:val="24"/>
        </w:rPr>
        <w:t>和质量要求</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D39A45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1.4.1 本次</w:t>
      </w:r>
      <w:r>
        <w:rPr>
          <w:rFonts w:hint="eastAsia"/>
          <w:color w:val="auto"/>
          <w:sz w:val="24"/>
          <w:lang w:val="en-US" w:eastAsia="zh-CN"/>
        </w:rPr>
        <w:t>服务内容</w:t>
      </w:r>
      <w:r>
        <w:rPr>
          <w:rFonts w:hint="eastAsia"/>
          <w:color w:val="auto"/>
          <w:sz w:val="24"/>
        </w:rPr>
        <w:t>：见供应商须知前附表。</w:t>
      </w:r>
    </w:p>
    <w:p w14:paraId="123DD01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1.4.2 本项目的</w:t>
      </w:r>
      <w:r>
        <w:rPr>
          <w:rFonts w:hint="eastAsia"/>
          <w:color w:val="auto"/>
          <w:sz w:val="24"/>
          <w:lang w:val="en-US" w:eastAsia="zh-CN"/>
        </w:rPr>
        <w:t>设计周期</w:t>
      </w:r>
      <w:r>
        <w:rPr>
          <w:rFonts w:hint="eastAsia"/>
          <w:color w:val="auto"/>
          <w:sz w:val="24"/>
        </w:rPr>
        <w:t>：见供应商须知前附表。</w:t>
      </w:r>
    </w:p>
    <w:p w14:paraId="1510E84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1.4.3 本项目的质量要求：见供应商须知前附表。</w:t>
      </w:r>
    </w:p>
    <w:p w14:paraId="163A60E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bookmarkStart w:id="87" w:name="_Toc463701037"/>
      <w:bookmarkStart w:id="88" w:name="_Toc5402"/>
      <w:bookmarkStart w:id="89" w:name="_Toc32053"/>
      <w:bookmarkStart w:id="90" w:name="_Toc20145"/>
      <w:bookmarkStart w:id="91" w:name="_Toc464035516"/>
      <w:bookmarkStart w:id="92" w:name="_Toc455080115"/>
      <w:bookmarkStart w:id="93" w:name="_Toc7579_WPSOffice_Level3"/>
      <w:bookmarkStart w:id="94" w:name="_Toc6014"/>
      <w:bookmarkStart w:id="95" w:name="_Toc152042312"/>
      <w:bookmarkStart w:id="96" w:name="_Toc318450681"/>
      <w:bookmarkStart w:id="97" w:name="_Toc8055"/>
      <w:bookmarkStart w:id="98" w:name="_Toc144974504"/>
      <w:bookmarkStart w:id="99" w:name="_Toc2622"/>
      <w:bookmarkStart w:id="100" w:name="_Toc152045536"/>
      <w:r>
        <w:rPr>
          <w:rFonts w:hint="eastAsia"/>
          <w:color w:val="auto"/>
          <w:sz w:val="24"/>
        </w:rPr>
        <w:t>1.</w:t>
      </w:r>
      <w:r>
        <w:rPr>
          <w:rFonts w:hint="eastAsia"/>
          <w:color w:val="auto"/>
          <w:sz w:val="24"/>
          <w:lang w:val="en-US"/>
        </w:rPr>
        <w:t>5</w:t>
      </w:r>
      <w:r>
        <w:rPr>
          <w:rFonts w:hint="eastAsia"/>
          <w:color w:val="auto"/>
          <w:sz w:val="24"/>
        </w:rPr>
        <w:t>保密</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0E4AB33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 xml:space="preserve">参与磋商活动的各方应对磋商文件和响应文件中的商业和技术等秘密保密，违者应对由此造成的后果承担法律责任。 </w:t>
      </w:r>
    </w:p>
    <w:p w14:paraId="6D64FFF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bookmarkStart w:id="101" w:name="_Toc144974505"/>
      <w:bookmarkStart w:id="102" w:name="_Toc463701038"/>
      <w:bookmarkStart w:id="103" w:name="_Toc25517"/>
      <w:bookmarkStart w:id="104" w:name="_Toc14775"/>
      <w:bookmarkStart w:id="105" w:name="_Toc21089"/>
      <w:bookmarkStart w:id="106" w:name="_Toc152045537"/>
      <w:bookmarkStart w:id="107" w:name="_Toc3628"/>
      <w:bookmarkStart w:id="108" w:name="_Toc30583"/>
      <w:bookmarkStart w:id="109" w:name="_Toc318450682"/>
      <w:bookmarkStart w:id="110" w:name="_Toc464035517"/>
      <w:bookmarkStart w:id="111" w:name="_Toc455080116"/>
      <w:bookmarkStart w:id="112" w:name="_Toc19210_WPSOffice_Level3"/>
      <w:bookmarkStart w:id="113" w:name="_Toc30747"/>
      <w:bookmarkStart w:id="114" w:name="_Toc152042313"/>
      <w:r>
        <w:rPr>
          <w:rFonts w:hint="eastAsia"/>
          <w:color w:val="auto"/>
          <w:sz w:val="24"/>
        </w:rPr>
        <w:t>1.</w:t>
      </w:r>
      <w:r>
        <w:rPr>
          <w:rFonts w:hint="eastAsia"/>
          <w:color w:val="auto"/>
          <w:sz w:val="24"/>
          <w:lang w:val="en-US"/>
        </w:rPr>
        <w:t>6</w:t>
      </w:r>
      <w:r>
        <w:rPr>
          <w:rFonts w:hint="eastAsia"/>
          <w:color w:val="auto"/>
          <w:sz w:val="24"/>
        </w:rPr>
        <w:t>语言</w:t>
      </w:r>
      <w:bookmarkEnd w:id="101"/>
      <w:r>
        <w:rPr>
          <w:rFonts w:hint="eastAsia"/>
          <w:color w:val="auto"/>
          <w:sz w:val="24"/>
        </w:rPr>
        <w:t>文字</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5BCA51F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除专用术语外，与磋商有关的语言均使用中文。必要时专用术语应附有中文注释，</w:t>
      </w:r>
      <w:r>
        <w:rPr>
          <w:rFonts w:hint="eastAsia"/>
          <w:color w:val="auto"/>
          <w:sz w:val="24"/>
          <w:lang w:bidi="en-US"/>
        </w:rPr>
        <w:t>对不同文字文本响应文件的解释发生异议的，以中文文本为准。</w:t>
      </w:r>
    </w:p>
    <w:p w14:paraId="071FBEE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bookmarkStart w:id="115" w:name="_Toc144974506"/>
      <w:bookmarkStart w:id="116" w:name="_Toc2702"/>
      <w:bookmarkStart w:id="117" w:name="_Toc455080117"/>
      <w:bookmarkStart w:id="118" w:name="_Toc9511_WPSOffice_Level3"/>
      <w:bookmarkStart w:id="119" w:name="_Toc463701039"/>
      <w:bookmarkStart w:id="120" w:name="_Toc22378"/>
      <w:bookmarkStart w:id="121" w:name="_Toc464035518"/>
      <w:bookmarkStart w:id="122" w:name="_Toc9446"/>
      <w:bookmarkStart w:id="123" w:name="_Toc24337"/>
      <w:bookmarkStart w:id="124" w:name="_Toc4237"/>
      <w:bookmarkStart w:id="125" w:name="_Toc32507"/>
      <w:bookmarkStart w:id="126" w:name="_Toc152042314"/>
      <w:bookmarkStart w:id="127" w:name="_Toc318450683"/>
      <w:bookmarkStart w:id="128" w:name="_Toc152045538"/>
      <w:r>
        <w:rPr>
          <w:rFonts w:hint="eastAsia"/>
          <w:color w:val="auto"/>
          <w:sz w:val="24"/>
        </w:rPr>
        <w:t>1.</w:t>
      </w:r>
      <w:r>
        <w:rPr>
          <w:rFonts w:hint="eastAsia"/>
          <w:color w:val="auto"/>
          <w:sz w:val="24"/>
          <w:lang w:val="en-US"/>
        </w:rPr>
        <w:t>7</w:t>
      </w:r>
      <w:r>
        <w:rPr>
          <w:rFonts w:hint="eastAsia"/>
          <w:color w:val="auto"/>
          <w:sz w:val="24"/>
        </w:rPr>
        <w:t xml:space="preserve"> 计量单位</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E8D7FE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color w:val="auto"/>
          <w:sz w:val="24"/>
        </w:rPr>
      </w:pPr>
      <w:r>
        <w:rPr>
          <w:rFonts w:hint="eastAsia"/>
          <w:color w:val="auto"/>
          <w:sz w:val="24"/>
        </w:rPr>
        <w:t>所有计量均采用中华人民共和国法定计量单位。</w:t>
      </w:r>
    </w:p>
    <w:p w14:paraId="3D5D73DA">
      <w:pPr>
        <w:pStyle w:val="5"/>
        <w:keepNext w:val="0"/>
        <w:keepLines w:val="0"/>
        <w:pageBreakBefore w:val="0"/>
        <w:widowControl w:val="0"/>
        <w:kinsoku/>
        <w:wordWrap/>
        <w:overflowPunct/>
        <w:topLinePunct w:val="0"/>
        <w:bidi w:val="0"/>
        <w:adjustRightInd/>
        <w:snapToGrid/>
        <w:spacing w:before="161" w:line="480" w:lineRule="exact"/>
        <w:ind w:left="320"/>
        <w:textAlignment w:val="auto"/>
        <w:rPr>
          <w:color w:val="auto"/>
        </w:rPr>
      </w:pPr>
      <w:bookmarkStart w:id="129" w:name="_Toc12366_WPSOffice_Level2"/>
      <w:r>
        <w:rPr>
          <w:color w:val="auto"/>
        </w:rPr>
        <w:t>2、合格的磋商响应供应商</w:t>
      </w:r>
      <w:bookmarkEnd w:id="129"/>
    </w:p>
    <w:p w14:paraId="0AAD4959">
      <w:pPr>
        <w:pStyle w:val="5"/>
        <w:keepNext w:val="0"/>
        <w:keepLines w:val="0"/>
        <w:pageBreakBefore w:val="0"/>
        <w:widowControl w:val="0"/>
        <w:kinsoku/>
        <w:wordWrap/>
        <w:overflowPunct/>
        <w:topLinePunct w:val="0"/>
        <w:bidi w:val="0"/>
        <w:adjustRightInd/>
        <w:snapToGrid/>
        <w:spacing w:before="161" w:line="480" w:lineRule="exact"/>
        <w:textAlignment w:val="auto"/>
        <w:rPr>
          <w:color w:val="auto"/>
        </w:rPr>
      </w:pPr>
      <w:r>
        <w:rPr>
          <w:rFonts w:hint="eastAsia"/>
          <w:b w:val="0"/>
          <w:bCs w:val="0"/>
          <w:color w:val="auto"/>
        </w:rPr>
        <w:t>见供应商须知前附表</w:t>
      </w:r>
    </w:p>
    <w:p w14:paraId="1E0ACEE9">
      <w:pPr>
        <w:pStyle w:val="5"/>
        <w:keepNext w:val="0"/>
        <w:keepLines w:val="0"/>
        <w:pageBreakBefore w:val="0"/>
        <w:widowControl w:val="0"/>
        <w:kinsoku/>
        <w:wordWrap/>
        <w:overflowPunct/>
        <w:topLinePunct w:val="0"/>
        <w:bidi w:val="0"/>
        <w:adjustRightInd/>
        <w:snapToGrid/>
        <w:spacing w:before="161" w:line="480" w:lineRule="exact"/>
        <w:ind w:left="320"/>
        <w:textAlignment w:val="auto"/>
        <w:rPr>
          <w:color w:val="auto"/>
        </w:rPr>
      </w:pPr>
      <w:bookmarkStart w:id="130" w:name="_Toc8655_WPSOffice_Level2"/>
      <w:r>
        <w:rPr>
          <w:color w:val="auto"/>
        </w:rPr>
        <w:t>3、费用</w:t>
      </w:r>
      <w:bookmarkEnd w:id="130"/>
    </w:p>
    <w:p w14:paraId="3556C391">
      <w:pPr>
        <w:pStyle w:val="8"/>
        <w:keepNext w:val="0"/>
        <w:keepLines w:val="0"/>
        <w:pageBreakBefore w:val="0"/>
        <w:widowControl w:val="0"/>
        <w:kinsoku/>
        <w:wordWrap/>
        <w:overflowPunct/>
        <w:topLinePunct w:val="0"/>
        <w:bidi w:val="0"/>
        <w:adjustRightInd/>
        <w:snapToGrid/>
        <w:spacing w:before="160" w:line="480" w:lineRule="exact"/>
        <w:ind w:right="338" w:firstLine="120"/>
        <w:textAlignment w:val="auto"/>
        <w:rPr>
          <w:color w:val="auto"/>
        </w:rPr>
      </w:pPr>
      <w:r>
        <w:rPr>
          <w:color w:val="auto"/>
        </w:rPr>
        <w:t>3.1</w:t>
      </w:r>
      <w:r>
        <w:rPr>
          <w:color w:val="auto"/>
          <w:spacing w:val="-9"/>
        </w:rPr>
        <w:t xml:space="preserve"> 磋商响应供应商应自行承担参加磋商活动有关的全部费用，采购人在任何情况下均</w:t>
      </w:r>
      <w:r>
        <w:rPr>
          <w:color w:val="auto"/>
        </w:rPr>
        <w:t>无义务和责任承担上述费用。</w:t>
      </w:r>
    </w:p>
    <w:p w14:paraId="13A2391A">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b/>
          <w:color w:val="auto"/>
          <w:spacing w:val="-2"/>
          <w:sz w:val="24"/>
        </w:rPr>
      </w:pPr>
      <w:bookmarkStart w:id="131" w:name="_Toc4976_WPSOffice_Level2"/>
      <w:r>
        <w:rPr>
          <w:b/>
          <w:color w:val="auto"/>
          <w:sz w:val="24"/>
        </w:rPr>
        <w:t>4</w:t>
      </w:r>
      <w:r>
        <w:rPr>
          <w:b/>
          <w:color w:val="auto"/>
          <w:spacing w:val="-2"/>
          <w:sz w:val="24"/>
        </w:rPr>
        <w:t>、竞争性磋商文件的构成</w:t>
      </w:r>
    </w:p>
    <w:p w14:paraId="4814A557">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第一章 竞争性磋商公告</w:t>
      </w:r>
      <w:bookmarkEnd w:id="131"/>
    </w:p>
    <w:p w14:paraId="096E19A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auto"/>
          <w:sz w:val="24"/>
        </w:rPr>
      </w:pPr>
      <w:bookmarkStart w:id="132" w:name="_Toc25399_WPSOffice_Level1"/>
      <w:r>
        <w:rPr>
          <w:rFonts w:hint="eastAsia" w:ascii="宋体" w:hAnsi="宋体" w:eastAsia="宋体" w:cs="宋体"/>
          <w:color w:val="auto"/>
          <w:sz w:val="24"/>
        </w:rPr>
        <w:t>第二章 供应商须知</w:t>
      </w:r>
    </w:p>
    <w:p w14:paraId="696781DA">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第三章</w:t>
      </w:r>
      <w:bookmarkEnd w:id="132"/>
      <w:r>
        <w:rPr>
          <w:rFonts w:hint="eastAsia" w:ascii="宋体" w:hAnsi="宋体" w:eastAsia="宋体" w:cs="宋体"/>
          <w:color w:val="auto"/>
          <w:sz w:val="24"/>
          <w:lang w:val="en-US" w:eastAsia="zh-CN"/>
        </w:rPr>
        <w:t xml:space="preserve"> 服务需求</w:t>
      </w:r>
    </w:p>
    <w:p w14:paraId="3A848CB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auto"/>
          <w:sz w:val="24"/>
        </w:rPr>
      </w:pPr>
      <w:bookmarkStart w:id="133" w:name="_Toc3669_WPSOffice_Level2"/>
      <w:r>
        <w:rPr>
          <w:rFonts w:hint="eastAsia" w:ascii="宋体" w:hAnsi="宋体" w:eastAsia="宋体" w:cs="宋体"/>
          <w:color w:val="auto"/>
          <w:sz w:val="24"/>
        </w:rPr>
        <w:t>第四章 评审办法</w:t>
      </w:r>
      <w:bookmarkEnd w:id="133"/>
    </w:p>
    <w:p w14:paraId="566F21D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auto"/>
          <w:sz w:val="24"/>
        </w:rPr>
      </w:pPr>
      <w:bookmarkStart w:id="134" w:name="_Toc1982_WPSOffice_Level2"/>
      <w:r>
        <w:rPr>
          <w:rFonts w:hint="eastAsia" w:ascii="宋体" w:hAnsi="宋体" w:eastAsia="宋体" w:cs="宋体"/>
          <w:color w:val="auto"/>
          <w:sz w:val="24"/>
        </w:rPr>
        <w:t>第五章 合同主要条款及格式</w:t>
      </w:r>
      <w:bookmarkEnd w:id="134"/>
    </w:p>
    <w:p w14:paraId="763E964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宋体" w:hAnsi="宋体" w:eastAsia="宋体" w:cs="宋体"/>
          <w:color w:val="auto"/>
          <w:sz w:val="24"/>
        </w:rPr>
      </w:pPr>
      <w:bookmarkStart w:id="135" w:name="_Toc4328_WPSOffice_Level2"/>
      <w:r>
        <w:rPr>
          <w:rFonts w:hint="eastAsia" w:ascii="宋体" w:hAnsi="宋体" w:eastAsia="宋体" w:cs="宋体"/>
          <w:color w:val="auto"/>
          <w:sz w:val="24"/>
        </w:rPr>
        <w:t>第六章 电子化响应文件内容及格式</w:t>
      </w:r>
      <w:bookmarkEnd w:id="135"/>
    </w:p>
    <w:p w14:paraId="08E722D3">
      <w:pPr>
        <w:pStyle w:val="5"/>
        <w:keepNext w:val="0"/>
        <w:keepLines w:val="0"/>
        <w:pageBreakBefore w:val="0"/>
        <w:widowControl w:val="0"/>
        <w:kinsoku/>
        <w:wordWrap/>
        <w:overflowPunct/>
        <w:topLinePunct w:val="0"/>
        <w:bidi w:val="0"/>
        <w:adjustRightInd/>
        <w:snapToGrid/>
        <w:spacing w:before="160" w:line="480" w:lineRule="exact"/>
        <w:ind w:left="320"/>
        <w:textAlignment w:val="auto"/>
        <w:rPr>
          <w:color w:val="auto"/>
        </w:rPr>
      </w:pPr>
      <w:bookmarkStart w:id="136" w:name="_Toc20095_WPSOffice_Level3"/>
      <w:r>
        <w:rPr>
          <w:color w:val="auto"/>
        </w:rPr>
        <w:t>5、竞争性磋商文件的澄清</w:t>
      </w:r>
      <w:bookmarkEnd w:id="136"/>
    </w:p>
    <w:p w14:paraId="2692F381">
      <w:pPr>
        <w:pStyle w:val="37"/>
        <w:keepNext w:val="0"/>
        <w:keepLines w:val="0"/>
        <w:pageBreakBefore w:val="0"/>
        <w:widowControl w:val="0"/>
        <w:numPr>
          <w:ilvl w:val="1"/>
          <w:numId w:val="2"/>
        </w:numPr>
        <w:tabs>
          <w:tab w:val="left" w:pos="1101"/>
        </w:tabs>
        <w:kinsoku/>
        <w:wordWrap/>
        <w:overflowPunct/>
        <w:topLinePunct w:val="0"/>
        <w:bidi w:val="0"/>
        <w:adjustRightInd/>
        <w:snapToGrid/>
        <w:spacing w:before="161" w:line="480" w:lineRule="exact"/>
        <w:ind w:right="338" w:firstLine="360"/>
        <w:jc w:val="both"/>
        <w:textAlignment w:val="auto"/>
        <w:rPr>
          <w:color w:val="auto"/>
          <w:sz w:val="24"/>
        </w:rPr>
      </w:pPr>
      <w:r>
        <w:rPr>
          <w:color w:val="auto"/>
          <w:spacing w:val="-2"/>
          <w:sz w:val="24"/>
        </w:rPr>
        <w:t>磋商响应供应商对磋商文件需有澄清或疑问，应在购买竞争性磋商文件后</w:t>
      </w:r>
      <w:r>
        <w:rPr>
          <w:color w:val="auto"/>
          <w:sz w:val="24"/>
        </w:rPr>
        <w:t>3</w:t>
      </w:r>
      <w:r>
        <w:rPr>
          <w:color w:val="auto"/>
          <w:spacing w:val="-25"/>
          <w:sz w:val="24"/>
        </w:rPr>
        <w:t xml:space="preserve"> 日内</w:t>
      </w:r>
      <w:r>
        <w:rPr>
          <w:color w:val="auto"/>
          <w:spacing w:val="-2"/>
          <w:sz w:val="24"/>
        </w:rPr>
        <w:t>向采购人进行询问，采购人在收到磋商响应供应商的疑问后于</w:t>
      </w:r>
      <w:r>
        <w:rPr>
          <w:rFonts w:hint="eastAsia"/>
          <w:color w:val="auto"/>
          <w:spacing w:val="-2"/>
          <w:sz w:val="24"/>
          <w:lang w:val="en-US" w:eastAsia="zh-CN"/>
        </w:rPr>
        <w:t>2</w:t>
      </w:r>
      <w:r>
        <w:rPr>
          <w:color w:val="auto"/>
          <w:spacing w:val="-6"/>
          <w:sz w:val="24"/>
        </w:rPr>
        <w:t>日内将视情况确定采用适当方式予以澄清或以书面形式予以答复，并在其认为必要时，将书面答复发送已购买竞争性磋商文件的所有潜在磋商响应供应商。</w:t>
      </w:r>
    </w:p>
    <w:p w14:paraId="79C91224">
      <w:pPr>
        <w:pStyle w:val="37"/>
        <w:keepNext w:val="0"/>
        <w:keepLines w:val="0"/>
        <w:pageBreakBefore w:val="0"/>
        <w:widowControl w:val="0"/>
        <w:numPr>
          <w:ilvl w:val="1"/>
          <w:numId w:val="2"/>
        </w:numPr>
        <w:tabs>
          <w:tab w:val="left" w:pos="1101"/>
        </w:tabs>
        <w:kinsoku/>
        <w:wordWrap/>
        <w:overflowPunct/>
        <w:topLinePunct w:val="0"/>
        <w:bidi w:val="0"/>
        <w:adjustRightInd/>
        <w:snapToGrid/>
        <w:spacing w:before="161" w:line="480" w:lineRule="exact"/>
        <w:ind w:right="338" w:firstLine="360"/>
        <w:jc w:val="both"/>
        <w:textAlignment w:val="auto"/>
        <w:rPr>
          <w:color w:val="auto"/>
        </w:rPr>
      </w:pPr>
      <w:r>
        <w:rPr>
          <w:color w:val="auto"/>
          <w:sz w:val="24"/>
        </w:rPr>
        <w:t>采购人将视情况在认为必要时于采购截止时间前答疑</w:t>
      </w:r>
      <w:r>
        <w:rPr>
          <w:rFonts w:hint="eastAsia"/>
          <w:color w:val="auto"/>
          <w:sz w:val="24"/>
        </w:rPr>
        <w:t>。</w:t>
      </w:r>
    </w:p>
    <w:p w14:paraId="2ADE151E">
      <w:pPr>
        <w:pStyle w:val="5"/>
        <w:keepNext w:val="0"/>
        <w:keepLines w:val="0"/>
        <w:pageBreakBefore w:val="0"/>
        <w:widowControl w:val="0"/>
        <w:kinsoku/>
        <w:wordWrap/>
        <w:overflowPunct/>
        <w:topLinePunct w:val="0"/>
        <w:bidi w:val="0"/>
        <w:adjustRightInd/>
        <w:snapToGrid/>
        <w:spacing w:before="160" w:line="480" w:lineRule="exact"/>
        <w:ind w:left="320"/>
        <w:textAlignment w:val="auto"/>
        <w:rPr>
          <w:color w:val="auto"/>
        </w:rPr>
      </w:pPr>
      <w:bookmarkStart w:id="137" w:name="_Toc20123_WPSOffice_Level3"/>
      <w:r>
        <w:rPr>
          <w:color w:val="auto"/>
        </w:rPr>
        <w:t>6、竞争性磋商文件的修改</w:t>
      </w:r>
      <w:bookmarkEnd w:id="137"/>
    </w:p>
    <w:p w14:paraId="45066D44">
      <w:pPr>
        <w:pStyle w:val="37"/>
        <w:keepNext w:val="0"/>
        <w:keepLines w:val="0"/>
        <w:pageBreakBefore w:val="0"/>
        <w:widowControl w:val="0"/>
        <w:tabs>
          <w:tab w:val="left" w:pos="1101"/>
        </w:tabs>
        <w:kinsoku/>
        <w:wordWrap/>
        <w:overflowPunct/>
        <w:topLinePunct w:val="0"/>
        <w:bidi w:val="0"/>
        <w:adjustRightInd/>
        <w:snapToGrid/>
        <w:spacing w:before="161" w:line="480" w:lineRule="exact"/>
        <w:ind w:left="680" w:right="338" w:firstLine="0"/>
        <w:jc w:val="both"/>
        <w:textAlignment w:val="auto"/>
        <w:rPr>
          <w:color w:val="auto"/>
          <w:spacing w:val="-2"/>
          <w:sz w:val="24"/>
        </w:rPr>
      </w:pPr>
      <w:r>
        <w:rPr>
          <w:color w:val="auto"/>
          <w:spacing w:val="-2"/>
          <w:sz w:val="24"/>
        </w:rPr>
        <w:t>6.1 竞争性磋商文件的修改书将构成磋商响应文件的一部分，对所有磋商响应供应商均有约束力。</w:t>
      </w:r>
    </w:p>
    <w:p w14:paraId="273FBAC0">
      <w:pPr>
        <w:pStyle w:val="37"/>
        <w:keepNext w:val="0"/>
        <w:keepLines w:val="0"/>
        <w:pageBreakBefore w:val="0"/>
        <w:widowControl w:val="0"/>
        <w:tabs>
          <w:tab w:val="left" w:pos="1101"/>
        </w:tabs>
        <w:kinsoku/>
        <w:wordWrap/>
        <w:overflowPunct/>
        <w:topLinePunct w:val="0"/>
        <w:bidi w:val="0"/>
        <w:adjustRightInd/>
        <w:snapToGrid/>
        <w:spacing w:before="161" w:line="480" w:lineRule="exact"/>
        <w:ind w:left="0" w:right="338" w:firstLine="241" w:firstLineChars="100"/>
        <w:jc w:val="both"/>
        <w:textAlignment w:val="auto"/>
        <w:rPr>
          <w:b/>
          <w:bCs/>
          <w:color w:val="auto"/>
          <w:sz w:val="24"/>
          <w:szCs w:val="24"/>
        </w:rPr>
      </w:pPr>
      <w:bookmarkStart w:id="138" w:name="_Toc12366_WPSOffice_Level3"/>
      <w:r>
        <w:rPr>
          <w:b/>
          <w:bCs/>
          <w:color w:val="auto"/>
          <w:sz w:val="24"/>
          <w:szCs w:val="24"/>
        </w:rPr>
        <w:t>7、要求</w:t>
      </w:r>
      <w:bookmarkEnd w:id="138"/>
    </w:p>
    <w:p w14:paraId="63EB7AB4">
      <w:pPr>
        <w:pStyle w:val="8"/>
        <w:keepNext w:val="0"/>
        <w:keepLines w:val="0"/>
        <w:pageBreakBefore w:val="0"/>
        <w:widowControl w:val="0"/>
        <w:kinsoku/>
        <w:wordWrap/>
        <w:overflowPunct/>
        <w:topLinePunct w:val="0"/>
        <w:bidi w:val="0"/>
        <w:adjustRightInd/>
        <w:snapToGrid/>
        <w:spacing w:before="160" w:line="480" w:lineRule="exact"/>
        <w:ind w:right="338" w:firstLine="240"/>
        <w:jc w:val="both"/>
        <w:textAlignment w:val="auto"/>
        <w:rPr>
          <w:color w:val="auto"/>
        </w:rPr>
      </w:pPr>
      <w:r>
        <w:rPr>
          <w:color w:val="auto"/>
          <w:spacing w:val="-2"/>
        </w:rPr>
        <w:t>7.1 磋商响应供应商应仔细阅读竞争性磋商文件的所有内容，按竞争性磋商文件的要求提供磋商响应文件，并保证所提供资料的真实性，以使其磋商响应文件对竞争性磋商文件作出实质性响应，否则，其磋商响应文件不予接受。</w:t>
      </w:r>
    </w:p>
    <w:p w14:paraId="1BEC9550">
      <w:pPr>
        <w:pStyle w:val="37"/>
        <w:keepNext w:val="0"/>
        <w:keepLines w:val="0"/>
        <w:pageBreakBefore w:val="0"/>
        <w:widowControl w:val="0"/>
        <w:tabs>
          <w:tab w:val="left" w:pos="1101"/>
        </w:tabs>
        <w:kinsoku/>
        <w:wordWrap/>
        <w:overflowPunct/>
        <w:topLinePunct w:val="0"/>
        <w:bidi w:val="0"/>
        <w:adjustRightInd/>
        <w:snapToGrid/>
        <w:spacing w:line="480" w:lineRule="exact"/>
        <w:ind w:left="0" w:firstLine="482" w:firstLineChars="200"/>
        <w:jc w:val="both"/>
        <w:textAlignment w:val="auto"/>
        <w:rPr>
          <w:b/>
          <w:bCs/>
          <w:color w:val="auto"/>
          <w:sz w:val="24"/>
          <w:szCs w:val="24"/>
        </w:rPr>
      </w:pPr>
      <w:bookmarkStart w:id="139" w:name="_Toc8655_WPSOffice_Level3"/>
      <w:r>
        <w:rPr>
          <w:b/>
          <w:bCs/>
          <w:color w:val="auto"/>
          <w:sz w:val="24"/>
          <w:szCs w:val="24"/>
        </w:rPr>
        <w:t>8、电子化磋商响应文件的组成</w:t>
      </w:r>
      <w:bookmarkEnd w:id="139"/>
    </w:p>
    <w:p w14:paraId="09B62AAA">
      <w:pPr>
        <w:pStyle w:val="37"/>
        <w:keepNext w:val="0"/>
        <w:keepLines w:val="0"/>
        <w:pageBreakBefore w:val="0"/>
        <w:widowControl w:val="0"/>
        <w:tabs>
          <w:tab w:val="left" w:pos="1101"/>
        </w:tabs>
        <w:kinsoku/>
        <w:wordWrap/>
        <w:overflowPunct/>
        <w:topLinePunct w:val="0"/>
        <w:bidi w:val="0"/>
        <w:adjustRightInd/>
        <w:snapToGrid/>
        <w:spacing w:line="480" w:lineRule="exact"/>
        <w:ind w:left="0" w:firstLine="480" w:firstLineChars="200"/>
        <w:jc w:val="both"/>
        <w:textAlignment w:val="auto"/>
        <w:rPr>
          <w:color w:val="auto"/>
          <w:sz w:val="24"/>
          <w:szCs w:val="24"/>
        </w:rPr>
      </w:pPr>
      <w:r>
        <w:rPr>
          <w:rFonts w:hint="eastAsia"/>
          <w:color w:val="auto"/>
          <w:sz w:val="24"/>
          <w:szCs w:val="24"/>
        </w:rPr>
        <w:t>详见第六章响应文件内容及格式</w:t>
      </w:r>
    </w:p>
    <w:p w14:paraId="0A3BB8FD">
      <w:pPr>
        <w:pStyle w:val="37"/>
        <w:keepNext w:val="0"/>
        <w:keepLines w:val="0"/>
        <w:pageBreakBefore w:val="0"/>
        <w:widowControl w:val="0"/>
        <w:tabs>
          <w:tab w:val="left" w:pos="1101"/>
        </w:tabs>
        <w:kinsoku/>
        <w:wordWrap/>
        <w:overflowPunct/>
        <w:topLinePunct w:val="0"/>
        <w:bidi w:val="0"/>
        <w:adjustRightInd/>
        <w:snapToGrid/>
        <w:spacing w:line="480" w:lineRule="exact"/>
        <w:ind w:left="0" w:firstLine="482" w:firstLineChars="200"/>
        <w:jc w:val="both"/>
        <w:textAlignment w:val="auto"/>
        <w:rPr>
          <w:b/>
          <w:bCs/>
          <w:color w:val="auto"/>
          <w:sz w:val="24"/>
          <w:szCs w:val="24"/>
        </w:rPr>
      </w:pPr>
      <w:bookmarkStart w:id="140" w:name="_Toc4976_WPSOffice_Level3"/>
      <w:r>
        <w:rPr>
          <w:b/>
          <w:bCs/>
          <w:color w:val="auto"/>
          <w:sz w:val="24"/>
          <w:szCs w:val="24"/>
        </w:rPr>
        <w:t>9、电子化磋商响应文件的格式</w:t>
      </w:r>
      <w:bookmarkEnd w:id="140"/>
    </w:p>
    <w:p w14:paraId="777126BC">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rPr>
      </w:pPr>
      <w:r>
        <w:rPr>
          <w:color w:val="auto"/>
        </w:rPr>
        <w:t>9.1</w:t>
      </w:r>
      <w:r>
        <w:rPr>
          <w:rFonts w:hint="eastAsia"/>
          <w:color w:val="auto"/>
          <w:spacing w:val="-12"/>
        </w:rPr>
        <w:t>投标供应商所上传的电子化响应文件，应是通过中心响应文件制作系统制作的，经过签章和加密后生成的电子版响应文件。上传投标文件格式后缀为SMXTF。上传完后，为了验证CA锁是否正常，建议模拟解密下</w:t>
      </w:r>
      <w:r>
        <w:rPr>
          <w:color w:val="auto"/>
        </w:rPr>
        <w:t>。</w:t>
      </w:r>
    </w:p>
    <w:p w14:paraId="5FB3B5A3">
      <w:pPr>
        <w:pStyle w:val="37"/>
        <w:keepNext w:val="0"/>
        <w:keepLines w:val="0"/>
        <w:pageBreakBefore w:val="0"/>
        <w:widowControl w:val="0"/>
        <w:tabs>
          <w:tab w:val="left" w:pos="1101"/>
        </w:tabs>
        <w:kinsoku/>
        <w:wordWrap/>
        <w:overflowPunct/>
        <w:topLinePunct w:val="0"/>
        <w:bidi w:val="0"/>
        <w:adjustRightInd/>
        <w:snapToGrid/>
        <w:spacing w:line="480" w:lineRule="exact"/>
        <w:ind w:left="0" w:firstLine="482" w:firstLineChars="200"/>
        <w:jc w:val="both"/>
        <w:textAlignment w:val="auto"/>
        <w:rPr>
          <w:b/>
          <w:bCs/>
          <w:color w:val="auto"/>
          <w:sz w:val="24"/>
          <w:szCs w:val="24"/>
        </w:rPr>
      </w:pPr>
      <w:bookmarkStart w:id="141" w:name="_Toc3669_WPSOffice_Level3"/>
      <w:r>
        <w:rPr>
          <w:b/>
          <w:bCs/>
          <w:color w:val="auto"/>
          <w:sz w:val="24"/>
          <w:szCs w:val="24"/>
        </w:rPr>
        <w:t>10、电子化磋商响应文件的签署</w:t>
      </w:r>
      <w:bookmarkEnd w:id="141"/>
    </w:p>
    <w:p w14:paraId="54264B7E">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rPr>
      </w:pPr>
      <w:r>
        <w:rPr>
          <w:color w:val="auto"/>
          <w:spacing w:val="-12"/>
        </w:rPr>
        <w:t>10.1 磋商响应供应商在进行电子化磋商响应文件签章时，竞争性磋商文件中要求磋商响应供应商盖章的，以签盖单位章为准；要求法定代表人签章的，以签盖法定代表人签章为准。电子化磋商响应文件具体制作教材请供应商通过三门峡市公共资源</w:t>
      </w:r>
      <w:r>
        <w:rPr>
          <w:rFonts w:hint="eastAsia"/>
          <w:color w:val="auto"/>
          <w:spacing w:val="-12"/>
        </w:rPr>
        <w:t>交易平台网首页</w:t>
      </w:r>
      <w:r>
        <w:rPr>
          <w:color w:val="auto"/>
          <w:spacing w:val="-12"/>
        </w:rPr>
        <w:t>“下载</w:t>
      </w:r>
      <w:r>
        <w:rPr>
          <w:rFonts w:hint="eastAsia"/>
          <w:color w:val="auto"/>
          <w:spacing w:val="-12"/>
        </w:rPr>
        <w:t>专区</w:t>
      </w:r>
      <w:r>
        <w:rPr>
          <w:color w:val="auto"/>
          <w:spacing w:val="-12"/>
        </w:rPr>
        <w:t>”中查看。</w:t>
      </w:r>
    </w:p>
    <w:p w14:paraId="62EEEDFB">
      <w:pPr>
        <w:pStyle w:val="5"/>
        <w:keepNext w:val="0"/>
        <w:keepLines w:val="0"/>
        <w:pageBreakBefore w:val="0"/>
        <w:widowControl w:val="0"/>
        <w:tabs>
          <w:tab w:val="left" w:pos="687"/>
        </w:tabs>
        <w:kinsoku/>
        <w:wordWrap/>
        <w:overflowPunct/>
        <w:topLinePunct w:val="0"/>
        <w:bidi w:val="0"/>
        <w:adjustRightInd/>
        <w:snapToGrid/>
        <w:spacing w:before="1" w:line="480" w:lineRule="exact"/>
        <w:ind w:left="0" w:firstLine="482" w:firstLineChars="200"/>
        <w:textAlignment w:val="auto"/>
        <w:rPr>
          <w:color w:val="auto"/>
        </w:rPr>
      </w:pPr>
      <w:bookmarkStart w:id="142" w:name="_Toc1982_WPSOffice_Level3"/>
      <w:r>
        <w:rPr>
          <w:color w:val="auto"/>
        </w:rPr>
        <w:t>11、电子化磋商响应文件的上传</w:t>
      </w:r>
      <w:bookmarkEnd w:id="142"/>
    </w:p>
    <w:p w14:paraId="004F4D7E">
      <w:pPr>
        <w:pStyle w:val="8"/>
        <w:keepNext w:val="0"/>
        <w:keepLines w:val="0"/>
        <w:pageBreakBefore w:val="0"/>
        <w:widowControl w:val="0"/>
        <w:kinsoku/>
        <w:wordWrap/>
        <w:overflowPunct/>
        <w:topLinePunct w:val="0"/>
        <w:bidi w:val="0"/>
        <w:adjustRightInd/>
        <w:snapToGrid/>
        <w:spacing w:before="161" w:line="480" w:lineRule="exact"/>
        <w:ind w:right="403" w:firstLine="420"/>
        <w:textAlignment w:val="auto"/>
        <w:rPr>
          <w:color w:val="auto"/>
        </w:rPr>
      </w:pPr>
      <w:r>
        <w:rPr>
          <w:color w:val="auto"/>
        </w:rPr>
        <w:t>11.1</w:t>
      </w:r>
      <w:r>
        <w:rPr>
          <w:color w:val="auto"/>
          <w:spacing w:val="-9"/>
        </w:rPr>
        <w:t xml:space="preserve"> 电子化磋商响应文件应在磋商截止时间前成功上传至三门峡市公共资源电子化</w:t>
      </w:r>
      <w:r>
        <w:rPr>
          <w:color w:val="auto"/>
        </w:rPr>
        <w:t>交易系统。至磋商截止时间止，仍未上传成功的电子化磋商响应文件将不予接收。</w:t>
      </w:r>
    </w:p>
    <w:p w14:paraId="49FCE013">
      <w:pPr>
        <w:pStyle w:val="8"/>
        <w:keepNext w:val="0"/>
        <w:keepLines w:val="0"/>
        <w:pageBreakBefore w:val="0"/>
        <w:widowControl w:val="0"/>
        <w:kinsoku/>
        <w:wordWrap/>
        <w:overflowPunct/>
        <w:topLinePunct w:val="0"/>
        <w:bidi w:val="0"/>
        <w:adjustRightInd/>
        <w:snapToGrid/>
        <w:spacing w:before="1" w:line="480" w:lineRule="exact"/>
        <w:ind w:right="338" w:firstLine="420"/>
        <w:jc w:val="both"/>
        <w:textAlignment w:val="auto"/>
        <w:rPr>
          <w:color w:val="auto"/>
        </w:rPr>
      </w:pPr>
      <w:r>
        <w:rPr>
          <w:b/>
          <w:color w:val="auto"/>
          <w:spacing w:val="-29"/>
        </w:rPr>
        <w:t>注：</w:t>
      </w:r>
      <w:r>
        <w:rPr>
          <w:color w:val="auto"/>
          <w:spacing w:val="-3"/>
        </w:rPr>
        <w:t>如按照电子化投标操作教材制作完成的电子化磋商响应文件无法上传的，磋商响</w:t>
      </w:r>
      <w:r>
        <w:rPr>
          <w:color w:val="auto"/>
        </w:rPr>
        <w:t>应供应商应在磋商截止时间前尽早的联系中心技术人员，以便有充分的时间进行处理。磋商响应供应商应充分考虑到处理技术问题和上传数据等工作的时间问题，磋商响应文件未在磋商截止时间前成功上传的，其磋商响应文件不予接收。</w:t>
      </w:r>
    </w:p>
    <w:p w14:paraId="479F4FFE">
      <w:pPr>
        <w:pStyle w:val="5"/>
        <w:keepNext w:val="0"/>
        <w:keepLines w:val="0"/>
        <w:pageBreakBefore w:val="0"/>
        <w:widowControl w:val="0"/>
        <w:kinsoku/>
        <w:wordWrap/>
        <w:overflowPunct/>
        <w:topLinePunct w:val="0"/>
        <w:bidi w:val="0"/>
        <w:adjustRightInd/>
        <w:snapToGrid/>
        <w:spacing w:before="3" w:line="480" w:lineRule="exact"/>
        <w:ind w:left="0" w:firstLine="482" w:firstLineChars="200"/>
        <w:textAlignment w:val="auto"/>
        <w:rPr>
          <w:color w:val="auto"/>
        </w:rPr>
      </w:pPr>
      <w:bookmarkStart w:id="143" w:name="_Toc4328_WPSOffice_Level3"/>
      <w:r>
        <w:rPr>
          <w:color w:val="auto"/>
        </w:rPr>
        <w:t>12、磋商截止时间</w:t>
      </w:r>
      <w:bookmarkEnd w:id="143"/>
    </w:p>
    <w:p w14:paraId="7F9A1210">
      <w:pPr>
        <w:pStyle w:val="8"/>
        <w:keepNext w:val="0"/>
        <w:keepLines w:val="0"/>
        <w:pageBreakBefore w:val="0"/>
        <w:widowControl w:val="0"/>
        <w:kinsoku/>
        <w:wordWrap/>
        <w:overflowPunct/>
        <w:topLinePunct w:val="0"/>
        <w:bidi w:val="0"/>
        <w:adjustRightInd/>
        <w:snapToGrid/>
        <w:spacing w:before="160" w:line="480" w:lineRule="exact"/>
        <w:ind w:left="740"/>
        <w:textAlignment w:val="auto"/>
        <w:rPr>
          <w:color w:val="auto"/>
        </w:rPr>
      </w:pPr>
      <w:r>
        <w:rPr>
          <w:color w:val="auto"/>
        </w:rPr>
        <w:t>12.1 电子化磋商响应文件的截止时间见本须知前附表规定。</w:t>
      </w:r>
    </w:p>
    <w:p w14:paraId="7B84DAD1">
      <w:pPr>
        <w:pStyle w:val="5"/>
        <w:keepNext w:val="0"/>
        <w:keepLines w:val="0"/>
        <w:pageBreakBefore w:val="0"/>
        <w:widowControl w:val="0"/>
        <w:kinsoku/>
        <w:wordWrap/>
        <w:overflowPunct/>
        <w:topLinePunct w:val="0"/>
        <w:bidi w:val="0"/>
        <w:adjustRightInd/>
        <w:snapToGrid/>
        <w:spacing w:before="3" w:line="480" w:lineRule="exact"/>
        <w:ind w:left="0" w:firstLine="482" w:firstLineChars="200"/>
        <w:textAlignment w:val="auto"/>
        <w:rPr>
          <w:color w:val="auto"/>
        </w:rPr>
      </w:pPr>
      <w:bookmarkStart w:id="144" w:name="_Toc14892_WPSOffice_Level3"/>
      <w:r>
        <w:rPr>
          <w:color w:val="auto"/>
        </w:rPr>
        <w:t>13、电子化磋商响应文件的补充、修改与撤回</w:t>
      </w:r>
      <w:bookmarkEnd w:id="144"/>
    </w:p>
    <w:p w14:paraId="071B00F7">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rPr>
      </w:pPr>
      <w:r>
        <w:rPr>
          <w:color w:val="auto"/>
          <w:spacing w:val="-12"/>
        </w:rPr>
        <w:t>13.1 在磋商截止时间之后，磋商响应供应商不得补充、修改电子化磋商响应文件。</w:t>
      </w:r>
    </w:p>
    <w:p w14:paraId="2AF238F6">
      <w:pPr>
        <w:pStyle w:val="8"/>
        <w:keepNext w:val="0"/>
        <w:keepLines w:val="0"/>
        <w:pageBreakBefore w:val="0"/>
        <w:widowControl w:val="0"/>
        <w:kinsoku/>
        <w:wordWrap/>
        <w:overflowPunct/>
        <w:topLinePunct w:val="0"/>
        <w:bidi w:val="0"/>
        <w:adjustRightInd/>
        <w:snapToGrid/>
        <w:spacing w:before="161" w:line="480" w:lineRule="exact"/>
        <w:ind w:right="337"/>
        <w:jc w:val="both"/>
        <w:textAlignment w:val="auto"/>
        <w:rPr>
          <w:b/>
          <w:bCs/>
          <w:color w:val="auto"/>
        </w:rPr>
      </w:pPr>
      <w:bookmarkStart w:id="145" w:name="_Toc16713_WPSOffice_Level3"/>
      <w:r>
        <w:rPr>
          <w:b/>
          <w:bCs/>
          <w:color w:val="auto"/>
        </w:rPr>
        <w:t>14、磋商报价</w:t>
      </w:r>
      <w:bookmarkEnd w:id="145"/>
    </w:p>
    <w:p w14:paraId="0605FC93">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b/>
          <w:bCs/>
          <w:color w:val="auto"/>
        </w:rPr>
      </w:pPr>
      <w:r>
        <w:rPr>
          <w:rFonts w:hint="eastAsia"/>
          <w:color w:val="auto"/>
          <w:spacing w:val="-12"/>
          <w:lang w:val="en-US"/>
        </w:rPr>
        <w:t xml:space="preserve">14.1 </w:t>
      </w:r>
      <w:r>
        <w:rPr>
          <w:color w:val="auto"/>
          <w:spacing w:val="-12"/>
        </w:rPr>
        <w:t>本次磋商采购的均须以</w:t>
      </w:r>
      <w:r>
        <w:rPr>
          <w:rFonts w:hint="eastAsia"/>
          <w:color w:val="auto"/>
          <w:spacing w:val="-12"/>
          <w:lang w:val="en-US" w:eastAsia="zh-CN"/>
        </w:rPr>
        <w:t>总价方式报价</w:t>
      </w:r>
      <w:r>
        <w:rPr>
          <w:color w:val="auto"/>
          <w:spacing w:val="-12"/>
        </w:rPr>
        <w:t>。</w:t>
      </w:r>
    </w:p>
    <w:p w14:paraId="73F5142A">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rPr>
      </w:pPr>
      <w:r>
        <w:rPr>
          <w:rFonts w:hint="eastAsia"/>
          <w:color w:val="auto"/>
          <w:spacing w:val="-12"/>
          <w:lang w:val="en-US"/>
        </w:rPr>
        <w:t xml:space="preserve">14.2 </w:t>
      </w:r>
      <w:r>
        <w:rPr>
          <w:color w:val="auto"/>
          <w:spacing w:val="-12"/>
        </w:rPr>
        <w:t>磋商响应供应商</w:t>
      </w:r>
      <w:r>
        <w:rPr>
          <w:rFonts w:hint="eastAsia"/>
          <w:color w:val="auto"/>
          <w:spacing w:val="-12"/>
          <w:lang w:val="en-US"/>
        </w:rPr>
        <w:t>所报总价包含此项目中</w:t>
      </w:r>
      <w:r>
        <w:rPr>
          <w:rFonts w:hint="eastAsia"/>
          <w:color w:val="auto"/>
          <w:spacing w:val="-12"/>
          <w:lang w:val="en-US" w:eastAsia="zh-CN"/>
        </w:rPr>
        <w:t>所有服务内容</w:t>
      </w:r>
      <w:r>
        <w:rPr>
          <w:rFonts w:hint="eastAsia"/>
          <w:color w:val="auto"/>
          <w:spacing w:val="-12"/>
          <w:lang w:val="en-US"/>
        </w:rPr>
        <w:t>、税金、等所有费用</w:t>
      </w:r>
      <w:r>
        <w:rPr>
          <w:color w:val="auto"/>
          <w:spacing w:val="-12"/>
        </w:rPr>
        <w:t>。</w:t>
      </w:r>
    </w:p>
    <w:p w14:paraId="7F1D866E">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rPr>
      </w:pPr>
      <w:r>
        <w:rPr>
          <w:rFonts w:hint="eastAsia"/>
          <w:color w:val="auto"/>
          <w:spacing w:val="-12"/>
          <w:lang w:val="en-US"/>
        </w:rPr>
        <w:t xml:space="preserve">14.3 </w:t>
      </w:r>
      <w:r>
        <w:rPr>
          <w:color w:val="auto"/>
          <w:spacing w:val="-12"/>
        </w:rPr>
        <w:t>磋商响应供应商应充分考虑市场风险和国家政策性风险系数，根据企业具体情况在合理的范围内自主报价，但不得低于企业实际成本。</w:t>
      </w:r>
    </w:p>
    <w:p w14:paraId="59257699">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rPr>
      </w:pPr>
      <w:r>
        <w:rPr>
          <w:rFonts w:hint="eastAsia"/>
          <w:color w:val="auto"/>
          <w:spacing w:val="-12"/>
          <w:lang w:val="en-US"/>
        </w:rPr>
        <w:t xml:space="preserve">14.4 </w:t>
      </w:r>
      <w:r>
        <w:rPr>
          <w:color w:val="auto"/>
          <w:spacing w:val="-12"/>
        </w:rPr>
        <w:t>磋商响应供应商的磋商报价应包含验收合格正式交付使用前所发生的一切费用，且磋商响应供应商只能提出一个报价，采购人不接受任何有选择的报价，最后报价不得超过项目采购预算。</w:t>
      </w:r>
    </w:p>
    <w:p w14:paraId="6D5D08B5">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rPr>
      </w:pPr>
      <w:r>
        <w:rPr>
          <w:rFonts w:hint="eastAsia"/>
          <w:color w:val="auto"/>
          <w:spacing w:val="-12"/>
          <w:lang w:val="en-US"/>
        </w:rPr>
        <w:t xml:space="preserve">14.5 </w:t>
      </w:r>
      <w:r>
        <w:rPr>
          <w:color w:val="auto"/>
          <w:spacing w:val="-12"/>
        </w:rPr>
        <w:t>磋商响应供应商的报价明显低于其他报价，使得其报价可能低于其个别成本的， 有可能影响</w:t>
      </w:r>
      <w:r>
        <w:rPr>
          <w:rFonts w:hint="eastAsia"/>
          <w:color w:val="auto"/>
          <w:spacing w:val="-12"/>
          <w:lang w:val="en-US" w:eastAsia="zh-CN"/>
        </w:rPr>
        <w:t>项目实施</w:t>
      </w:r>
      <w:r>
        <w:rPr>
          <w:color w:val="auto"/>
          <w:spacing w:val="-12"/>
        </w:rPr>
        <w:t>和不能诚信履约的，应当要求该报价人作出书面说明并提供相关证明材料。报价人不能合理说明或者不能提供相关证明材料的，由磋商小组认定该报价人以低于成本报价，其报价应作无效报价处理。</w:t>
      </w:r>
    </w:p>
    <w:p w14:paraId="0908DF28">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rPr>
      </w:pPr>
      <w:r>
        <w:rPr>
          <w:rFonts w:hint="eastAsia"/>
          <w:color w:val="auto"/>
          <w:spacing w:val="-12"/>
          <w:lang w:val="en-US"/>
        </w:rPr>
        <w:t>14.6</w:t>
      </w:r>
      <w:r>
        <w:rPr>
          <w:b/>
          <w:bCs/>
          <w:color w:val="auto"/>
          <w:spacing w:val="-12"/>
        </w:rPr>
        <w:t>本次采购为竞争性磋商采购，允许二次报价。</w:t>
      </w:r>
    </w:p>
    <w:p w14:paraId="42DE7BC3">
      <w:pPr>
        <w:pStyle w:val="8"/>
        <w:keepNext w:val="0"/>
        <w:keepLines w:val="0"/>
        <w:pageBreakBefore w:val="0"/>
        <w:widowControl w:val="0"/>
        <w:kinsoku/>
        <w:wordWrap/>
        <w:overflowPunct/>
        <w:topLinePunct w:val="0"/>
        <w:bidi w:val="0"/>
        <w:adjustRightInd/>
        <w:snapToGrid/>
        <w:spacing w:before="161" w:line="480" w:lineRule="exact"/>
        <w:ind w:right="337" w:firstLine="241" w:firstLineChars="100"/>
        <w:jc w:val="both"/>
        <w:textAlignment w:val="auto"/>
        <w:rPr>
          <w:b/>
          <w:bCs/>
          <w:color w:val="auto"/>
        </w:rPr>
      </w:pPr>
      <w:bookmarkStart w:id="146" w:name="_Toc28583_WPSOffice_Level3"/>
      <w:r>
        <w:rPr>
          <w:rFonts w:hint="eastAsia"/>
          <w:b/>
          <w:bCs/>
          <w:color w:val="auto"/>
          <w:lang w:val="en-US"/>
        </w:rPr>
        <w:t>15、</w:t>
      </w:r>
      <w:r>
        <w:rPr>
          <w:b/>
          <w:bCs/>
          <w:color w:val="auto"/>
        </w:rPr>
        <w:t>磋商响应供应商资格的证明文件</w:t>
      </w:r>
      <w:bookmarkEnd w:id="146"/>
    </w:p>
    <w:p w14:paraId="63118078">
      <w:pPr>
        <w:pStyle w:val="8"/>
        <w:keepNext w:val="0"/>
        <w:keepLines w:val="0"/>
        <w:pageBreakBefore w:val="0"/>
        <w:widowControl w:val="0"/>
        <w:kinsoku/>
        <w:wordWrap/>
        <w:overflowPunct/>
        <w:topLinePunct w:val="0"/>
        <w:bidi w:val="0"/>
        <w:adjustRightInd/>
        <w:snapToGrid/>
        <w:spacing w:before="161" w:line="480" w:lineRule="exact"/>
        <w:ind w:left="0" w:right="337" w:firstLine="432" w:firstLineChars="200"/>
        <w:jc w:val="both"/>
        <w:textAlignment w:val="auto"/>
        <w:rPr>
          <w:color w:val="auto"/>
          <w:spacing w:val="-12"/>
        </w:rPr>
      </w:pPr>
      <w:r>
        <w:rPr>
          <w:rFonts w:hint="eastAsia"/>
          <w:color w:val="auto"/>
          <w:spacing w:val="-12"/>
          <w:lang w:val="en-US"/>
        </w:rPr>
        <w:t>15.1</w:t>
      </w:r>
      <w:r>
        <w:rPr>
          <w:color w:val="auto"/>
          <w:spacing w:val="-12"/>
        </w:rPr>
        <w:t>证明磋商响应供应商是有资格参加磋商的。</w:t>
      </w:r>
    </w:p>
    <w:p w14:paraId="58996768">
      <w:pPr>
        <w:pStyle w:val="8"/>
        <w:keepNext w:val="0"/>
        <w:keepLines w:val="0"/>
        <w:pageBreakBefore w:val="0"/>
        <w:widowControl w:val="0"/>
        <w:kinsoku/>
        <w:wordWrap/>
        <w:overflowPunct/>
        <w:topLinePunct w:val="0"/>
        <w:bidi w:val="0"/>
        <w:adjustRightInd/>
        <w:snapToGrid/>
        <w:spacing w:before="161" w:line="480" w:lineRule="exact"/>
        <w:ind w:right="337" w:firstLine="216" w:firstLineChars="100"/>
        <w:jc w:val="both"/>
        <w:textAlignment w:val="auto"/>
        <w:rPr>
          <w:color w:val="auto"/>
          <w:spacing w:val="-12"/>
        </w:rPr>
      </w:pPr>
      <w:r>
        <w:rPr>
          <w:rFonts w:hint="eastAsia"/>
          <w:color w:val="auto"/>
          <w:spacing w:val="-12"/>
          <w:lang w:val="en-US"/>
        </w:rPr>
        <w:t>15.2</w:t>
      </w:r>
      <w:r>
        <w:rPr>
          <w:color w:val="auto"/>
          <w:spacing w:val="-12"/>
        </w:rPr>
        <w:t>证明磋商响应供应商有能力履行竞争性磋商文件中合同条款和技术要求规定的由磋商响应供应商提供的服务等义务。</w:t>
      </w:r>
    </w:p>
    <w:p w14:paraId="7E77A48E">
      <w:pPr>
        <w:pStyle w:val="5"/>
        <w:keepNext w:val="0"/>
        <w:keepLines w:val="0"/>
        <w:pageBreakBefore w:val="0"/>
        <w:widowControl w:val="0"/>
        <w:kinsoku/>
        <w:wordWrap/>
        <w:overflowPunct/>
        <w:topLinePunct w:val="0"/>
        <w:bidi w:val="0"/>
        <w:adjustRightInd/>
        <w:snapToGrid/>
        <w:spacing w:before="1" w:line="480" w:lineRule="exact"/>
        <w:ind w:left="0" w:firstLine="723" w:firstLineChars="300"/>
        <w:textAlignment w:val="auto"/>
        <w:rPr>
          <w:color w:val="auto"/>
        </w:rPr>
      </w:pPr>
      <w:bookmarkStart w:id="147" w:name="_Toc29721_WPSOffice_Level3"/>
      <w:r>
        <w:rPr>
          <w:color w:val="auto"/>
        </w:rPr>
        <w:t>16、磋商保证金</w:t>
      </w:r>
      <w:bookmarkEnd w:id="147"/>
    </w:p>
    <w:p w14:paraId="14C35558">
      <w:pPr>
        <w:pStyle w:val="8"/>
        <w:keepNext w:val="0"/>
        <w:keepLines w:val="0"/>
        <w:pageBreakBefore w:val="0"/>
        <w:widowControl w:val="0"/>
        <w:kinsoku/>
        <w:wordWrap/>
        <w:overflowPunct/>
        <w:topLinePunct w:val="0"/>
        <w:bidi w:val="0"/>
        <w:adjustRightInd/>
        <w:snapToGrid/>
        <w:spacing w:before="161" w:line="480" w:lineRule="exact"/>
        <w:ind w:right="337" w:firstLine="420"/>
        <w:jc w:val="both"/>
        <w:textAlignment w:val="auto"/>
        <w:rPr>
          <w:color w:val="auto"/>
          <w:spacing w:val="-12"/>
          <w:lang w:val="en-US"/>
        </w:rPr>
      </w:pPr>
      <w:bookmarkStart w:id="148" w:name="_Toc26640_WPSOffice_Level3"/>
      <w:r>
        <w:rPr>
          <w:rFonts w:hint="eastAsia"/>
          <w:color w:val="auto"/>
          <w:spacing w:val="-12"/>
          <w:lang w:val="en-US"/>
        </w:rPr>
        <w:t>根据《河南省财政厅关于优化政府采购营商环境有关问题的通知》（豫财购【2019】4号）第6条的规定，本项目磋商保证金不再收取，供应商须提供投标承诺书（详见第六章响应文件格式）</w:t>
      </w:r>
    </w:p>
    <w:p w14:paraId="4AA7311D">
      <w:pPr>
        <w:pStyle w:val="5"/>
        <w:keepNext w:val="0"/>
        <w:keepLines w:val="0"/>
        <w:pageBreakBefore w:val="0"/>
        <w:widowControl w:val="0"/>
        <w:kinsoku/>
        <w:wordWrap/>
        <w:overflowPunct/>
        <w:topLinePunct w:val="0"/>
        <w:bidi w:val="0"/>
        <w:adjustRightInd/>
        <w:snapToGrid/>
        <w:spacing w:before="1" w:line="480" w:lineRule="exact"/>
        <w:ind w:left="0" w:firstLine="723" w:firstLineChars="300"/>
        <w:textAlignment w:val="auto"/>
        <w:rPr>
          <w:color w:val="auto"/>
        </w:rPr>
      </w:pPr>
      <w:r>
        <w:rPr>
          <w:color w:val="auto"/>
        </w:rPr>
        <w:t>17、磋商响应文件有效期</w:t>
      </w:r>
      <w:bookmarkEnd w:id="148"/>
    </w:p>
    <w:p w14:paraId="314CC07C">
      <w:pPr>
        <w:pStyle w:val="37"/>
        <w:keepNext w:val="0"/>
        <w:keepLines w:val="0"/>
        <w:pageBreakBefore w:val="0"/>
        <w:widowControl w:val="0"/>
        <w:numPr>
          <w:ilvl w:val="1"/>
          <w:numId w:val="3"/>
        </w:numPr>
        <w:tabs>
          <w:tab w:val="left" w:pos="1281"/>
        </w:tabs>
        <w:kinsoku/>
        <w:wordWrap/>
        <w:overflowPunct/>
        <w:topLinePunct w:val="0"/>
        <w:bidi w:val="0"/>
        <w:adjustRightInd/>
        <w:snapToGrid/>
        <w:spacing w:before="161" w:line="480" w:lineRule="exact"/>
        <w:ind w:right="341" w:firstLine="420"/>
        <w:textAlignment w:val="auto"/>
        <w:rPr>
          <w:color w:val="auto"/>
          <w:sz w:val="24"/>
        </w:rPr>
      </w:pPr>
      <w:r>
        <w:rPr>
          <w:color w:val="auto"/>
          <w:sz w:val="24"/>
        </w:rPr>
        <w:t>响应性文件从首次递交竞争性磋商响应文件截止时间之日起开始生效，磋商有</w:t>
      </w:r>
      <w:r>
        <w:rPr>
          <w:color w:val="auto"/>
          <w:spacing w:val="-15"/>
          <w:sz w:val="24"/>
        </w:rPr>
        <w:t>效期为</w:t>
      </w:r>
      <w:r>
        <w:rPr>
          <w:rFonts w:hint="eastAsia"/>
          <w:color w:val="auto"/>
          <w:spacing w:val="-15"/>
          <w:sz w:val="24"/>
          <w:lang w:val="en-US" w:eastAsia="zh-CN"/>
        </w:rPr>
        <w:t>60</w:t>
      </w:r>
      <w:r>
        <w:rPr>
          <w:color w:val="auto"/>
          <w:spacing w:val="-8"/>
          <w:sz w:val="24"/>
        </w:rPr>
        <w:t>日历天，有效期短于此规定的响应文件将被视为无效文件。</w:t>
      </w:r>
    </w:p>
    <w:p w14:paraId="61F3A6BC">
      <w:pPr>
        <w:pStyle w:val="37"/>
        <w:keepNext w:val="0"/>
        <w:keepLines w:val="0"/>
        <w:pageBreakBefore w:val="0"/>
        <w:widowControl w:val="0"/>
        <w:numPr>
          <w:ilvl w:val="1"/>
          <w:numId w:val="3"/>
        </w:numPr>
        <w:tabs>
          <w:tab w:val="left" w:pos="1281"/>
        </w:tabs>
        <w:kinsoku/>
        <w:wordWrap/>
        <w:overflowPunct/>
        <w:topLinePunct w:val="0"/>
        <w:bidi w:val="0"/>
        <w:adjustRightInd/>
        <w:snapToGrid/>
        <w:spacing w:before="1" w:line="480" w:lineRule="exact"/>
        <w:ind w:right="338" w:firstLine="420"/>
        <w:jc w:val="both"/>
        <w:textAlignment w:val="auto"/>
        <w:rPr>
          <w:color w:val="auto"/>
          <w:sz w:val="24"/>
        </w:rPr>
      </w:pPr>
      <w:r>
        <w:rPr>
          <w:color w:val="auto"/>
          <w:sz w:val="24"/>
        </w:rPr>
        <w:t>特殊情况下，采购人可于磋商响应文件有效期满之前要求磋商响应供应商同意延长有效期，要求与答复均为书面形式。磋商响应供应商可以拒绝上述要求，对于同意该要求的磋商响应供应商，不允许其修改磋商响应文件。</w:t>
      </w:r>
    </w:p>
    <w:p w14:paraId="59BBE91D">
      <w:pPr>
        <w:pStyle w:val="5"/>
        <w:keepNext w:val="0"/>
        <w:keepLines w:val="0"/>
        <w:pageBreakBefore w:val="0"/>
        <w:widowControl w:val="0"/>
        <w:kinsoku/>
        <w:wordWrap/>
        <w:overflowPunct/>
        <w:topLinePunct w:val="0"/>
        <w:bidi w:val="0"/>
        <w:adjustRightInd/>
        <w:snapToGrid/>
        <w:spacing w:before="2" w:line="480" w:lineRule="exact"/>
        <w:textAlignment w:val="auto"/>
        <w:rPr>
          <w:color w:val="auto"/>
        </w:rPr>
      </w:pPr>
      <w:bookmarkStart w:id="149" w:name="_Toc14449_WPSOffice_Level3"/>
      <w:r>
        <w:rPr>
          <w:color w:val="auto"/>
        </w:rPr>
        <w:t>18、磋商</w:t>
      </w:r>
      <w:bookmarkEnd w:id="149"/>
    </w:p>
    <w:p w14:paraId="135C64BD">
      <w:pPr>
        <w:pStyle w:val="37"/>
        <w:keepNext w:val="0"/>
        <w:keepLines w:val="0"/>
        <w:pageBreakBefore w:val="0"/>
        <w:widowControl w:val="0"/>
        <w:numPr>
          <w:ilvl w:val="1"/>
          <w:numId w:val="4"/>
        </w:numPr>
        <w:tabs>
          <w:tab w:val="left" w:pos="1281"/>
        </w:tabs>
        <w:kinsoku/>
        <w:wordWrap/>
        <w:overflowPunct/>
        <w:topLinePunct w:val="0"/>
        <w:bidi w:val="0"/>
        <w:adjustRightInd/>
        <w:snapToGrid/>
        <w:spacing w:before="160" w:line="480" w:lineRule="exact"/>
        <w:textAlignment w:val="auto"/>
        <w:rPr>
          <w:color w:val="auto"/>
          <w:sz w:val="24"/>
        </w:rPr>
      </w:pPr>
      <w:r>
        <w:rPr>
          <w:color w:val="auto"/>
          <w:sz w:val="24"/>
        </w:rPr>
        <w:t>采购人按本须知前附表规定的时间和地点磋商。</w:t>
      </w:r>
    </w:p>
    <w:p w14:paraId="5B3CE3BB">
      <w:pPr>
        <w:pStyle w:val="37"/>
        <w:keepNext w:val="0"/>
        <w:keepLines w:val="0"/>
        <w:pageBreakBefore w:val="0"/>
        <w:widowControl w:val="0"/>
        <w:numPr>
          <w:ilvl w:val="1"/>
          <w:numId w:val="4"/>
        </w:numPr>
        <w:tabs>
          <w:tab w:val="left" w:pos="1222"/>
        </w:tabs>
        <w:kinsoku/>
        <w:wordWrap/>
        <w:overflowPunct/>
        <w:topLinePunct w:val="0"/>
        <w:bidi w:val="0"/>
        <w:adjustRightInd/>
        <w:snapToGrid/>
        <w:spacing w:before="161" w:line="480" w:lineRule="exact"/>
        <w:ind w:left="1221" w:hanging="481"/>
        <w:textAlignment w:val="auto"/>
        <w:rPr>
          <w:color w:val="auto"/>
          <w:sz w:val="24"/>
        </w:rPr>
      </w:pPr>
      <w:r>
        <w:rPr>
          <w:color w:val="auto"/>
          <w:sz w:val="24"/>
        </w:rPr>
        <w:t>磋商会议由采购代理机构主持；</w:t>
      </w:r>
    </w:p>
    <w:p w14:paraId="59873DE4">
      <w:pPr>
        <w:pStyle w:val="37"/>
        <w:keepNext w:val="0"/>
        <w:keepLines w:val="0"/>
        <w:pageBreakBefore w:val="0"/>
        <w:widowControl w:val="0"/>
        <w:numPr>
          <w:ilvl w:val="1"/>
          <w:numId w:val="4"/>
        </w:numPr>
        <w:tabs>
          <w:tab w:val="left" w:pos="1222"/>
        </w:tabs>
        <w:kinsoku/>
        <w:wordWrap/>
        <w:overflowPunct/>
        <w:topLinePunct w:val="0"/>
        <w:bidi w:val="0"/>
        <w:adjustRightInd/>
        <w:snapToGrid/>
        <w:spacing w:before="160" w:line="480" w:lineRule="exact"/>
        <w:ind w:left="1221" w:hanging="481"/>
        <w:textAlignment w:val="auto"/>
        <w:rPr>
          <w:color w:val="auto"/>
          <w:sz w:val="24"/>
        </w:rPr>
      </w:pPr>
      <w:r>
        <w:rPr>
          <w:color w:val="auto"/>
          <w:sz w:val="24"/>
        </w:rPr>
        <w:t>宣布磋商会议纪律；</w:t>
      </w:r>
    </w:p>
    <w:p w14:paraId="6AC0F006">
      <w:pPr>
        <w:pStyle w:val="37"/>
        <w:keepNext w:val="0"/>
        <w:keepLines w:val="0"/>
        <w:pageBreakBefore w:val="0"/>
        <w:widowControl w:val="0"/>
        <w:numPr>
          <w:ilvl w:val="1"/>
          <w:numId w:val="4"/>
        </w:numPr>
        <w:tabs>
          <w:tab w:val="left" w:pos="1222"/>
        </w:tabs>
        <w:kinsoku/>
        <w:wordWrap/>
        <w:overflowPunct/>
        <w:topLinePunct w:val="0"/>
        <w:bidi w:val="0"/>
        <w:adjustRightInd/>
        <w:snapToGrid/>
        <w:spacing w:before="160" w:line="480" w:lineRule="exact"/>
        <w:ind w:left="1221" w:hanging="481"/>
        <w:textAlignment w:val="auto"/>
        <w:rPr>
          <w:color w:val="auto"/>
          <w:sz w:val="24"/>
        </w:rPr>
      </w:pPr>
      <w:r>
        <w:rPr>
          <w:color w:val="auto"/>
          <w:spacing w:val="-11"/>
          <w:sz w:val="24"/>
        </w:rPr>
        <w:t>磋商时，电子招标投标交易平台自动提取所有电子化磋商响应文件，按时在线解</w:t>
      </w:r>
      <w:r>
        <w:rPr>
          <w:color w:val="auto"/>
          <w:sz w:val="24"/>
        </w:rPr>
        <w:t>密</w:t>
      </w:r>
      <w:r>
        <w:rPr>
          <w:rFonts w:hint="eastAsia"/>
          <w:color w:val="auto"/>
          <w:sz w:val="24"/>
        </w:rPr>
        <w:t>；</w:t>
      </w:r>
    </w:p>
    <w:p w14:paraId="7DF6D9A6">
      <w:pPr>
        <w:pStyle w:val="37"/>
        <w:keepNext w:val="0"/>
        <w:keepLines w:val="0"/>
        <w:pageBreakBefore w:val="0"/>
        <w:widowControl w:val="0"/>
        <w:numPr>
          <w:ilvl w:val="1"/>
          <w:numId w:val="4"/>
        </w:numPr>
        <w:tabs>
          <w:tab w:val="left" w:pos="1222"/>
        </w:tabs>
        <w:kinsoku/>
        <w:wordWrap/>
        <w:overflowPunct/>
        <w:topLinePunct w:val="0"/>
        <w:bidi w:val="0"/>
        <w:adjustRightInd/>
        <w:snapToGrid/>
        <w:spacing w:before="161" w:line="480" w:lineRule="exact"/>
        <w:ind w:left="1221" w:hanging="481"/>
        <w:textAlignment w:val="auto"/>
        <w:rPr>
          <w:color w:val="auto"/>
          <w:sz w:val="24"/>
        </w:rPr>
      </w:pPr>
      <w:r>
        <w:rPr>
          <w:color w:val="auto"/>
          <w:sz w:val="24"/>
        </w:rPr>
        <w:t>电子化磋商响应文件的有效性</w:t>
      </w:r>
    </w:p>
    <w:p w14:paraId="4BA0ECEE">
      <w:pPr>
        <w:pStyle w:val="37"/>
        <w:keepNext w:val="0"/>
        <w:keepLines w:val="0"/>
        <w:pageBreakBefore w:val="0"/>
        <w:widowControl w:val="0"/>
        <w:tabs>
          <w:tab w:val="left" w:pos="1222"/>
        </w:tabs>
        <w:kinsoku/>
        <w:wordWrap/>
        <w:overflowPunct/>
        <w:topLinePunct w:val="0"/>
        <w:bidi w:val="0"/>
        <w:adjustRightInd/>
        <w:snapToGrid/>
        <w:spacing w:before="161" w:line="480" w:lineRule="exact"/>
        <w:ind w:left="743" w:firstLine="0"/>
        <w:textAlignment w:val="auto"/>
        <w:rPr>
          <w:color w:val="auto"/>
          <w:sz w:val="24"/>
        </w:rPr>
      </w:pPr>
      <w:r>
        <w:rPr>
          <w:rFonts w:hint="eastAsia"/>
          <w:color w:val="auto"/>
          <w:sz w:val="24"/>
          <w:lang w:val="en-US"/>
        </w:rPr>
        <w:t>18.5.1</w:t>
      </w:r>
      <w:r>
        <w:rPr>
          <w:color w:val="auto"/>
          <w:sz w:val="24"/>
        </w:rPr>
        <w:t>电子化磋商响应文件有下列情形的为无效电子化磋商响应文件，采购人不予受理：因磋商响应供应商原因造成磋商响应文件未解密的，视为撤销其磋商响应文件；因磋商响应供应商之外的原因造成电子化磋商响应文件未解密的，视为撤回其磋商响应文件，磋商响应供应商有权要求责任方赔偿因此遭受的直接损失。部分电子化磋商响应文件未解密的，其他电子化磋商</w:t>
      </w:r>
      <w:r>
        <w:rPr>
          <w:rFonts w:hint="eastAsia"/>
          <w:color w:val="auto"/>
          <w:sz w:val="24"/>
        </w:rPr>
        <w:t>可以继续进行</w:t>
      </w:r>
      <w:r>
        <w:rPr>
          <w:color w:val="auto"/>
          <w:sz w:val="24"/>
        </w:rPr>
        <w:t>。</w:t>
      </w:r>
    </w:p>
    <w:p w14:paraId="6E640D27">
      <w:pPr>
        <w:pStyle w:val="5"/>
        <w:keepNext w:val="0"/>
        <w:keepLines w:val="0"/>
        <w:pageBreakBefore w:val="0"/>
        <w:widowControl w:val="0"/>
        <w:kinsoku/>
        <w:wordWrap/>
        <w:overflowPunct/>
        <w:topLinePunct w:val="0"/>
        <w:bidi w:val="0"/>
        <w:adjustRightInd/>
        <w:snapToGrid/>
        <w:spacing w:before="3" w:line="480" w:lineRule="exact"/>
        <w:textAlignment w:val="auto"/>
        <w:rPr>
          <w:color w:val="auto"/>
        </w:rPr>
      </w:pPr>
      <w:bookmarkStart w:id="150" w:name="_Toc29167_WPSOffice_Level3"/>
      <w:r>
        <w:rPr>
          <w:color w:val="auto"/>
        </w:rPr>
        <w:t>19、磋商小组</w:t>
      </w:r>
      <w:bookmarkEnd w:id="150"/>
    </w:p>
    <w:p w14:paraId="70C400A7">
      <w:pPr>
        <w:pStyle w:val="37"/>
        <w:keepNext w:val="0"/>
        <w:keepLines w:val="0"/>
        <w:pageBreakBefore w:val="0"/>
        <w:widowControl w:val="0"/>
        <w:numPr>
          <w:ilvl w:val="1"/>
          <w:numId w:val="5"/>
        </w:numPr>
        <w:tabs>
          <w:tab w:val="left" w:pos="1281"/>
        </w:tabs>
        <w:kinsoku/>
        <w:wordWrap/>
        <w:overflowPunct/>
        <w:topLinePunct w:val="0"/>
        <w:bidi w:val="0"/>
        <w:adjustRightInd/>
        <w:snapToGrid/>
        <w:spacing w:before="161" w:line="480" w:lineRule="exact"/>
        <w:ind w:right="338" w:firstLine="420"/>
        <w:jc w:val="both"/>
        <w:textAlignment w:val="auto"/>
        <w:rPr>
          <w:color w:val="auto"/>
          <w:sz w:val="24"/>
        </w:rPr>
      </w:pPr>
      <w:r>
        <w:rPr>
          <w:color w:val="auto"/>
          <w:spacing w:val="-9"/>
          <w:sz w:val="24"/>
        </w:rPr>
        <w:t xml:space="preserve">磋商小组由 </w:t>
      </w:r>
      <w:r>
        <w:rPr>
          <w:color w:val="auto"/>
          <w:sz w:val="24"/>
        </w:rPr>
        <w:t>3</w:t>
      </w:r>
      <w:r>
        <w:rPr>
          <w:color w:val="auto"/>
          <w:spacing w:val="-12"/>
          <w:sz w:val="24"/>
        </w:rPr>
        <w:t xml:space="preserve"> 人构成：采购人代表 </w:t>
      </w:r>
      <w:r>
        <w:rPr>
          <w:color w:val="auto"/>
          <w:sz w:val="24"/>
        </w:rPr>
        <w:t>1</w:t>
      </w:r>
      <w:r>
        <w:rPr>
          <w:color w:val="auto"/>
          <w:spacing w:val="-12"/>
          <w:sz w:val="24"/>
        </w:rPr>
        <w:t xml:space="preserve"> 人，经济、技术方面专家 </w:t>
      </w:r>
      <w:r>
        <w:rPr>
          <w:color w:val="auto"/>
          <w:sz w:val="24"/>
        </w:rPr>
        <w:t>2</w:t>
      </w:r>
      <w:r>
        <w:rPr>
          <w:color w:val="auto"/>
          <w:spacing w:val="-9"/>
          <w:sz w:val="24"/>
        </w:rPr>
        <w:t xml:space="preserve"> 人，在磋商会议开始</w:t>
      </w:r>
      <w:r>
        <w:rPr>
          <w:rFonts w:hint="eastAsia"/>
          <w:color w:val="auto"/>
          <w:spacing w:val="-9"/>
          <w:sz w:val="24"/>
          <w:lang w:val="en-US" w:eastAsia="zh-CN"/>
        </w:rPr>
        <w:t>后</w:t>
      </w:r>
      <w:r>
        <w:rPr>
          <w:color w:val="auto"/>
          <w:spacing w:val="-9"/>
          <w:sz w:val="24"/>
        </w:rPr>
        <w:t>从</w:t>
      </w:r>
      <w:r>
        <w:rPr>
          <w:rFonts w:hint="eastAsia"/>
          <w:color w:val="auto"/>
          <w:spacing w:val="-9"/>
          <w:sz w:val="24"/>
          <w:lang w:val="en-US" w:eastAsia="zh-CN"/>
        </w:rPr>
        <w:t>河南省财政厅专家库卢氏终端</w:t>
      </w:r>
      <w:r>
        <w:rPr>
          <w:rFonts w:hint="eastAsia"/>
          <w:color w:val="auto"/>
          <w:spacing w:val="-9"/>
          <w:sz w:val="24"/>
        </w:rPr>
        <w:t>标随机抽取。</w:t>
      </w:r>
    </w:p>
    <w:p w14:paraId="5D563BF8">
      <w:pPr>
        <w:pStyle w:val="37"/>
        <w:keepNext w:val="0"/>
        <w:keepLines w:val="0"/>
        <w:pageBreakBefore w:val="0"/>
        <w:widowControl w:val="0"/>
        <w:numPr>
          <w:ilvl w:val="1"/>
          <w:numId w:val="5"/>
        </w:numPr>
        <w:tabs>
          <w:tab w:val="left" w:pos="1281"/>
        </w:tabs>
        <w:kinsoku/>
        <w:wordWrap/>
        <w:overflowPunct/>
        <w:topLinePunct w:val="0"/>
        <w:bidi w:val="0"/>
        <w:adjustRightInd/>
        <w:snapToGrid/>
        <w:spacing w:before="1" w:line="480" w:lineRule="exact"/>
        <w:ind w:right="341" w:firstLine="420"/>
        <w:jc w:val="both"/>
        <w:textAlignment w:val="auto"/>
        <w:rPr>
          <w:color w:val="auto"/>
          <w:sz w:val="24"/>
        </w:rPr>
      </w:pPr>
      <w:r>
        <w:rPr>
          <w:color w:val="auto"/>
          <w:sz w:val="24"/>
        </w:rPr>
        <w:t>磋商小组对所有磋商响应供应商的磋商响应文件进行评审，按评审后得分由高到低顺序排列，递交给采购人。</w:t>
      </w:r>
    </w:p>
    <w:p w14:paraId="159E4E7D">
      <w:pPr>
        <w:pStyle w:val="37"/>
        <w:keepNext w:val="0"/>
        <w:keepLines w:val="0"/>
        <w:pageBreakBefore w:val="0"/>
        <w:widowControl w:val="0"/>
        <w:numPr>
          <w:ilvl w:val="1"/>
          <w:numId w:val="5"/>
        </w:numPr>
        <w:tabs>
          <w:tab w:val="left" w:pos="1281"/>
        </w:tabs>
        <w:kinsoku/>
        <w:wordWrap/>
        <w:overflowPunct/>
        <w:topLinePunct w:val="0"/>
        <w:bidi w:val="0"/>
        <w:adjustRightInd/>
        <w:snapToGrid/>
        <w:spacing w:before="1" w:line="480" w:lineRule="exact"/>
        <w:ind w:right="338" w:firstLine="420"/>
        <w:jc w:val="both"/>
        <w:textAlignment w:val="auto"/>
        <w:rPr>
          <w:color w:val="auto"/>
          <w:sz w:val="24"/>
        </w:rPr>
      </w:pPr>
      <w:r>
        <w:rPr>
          <w:color w:val="auto"/>
          <w:sz w:val="24"/>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64E041A">
      <w:pPr>
        <w:pStyle w:val="37"/>
        <w:keepNext w:val="0"/>
        <w:keepLines w:val="0"/>
        <w:pageBreakBefore w:val="0"/>
        <w:widowControl w:val="0"/>
        <w:numPr>
          <w:ilvl w:val="1"/>
          <w:numId w:val="5"/>
        </w:numPr>
        <w:tabs>
          <w:tab w:val="left" w:pos="1281"/>
        </w:tabs>
        <w:kinsoku/>
        <w:wordWrap/>
        <w:overflowPunct/>
        <w:topLinePunct w:val="0"/>
        <w:bidi w:val="0"/>
        <w:adjustRightInd/>
        <w:snapToGrid/>
        <w:spacing w:before="2" w:line="480" w:lineRule="exact"/>
        <w:ind w:right="338" w:firstLine="420"/>
        <w:jc w:val="both"/>
        <w:textAlignment w:val="auto"/>
        <w:rPr>
          <w:color w:val="auto"/>
          <w:sz w:val="24"/>
        </w:rPr>
      </w:pPr>
      <w:r>
        <w:rPr>
          <w:color w:val="auto"/>
          <w:sz w:val="24"/>
        </w:rPr>
        <w:t>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资格性审查认定错误或价格计算错误需依法重新评审的除外。应在评审报告中明确记载。</w:t>
      </w:r>
    </w:p>
    <w:p w14:paraId="15579CAB">
      <w:pPr>
        <w:pStyle w:val="5"/>
        <w:keepNext w:val="0"/>
        <w:keepLines w:val="0"/>
        <w:pageBreakBefore w:val="0"/>
        <w:widowControl w:val="0"/>
        <w:kinsoku/>
        <w:wordWrap/>
        <w:overflowPunct/>
        <w:topLinePunct w:val="0"/>
        <w:bidi w:val="0"/>
        <w:adjustRightInd/>
        <w:snapToGrid/>
        <w:spacing w:before="3" w:line="480" w:lineRule="exact"/>
        <w:textAlignment w:val="auto"/>
        <w:rPr>
          <w:color w:val="auto"/>
        </w:rPr>
      </w:pPr>
      <w:bookmarkStart w:id="151" w:name="_Toc30532_WPSOffice_Level3"/>
      <w:r>
        <w:rPr>
          <w:color w:val="auto"/>
        </w:rPr>
        <w:t>20、磋商程序</w:t>
      </w:r>
      <w:bookmarkEnd w:id="151"/>
    </w:p>
    <w:p w14:paraId="797C1C83">
      <w:pPr>
        <w:pStyle w:val="37"/>
        <w:keepNext w:val="0"/>
        <w:keepLines w:val="0"/>
        <w:pageBreakBefore w:val="0"/>
        <w:widowControl w:val="0"/>
        <w:numPr>
          <w:ilvl w:val="1"/>
          <w:numId w:val="6"/>
        </w:numPr>
        <w:tabs>
          <w:tab w:val="left" w:pos="1281"/>
        </w:tabs>
        <w:kinsoku/>
        <w:wordWrap/>
        <w:overflowPunct/>
        <w:topLinePunct w:val="0"/>
        <w:bidi w:val="0"/>
        <w:adjustRightInd/>
        <w:snapToGrid/>
        <w:spacing w:before="161" w:line="480" w:lineRule="exact"/>
        <w:ind w:right="341" w:firstLine="420"/>
        <w:jc w:val="both"/>
        <w:textAlignment w:val="auto"/>
        <w:rPr>
          <w:color w:val="auto"/>
          <w:sz w:val="24"/>
        </w:rPr>
      </w:pPr>
      <w:r>
        <w:rPr>
          <w:color w:val="auto"/>
          <w:sz w:val="24"/>
        </w:rPr>
        <w:t>磋商小组所有成员集中评审磋商响应文件及集中与磋商响应供应商分别进行磋商。</w:t>
      </w:r>
    </w:p>
    <w:p w14:paraId="106B66B4">
      <w:pPr>
        <w:pStyle w:val="37"/>
        <w:keepNext w:val="0"/>
        <w:keepLines w:val="0"/>
        <w:pageBreakBefore w:val="0"/>
        <w:widowControl w:val="0"/>
        <w:numPr>
          <w:ilvl w:val="1"/>
          <w:numId w:val="6"/>
        </w:numPr>
        <w:tabs>
          <w:tab w:val="left" w:pos="1281"/>
        </w:tabs>
        <w:kinsoku/>
        <w:wordWrap/>
        <w:overflowPunct/>
        <w:topLinePunct w:val="0"/>
        <w:bidi w:val="0"/>
        <w:adjustRightInd/>
        <w:snapToGrid/>
        <w:spacing w:before="1" w:line="480" w:lineRule="exact"/>
        <w:ind w:right="218" w:firstLine="420"/>
        <w:textAlignment w:val="auto"/>
        <w:rPr>
          <w:color w:val="auto"/>
        </w:rPr>
      </w:pPr>
      <w:r>
        <w:rPr>
          <w:color w:val="auto"/>
          <w:spacing w:val="-4"/>
          <w:sz w:val="24"/>
        </w:rPr>
        <w:t>磋商小组首先对所有磋商响应文件进行资格性和</w:t>
      </w:r>
      <w:r>
        <w:rPr>
          <w:rFonts w:hint="eastAsia"/>
          <w:color w:val="auto"/>
          <w:spacing w:val="-4"/>
          <w:sz w:val="24"/>
        </w:rPr>
        <w:t>初步</w:t>
      </w:r>
      <w:r>
        <w:rPr>
          <w:color w:val="auto"/>
          <w:spacing w:val="-4"/>
          <w:sz w:val="24"/>
        </w:rPr>
        <w:t xml:space="preserve">审查。资格性审查是指： </w:t>
      </w:r>
      <w:r>
        <w:rPr>
          <w:color w:val="auto"/>
          <w:spacing w:val="-2"/>
          <w:sz w:val="24"/>
        </w:rPr>
        <w:t>磋商小组按照竞争性磋商文件第</w:t>
      </w:r>
      <w:r>
        <w:rPr>
          <w:rFonts w:hint="eastAsia"/>
          <w:color w:val="auto"/>
          <w:spacing w:val="-2"/>
          <w:sz w:val="24"/>
        </w:rPr>
        <w:t>四</w:t>
      </w:r>
      <w:r>
        <w:rPr>
          <w:color w:val="auto"/>
          <w:spacing w:val="-2"/>
          <w:sz w:val="24"/>
        </w:rPr>
        <w:t>章</w:t>
      </w:r>
      <w:r>
        <w:rPr>
          <w:rFonts w:hint="eastAsia"/>
          <w:color w:val="auto"/>
          <w:spacing w:val="-2"/>
          <w:sz w:val="24"/>
        </w:rPr>
        <w:t>评审办法</w:t>
      </w:r>
      <w:r>
        <w:rPr>
          <w:color w:val="auto"/>
          <w:spacing w:val="-9"/>
          <w:sz w:val="24"/>
        </w:rPr>
        <w:t>的要求， 对磋商响应供应商进行</w:t>
      </w:r>
      <w:r>
        <w:rPr>
          <w:rFonts w:hint="eastAsia"/>
          <w:color w:val="auto"/>
          <w:spacing w:val="-9"/>
          <w:sz w:val="24"/>
        </w:rPr>
        <w:t>资格</w:t>
      </w:r>
      <w:r>
        <w:rPr>
          <w:color w:val="auto"/>
          <w:spacing w:val="-9"/>
          <w:sz w:val="24"/>
        </w:rPr>
        <w:t>审查，有一项不符合的，视为未通过资格审查，不得进入下一评</w:t>
      </w:r>
      <w:r>
        <w:rPr>
          <w:color w:val="auto"/>
          <w:spacing w:val="-10"/>
          <w:sz w:val="24"/>
        </w:rPr>
        <w:t>审过程。磋商小组按照竞争性磋商文件</w:t>
      </w:r>
      <w:r>
        <w:rPr>
          <w:rFonts w:hint="eastAsia"/>
          <w:color w:val="auto"/>
          <w:spacing w:val="-10"/>
          <w:sz w:val="24"/>
        </w:rPr>
        <w:t>及第四章评审办法中形式、响应性评审</w:t>
      </w:r>
      <w:r>
        <w:rPr>
          <w:color w:val="auto"/>
          <w:spacing w:val="-10"/>
          <w:sz w:val="24"/>
        </w:rPr>
        <w:t>的要求，对磋商响应供应商进行审查，有一项不符合的，视为未通过</w:t>
      </w:r>
      <w:r>
        <w:rPr>
          <w:rFonts w:hint="eastAsia"/>
          <w:color w:val="auto"/>
          <w:spacing w:val="-10"/>
          <w:sz w:val="24"/>
        </w:rPr>
        <w:t>初步</w:t>
      </w:r>
      <w:r>
        <w:rPr>
          <w:color w:val="auto"/>
          <w:spacing w:val="-10"/>
          <w:sz w:val="24"/>
        </w:rPr>
        <w:t>审查。未通过资格性和</w:t>
      </w:r>
      <w:r>
        <w:rPr>
          <w:rFonts w:hint="eastAsia"/>
          <w:color w:val="auto"/>
          <w:spacing w:val="-10"/>
          <w:sz w:val="24"/>
        </w:rPr>
        <w:t>初步</w:t>
      </w:r>
      <w:r>
        <w:rPr>
          <w:color w:val="auto"/>
          <w:spacing w:val="-10"/>
          <w:sz w:val="24"/>
        </w:rPr>
        <w:t>审查的磋商响应文件按无效响应处理，磋商小组应当告知提交磋商响应文件的磋商响</w:t>
      </w:r>
      <w:r>
        <w:rPr>
          <w:color w:val="auto"/>
        </w:rPr>
        <w:t>应供应商。</w:t>
      </w:r>
    </w:p>
    <w:p w14:paraId="1AF3952C">
      <w:pPr>
        <w:pStyle w:val="37"/>
        <w:keepNext w:val="0"/>
        <w:keepLines w:val="0"/>
        <w:pageBreakBefore w:val="0"/>
        <w:widowControl w:val="0"/>
        <w:numPr>
          <w:ilvl w:val="2"/>
          <w:numId w:val="6"/>
        </w:numPr>
        <w:tabs>
          <w:tab w:val="left" w:pos="1521"/>
        </w:tabs>
        <w:kinsoku/>
        <w:wordWrap/>
        <w:overflowPunct/>
        <w:topLinePunct w:val="0"/>
        <w:bidi w:val="0"/>
        <w:adjustRightInd/>
        <w:snapToGrid/>
        <w:spacing w:before="160" w:line="480" w:lineRule="exact"/>
        <w:ind w:right="341" w:firstLine="420"/>
        <w:textAlignment w:val="auto"/>
        <w:rPr>
          <w:color w:val="auto"/>
          <w:sz w:val="24"/>
        </w:rPr>
      </w:pPr>
      <w:r>
        <w:rPr>
          <w:color w:val="auto"/>
          <w:sz w:val="24"/>
        </w:rPr>
        <w:t>允许修正磋商响应文件中不构成重大偏离的、微小的、非正规的、不一致或不规则的地方。</w:t>
      </w:r>
    </w:p>
    <w:p w14:paraId="558D4935">
      <w:pPr>
        <w:pStyle w:val="37"/>
        <w:keepNext w:val="0"/>
        <w:keepLines w:val="0"/>
        <w:pageBreakBefore w:val="0"/>
        <w:widowControl w:val="0"/>
        <w:numPr>
          <w:ilvl w:val="2"/>
          <w:numId w:val="6"/>
        </w:numPr>
        <w:tabs>
          <w:tab w:val="left" w:pos="1581"/>
        </w:tabs>
        <w:kinsoku/>
        <w:wordWrap/>
        <w:overflowPunct/>
        <w:topLinePunct w:val="0"/>
        <w:bidi w:val="0"/>
        <w:adjustRightInd/>
        <w:snapToGrid/>
        <w:spacing w:before="1" w:line="480" w:lineRule="exact"/>
        <w:ind w:right="338" w:firstLine="420"/>
        <w:textAlignment w:val="auto"/>
        <w:rPr>
          <w:color w:val="auto"/>
          <w:sz w:val="24"/>
        </w:rPr>
      </w:pPr>
      <w:r>
        <w:rPr>
          <w:color w:val="auto"/>
          <w:spacing w:val="-1"/>
          <w:sz w:val="24"/>
        </w:rPr>
        <w:t>磋商小组判断磋商响应文件的响应性仅基于磋商响应文件本身内容而不靠外</w:t>
      </w:r>
      <w:r>
        <w:rPr>
          <w:color w:val="auto"/>
          <w:sz w:val="24"/>
        </w:rPr>
        <w:t>部证据。</w:t>
      </w:r>
    </w:p>
    <w:p w14:paraId="354CC6FB">
      <w:pPr>
        <w:pStyle w:val="37"/>
        <w:keepNext w:val="0"/>
        <w:keepLines w:val="0"/>
        <w:pageBreakBefore w:val="0"/>
        <w:widowControl w:val="0"/>
        <w:numPr>
          <w:ilvl w:val="2"/>
          <w:numId w:val="6"/>
        </w:numPr>
        <w:tabs>
          <w:tab w:val="left" w:pos="1521"/>
        </w:tabs>
        <w:kinsoku/>
        <w:wordWrap/>
        <w:overflowPunct/>
        <w:topLinePunct w:val="0"/>
        <w:bidi w:val="0"/>
        <w:adjustRightInd/>
        <w:snapToGrid/>
        <w:spacing w:before="2" w:line="480" w:lineRule="exact"/>
        <w:ind w:right="341" w:firstLine="420"/>
        <w:textAlignment w:val="auto"/>
        <w:rPr>
          <w:color w:val="auto"/>
          <w:sz w:val="24"/>
        </w:rPr>
      </w:pPr>
      <w:r>
        <w:rPr>
          <w:color w:val="auto"/>
          <w:sz w:val="24"/>
        </w:rPr>
        <w:t>实质性未响应磋商文件要求的响应将被拒绝，磋商响应供应商不得通过修正或撤消不符之处而使其响应成为实质性响应。</w:t>
      </w:r>
    </w:p>
    <w:p w14:paraId="665869E8">
      <w:pPr>
        <w:pStyle w:val="37"/>
        <w:keepNext w:val="0"/>
        <w:keepLines w:val="0"/>
        <w:pageBreakBefore w:val="0"/>
        <w:widowControl w:val="0"/>
        <w:numPr>
          <w:ilvl w:val="2"/>
          <w:numId w:val="6"/>
        </w:numPr>
        <w:tabs>
          <w:tab w:val="left" w:pos="1521"/>
        </w:tabs>
        <w:kinsoku/>
        <w:wordWrap/>
        <w:overflowPunct/>
        <w:topLinePunct w:val="0"/>
        <w:bidi w:val="0"/>
        <w:adjustRightInd/>
        <w:snapToGrid/>
        <w:spacing w:before="1" w:line="480" w:lineRule="exact"/>
        <w:ind w:right="341" w:firstLine="420"/>
        <w:textAlignment w:val="auto"/>
        <w:rPr>
          <w:color w:val="auto"/>
          <w:sz w:val="24"/>
        </w:rPr>
      </w:pPr>
      <w:r>
        <w:rPr>
          <w:color w:val="auto"/>
          <w:sz w:val="24"/>
        </w:rPr>
        <w:t>实质性未响应是指磋商响应文件中提出了超出磋商文件中</w:t>
      </w:r>
      <w:r>
        <w:rPr>
          <w:rFonts w:hint="eastAsia"/>
          <w:color w:val="auto"/>
          <w:sz w:val="24"/>
          <w:lang w:val="en-US" w:eastAsia="zh-CN"/>
        </w:rPr>
        <w:t>招标范围</w:t>
      </w:r>
      <w:r>
        <w:rPr>
          <w:color w:val="auto"/>
          <w:sz w:val="24"/>
        </w:rPr>
        <w:t>、预算金额、</w:t>
      </w:r>
      <w:r>
        <w:rPr>
          <w:rFonts w:hint="eastAsia"/>
          <w:color w:val="auto"/>
          <w:sz w:val="24"/>
          <w:lang w:val="en-US" w:eastAsia="zh-CN"/>
        </w:rPr>
        <w:t>设计周期</w:t>
      </w:r>
      <w:r>
        <w:rPr>
          <w:color w:val="auto"/>
          <w:sz w:val="24"/>
        </w:rPr>
        <w:t>、技术和服务要求等内容。</w:t>
      </w:r>
    </w:p>
    <w:p w14:paraId="5D3FA5A2">
      <w:pPr>
        <w:pStyle w:val="5"/>
        <w:keepNext w:val="0"/>
        <w:keepLines w:val="0"/>
        <w:pageBreakBefore w:val="0"/>
        <w:widowControl w:val="0"/>
        <w:kinsoku/>
        <w:wordWrap/>
        <w:overflowPunct/>
        <w:topLinePunct w:val="0"/>
        <w:bidi w:val="0"/>
        <w:adjustRightInd/>
        <w:snapToGrid/>
        <w:spacing w:before="81" w:line="480" w:lineRule="exact"/>
        <w:textAlignment w:val="auto"/>
        <w:rPr>
          <w:color w:val="auto"/>
        </w:rPr>
      </w:pPr>
      <w:bookmarkStart w:id="152" w:name="_Toc31948_WPSOffice_Level3"/>
      <w:r>
        <w:rPr>
          <w:color w:val="auto"/>
        </w:rPr>
        <w:t>21、对磋商响应供应商的评价</w:t>
      </w:r>
      <w:bookmarkEnd w:id="152"/>
    </w:p>
    <w:p w14:paraId="24AB9E11">
      <w:pPr>
        <w:pStyle w:val="37"/>
        <w:keepNext w:val="0"/>
        <w:keepLines w:val="0"/>
        <w:pageBreakBefore w:val="0"/>
        <w:widowControl w:val="0"/>
        <w:numPr>
          <w:ilvl w:val="1"/>
          <w:numId w:val="7"/>
        </w:numPr>
        <w:tabs>
          <w:tab w:val="left" w:pos="1281"/>
        </w:tabs>
        <w:kinsoku/>
        <w:wordWrap/>
        <w:overflowPunct/>
        <w:topLinePunct w:val="0"/>
        <w:bidi w:val="0"/>
        <w:adjustRightInd/>
        <w:snapToGrid/>
        <w:spacing w:before="160" w:line="480" w:lineRule="exact"/>
        <w:ind w:right="341" w:firstLine="420"/>
        <w:textAlignment w:val="auto"/>
        <w:rPr>
          <w:color w:val="auto"/>
          <w:sz w:val="24"/>
        </w:rPr>
      </w:pPr>
      <w:r>
        <w:rPr>
          <w:color w:val="auto"/>
          <w:sz w:val="24"/>
        </w:rPr>
        <w:t>磋商小组只对已判定为实质性响应且通过资格审查的磋商响应文件进行详细评价和比较。</w:t>
      </w:r>
    </w:p>
    <w:p w14:paraId="6A91C2C4">
      <w:pPr>
        <w:pStyle w:val="37"/>
        <w:keepNext w:val="0"/>
        <w:keepLines w:val="0"/>
        <w:pageBreakBefore w:val="0"/>
        <w:widowControl w:val="0"/>
        <w:numPr>
          <w:ilvl w:val="1"/>
          <w:numId w:val="7"/>
        </w:numPr>
        <w:tabs>
          <w:tab w:val="left" w:pos="1281"/>
        </w:tabs>
        <w:kinsoku/>
        <w:wordWrap/>
        <w:overflowPunct/>
        <w:topLinePunct w:val="0"/>
        <w:bidi w:val="0"/>
        <w:adjustRightInd/>
        <w:snapToGrid/>
        <w:spacing w:before="2" w:line="480" w:lineRule="exact"/>
        <w:ind w:right="338" w:firstLine="420"/>
        <w:jc w:val="both"/>
        <w:textAlignment w:val="auto"/>
        <w:rPr>
          <w:color w:val="auto"/>
          <w:sz w:val="24"/>
        </w:rPr>
      </w:pPr>
      <w:r>
        <w:rPr>
          <w:color w:val="auto"/>
          <w:sz w:val="24"/>
        </w:rPr>
        <w:t>磋商小组所有成员应当集中与单一磋商响应供应商分别进行磋商，并给予所有参加磋商的磋商响应供应商平等的磋商机会。磋商完成后，要求其在规定时间内提交最后报价，提交最后报价的供应商可以为两家。</w:t>
      </w:r>
    </w:p>
    <w:p w14:paraId="09EAD544">
      <w:pPr>
        <w:pStyle w:val="37"/>
        <w:keepNext w:val="0"/>
        <w:keepLines w:val="0"/>
        <w:pageBreakBefore w:val="0"/>
        <w:widowControl w:val="0"/>
        <w:numPr>
          <w:ilvl w:val="1"/>
          <w:numId w:val="7"/>
        </w:numPr>
        <w:tabs>
          <w:tab w:val="left" w:pos="1281"/>
        </w:tabs>
        <w:kinsoku/>
        <w:wordWrap/>
        <w:overflowPunct/>
        <w:topLinePunct w:val="0"/>
        <w:bidi w:val="0"/>
        <w:adjustRightInd/>
        <w:snapToGrid/>
        <w:spacing w:before="1" w:line="480" w:lineRule="exact"/>
        <w:ind w:right="338" w:firstLine="420"/>
        <w:jc w:val="both"/>
        <w:textAlignment w:val="auto"/>
        <w:rPr>
          <w:color w:val="auto"/>
          <w:sz w:val="24"/>
        </w:rPr>
      </w:pPr>
      <w:r>
        <w:rPr>
          <w:color w:val="auto"/>
          <w:sz w:val="24"/>
        </w:rPr>
        <w:t>经磋商确定最终采购需求和提交最后报价的磋商响应供应商后，磋商小组采用</w:t>
      </w:r>
      <w:r>
        <w:rPr>
          <w:color w:val="auto"/>
          <w:spacing w:val="6"/>
          <w:sz w:val="24"/>
        </w:rPr>
        <w:t>综合评分法对提交最后报价的磋商响应供应商的磋商响应文件和最后报价进行综合评分。</w:t>
      </w:r>
    </w:p>
    <w:p w14:paraId="3E7F8597">
      <w:pPr>
        <w:pStyle w:val="8"/>
        <w:keepNext w:val="0"/>
        <w:keepLines w:val="0"/>
        <w:pageBreakBefore w:val="0"/>
        <w:widowControl w:val="0"/>
        <w:kinsoku/>
        <w:wordWrap/>
        <w:overflowPunct/>
        <w:topLinePunct w:val="0"/>
        <w:bidi w:val="0"/>
        <w:adjustRightInd/>
        <w:snapToGrid/>
        <w:spacing w:before="43" w:line="480" w:lineRule="exact"/>
        <w:ind w:left="318" w:right="340" w:firstLine="456" w:firstLineChars="200"/>
        <w:textAlignment w:val="auto"/>
        <w:rPr>
          <w:color w:val="auto"/>
        </w:rPr>
      </w:pPr>
      <w:r>
        <w:rPr>
          <w:rFonts w:hint="eastAsia"/>
          <w:color w:val="auto"/>
          <w:spacing w:val="-6"/>
        </w:rPr>
        <w:t>21.4</w:t>
      </w:r>
      <w:r>
        <w:rPr>
          <w:color w:val="auto"/>
          <w:spacing w:val="-6"/>
        </w:rPr>
        <w:t xml:space="preserve">磋商小组根据综合评分情况，按评审得分由高到低的顺序确定成交候选供应商， </w:t>
      </w:r>
      <w:r>
        <w:rPr>
          <w:color w:val="auto"/>
        </w:rPr>
        <w:t>确定排名第一的为成交供应商，并编写评审报告。评审得分相同的，按照最后报价由低到高的顺序确定，评审得分且最后报价相同的，按照技术指标优劣顺序确定成交候选供应商。评审报告由磋商小组全体人员签字。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D22E647">
      <w:pPr>
        <w:pStyle w:val="8"/>
        <w:keepNext w:val="0"/>
        <w:keepLines w:val="0"/>
        <w:pageBreakBefore w:val="0"/>
        <w:widowControl w:val="0"/>
        <w:kinsoku/>
        <w:wordWrap/>
        <w:overflowPunct/>
        <w:topLinePunct w:val="0"/>
        <w:bidi w:val="0"/>
        <w:adjustRightInd/>
        <w:snapToGrid/>
        <w:spacing w:before="43" w:line="480" w:lineRule="exact"/>
        <w:ind w:left="318" w:right="340" w:firstLine="480" w:firstLineChars="200"/>
        <w:textAlignment w:val="auto"/>
        <w:rPr>
          <w:color w:val="auto"/>
        </w:rPr>
      </w:pPr>
      <w:r>
        <w:rPr>
          <w:rFonts w:hint="eastAsia"/>
          <w:color w:val="auto"/>
        </w:rPr>
        <w:t>21.5</w:t>
      </w:r>
      <w:r>
        <w:rPr>
          <w:color w:val="auto"/>
        </w:rPr>
        <w:t>如果第一名供应商放弃成交资格或因不可抗力提出不能履行合同、竞争性磋商文件规定应当提交履约担保而在规定的期限内未能提交的，采购人将依序确定排名第二名的供应商为成交供应商，也可以重新开展政府采购活动。</w:t>
      </w:r>
    </w:p>
    <w:p w14:paraId="60FA6EE9">
      <w:pPr>
        <w:pStyle w:val="5"/>
        <w:keepNext w:val="0"/>
        <w:keepLines w:val="0"/>
        <w:pageBreakBefore w:val="0"/>
        <w:widowControl w:val="0"/>
        <w:kinsoku/>
        <w:wordWrap/>
        <w:overflowPunct/>
        <w:topLinePunct w:val="0"/>
        <w:bidi w:val="0"/>
        <w:adjustRightInd/>
        <w:snapToGrid/>
        <w:spacing w:before="2" w:line="480" w:lineRule="exact"/>
        <w:textAlignment w:val="auto"/>
        <w:rPr>
          <w:color w:val="auto"/>
        </w:rPr>
      </w:pPr>
      <w:bookmarkStart w:id="153" w:name="_Toc27346_WPSOffice_Level3"/>
      <w:r>
        <w:rPr>
          <w:color w:val="auto"/>
        </w:rPr>
        <w:t>22、磋商响应文件的澄清</w:t>
      </w:r>
      <w:bookmarkEnd w:id="153"/>
    </w:p>
    <w:p w14:paraId="100734D3">
      <w:pPr>
        <w:pStyle w:val="37"/>
        <w:keepNext w:val="0"/>
        <w:keepLines w:val="0"/>
        <w:pageBreakBefore w:val="0"/>
        <w:widowControl w:val="0"/>
        <w:numPr>
          <w:ilvl w:val="1"/>
          <w:numId w:val="8"/>
        </w:numPr>
        <w:tabs>
          <w:tab w:val="left" w:pos="1281"/>
        </w:tabs>
        <w:kinsoku/>
        <w:wordWrap/>
        <w:overflowPunct/>
        <w:topLinePunct w:val="0"/>
        <w:bidi w:val="0"/>
        <w:adjustRightInd/>
        <w:snapToGrid/>
        <w:spacing w:before="160" w:line="480" w:lineRule="exact"/>
        <w:ind w:right="340" w:firstLine="420"/>
        <w:jc w:val="both"/>
        <w:textAlignment w:val="auto"/>
        <w:rPr>
          <w:color w:val="auto"/>
          <w:sz w:val="24"/>
        </w:rPr>
      </w:pPr>
      <w:r>
        <w:rPr>
          <w:color w:val="auto"/>
          <w:sz w:val="24"/>
        </w:rPr>
        <w:t>为了有助于对磋商响应文件进行审查、评估和比较，磋商小组有权向磋商响应供应商质疑。请磋商响应供应商澄清其磋商内容。磋商响应供应商有责任按照磋商小组通知的时间、地点、方式指派委托代理人进行答疑和澄清。</w:t>
      </w:r>
    </w:p>
    <w:p w14:paraId="32C81218">
      <w:pPr>
        <w:pStyle w:val="37"/>
        <w:keepNext w:val="0"/>
        <w:keepLines w:val="0"/>
        <w:pageBreakBefore w:val="0"/>
        <w:widowControl w:val="0"/>
        <w:numPr>
          <w:ilvl w:val="1"/>
          <w:numId w:val="8"/>
        </w:numPr>
        <w:tabs>
          <w:tab w:val="left" w:pos="1281"/>
        </w:tabs>
        <w:kinsoku/>
        <w:wordWrap/>
        <w:overflowPunct/>
        <w:topLinePunct w:val="0"/>
        <w:bidi w:val="0"/>
        <w:adjustRightInd/>
        <w:snapToGrid/>
        <w:spacing w:before="2" w:line="480" w:lineRule="exact"/>
        <w:ind w:left="1280"/>
        <w:textAlignment w:val="auto"/>
        <w:rPr>
          <w:color w:val="auto"/>
          <w:sz w:val="24"/>
        </w:rPr>
      </w:pPr>
      <w:r>
        <w:rPr>
          <w:color w:val="auto"/>
          <w:sz w:val="24"/>
        </w:rPr>
        <w:t>重要澄清的答复应是书面的，并由法定代表人或其委托代理人签字。</w:t>
      </w:r>
    </w:p>
    <w:p w14:paraId="3E0E6BFE">
      <w:pPr>
        <w:pStyle w:val="37"/>
        <w:keepNext w:val="0"/>
        <w:keepLines w:val="0"/>
        <w:pageBreakBefore w:val="0"/>
        <w:widowControl w:val="0"/>
        <w:numPr>
          <w:ilvl w:val="1"/>
          <w:numId w:val="8"/>
        </w:numPr>
        <w:tabs>
          <w:tab w:val="left" w:pos="1281"/>
        </w:tabs>
        <w:kinsoku/>
        <w:wordWrap/>
        <w:overflowPunct/>
        <w:topLinePunct w:val="0"/>
        <w:bidi w:val="0"/>
        <w:adjustRightInd/>
        <w:snapToGrid/>
        <w:spacing w:before="161" w:line="480" w:lineRule="exact"/>
        <w:ind w:right="341" w:firstLine="420"/>
        <w:textAlignment w:val="auto"/>
        <w:rPr>
          <w:color w:val="auto"/>
          <w:sz w:val="24"/>
        </w:rPr>
      </w:pPr>
      <w:r>
        <w:rPr>
          <w:color w:val="auto"/>
          <w:sz w:val="24"/>
        </w:rPr>
        <w:t>磋商响应供应商的澄清文件是磋商响应文件的组成部分，并取代磋商响应文件中被澄清的部分。</w:t>
      </w:r>
    </w:p>
    <w:p w14:paraId="4916C1B3">
      <w:pPr>
        <w:pStyle w:val="37"/>
        <w:keepNext w:val="0"/>
        <w:keepLines w:val="0"/>
        <w:pageBreakBefore w:val="0"/>
        <w:widowControl w:val="0"/>
        <w:numPr>
          <w:ilvl w:val="1"/>
          <w:numId w:val="8"/>
        </w:numPr>
        <w:tabs>
          <w:tab w:val="left" w:pos="1281"/>
        </w:tabs>
        <w:kinsoku/>
        <w:wordWrap/>
        <w:overflowPunct/>
        <w:topLinePunct w:val="0"/>
        <w:bidi w:val="0"/>
        <w:adjustRightInd/>
        <w:snapToGrid/>
        <w:spacing w:before="1" w:line="480" w:lineRule="exact"/>
        <w:ind w:left="1280"/>
        <w:textAlignment w:val="auto"/>
        <w:rPr>
          <w:color w:val="auto"/>
          <w:sz w:val="24"/>
        </w:rPr>
      </w:pPr>
      <w:r>
        <w:rPr>
          <w:color w:val="auto"/>
          <w:sz w:val="24"/>
        </w:rPr>
        <w:t>磋商响应文件澄清部分不得对磋商内容进行实质性修改。</w:t>
      </w:r>
    </w:p>
    <w:p w14:paraId="1A099783">
      <w:pPr>
        <w:pStyle w:val="5"/>
        <w:keepNext w:val="0"/>
        <w:keepLines w:val="0"/>
        <w:pageBreakBefore w:val="0"/>
        <w:widowControl w:val="0"/>
        <w:kinsoku/>
        <w:wordWrap/>
        <w:overflowPunct/>
        <w:topLinePunct w:val="0"/>
        <w:bidi w:val="0"/>
        <w:adjustRightInd/>
        <w:snapToGrid/>
        <w:spacing w:before="160" w:line="480" w:lineRule="exact"/>
        <w:textAlignment w:val="auto"/>
        <w:rPr>
          <w:color w:val="auto"/>
        </w:rPr>
      </w:pPr>
      <w:bookmarkStart w:id="154" w:name="_Toc10070_WPSOffice_Level3"/>
      <w:r>
        <w:rPr>
          <w:color w:val="auto"/>
        </w:rPr>
        <w:t>23、磋商原则和方法</w:t>
      </w:r>
      <w:bookmarkEnd w:id="154"/>
    </w:p>
    <w:p w14:paraId="04871DCB">
      <w:pPr>
        <w:pStyle w:val="37"/>
        <w:keepNext w:val="0"/>
        <w:keepLines w:val="0"/>
        <w:pageBreakBefore w:val="0"/>
        <w:widowControl w:val="0"/>
        <w:numPr>
          <w:ilvl w:val="1"/>
          <w:numId w:val="9"/>
        </w:numPr>
        <w:tabs>
          <w:tab w:val="left" w:pos="1281"/>
        </w:tabs>
        <w:kinsoku/>
        <w:wordWrap/>
        <w:overflowPunct/>
        <w:topLinePunct w:val="0"/>
        <w:bidi w:val="0"/>
        <w:adjustRightInd/>
        <w:snapToGrid/>
        <w:spacing w:before="161" w:line="480" w:lineRule="exact"/>
        <w:textAlignment w:val="auto"/>
        <w:rPr>
          <w:color w:val="auto"/>
          <w:sz w:val="24"/>
        </w:rPr>
      </w:pPr>
      <w:r>
        <w:rPr>
          <w:color w:val="auto"/>
          <w:sz w:val="24"/>
        </w:rPr>
        <w:t>坚持公开、公平、公正的原则。</w:t>
      </w:r>
    </w:p>
    <w:p w14:paraId="2FD03BFC">
      <w:pPr>
        <w:pStyle w:val="37"/>
        <w:keepNext w:val="0"/>
        <w:keepLines w:val="0"/>
        <w:pageBreakBefore w:val="0"/>
        <w:widowControl w:val="0"/>
        <w:numPr>
          <w:ilvl w:val="1"/>
          <w:numId w:val="9"/>
        </w:numPr>
        <w:tabs>
          <w:tab w:val="left" w:pos="1281"/>
        </w:tabs>
        <w:kinsoku/>
        <w:wordWrap/>
        <w:overflowPunct/>
        <w:topLinePunct w:val="0"/>
        <w:bidi w:val="0"/>
        <w:adjustRightInd/>
        <w:snapToGrid/>
        <w:spacing w:before="160" w:line="480" w:lineRule="exact"/>
        <w:ind w:left="320" w:right="341" w:firstLine="420"/>
        <w:textAlignment w:val="auto"/>
        <w:rPr>
          <w:color w:val="auto"/>
          <w:sz w:val="24"/>
        </w:rPr>
      </w:pPr>
      <w:r>
        <w:rPr>
          <w:color w:val="auto"/>
          <w:sz w:val="24"/>
        </w:rPr>
        <w:t>磋商在磋商小组应当集中与单一磋商响应供应商分别进行磋商，磋商小组将遵照磋商原则，公正、平等地对待所有磋商响应供应商。</w:t>
      </w:r>
    </w:p>
    <w:p w14:paraId="6BF2A077">
      <w:pPr>
        <w:pStyle w:val="37"/>
        <w:keepNext w:val="0"/>
        <w:keepLines w:val="0"/>
        <w:pageBreakBefore w:val="0"/>
        <w:widowControl w:val="0"/>
        <w:numPr>
          <w:ilvl w:val="1"/>
          <w:numId w:val="9"/>
        </w:numPr>
        <w:tabs>
          <w:tab w:val="left" w:pos="1281"/>
        </w:tabs>
        <w:kinsoku/>
        <w:wordWrap/>
        <w:overflowPunct/>
        <w:topLinePunct w:val="0"/>
        <w:bidi w:val="0"/>
        <w:adjustRightInd/>
        <w:snapToGrid/>
        <w:spacing w:before="1" w:line="480" w:lineRule="exact"/>
        <w:textAlignment w:val="auto"/>
        <w:rPr>
          <w:color w:val="auto"/>
          <w:sz w:val="24"/>
        </w:rPr>
      </w:pPr>
      <w:r>
        <w:rPr>
          <w:color w:val="auto"/>
          <w:sz w:val="24"/>
        </w:rPr>
        <w:t>评审方法</w:t>
      </w:r>
    </w:p>
    <w:p w14:paraId="6AC308AA">
      <w:pPr>
        <w:pStyle w:val="37"/>
        <w:keepNext w:val="0"/>
        <w:keepLines w:val="0"/>
        <w:pageBreakBefore w:val="0"/>
        <w:widowControl w:val="0"/>
        <w:numPr>
          <w:ilvl w:val="2"/>
          <w:numId w:val="9"/>
        </w:numPr>
        <w:tabs>
          <w:tab w:val="left" w:pos="1521"/>
        </w:tabs>
        <w:kinsoku/>
        <w:wordWrap/>
        <w:overflowPunct/>
        <w:topLinePunct w:val="0"/>
        <w:bidi w:val="0"/>
        <w:adjustRightInd/>
        <w:snapToGrid/>
        <w:spacing w:before="161" w:line="480" w:lineRule="exact"/>
        <w:textAlignment w:val="auto"/>
        <w:rPr>
          <w:color w:val="auto"/>
          <w:sz w:val="24"/>
        </w:rPr>
      </w:pPr>
      <w:r>
        <w:rPr>
          <w:color w:val="auto"/>
          <w:sz w:val="24"/>
        </w:rPr>
        <w:t>初步评审（是否响应竞争性磋商文件的要求</w:t>
      </w:r>
      <w:r>
        <w:rPr>
          <w:color w:val="auto"/>
          <w:spacing w:val="-120"/>
          <w:sz w:val="24"/>
        </w:rPr>
        <w:t>）</w:t>
      </w:r>
      <w:r>
        <w:rPr>
          <w:color w:val="auto"/>
          <w:sz w:val="24"/>
        </w:rPr>
        <w:t>，确定合格的磋商响应供应商。</w:t>
      </w:r>
    </w:p>
    <w:p w14:paraId="292D2270">
      <w:pPr>
        <w:pStyle w:val="37"/>
        <w:keepNext w:val="0"/>
        <w:keepLines w:val="0"/>
        <w:pageBreakBefore w:val="0"/>
        <w:widowControl w:val="0"/>
        <w:numPr>
          <w:ilvl w:val="2"/>
          <w:numId w:val="9"/>
        </w:numPr>
        <w:tabs>
          <w:tab w:val="left" w:pos="1521"/>
        </w:tabs>
        <w:kinsoku/>
        <w:wordWrap/>
        <w:overflowPunct/>
        <w:topLinePunct w:val="0"/>
        <w:bidi w:val="0"/>
        <w:adjustRightInd/>
        <w:snapToGrid/>
        <w:spacing w:before="161" w:line="480" w:lineRule="exact"/>
        <w:textAlignment w:val="auto"/>
        <w:rPr>
          <w:color w:val="auto"/>
          <w:sz w:val="24"/>
        </w:rPr>
      </w:pPr>
      <w:r>
        <w:rPr>
          <w:color w:val="auto"/>
          <w:sz w:val="24"/>
        </w:rPr>
        <w:t>各磋商响应供应商依据各自情况进行最后报价。</w:t>
      </w:r>
    </w:p>
    <w:p w14:paraId="75E8820B">
      <w:pPr>
        <w:pStyle w:val="37"/>
        <w:keepNext w:val="0"/>
        <w:keepLines w:val="0"/>
        <w:pageBreakBefore w:val="0"/>
        <w:widowControl w:val="0"/>
        <w:numPr>
          <w:ilvl w:val="2"/>
          <w:numId w:val="9"/>
        </w:numPr>
        <w:tabs>
          <w:tab w:val="left" w:pos="1521"/>
        </w:tabs>
        <w:kinsoku/>
        <w:wordWrap/>
        <w:overflowPunct/>
        <w:topLinePunct w:val="0"/>
        <w:bidi w:val="0"/>
        <w:adjustRightInd/>
        <w:snapToGrid/>
        <w:spacing w:before="160" w:line="480" w:lineRule="exact"/>
        <w:ind w:left="320" w:right="341" w:firstLine="420"/>
        <w:textAlignment w:val="auto"/>
        <w:rPr>
          <w:color w:val="auto"/>
          <w:sz w:val="24"/>
        </w:rPr>
      </w:pPr>
      <w:r>
        <w:rPr>
          <w:color w:val="auto"/>
          <w:sz w:val="24"/>
        </w:rPr>
        <w:t>经磋商确定最终采购需求和提交最后报价的磋商响应供应商，有磋商小组采用综合评分法对提交最后报价的磋商响应供应商的响应文件和最后报价进行综合评分。</w:t>
      </w:r>
    </w:p>
    <w:p w14:paraId="3CCCE483">
      <w:pPr>
        <w:pStyle w:val="5"/>
        <w:keepNext w:val="0"/>
        <w:keepLines w:val="0"/>
        <w:pageBreakBefore w:val="0"/>
        <w:widowControl w:val="0"/>
        <w:kinsoku/>
        <w:wordWrap/>
        <w:overflowPunct/>
        <w:topLinePunct w:val="0"/>
        <w:bidi w:val="0"/>
        <w:adjustRightInd/>
        <w:snapToGrid/>
        <w:spacing w:before="2" w:line="480" w:lineRule="exact"/>
        <w:textAlignment w:val="auto"/>
        <w:rPr>
          <w:color w:val="auto"/>
        </w:rPr>
      </w:pPr>
      <w:bookmarkStart w:id="155" w:name="_Toc5813_WPSOffice_Level3"/>
      <w:r>
        <w:rPr>
          <w:color w:val="auto"/>
        </w:rPr>
        <w:t>24、</w:t>
      </w:r>
      <w:r>
        <w:rPr>
          <w:rFonts w:hint="eastAsia"/>
          <w:color w:val="auto"/>
        </w:rPr>
        <w:t>推荐</w:t>
      </w:r>
      <w:r>
        <w:rPr>
          <w:color w:val="auto"/>
        </w:rPr>
        <w:t>成交供应商</w:t>
      </w:r>
      <w:bookmarkEnd w:id="155"/>
      <w:r>
        <w:rPr>
          <w:rFonts w:hint="eastAsia"/>
          <w:color w:val="auto"/>
        </w:rPr>
        <w:t>候选人</w:t>
      </w:r>
    </w:p>
    <w:p w14:paraId="76FEFCD1">
      <w:pPr>
        <w:pStyle w:val="8"/>
        <w:keepNext w:val="0"/>
        <w:keepLines w:val="0"/>
        <w:pageBreakBefore w:val="0"/>
        <w:widowControl w:val="0"/>
        <w:kinsoku/>
        <w:wordWrap/>
        <w:overflowPunct/>
        <w:topLinePunct w:val="0"/>
        <w:bidi w:val="0"/>
        <w:adjustRightInd/>
        <w:snapToGrid/>
        <w:spacing w:before="160" w:line="480" w:lineRule="exact"/>
        <w:ind w:right="338" w:firstLine="420"/>
        <w:jc w:val="both"/>
        <w:textAlignment w:val="auto"/>
        <w:rPr>
          <w:color w:val="auto"/>
        </w:rPr>
      </w:pPr>
      <w:r>
        <w:rPr>
          <w:color w:val="auto"/>
        </w:rPr>
        <w:t>24.1</w:t>
      </w:r>
      <w:r>
        <w:rPr>
          <w:color w:val="auto"/>
          <w:spacing w:val="-5"/>
        </w:rPr>
        <w:t xml:space="preserve"> 磋商小组应当根据综合评分情况，按照评审有高到低的顺序推荐</w:t>
      </w:r>
      <w:r>
        <w:rPr>
          <w:rFonts w:hint="eastAsia"/>
          <w:color w:val="auto"/>
          <w:spacing w:val="-5"/>
        </w:rPr>
        <w:t>3名</w:t>
      </w:r>
      <w:r>
        <w:rPr>
          <w:color w:val="auto"/>
          <w:spacing w:val="-5"/>
        </w:rPr>
        <w:t>成交候选供应商，并向采购人提供书面评审报告</w:t>
      </w:r>
      <w:r>
        <w:rPr>
          <w:rFonts w:hint="eastAsia"/>
          <w:color w:val="auto"/>
          <w:spacing w:val="-5"/>
        </w:rPr>
        <w:t>。</w:t>
      </w:r>
    </w:p>
    <w:p w14:paraId="544E62C7">
      <w:pPr>
        <w:pStyle w:val="5"/>
        <w:keepNext w:val="0"/>
        <w:keepLines w:val="0"/>
        <w:pageBreakBefore w:val="0"/>
        <w:widowControl w:val="0"/>
        <w:kinsoku/>
        <w:wordWrap/>
        <w:overflowPunct/>
        <w:topLinePunct w:val="0"/>
        <w:bidi w:val="0"/>
        <w:adjustRightInd/>
        <w:snapToGrid/>
        <w:spacing w:before="2" w:line="480" w:lineRule="exact"/>
        <w:textAlignment w:val="auto"/>
        <w:rPr>
          <w:color w:val="auto"/>
        </w:rPr>
      </w:pPr>
      <w:bookmarkStart w:id="156" w:name="_Toc28609_WPSOffice_Level3"/>
      <w:r>
        <w:rPr>
          <w:color w:val="auto"/>
        </w:rPr>
        <w:t>25、保密及其它注意事项</w:t>
      </w:r>
      <w:bookmarkEnd w:id="156"/>
    </w:p>
    <w:p w14:paraId="3BECE1FB">
      <w:pPr>
        <w:pStyle w:val="37"/>
        <w:keepNext w:val="0"/>
        <w:keepLines w:val="0"/>
        <w:pageBreakBefore w:val="0"/>
        <w:widowControl w:val="0"/>
        <w:numPr>
          <w:ilvl w:val="1"/>
          <w:numId w:val="10"/>
        </w:numPr>
        <w:tabs>
          <w:tab w:val="left" w:pos="1281"/>
        </w:tabs>
        <w:kinsoku/>
        <w:wordWrap/>
        <w:overflowPunct/>
        <w:topLinePunct w:val="0"/>
        <w:bidi w:val="0"/>
        <w:adjustRightInd/>
        <w:snapToGrid/>
        <w:spacing w:before="160" w:line="480" w:lineRule="exact"/>
        <w:textAlignment w:val="auto"/>
        <w:rPr>
          <w:color w:val="auto"/>
          <w:sz w:val="24"/>
        </w:rPr>
      </w:pPr>
      <w:r>
        <w:rPr>
          <w:color w:val="auto"/>
          <w:sz w:val="24"/>
        </w:rPr>
        <w:t>评审工作是磋商工作的重要环节，评审工作在磋商小组内独立进行。</w:t>
      </w:r>
    </w:p>
    <w:p w14:paraId="16CD2CAD">
      <w:pPr>
        <w:pStyle w:val="8"/>
        <w:keepNext w:val="0"/>
        <w:keepLines w:val="0"/>
        <w:pageBreakBefore w:val="0"/>
        <w:widowControl w:val="0"/>
        <w:kinsoku/>
        <w:wordWrap/>
        <w:overflowPunct/>
        <w:topLinePunct w:val="0"/>
        <w:bidi w:val="0"/>
        <w:adjustRightInd/>
        <w:snapToGrid/>
        <w:spacing w:before="43" w:line="480" w:lineRule="exact"/>
        <w:textAlignment w:val="auto"/>
        <w:rPr>
          <w:color w:val="auto"/>
        </w:rPr>
      </w:pPr>
      <w:r>
        <w:rPr>
          <w:color w:val="auto"/>
        </w:rPr>
        <w:t>在评审期间，磋商响应供应商不得向磋商小组成员询问评审情况，不得进行影响评审结果的活动。否则其响应将会被拒绝。</w:t>
      </w:r>
    </w:p>
    <w:p w14:paraId="19F270D9">
      <w:pPr>
        <w:pStyle w:val="37"/>
        <w:keepNext w:val="0"/>
        <w:keepLines w:val="0"/>
        <w:pageBreakBefore w:val="0"/>
        <w:widowControl w:val="0"/>
        <w:numPr>
          <w:ilvl w:val="1"/>
          <w:numId w:val="10"/>
        </w:numPr>
        <w:tabs>
          <w:tab w:val="left" w:pos="1281"/>
        </w:tabs>
        <w:kinsoku/>
        <w:wordWrap/>
        <w:overflowPunct/>
        <w:topLinePunct w:val="0"/>
        <w:bidi w:val="0"/>
        <w:adjustRightInd/>
        <w:snapToGrid/>
        <w:spacing w:before="160" w:line="480" w:lineRule="exact"/>
        <w:ind w:left="320" w:right="341" w:firstLine="420"/>
        <w:textAlignment w:val="auto"/>
        <w:rPr>
          <w:color w:val="auto"/>
          <w:sz w:val="24"/>
        </w:rPr>
      </w:pPr>
      <w:r>
        <w:rPr>
          <w:color w:val="auto"/>
          <w:sz w:val="24"/>
        </w:rPr>
        <w:t>为保证评审的公正性，磋商开始后直至授予成交供应商合同，磋商小组成员不得与供应商私下交换意见。</w:t>
      </w:r>
    </w:p>
    <w:p w14:paraId="1A221107">
      <w:pPr>
        <w:pStyle w:val="37"/>
        <w:keepNext w:val="0"/>
        <w:keepLines w:val="0"/>
        <w:pageBreakBefore w:val="0"/>
        <w:widowControl w:val="0"/>
        <w:numPr>
          <w:ilvl w:val="1"/>
          <w:numId w:val="10"/>
        </w:numPr>
        <w:tabs>
          <w:tab w:val="left" w:pos="1281"/>
        </w:tabs>
        <w:kinsoku/>
        <w:wordWrap/>
        <w:overflowPunct/>
        <w:topLinePunct w:val="0"/>
        <w:bidi w:val="0"/>
        <w:adjustRightInd/>
        <w:snapToGrid/>
        <w:spacing w:before="1" w:line="480" w:lineRule="exact"/>
        <w:ind w:left="320" w:right="341" w:firstLine="420"/>
        <w:textAlignment w:val="auto"/>
        <w:rPr>
          <w:color w:val="auto"/>
          <w:sz w:val="24"/>
        </w:rPr>
      </w:pPr>
      <w:r>
        <w:rPr>
          <w:color w:val="auto"/>
          <w:sz w:val="24"/>
        </w:rPr>
        <w:t>在评审工作结束后，凡与评审情况有接触的任何人不得擅自将评审情况扩散出评审人员之外。</w:t>
      </w:r>
    </w:p>
    <w:p w14:paraId="5A8E7E4D">
      <w:pPr>
        <w:pStyle w:val="5"/>
        <w:keepNext w:val="0"/>
        <w:keepLines w:val="0"/>
        <w:pageBreakBefore w:val="0"/>
        <w:widowControl w:val="0"/>
        <w:kinsoku/>
        <w:wordWrap/>
        <w:overflowPunct/>
        <w:topLinePunct w:val="0"/>
        <w:bidi w:val="0"/>
        <w:adjustRightInd/>
        <w:snapToGrid/>
        <w:spacing w:before="2" w:line="480" w:lineRule="exact"/>
        <w:textAlignment w:val="auto"/>
        <w:rPr>
          <w:color w:val="auto"/>
        </w:rPr>
      </w:pPr>
      <w:bookmarkStart w:id="157" w:name="_Toc27984_WPSOffice_Level3"/>
      <w:r>
        <w:rPr>
          <w:color w:val="auto"/>
        </w:rPr>
        <w:t>26、</w:t>
      </w:r>
      <w:r>
        <w:rPr>
          <w:rFonts w:hint="eastAsia"/>
          <w:color w:val="auto"/>
        </w:rPr>
        <w:t>定标、</w:t>
      </w:r>
      <w:r>
        <w:rPr>
          <w:color w:val="auto"/>
        </w:rPr>
        <w:t>成交通知</w:t>
      </w:r>
      <w:bookmarkEnd w:id="157"/>
    </w:p>
    <w:p w14:paraId="1A0F03E9">
      <w:pPr>
        <w:pStyle w:val="5"/>
        <w:keepNext w:val="0"/>
        <w:keepLines w:val="0"/>
        <w:pageBreakBefore w:val="0"/>
        <w:widowControl w:val="0"/>
        <w:kinsoku/>
        <w:wordWrap/>
        <w:overflowPunct/>
        <w:topLinePunct w:val="0"/>
        <w:bidi w:val="0"/>
        <w:adjustRightInd/>
        <w:snapToGrid/>
        <w:spacing w:before="2" w:line="480" w:lineRule="exact"/>
        <w:ind w:left="0" w:leftChars="0" w:firstLine="654" w:firstLineChars="300"/>
        <w:textAlignment w:val="auto"/>
        <w:rPr>
          <w:b w:val="0"/>
          <w:bCs w:val="0"/>
          <w:color w:val="auto"/>
          <w:spacing w:val="-11"/>
          <w:szCs w:val="22"/>
        </w:rPr>
      </w:pPr>
      <w:r>
        <w:rPr>
          <w:rFonts w:hint="eastAsia"/>
          <w:b w:val="0"/>
          <w:bCs w:val="0"/>
          <w:color w:val="auto"/>
          <w:spacing w:val="-11"/>
          <w:szCs w:val="22"/>
        </w:rPr>
        <w:t>26.1采购人依据磋商小组推荐的成交候选人确定成交人，磋商小组推荐3名成交候选人。采购人将依序确定排名第一的供应商为成交人，若排名第一的成交候选人放弃中标、因不可抗力不能履行合同，或者被查实存在影响成交结果的违法行为等情形，不符合成交条件的，采购人可以按照磋商小组提出的成交候选人名单排序依次确定其他成交候选人为成交人，也可以重新招标。</w:t>
      </w:r>
    </w:p>
    <w:p w14:paraId="4DEAFC59">
      <w:pPr>
        <w:pStyle w:val="37"/>
        <w:keepNext w:val="0"/>
        <w:keepLines w:val="0"/>
        <w:pageBreakBefore w:val="0"/>
        <w:widowControl w:val="0"/>
        <w:tabs>
          <w:tab w:val="left" w:pos="1281"/>
        </w:tabs>
        <w:kinsoku/>
        <w:wordWrap/>
        <w:overflowPunct/>
        <w:topLinePunct w:val="0"/>
        <w:bidi w:val="0"/>
        <w:adjustRightInd/>
        <w:snapToGrid/>
        <w:spacing w:before="160" w:line="480" w:lineRule="exact"/>
        <w:ind w:left="0" w:leftChars="0" w:right="338" w:firstLine="436" w:firstLineChars="200"/>
        <w:textAlignment w:val="auto"/>
        <w:rPr>
          <w:color w:val="auto"/>
          <w:sz w:val="24"/>
        </w:rPr>
      </w:pPr>
      <w:r>
        <w:rPr>
          <w:rFonts w:hint="eastAsia"/>
          <w:color w:val="auto"/>
          <w:spacing w:val="-11"/>
          <w:sz w:val="24"/>
        </w:rPr>
        <w:t>26.2</w:t>
      </w:r>
      <w:r>
        <w:rPr>
          <w:color w:val="auto"/>
          <w:spacing w:val="-11"/>
          <w:sz w:val="24"/>
        </w:rPr>
        <w:t>成交供应商确定后，采购人向成交供应商签发《成交通知书》，并将成交结果通</w:t>
      </w:r>
      <w:r>
        <w:rPr>
          <w:color w:val="auto"/>
          <w:sz w:val="24"/>
        </w:rPr>
        <w:t>知所有未成交的磋商响应供应商。</w:t>
      </w:r>
    </w:p>
    <w:p w14:paraId="685C29F7">
      <w:pPr>
        <w:pStyle w:val="37"/>
        <w:keepNext w:val="0"/>
        <w:keepLines w:val="0"/>
        <w:pageBreakBefore w:val="0"/>
        <w:widowControl w:val="0"/>
        <w:tabs>
          <w:tab w:val="left" w:pos="1281"/>
        </w:tabs>
        <w:kinsoku/>
        <w:wordWrap/>
        <w:overflowPunct/>
        <w:topLinePunct w:val="0"/>
        <w:bidi w:val="0"/>
        <w:adjustRightInd/>
        <w:snapToGrid/>
        <w:spacing w:before="160" w:line="480" w:lineRule="exact"/>
        <w:ind w:left="0" w:leftChars="0" w:right="338" w:firstLine="476" w:firstLineChars="200"/>
        <w:textAlignment w:val="auto"/>
        <w:rPr>
          <w:color w:val="auto"/>
          <w:sz w:val="24"/>
        </w:rPr>
      </w:pPr>
      <w:r>
        <w:rPr>
          <w:rFonts w:hint="eastAsia"/>
          <w:color w:val="auto"/>
          <w:spacing w:val="-1"/>
          <w:sz w:val="24"/>
        </w:rPr>
        <w:t>26.3</w:t>
      </w:r>
      <w:r>
        <w:rPr>
          <w:color w:val="auto"/>
          <w:spacing w:val="-1"/>
          <w:sz w:val="24"/>
        </w:rPr>
        <w:t xml:space="preserve">《成交通知书》作为签订合同的依据，对采购人和成交供应商均具有法律效力， </w:t>
      </w:r>
      <w:r>
        <w:rPr>
          <w:color w:val="auto"/>
          <w:sz w:val="24"/>
        </w:rPr>
        <w:t>成交通知书发出后，采购人改变成交结果或者成交供应商放弃项目，应依法承担法律责任。</w:t>
      </w:r>
    </w:p>
    <w:p w14:paraId="6988E44B">
      <w:pPr>
        <w:pStyle w:val="5"/>
        <w:keepNext w:val="0"/>
        <w:keepLines w:val="0"/>
        <w:pageBreakBefore w:val="0"/>
        <w:widowControl w:val="0"/>
        <w:kinsoku/>
        <w:wordWrap/>
        <w:overflowPunct/>
        <w:topLinePunct w:val="0"/>
        <w:bidi w:val="0"/>
        <w:adjustRightInd/>
        <w:snapToGrid/>
        <w:spacing w:before="2" w:line="480" w:lineRule="exact"/>
        <w:textAlignment w:val="auto"/>
        <w:rPr>
          <w:color w:val="auto"/>
        </w:rPr>
      </w:pPr>
      <w:bookmarkStart w:id="158" w:name="_Toc8188_WPSOffice_Level3"/>
      <w:r>
        <w:rPr>
          <w:color w:val="auto"/>
        </w:rPr>
        <w:t>27、授予合同时变更数量的权力</w:t>
      </w:r>
      <w:bookmarkEnd w:id="158"/>
    </w:p>
    <w:p w14:paraId="7A5B4A1E">
      <w:pPr>
        <w:pStyle w:val="8"/>
        <w:keepNext w:val="0"/>
        <w:keepLines w:val="0"/>
        <w:pageBreakBefore w:val="0"/>
        <w:widowControl w:val="0"/>
        <w:kinsoku/>
        <w:wordWrap/>
        <w:overflowPunct/>
        <w:topLinePunct w:val="0"/>
        <w:bidi w:val="0"/>
        <w:adjustRightInd/>
        <w:snapToGrid/>
        <w:spacing w:before="177" w:line="480" w:lineRule="exact"/>
        <w:ind w:right="341" w:firstLine="420"/>
        <w:textAlignment w:val="auto"/>
        <w:rPr>
          <w:color w:val="auto"/>
        </w:rPr>
      </w:pPr>
      <w:r>
        <w:rPr>
          <w:color w:val="auto"/>
        </w:rPr>
        <w:t>27.1 采购人在授予合同时，保留对货物数量予以适当增减的权利。成交供应商不得在此情况下对磋商响应文件做出修改，如价格、服务承诺等。</w:t>
      </w:r>
    </w:p>
    <w:p w14:paraId="74CEB8A2">
      <w:pPr>
        <w:pStyle w:val="5"/>
        <w:keepNext w:val="0"/>
        <w:keepLines w:val="0"/>
        <w:pageBreakBefore w:val="0"/>
        <w:widowControl w:val="0"/>
        <w:kinsoku/>
        <w:wordWrap/>
        <w:overflowPunct/>
        <w:topLinePunct w:val="0"/>
        <w:bidi w:val="0"/>
        <w:adjustRightInd/>
        <w:snapToGrid/>
        <w:spacing w:line="480" w:lineRule="exact"/>
        <w:textAlignment w:val="auto"/>
        <w:rPr>
          <w:color w:val="auto"/>
        </w:rPr>
      </w:pPr>
      <w:bookmarkStart w:id="159" w:name="_Toc30112_WPSOffice_Level3"/>
      <w:r>
        <w:rPr>
          <w:color w:val="auto"/>
        </w:rPr>
        <w:t>28、签订合同</w:t>
      </w:r>
      <w:bookmarkEnd w:id="159"/>
    </w:p>
    <w:p w14:paraId="4067BD1E">
      <w:pPr>
        <w:pStyle w:val="37"/>
        <w:keepNext w:val="0"/>
        <w:keepLines w:val="0"/>
        <w:pageBreakBefore w:val="0"/>
        <w:widowControl w:val="0"/>
        <w:numPr>
          <w:ilvl w:val="1"/>
          <w:numId w:val="11"/>
        </w:numPr>
        <w:tabs>
          <w:tab w:val="left" w:pos="1281"/>
        </w:tabs>
        <w:kinsoku/>
        <w:wordWrap/>
        <w:overflowPunct/>
        <w:topLinePunct w:val="0"/>
        <w:bidi w:val="0"/>
        <w:adjustRightInd/>
        <w:snapToGrid/>
        <w:spacing w:before="113" w:line="480" w:lineRule="exact"/>
        <w:ind w:right="218" w:firstLine="420"/>
        <w:textAlignment w:val="auto"/>
        <w:rPr>
          <w:color w:val="auto"/>
          <w:sz w:val="24"/>
        </w:rPr>
      </w:pPr>
      <w:r>
        <w:rPr>
          <w:color w:val="auto"/>
          <w:spacing w:val="-10"/>
          <w:sz w:val="24"/>
        </w:rPr>
        <w:t>成交供应商接到《成交通知书》后</w:t>
      </w:r>
      <w:r>
        <w:rPr>
          <w:color w:val="auto"/>
          <w:spacing w:val="-1"/>
          <w:sz w:val="24"/>
        </w:rPr>
        <w:t>按指定地点与采购人签订采购合同</w:t>
      </w:r>
      <w:r>
        <w:rPr>
          <w:rFonts w:hint="eastAsia"/>
          <w:color w:val="auto"/>
          <w:spacing w:val="-1"/>
          <w:sz w:val="24"/>
        </w:rPr>
        <w:t>；</w:t>
      </w:r>
    </w:p>
    <w:p w14:paraId="79F15473">
      <w:pPr>
        <w:pStyle w:val="37"/>
        <w:keepNext w:val="0"/>
        <w:keepLines w:val="0"/>
        <w:pageBreakBefore w:val="0"/>
        <w:widowControl w:val="0"/>
        <w:numPr>
          <w:ilvl w:val="1"/>
          <w:numId w:val="11"/>
        </w:numPr>
        <w:tabs>
          <w:tab w:val="left" w:pos="1281"/>
        </w:tabs>
        <w:kinsoku/>
        <w:wordWrap/>
        <w:overflowPunct/>
        <w:topLinePunct w:val="0"/>
        <w:bidi w:val="0"/>
        <w:adjustRightInd/>
        <w:snapToGrid/>
        <w:spacing w:line="480" w:lineRule="exact"/>
        <w:ind w:right="341" w:firstLine="420"/>
        <w:textAlignment w:val="auto"/>
        <w:rPr>
          <w:color w:val="auto"/>
          <w:sz w:val="24"/>
        </w:rPr>
      </w:pPr>
      <w:r>
        <w:rPr>
          <w:color w:val="auto"/>
          <w:sz w:val="24"/>
        </w:rPr>
        <w:t>采购人签发的成交通知书、竞争性磋商文件、成交供应商的磋商响应文件及其澄清文件等，均为签订合同的依据。</w:t>
      </w:r>
    </w:p>
    <w:p w14:paraId="6C77DE18">
      <w:pPr>
        <w:pStyle w:val="37"/>
        <w:keepNext w:val="0"/>
        <w:keepLines w:val="0"/>
        <w:pageBreakBefore w:val="0"/>
        <w:widowControl w:val="0"/>
        <w:numPr>
          <w:ilvl w:val="1"/>
          <w:numId w:val="11"/>
        </w:numPr>
        <w:tabs>
          <w:tab w:val="left" w:pos="1281"/>
        </w:tabs>
        <w:kinsoku/>
        <w:wordWrap/>
        <w:overflowPunct/>
        <w:topLinePunct w:val="0"/>
        <w:bidi w:val="0"/>
        <w:adjustRightInd/>
        <w:snapToGrid/>
        <w:spacing w:line="480" w:lineRule="exact"/>
        <w:ind w:right="340" w:firstLine="420"/>
        <w:textAlignment w:val="auto"/>
        <w:rPr>
          <w:color w:val="auto"/>
          <w:sz w:val="24"/>
        </w:rPr>
      </w:pPr>
      <w:r>
        <w:rPr>
          <w:color w:val="auto"/>
          <w:spacing w:val="-2"/>
          <w:sz w:val="24"/>
        </w:rPr>
        <w:t xml:space="preserve">如成交供应商拒签合同，则按违约处理，采购人对违约方收取成交金额 </w:t>
      </w:r>
      <w:r>
        <w:rPr>
          <w:color w:val="auto"/>
          <w:sz w:val="24"/>
        </w:rPr>
        <w:t>2%</w:t>
      </w:r>
      <w:r>
        <w:rPr>
          <w:color w:val="auto"/>
          <w:spacing w:val="-8"/>
          <w:sz w:val="24"/>
        </w:rPr>
        <w:t>的违</w:t>
      </w:r>
      <w:r>
        <w:rPr>
          <w:color w:val="auto"/>
          <w:sz w:val="24"/>
        </w:rPr>
        <w:t>约金。</w:t>
      </w:r>
    </w:p>
    <w:p w14:paraId="27D4CFDB">
      <w:pPr>
        <w:pStyle w:val="5"/>
        <w:keepNext w:val="0"/>
        <w:keepLines w:val="0"/>
        <w:pageBreakBefore w:val="0"/>
        <w:widowControl w:val="0"/>
        <w:kinsoku/>
        <w:wordWrap/>
        <w:overflowPunct/>
        <w:topLinePunct w:val="0"/>
        <w:bidi w:val="0"/>
        <w:adjustRightInd/>
        <w:snapToGrid/>
        <w:spacing w:line="480" w:lineRule="exact"/>
        <w:textAlignment w:val="auto"/>
        <w:rPr>
          <w:color w:val="auto"/>
        </w:rPr>
      </w:pPr>
      <w:bookmarkStart w:id="160" w:name="_Toc7342_WPSOffice_Level3"/>
      <w:r>
        <w:rPr>
          <w:rFonts w:hint="eastAsia"/>
          <w:color w:val="auto"/>
          <w:lang w:val="en-US"/>
        </w:rPr>
        <w:t>29、</w:t>
      </w:r>
      <w:r>
        <w:rPr>
          <w:color w:val="auto"/>
        </w:rPr>
        <w:t>特别注意事项：</w:t>
      </w:r>
      <w:bookmarkEnd w:id="160"/>
    </w:p>
    <w:p w14:paraId="2D0A408C">
      <w:pPr>
        <w:pStyle w:val="37"/>
        <w:keepNext w:val="0"/>
        <w:keepLines w:val="0"/>
        <w:pageBreakBefore w:val="0"/>
        <w:widowControl w:val="0"/>
        <w:numPr>
          <w:ilvl w:val="1"/>
          <w:numId w:val="12"/>
        </w:numPr>
        <w:tabs>
          <w:tab w:val="left" w:pos="1341"/>
        </w:tabs>
        <w:kinsoku/>
        <w:wordWrap/>
        <w:overflowPunct/>
        <w:topLinePunct w:val="0"/>
        <w:bidi w:val="0"/>
        <w:adjustRightInd/>
        <w:snapToGrid/>
        <w:spacing w:before="113" w:line="480" w:lineRule="exact"/>
        <w:textAlignment w:val="auto"/>
        <w:rPr>
          <w:color w:val="auto"/>
          <w:sz w:val="24"/>
        </w:rPr>
      </w:pPr>
      <w:r>
        <w:rPr>
          <w:color w:val="auto"/>
          <w:sz w:val="24"/>
        </w:rPr>
        <w:t>磋商响应供应商出现下列情形之一的，磋商小组可取消其磋商资格：</w:t>
      </w:r>
    </w:p>
    <w:p w14:paraId="061D30D2">
      <w:pPr>
        <w:pStyle w:val="37"/>
        <w:keepNext w:val="0"/>
        <w:keepLines w:val="0"/>
        <w:pageBreakBefore w:val="0"/>
        <w:widowControl w:val="0"/>
        <w:numPr>
          <w:ilvl w:val="0"/>
          <w:numId w:val="13"/>
        </w:numPr>
        <w:tabs>
          <w:tab w:val="left" w:pos="1342"/>
        </w:tabs>
        <w:kinsoku/>
        <w:wordWrap/>
        <w:overflowPunct/>
        <w:topLinePunct w:val="0"/>
        <w:bidi w:val="0"/>
        <w:adjustRightInd/>
        <w:snapToGrid/>
        <w:spacing w:before="112" w:line="480" w:lineRule="exact"/>
        <w:textAlignment w:val="auto"/>
        <w:rPr>
          <w:color w:val="auto"/>
          <w:sz w:val="24"/>
        </w:rPr>
      </w:pPr>
      <w:r>
        <w:rPr>
          <w:color w:val="auto"/>
          <w:sz w:val="24"/>
        </w:rPr>
        <w:t>未按磋商文件要求和规定提交实质性响应材料的；</w:t>
      </w:r>
    </w:p>
    <w:p w14:paraId="369B16C3">
      <w:pPr>
        <w:pStyle w:val="37"/>
        <w:keepNext w:val="0"/>
        <w:keepLines w:val="0"/>
        <w:pageBreakBefore w:val="0"/>
        <w:widowControl w:val="0"/>
        <w:numPr>
          <w:ilvl w:val="0"/>
          <w:numId w:val="13"/>
        </w:numPr>
        <w:tabs>
          <w:tab w:val="left" w:pos="1342"/>
        </w:tabs>
        <w:kinsoku/>
        <w:wordWrap/>
        <w:overflowPunct/>
        <w:topLinePunct w:val="0"/>
        <w:bidi w:val="0"/>
        <w:adjustRightInd/>
        <w:snapToGrid/>
        <w:spacing w:before="113" w:line="480" w:lineRule="exact"/>
        <w:textAlignment w:val="auto"/>
        <w:rPr>
          <w:color w:val="auto"/>
          <w:sz w:val="24"/>
        </w:rPr>
      </w:pPr>
      <w:r>
        <w:rPr>
          <w:color w:val="auto"/>
          <w:sz w:val="24"/>
        </w:rPr>
        <w:t>相互串通磋商的（有下列情形之一的，视为磋商响应供应商相互串通磋商</w:t>
      </w:r>
      <w:r>
        <w:rPr>
          <w:color w:val="auto"/>
          <w:spacing w:val="-120"/>
          <w:sz w:val="24"/>
        </w:rPr>
        <w:t>）</w:t>
      </w:r>
      <w:r>
        <w:rPr>
          <w:color w:val="auto"/>
          <w:sz w:val="24"/>
        </w:rPr>
        <w:t>；</w:t>
      </w:r>
    </w:p>
    <w:p w14:paraId="610E0BF3">
      <w:pPr>
        <w:pStyle w:val="8"/>
        <w:keepNext w:val="0"/>
        <w:keepLines w:val="0"/>
        <w:pageBreakBefore w:val="0"/>
        <w:widowControl w:val="0"/>
        <w:kinsoku/>
        <w:wordWrap/>
        <w:overflowPunct/>
        <w:topLinePunct w:val="0"/>
        <w:bidi w:val="0"/>
        <w:adjustRightInd/>
        <w:snapToGrid/>
        <w:spacing w:before="112" w:line="480" w:lineRule="exact"/>
        <w:ind w:left="740"/>
        <w:textAlignment w:val="auto"/>
        <w:rPr>
          <w:color w:val="auto"/>
        </w:rPr>
      </w:pPr>
      <w:r>
        <w:rPr>
          <w:color w:val="auto"/>
        </w:rPr>
        <w:t>A、不同磋商响应供应商的响应文件由同一单位或者个人编制</w:t>
      </w:r>
    </w:p>
    <w:p w14:paraId="5F23C425">
      <w:pPr>
        <w:pStyle w:val="8"/>
        <w:keepNext w:val="0"/>
        <w:keepLines w:val="0"/>
        <w:pageBreakBefore w:val="0"/>
        <w:widowControl w:val="0"/>
        <w:kinsoku/>
        <w:wordWrap/>
        <w:overflowPunct/>
        <w:topLinePunct w:val="0"/>
        <w:bidi w:val="0"/>
        <w:adjustRightInd/>
        <w:snapToGrid/>
        <w:spacing w:before="113" w:line="480" w:lineRule="exact"/>
        <w:ind w:left="740"/>
        <w:textAlignment w:val="auto"/>
        <w:rPr>
          <w:color w:val="auto"/>
        </w:rPr>
      </w:pPr>
      <w:r>
        <w:rPr>
          <w:color w:val="auto"/>
        </w:rPr>
        <w:t>B、不同磋商响应供应商委托同一单位或者个人办理磋商事宜</w:t>
      </w:r>
    </w:p>
    <w:p w14:paraId="44A71E87">
      <w:pPr>
        <w:pStyle w:val="8"/>
        <w:keepNext w:val="0"/>
        <w:keepLines w:val="0"/>
        <w:pageBreakBefore w:val="0"/>
        <w:widowControl w:val="0"/>
        <w:kinsoku/>
        <w:wordWrap/>
        <w:overflowPunct/>
        <w:topLinePunct w:val="0"/>
        <w:bidi w:val="0"/>
        <w:adjustRightInd/>
        <w:snapToGrid/>
        <w:spacing w:before="112" w:line="480" w:lineRule="exact"/>
        <w:ind w:left="740"/>
        <w:textAlignment w:val="auto"/>
        <w:rPr>
          <w:color w:val="auto"/>
        </w:rPr>
      </w:pPr>
      <w:r>
        <w:rPr>
          <w:color w:val="auto"/>
        </w:rPr>
        <w:t>C、不同磋商响应供应商的响应文件载明的项目管理成员为同一人</w:t>
      </w:r>
    </w:p>
    <w:p w14:paraId="34B74FE7">
      <w:pPr>
        <w:pStyle w:val="8"/>
        <w:keepNext w:val="0"/>
        <w:keepLines w:val="0"/>
        <w:pageBreakBefore w:val="0"/>
        <w:widowControl w:val="0"/>
        <w:kinsoku/>
        <w:wordWrap/>
        <w:overflowPunct/>
        <w:topLinePunct w:val="0"/>
        <w:bidi w:val="0"/>
        <w:adjustRightInd/>
        <w:snapToGrid/>
        <w:spacing w:before="113" w:line="480" w:lineRule="exact"/>
        <w:ind w:left="740"/>
        <w:textAlignment w:val="auto"/>
        <w:rPr>
          <w:color w:val="auto"/>
        </w:rPr>
      </w:pPr>
      <w:r>
        <w:rPr>
          <w:color w:val="auto"/>
        </w:rPr>
        <w:t>D、不同磋商响应供应商的响应文件异常一致或者磋商报价呈规律性差异</w:t>
      </w:r>
    </w:p>
    <w:p w14:paraId="52D49412">
      <w:pPr>
        <w:pStyle w:val="37"/>
        <w:keepNext w:val="0"/>
        <w:keepLines w:val="0"/>
        <w:pageBreakBefore w:val="0"/>
        <w:widowControl w:val="0"/>
        <w:numPr>
          <w:ilvl w:val="1"/>
          <w:numId w:val="12"/>
        </w:numPr>
        <w:tabs>
          <w:tab w:val="left" w:pos="1341"/>
        </w:tabs>
        <w:kinsoku/>
        <w:wordWrap/>
        <w:overflowPunct/>
        <w:topLinePunct w:val="0"/>
        <w:bidi w:val="0"/>
        <w:adjustRightInd/>
        <w:snapToGrid/>
        <w:spacing w:before="112" w:line="480" w:lineRule="exact"/>
        <w:textAlignment w:val="auto"/>
        <w:rPr>
          <w:color w:val="auto"/>
          <w:sz w:val="24"/>
        </w:rPr>
      </w:pPr>
      <w:r>
        <w:rPr>
          <w:color w:val="auto"/>
          <w:sz w:val="24"/>
        </w:rPr>
        <w:t>磋商响应供应商出现下列情形之一的，将被视为非实质性响应磋商文件要求：</w:t>
      </w:r>
    </w:p>
    <w:p w14:paraId="0B955481">
      <w:pPr>
        <w:pStyle w:val="37"/>
        <w:keepNext w:val="0"/>
        <w:keepLines w:val="0"/>
        <w:pageBreakBefore w:val="0"/>
        <w:widowControl w:val="0"/>
        <w:numPr>
          <w:ilvl w:val="0"/>
          <w:numId w:val="14"/>
        </w:numPr>
        <w:tabs>
          <w:tab w:val="left" w:pos="1221"/>
        </w:tabs>
        <w:kinsoku/>
        <w:wordWrap/>
        <w:overflowPunct/>
        <w:topLinePunct w:val="0"/>
        <w:bidi w:val="0"/>
        <w:adjustRightInd/>
        <w:snapToGrid/>
        <w:spacing w:before="113" w:line="480" w:lineRule="exact"/>
        <w:textAlignment w:val="auto"/>
        <w:rPr>
          <w:color w:val="auto"/>
          <w:sz w:val="24"/>
        </w:rPr>
      </w:pPr>
      <w:r>
        <w:rPr>
          <w:color w:val="auto"/>
          <w:sz w:val="24"/>
        </w:rPr>
        <w:t>交货（完成）期限不确切或不符合磋商文件要求的；</w:t>
      </w:r>
    </w:p>
    <w:p w14:paraId="34194CCA">
      <w:pPr>
        <w:pStyle w:val="37"/>
        <w:keepNext w:val="0"/>
        <w:keepLines w:val="0"/>
        <w:pageBreakBefore w:val="0"/>
        <w:widowControl w:val="0"/>
        <w:numPr>
          <w:ilvl w:val="0"/>
          <w:numId w:val="14"/>
        </w:numPr>
        <w:tabs>
          <w:tab w:val="left" w:pos="1221"/>
        </w:tabs>
        <w:kinsoku/>
        <w:wordWrap/>
        <w:overflowPunct/>
        <w:topLinePunct w:val="0"/>
        <w:bidi w:val="0"/>
        <w:adjustRightInd/>
        <w:snapToGrid/>
        <w:spacing w:before="112" w:line="480" w:lineRule="exact"/>
        <w:textAlignment w:val="auto"/>
        <w:rPr>
          <w:color w:val="auto"/>
          <w:sz w:val="24"/>
        </w:rPr>
      </w:pPr>
      <w:r>
        <w:rPr>
          <w:color w:val="auto"/>
          <w:sz w:val="24"/>
        </w:rPr>
        <w:t>最后报价有选择性的；</w:t>
      </w:r>
    </w:p>
    <w:p w14:paraId="67AF6DB0">
      <w:pPr>
        <w:pStyle w:val="37"/>
        <w:keepNext w:val="0"/>
        <w:keepLines w:val="0"/>
        <w:pageBreakBefore w:val="0"/>
        <w:widowControl w:val="0"/>
        <w:numPr>
          <w:ilvl w:val="0"/>
          <w:numId w:val="14"/>
        </w:numPr>
        <w:tabs>
          <w:tab w:val="left" w:pos="1221"/>
        </w:tabs>
        <w:kinsoku/>
        <w:wordWrap/>
        <w:overflowPunct/>
        <w:topLinePunct w:val="0"/>
        <w:bidi w:val="0"/>
        <w:adjustRightInd/>
        <w:snapToGrid/>
        <w:spacing w:before="113" w:line="480" w:lineRule="exact"/>
        <w:textAlignment w:val="auto"/>
        <w:rPr>
          <w:color w:val="auto"/>
          <w:sz w:val="24"/>
        </w:rPr>
      </w:pPr>
      <w:r>
        <w:rPr>
          <w:color w:val="auto"/>
          <w:sz w:val="24"/>
        </w:rPr>
        <w:t>最后报价超过采购预算金额的；</w:t>
      </w:r>
    </w:p>
    <w:p w14:paraId="584881AC">
      <w:pPr>
        <w:pStyle w:val="37"/>
        <w:keepNext w:val="0"/>
        <w:keepLines w:val="0"/>
        <w:pageBreakBefore w:val="0"/>
        <w:widowControl w:val="0"/>
        <w:numPr>
          <w:ilvl w:val="0"/>
          <w:numId w:val="14"/>
        </w:numPr>
        <w:tabs>
          <w:tab w:val="left" w:pos="1221"/>
        </w:tabs>
        <w:kinsoku/>
        <w:wordWrap/>
        <w:overflowPunct/>
        <w:topLinePunct w:val="0"/>
        <w:bidi w:val="0"/>
        <w:adjustRightInd/>
        <w:snapToGrid/>
        <w:spacing w:before="112" w:line="480" w:lineRule="exact"/>
        <w:textAlignment w:val="auto"/>
        <w:rPr>
          <w:color w:val="auto"/>
          <w:sz w:val="24"/>
        </w:rPr>
      </w:pPr>
      <w:r>
        <w:rPr>
          <w:color w:val="auto"/>
          <w:sz w:val="24"/>
        </w:rPr>
        <w:t>被磋商小组认定存在重大负偏离的；</w:t>
      </w:r>
    </w:p>
    <w:p w14:paraId="5CE1592C">
      <w:pPr>
        <w:pStyle w:val="8"/>
        <w:keepNext w:val="0"/>
        <w:keepLines w:val="0"/>
        <w:pageBreakBefore w:val="0"/>
        <w:widowControl w:val="0"/>
        <w:kinsoku/>
        <w:wordWrap/>
        <w:overflowPunct/>
        <w:topLinePunct w:val="0"/>
        <w:bidi w:val="0"/>
        <w:adjustRightInd/>
        <w:snapToGrid/>
        <w:spacing w:before="113" w:line="480" w:lineRule="exact"/>
        <w:ind w:right="338" w:firstLine="420"/>
        <w:jc w:val="both"/>
        <w:textAlignment w:val="auto"/>
        <w:rPr>
          <w:color w:val="auto"/>
        </w:rPr>
      </w:pPr>
      <w:r>
        <w:rPr>
          <w:color w:val="auto"/>
          <w:spacing w:val="-11"/>
        </w:rPr>
        <w:t>注：所谓重大负偏离是指磋商响应供应商对磋商文件的响应在范围、质量、数量和交</w:t>
      </w:r>
      <w:r>
        <w:rPr>
          <w:color w:val="auto"/>
        </w:rPr>
        <w:t>货（完成）期限、技术规格要求等方面明显不能满足采购需求的。重大负偏离的认定须经磋商小组三分之二以上同意。</w:t>
      </w:r>
    </w:p>
    <w:p w14:paraId="1F700D2D">
      <w:pPr>
        <w:pStyle w:val="5"/>
        <w:keepNext w:val="0"/>
        <w:keepLines w:val="0"/>
        <w:pageBreakBefore w:val="0"/>
        <w:widowControl w:val="0"/>
        <w:numPr>
          <w:ilvl w:val="0"/>
          <w:numId w:val="12"/>
        </w:numPr>
        <w:tabs>
          <w:tab w:val="left" w:pos="1222"/>
        </w:tabs>
        <w:kinsoku/>
        <w:wordWrap/>
        <w:overflowPunct/>
        <w:topLinePunct w:val="0"/>
        <w:bidi w:val="0"/>
        <w:adjustRightInd/>
        <w:snapToGrid/>
        <w:spacing w:line="480" w:lineRule="exact"/>
        <w:textAlignment w:val="auto"/>
        <w:rPr>
          <w:color w:val="auto"/>
          <w:sz w:val="22"/>
        </w:rPr>
      </w:pPr>
      <w:bookmarkStart w:id="161" w:name="_Toc7366_WPSOffice_Level3"/>
      <w:r>
        <w:rPr>
          <w:color w:val="auto"/>
        </w:rPr>
        <w:t>询问</w:t>
      </w:r>
      <w:bookmarkEnd w:id="161"/>
    </w:p>
    <w:p w14:paraId="70092EB0">
      <w:pPr>
        <w:pStyle w:val="37"/>
        <w:keepNext w:val="0"/>
        <w:keepLines w:val="0"/>
        <w:pageBreakBefore w:val="0"/>
        <w:widowControl w:val="0"/>
        <w:numPr>
          <w:ilvl w:val="1"/>
          <w:numId w:val="12"/>
        </w:numPr>
        <w:tabs>
          <w:tab w:val="left" w:pos="1341"/>
        </w:tabs>
        <w:kinsoku/>
        <w:wordWrap/>
        <w:overflowPunct/>
        <w:topLinePunct w:val="0"/>
        <w:bidi w:val="0"/>
        <w:adjustRightInd/>
        <w:snapToGrid/>
        <w:spacing w:before="112" w:line="480" w:lineRule="exact"/>
        <w:ind w:left="320" w:right="338" w:firstLine="420"/>
        <w:textAlignment w:val="auto"/>
        <w:rPr>
          <w:color w:val="auto"/>
          <w:sz w:val="24"/>
        </w:rPr>
      </w:pPr>
      <w:r>
        <w:rPr>
          <w:color w:val="auto"/>
          <w:spacing w:val="-1"/>
          <w:sz w:val="24"/>
        </w:rPr>
        <w:t>磋商响应供应商对采购事项有疑问，可以按照《政府采购法》的相关规定向采</w:t>
      </w:r>
      <w:r>
        <w:rPr>
          <w:color w:val="auto"/>
          <w:sz w:val="24"/>
        </w:rPr>
        <w:t>购人或采购机构提出询问。</w:t>
      </w:r>
    </w:p>
    <w:p w14:paraId="7D15CA65">
      <w:pPr>
        <w:pStyle w:val="5"/>
        <w:keepNext w:val="0"/>
        <w:keepLines w:val="0"/>
        <w:pageBreakBefore w:val="0"/>
        <w:widowControl w:val="0"/>
        <w:numPr>
          <w:ilvl w:val="0"/>
          <w:numId w:val="12"/>
        </w:numPr>
        <w:tabs>
          <w:tab w:val="left" w:pos="1222"/>
        </w:tabs>
        <w:kinsoku/>
        <w:wordWrap/>
        <w:overflowPunct/>
        <w:topLinePunct w:val="0"/>
        <w:bidi w:val="0"/>
        <w:adjustRightInd/>
        <w:snapToGrid/>
        <w:spacing w:line="480" w:lineRule="exact"/>
        <w:textAlignment w:val="auto"/>
        <w:rPr>
          <w:rFonts w:ascii="宋体" w:hAnsi="宋体" w:eastAsia="宋体" w:cs="宋体"/>
          <w:color w:val="auto"/>
        </w:rPr>
      </w:pPr>
      <w:r>
        <w:rPr>
          <w:rFonts w:hint="eastAsia" w:ascii="宋体" w:hAnsi="宋体" w:eastAsia="宋体" w:cs="宋体"/>
          <w:color w:val="auto"/>
        </w:rPr>
        <w:t>重新招标</w:t>
      </w:r>
    </w:p>
    <w:p w14:paraId="1991F875">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b w:val="0"/>
          <w:bCs w:val="0"/>
          <w:color w:val="auto"/>
          <w:kern w:val="1"/>
          <w:sz w:val="24"/>
          <w:szCs w:val="24"/>
          <w:lang w:val="en-US" w:eastAsia="zh-CN" w:bidi="ar-SA"/>
        </w:rPr>
      </w:pPr>
      <w:bookmarkStart w:id="162" w:name="_Toc438797215"/>
      <w:bookmarkStart w:id="163" w:name="_Toc438797980"/>
      <w:bookmarkStart w:id="164" w:name="_Toc391284777"/>
      <w:r>
        <w:rPr>
          <w:rFonts w:hint="eastAsia" w:ascii="宋体" w:hAnsi="宋体" w:eastAsia="宋体" w:cs="宋体"/>
          <w:b w:val="0"/>
          <w:bCs w:val="0"/>
          <w:color w:val="auto"/>
          <w:kern w:val="1"/>
          <w:sz w:val="24"/>
          <w:szCs w:val="24"/>
          <w:lang w:val="en-US" w:eastAsia="zh-CN" w:bidi="ar-SA"/>
        </w:rPr>
        <w:t xml:space="preserve">出现下列情形之一的，将终止竞争性磋商磋商活动，发布项目终止公告并说明原因，重新开展磋商活动： </w:t>
      </w:r>
    </w:p>
    <w:p w14:paraId="345637A4">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（1）因情况变化，不再符合规定的竞争性磋商磋商方式,适用情形的；出现 </w:t>
      </w:r>
    </w:p>
    <w:p w14:paraId="538829F4">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影响磋商公正的违法、违规行为的； </w:t>
      </w:r>
    </w:p>
    <w:p w14:paraId="71BCCA8B">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（2）不符合法律、法规和竞争性磋商文件规定的其他实质性要求的； </w:t>
      </w:r>
    </w:p>
    <w:p w14:paraId="4F1FE274">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（3）其他法律、法规及本竞争性磋商文件规定的属响应无效的情形，终止竞争性磋商磋商活动的条款等；</w:t>
      </w:r>
    </w:p>
    <w:p w14:paraId="33D81DB1">
      <w:pPr>
        <w:keepNext w:val="0"/>
        <w:keepLines w:val="0"/>
        <w:pageBreakBefore w:val="0"/>
        <w:widowControl w:val="0"/>
        <w:kinsoku/>
        <w:wordWrap/>
        <w:overflowPunct/>
        <w:topLinePunct w:val="0"/>
        <w:autoSpaceDE/>
        <w:autoSpaceDN/>
        <w:bidi w:val="0"/>
        <w:adjustRightInd/>
        <w:snapToGrid/>
        <w:spacing w:line="480" w:lineRule="exact"/>
        <w:ind w:firstLine="482"/>
        <w:textAlignment w:val="auto"/>
        <w:rPr>
          <w:color w:val="auto"/>
          <w:sz w:val="24"/>
        </w:rPr>
      </w:pPr>
      <w:r>
        <w:rPr>
          <w:rFonts w:hint="eastAsia" w:ascii="宋体" w:hAnsi="宋体" w:eastAsia="宋体" w:cs="宋体"/>
          <w:b w:val="0"/>
          <w:bCs w:val="0"/>
          <w:color w:val="auto"/>
          <w:kern w:val="1"/>
          <w:sz w:val="24"/>
          <w:szCs w:val="24"/>
          <w:lang w:val="en-US" w:eastAsia="zh-CN" w:bidi="ar-SA"/>
        </w:rPr>
        <w:t>（4）磋商截止时间后参加</w:t>
      </w:r>
      <w:r>
        <w:rPr>
          <w:rFonts w:hint="eastAsia" w:ascii="宋体" w:hAnsi="宋体" w:cs="宋体"/>
          <w:b w:val="0"/>
          <w:bCs w:val="0"/>
          <w:color w:val="auto"/>
          <w:kern w:val="1"/>
          <w:sz w:val="24"/>
          <w:szCs w:val="24"/>
          <w:lang w:val="en-US" w:eastAsia="zh-CN" w:bidi="ar-SA"/>
        </w:rPr>
        <w:t>开标的</w:t>
      </w:r>
      <w:r>
        <w:rPr>
          <w:rFonts w:hint="eastAsia" w:ascii="宋体" w:hAnsi="宋体" w:eastAsia="宋体" w:cs="宋体"/>
          <w:b w:val="0"/>
          <w:bCs w:val="0"/>
          <w:color w:val="auto"/>
          <w:kern w:val="1"/>
          <w:sz w:val="24"/>
          <w:szCs w:val="24"/>
          <w:lang w:val="en-US" w:eastAsia="zh-CN" w:bidi="ar-SA"/>
        </w:rPr>
        <w:t>供应商不足3家的，应重新组织采购，评审期间</w:t>
      </w:r>
      <w:r>
        <w:rPr>
          <w:rFonts w:hint="eastAsia" w:ascii="宋体" w:hAnsi="宋体" w:cs="宋体"/>
          <w:b w:val="0"/>
          <w:bCs w:val="0"/>
          <w:color w:val="auto"/>
          <w:kern w:val="1"/>
          <w:sz w:val="24"/>
          <w:szCs w:val="24"/>
          <w:lang w:val="en-US" w:eastAsia="zh-CN" w:bidi="ar-SA"/>
        </w:rPr>
        <w:t>通过资格审查</w:t>
      </w:r>
      <w:r>
        <w:rPr>
          <w:rFonts w:hint="eastAsia" w:ascii="宋体" w:hAnsi="宋体" w:eastAsia="宋体" w:cs="宋体"/>
          <w:b w:val="0"/>
          <w:bCs w:val="0"/>
          <w:color w:val="auto"/>
          <w:kern w:val="1"/>
          <w:sz w:val="24"/>
          <w:szCs w:val="24"/>
          <w:lang w:val="en-US" w:eastAsia="zh-CN" w:bidi="ar-SA"/>
        </w:rPr>
        <w:t>的供应商或者对磋商响应文件作出实质响应的供应商不足3家的，应重新组织采购。</w:t>
      </w:r>
      <w:bookmarkEnd w:id="162"/>
      <w:bookmarkEnd w:id="163"/>
      <w:bookmarkEnd w:id="164"/>
    </w:p>
    <w:p w14:paraId="679D9615">
      <w:pPr>
        <w:pStyle w:val="5"/>
        <w:keepNext w:val="0"/>
        <w:keepLines w:val="0"/>
        <w:pageBreakBefore w:val="0"/>
        <w:widowControl w:val="0"/>
        <w:numPr>
          <w:ilvl w:val="0"/>
          <w:numId w:val="12"/>
        </w:numPr>
        <w:tabs>
          <w:tab w:val="left" w:pos="1105"/>
        </w:tabs>
        <w:kinsoku/>
        <w:wordWrap/>
        <w:overflowPunct/>
        <w:topLinePunct w:val="0"/>
        <w:bidi w:val="0"/>
        <w:adjustRightInd/>
        <w:snapToGrid/>
        <w:spacing w:line="480" w:lineRule="exact"/>
        <w:ind w:left="1104" w:hanging="364"/>
        <w:textAlignment w:val="auto"/>
        <w:rPr>
          <w:color w:val="auto"/>
          <w:sz w:val="22"/>
        </w:rPr>
      </w:pPr>
      <w:bookmarkStart w:id="165" w:name="_Toc13604_WPSOffice_Level3"/>
      <w:r>
        <w:rPr>
          <w:color w:val="auto"/>
        </w:rPr>
        <w:t>质疑程序及处理</w:t>
      </w:r>
      <w:bookmarkEnd w:id="165"/>
    </w:p>
    <w:p w14:paraId="054D8BB5">
      <w:pPr>
        <w:pStyle w:val="37"/>
        <w:keepNext w:val="0"/>
        <w:keepLines w:val="0"/>
        <w:pageBreakBefore w:val="0"/>
        <w:widowControl w:val="0"/>
        <w:numPr>
          <w:ilvl w:val="1"/>
          <w:numId w:val="12"/>
        </w:numPr>
        <w:tabs>
          <w:tab w:val="left" w:pos="1341"/>
        </w:tabs>
        <w:kinsoku/>
        <w:wordWrap/>
        <w:overflowPunct/>
        <w:topLinePunct w:val="0"/>
        <w:bidi w:val="0"/>
        <w:adjustRightInd/>
        <w:snapToGrid/>
        <w:spacing w:before="113" w:line="480" w:lineRule="exact"/>
        <w:ind w:left="320" w:right="338" w:firstLine="420"/>
        <w:jc w:val="both"/>
        <w:textAlignment w:val="auto"/>
        <w:rPr>
          <w:color w:val="auto"/>
          <w:sz w:val="24"/>
        </w:rPr>
      </w:pPr>
      <w:r>
        <w:rPr>
          <w:color w:val="auto"/>
          <w:spacing w:val="-1"/>
          <w:sz w:val="24"/>
        </w:rPr>
        <w:t>若竞争性磋商响应人认为其磋商未获公平评审或磋商文件、采购过程和成交结</w:t>
      </w:r>
      <w:r>
        <w:rPr>
          <w:color w:val="auto"/>
          <w:spacing w:val="-4"/>
          <w:sz w:val="24"/>
        </w:rPr>
        <w:t xml:space="preserve">果使自己的合法权益受到损害，可以在知道或者应知其权益受到损害之日起 </w:t>
      </w:r>
      <w:r>
        <w:rPr>
          <w:color w:val="auto"/>
          <w:sz w:val="24"/>
        </w:rPr>
        <w:t>7</w:t>
      </w:r>
      <w:r>
        <w:rPr>
          <w:color w:val="auto"/>
          <w:spacing w:val="-4"/>
          <w:sz w:val="24"/>
        </w:rPr>
        <w:t xml:space="preserve"> 个工作日</w:t>
      </w:r>
      <w:r>
        <w:rPr>
          <w:color w:val="auto"/>
          <w:sz w:val="24"/>
        </w:rPr>
        <w:t>内，将质疑书原件送达采购人或采购代理机构。提出质疑期限的计算，依照下列规定办理：</w:t>
      </w:r>
    </w:p>
    <w:p w14:paraId="7E705B19">
      <w:pPr>
        <w:pStyle w:val="8"/>
        <w:keepNext w:val="0"/>
        <w:keepLines w:val="0"/>
        <w:pageBreakBefore w:val="0"/>
        <w:widowControl w:val="0"/>
        <w:kinsoku/>
        <w:wordWrap/>
        <w:overflowPunct/>
        <w:topLinePunct w:val="0"/>
        <w:bidi w:val="0"/>
        <w:adjustRightInd/>
        <w:snapToGrid/>
        <w:spacing w:line="480" w:lineRule="exact"/>
        <w:ind w:right="338" w:firstLine="420"/>
        <w:textAlignment w:val="auto"/>
        <w:rPr>
          <w:color w:val="auto"/>
        </w:rPr>
      </w:pPr>
      <w:r>
        <w:rPr>
          <w:color w:val="auto"/>
        </w:rPr>
        <w:t>（一</w:t>
      </w:r>
      <w:r>
        <w:rPr>
          <w:color w:val="auto"/>
          <w:spacing w:val="-58"/>
        </w:rPr>
        <w:t>）</w:t>
      </w:r>
      <w:r>
        <w:rPr>
          <w:color w:val="auto"/>
          <w:spacing w:val="-5"/>
        </w:rPr>
        <w:t>对可以质疑的磋商文件提出质疑的，为收到磋商文件之日或者磋商文件公告期</w:t>
      </w:r>
      <w:r>
        <w:rPr>
          <w:color w:val="auto"/>
        </w:rPr>
        <w:t>限届满之日；</w:t>
      </w:r>
    </w:p>
    <w:p w14:paraId="4E8F6247">
      <w:pPr>
        <w:pStyle w:val="8"/>
        <w:keepNext w:val="0"/>
        <w:keepLines w:val="0"/>
        <w:pageBreakBefore w:val="0"/>
        <w:widowControl w:val="0"/>
        <w:kinsoku/>
        <w:wordWrap/>
        <w:overflowPunct/>
        <w:topLinePunct w:val="0"/>
        <w:bidi w:val="0"/>
        <w:adjustRightInd/>
        <w:snapToGrid/>
        <w:spacing w:line="480" w:lineRule="exact"/>
        <w:ind w:left="740"/>
        <w:textAlignment w:val="auto"/>
        <w:rPr>
          <w:color w:val="auto"/>
        </w:rPr>
      </w:pPr>
      <w:r>
        <w:rPr>
          <w:color w:val="auto"/>
        </w:rPr>
        <w:t>（二）对采购过程提出质疑的，为各采购程序环节结束之日；</w:t>
      </w:r>
    </w:p>
    <w:p w14:paraId="71AC5208">
      <w:pPr>
        <w:pStyle w:val="8"/>
        <w:keepNext w:val="0"/>
        <w:keepLines w:val="0"/>
        <w:pageBreakBefore w:val="0"/>
        <w:widowControl w:val="0"/>
        <w:kinsoku/>
        <w:wordWrap/>
        <w:overflowPunct/>
        <w:topLinePunct w:val="0"/>
        <w:bidi w:val="0"/>
        <w:adjustRightInd/>
        <w:snapToGrid/>
        <w:spacing w:before="107" w:line="480" w:lineRule="exact"/>
        <w:ind w:left="740"/>
        <w:textAlignment w:val="auto"/>
        <w:rPr>
          <w:color w:val="auto"/>
        </w:rPr>
      </w:pPr>
      <w:r>
        <w:rPr>
          <w:color w:val="auto"/>
        </w:rPr>
        <w:t>（三）对成交结果提出质疑的，为成交结果公告期限届满之日。</w:t>
      </w:r>
    </w:p>
    <w:p w14:paraId="2532064A">
      <w:pPr>
        <w:pStyle w:val="37"/>
        <w:keepNext w:val="0"/>
        <w:keepLines w:val="0"/>
        <w:pageBreakBefore w:val="0"/>
        <w:widowControl w:val="0"/>
        <w:numPr>
          <w:ilvl w:val="1"/>
          <w:numId w:val="12"/>
        </w:numPr>
        <w:tabs>
          <w:tab w:val="left" w:pos="1341"/>
        </w:tabs>
        <w:kinsoku/>
        <w:wordWrap/>
        <w:overflowPunct/>
        <w:topLinePunct w:val="0"/>
        <w:bidi w:val="0"/>
        <w:adjustRightInd/>
        <w:snapToGrid/>
        <w:spacing w:before="113" w:line="480" w:lineRule="exact"/>
        <w:ind w:left="320" w:right="340" w:firstLine="420"/>
        <w:textAlignment w:val="auto"/>
        <w:rPr>
          <w:color w:val="auto"/>
          <w:sz w:val="24"/>
        </w:rPr>
      </w:pPr>
      <w:r>
        <w:rPr>
          <w:color w:val="auto"/>
          <w:spacing w:val="-1"/>
          <w:sz w:val="24"/>
        </w:rPr>
        <w:t>质疑书应当包括下列主要内容，并按照“谁主张、谁举证”的原则，附上相关</w:t>
      </w:r>
      <w:r>
        <w:rPr>
          <w:color w:val="auto"/>
          <w:sz w:val="24"/>
        </w:rPr>
        <w:t>证明材料。否则，采购人不予受理：</w:t>
      </w:r>
    </w:p>
    <w:p w14:paraId="4FCF77DE">
      <w:pPr>
        <w:pStyle w:val="8"/>
        <w:keepNext w:val="0"/>
        <w:keepLines w:val="0"/>
        <w:pageBreakBefore w:val="0"/>
        <w:widowControl w:val="0"/>
        <w:kinsoku/>
        <w:wordWrap/>
        <w:overflowPunct/>
        <w:topLinePunct w:val="0"/>
        <w:bidi w:val="0"/>
        <w:adjustRightInd/>
        <w:snapToGrid/>
        <w:spacing w:line="480" w:lineRule="exact"/>
        <w:ind w:right="337" w:firstLine="420"/>
        <w:textAlignment w:val="auto"/>
        <w:rPr>
          <w:color w:val="auto"/>
        </w:rPr>
      </w:pPr>
      <w:r>
        <w:rPr>
          <w:color w:val="auto"/>
        </w:rPr>
        <w:t>（一</w:t>
      </w:r>
      <w:r>
        <w:rPr>
          <w:color w:val="auto"/>
          <w:spacing w:val="-24"/>
        </w:rPr>
        <w:t>）</w:t>
      </w:r>
      <w:r>
        <w:rPr>
          <w:color w:val="auto"/>
          <w:spacing w:val="-7"/>
        </w:rPr>
        <w:t>质疑磋商响应供应商全称、地址、法定代表人、联系人及联系电话、邮政编码</w:t>
      </w:r>
      <w:r>
        <w:rPr>
          <w:color w:val="auto"/>
        </w:rPr>
        <w:t>等；</w:t>
      </w:r>
    </w:p>
    <w:p w14:paraId="46D7C8F8">
      <w:pPr>
        <w:pStyle w:val="8"/>
        <w:keepNext w:val="0"/>
        <w:keepLines w:val="0"/>
        <w:pageBreakBefore w:val="0"/>
        <w:widowControl w:val="0"/>
        <w:kinsoku/>
        <w:wordWrap/>
        <w:overflowPunct/>
        <w:topLinePunct w:val="0"/>
        <w:bidi w:val="0"/>
        <w:adjustRightInd/>
        <w:snapToGrid/>
        <w:spacing w:line="480" w:lineRule="exact"/>
        <w:ind w:left="740"/>
        <w:textAlignment w:val="auto"/>
        <w:rPr>
          <w:color w:val="auto"/>
        </w:rPr>
      </w:pPr>
      <w:r>
        <w:rPr>
          <w:color w:val="auto"/>
        </w:rPr>
        <w:t>（二）被质疑采购项目的名称、编号；</w:t>
      </w:r>
    </w:p>
    <w:p w14:paraId="1669A318">
      <w:pPr>
        <w:pStyle w:val="8"/>
        <w:keepNext w:val="0"/>
        <w:keepLines w:val="0"/>
        <w:pageBreakBefore w:val="0"/>
        <w:widowControl w:val="0"/>
        <w:kinsoku/>
        <w:wordWrap/>
        <w:overflowPunct/>
        <w:topLinePunct w:val="0"/>
        <w:bidi w:val="0"/>
        <w:adjustRightInd/>
        <w:snapToGrid/>
        <w:spacing w:before="110" w:line="480" w:lineRule="exact"/>
        <w:ind w:left="740"/>
        <w:textAlignment w:val="auto"/>
        <w:rPr>
          <w:color w:val="auto"/>
        </w:rPr>
      </w:pPr>
      <w:r>
        <w:rPr>
          <w:color w:val="auto"/>
        </w:rPr>
        <w:t>（三）质疑的具体事项、明确的请求和主张；</w:t>
      </w:r>
    </w:p>
    <w:p w14:paraId="1C070223">
      <w:pPr>
        <w:pStyle w:val="8"/>
        <w:keepNext w:val="0"/>
        <w:keepLines w:val="0"/>
        <w:pageBreakBefore w:val="0"/>
        <w:widowControl w:val="0"/>
        <w:kinsoku/>
        <w:wordWrap/>
        <w:overflowPunct/>
        <w:topLinePunct w:val="0"/>
        <w:bidi w:val="0"/>
        <w:adjustRightInd/>
        <w:snapToGrid/>
        <w:spacing w:before="112" w:line="480" w:lineRule="exact"/>
        <w:ind w:right="338" w:firstLine="420"/>
        <w:textAlignment w:val="auto"/>
        <w:rPr>
          <w:color w:val="auto"/>
        </w:rPr>
      </w:pPr>
      <w:r>
        <w:rPr>
          <w:color w:val="auto"/>
        </w:rPr>
        <w:t>（四）质疑所依据的法律依据（具体条款</w:t>
      </w:r>
      <w:r>
        <w:rPr>
          <w:color w:val="auto"/>
          <w:spacing w:val="-120"/>
        </w:rPr>
        <w:t>）</w:t>
      </w:r>
      <w:r>
        <w:rPr>
          <w:color w:val="auto"/>
          <w:spacing w:val="-1"/>
        </w:rPr>
        <w:t>、具体事实和具体理由。质疑书依据理由</w:t>
      </w:r>
      <w:r>
        <w:rPr>
          <w:color w:val="auto"/>
        </w:rPr>
        <w:t>部分只有主观陈述、推理、猜测等，而没有提供客观事实依据、法律依据的；</w:t>
      </w:r>
    </w:p>
    <w:p w14:paraId="348B44D3">
      <w:pPr>
        <w:pStyle w:val="8"/>
        <w:keepNext w:val="0"/>
        <w:keepLines w:val="0"/>
        <w:pageBreakBefore w:val="0"/>
        <w:widowControl w:val="0"/>
        <w:kinsoku/>
        <w:wordWrap/>
        <w:overflowPunct/>
        <w:topLinePunct w:val="0"/>
        <w:bidi w:val="0"/>
        <w:adjustRightInd/>
        <w:snapToGrid/>
        <w:spacing w:line="480" w:lineRule="exact"/>
        <w:ind w:right="337" w:firstLine="420"/>
        <w:textAlignment w:val="auto"/>
        <w:rPr>
          <w:color w:val="auto"/>
        </w:rPr>
      </w:pPr>
      <w:r>
        <w:rPr>
          <w:color w:val="auto"/>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566A0D4A">
      <w:pPr>
        <w:pStyle w:val="8"/>
        <w:keepNext w:val="0"/>
        <w:keepLines w:val="0"/>
        <w:pageBreakBefore w:val="0"/>
        <w:widowControl w:val="0"/>
        <w:kinsoku/>
        <w:wordWrap/>
        <w:overflowPunct/>
        <w:topLinePunct w:val="0"/>
        <w:bidi w:val="0"/>
        <w:adjustRightInd/>
        <w:snapToGrid/>
        <w:spacing w:line="480" w:lineRule="exact"/>
        <w:ind w:right="337" w:firstLine="420"/>
        <w:textAlignment w:val="auto"/>
        <w:rPr>
          <w:color w:val="auto"/>
        </w:rPr>
      </w:pPr>
      <w:r>
        <w:rPr>
          <w:color w:val="auto"/>
        </w:rPr>
        <w:t>（六）充足有效的相关证明材料；如果涉及到产品功能或技术指标的，应出具相关制造商的证明文件；</w:t>
      </w:r>
    </w:p>
    <w:p w14:paraId="43F7D955">
      <w:pPr>
        <w:pStyle w:val="8"/>
        <w:keepNext w:val="0"/>
        <w:keepLines w:val="0"/>
        <w:pageBreakBefore w:val="0"/>
        <w:widowControl w:val="0"/>
        <w:kinsoku/>
        <w:wordWrap/>
        <w:overflowPunct/>
        <w:topLinePunct w:val="0"/>
        <w:bidi w:val="0"/>
        <w:adjustRightInd/>
        <w:snapToGrid/>
        <w:spacing w:line="480" w:lineRule="exact"/>
        <w:ind w:right="337" w:firstLine="420"/>
        <w:textAlignment w:val="auto"/>
        <w:rPr>
          <w:color w:val="auto"/>
        </w:rPr>
      </w:pPr>
      <w:r>
        <w:rPr>
          <w:color w:val="auto"/>
        </w:rPr>
        <w:t>（七）质疑材料中有外文资料的，应一并附上中文译本，并以中文译本为准。</w:t>
      </w:r>
    </w:p>
    <w:p w14:paraId="250F7DD7">
      <w:pPr>
        <w:pStyle w:val="8"/>
        <w:keepNext w:val="0"/>
        <w:keepLines w:val="0"/>
        <w:pageBreakBefore w:val="0"/>
        <w:widowControl w:val="0"/>
        <w:kinsoku/>
        <w:wordWrap/>
        <w:overflowPunct/>
        <w:topLinePunct w:val="0"/>
        <w:bidi w:val="0"/>
        <w:adjustRightInd/>
        <w:snapToGrid/>
        <w:spacing w:line="480" w:lineRule="exact"/>
        <w:ind w:right="337" w:firstLine="420"/>
        <w:textAlignment w:val="auto"/>
        <w:rPr>
          <w:color w:val="auto"/>
        </w:rPr>
      </w:pPr>
      <w:r>
        <w:rPr>
          <w:color w:val="auto"/>
        </w:rPr>
        <w:t>（八）提起质疑的日期</w:t>
      </w:r>
    </w:p>
    <w:p w14:paraId="7C5E385E">
      <w:pPr>
        <w:pStyle w:val="8"/>
        <w:keepNext w:val="0"/>
        <w:keepLines w:val="0"/>
        <w:pageBreakBefore w:val="0"/>
        <w:widowControl w:val="0"/>
        <w:kinsoku/>
        <w:wordWrap/>
        <w:overflowPunct/>
        <w:topLinePunct w:val="0"/>
        <w:bidi w:val="0"/>
        <w:adjustRightInd/>
        <w:snapToGrid/>
        <w:spacing w:line="480" w:lineRule="exact"/>
        <w:ind w:right="337" w:firstLine="420"/>
        <w:textAlignment w:val="auto"/>
        <w:rPr>
          <w:color w:val="auto"/>
        </w:rPr>
      </w:pPr>
      <w:r>
        <w:rPr>
          <w:color w:val="auto"/>
        </w:rPr>
        <w:t>磋商响应供应商质疑实行实名制并须在质疑书上署名。磋商响应供应商不得进行虚假、恶意质疑，不得以质疑为手段获取不当得利、实现非法目的。磋商响应供应商为自然人的，应当由本人签字；磋商响应供应商为法人的，应当由法定代表人签字或盖章并加盖公章；磋商响应供应商为其他组织的，应当由主要负责人签字或盖章并加盖公章。磋商响应供应商其他工作人员或代理人员在质疑书上的署名不具有法律效力。</w:t>
      </w:r>
    </w:p>
    <w:p w14:paraId="5D95DFD9">
      <w:pPr>
        <w:pStyle w:val="37"/>
        <w:keepNext w:val="0"/>
        <w:keepLines w:val="0"/>
        <w:pageBreakBefore w:val="0"/>
        <w:widowControl w:val="0"/>
        <w:numPr>
          <w:ilvl w:val="1"/>
          <w:numId w:val="12"/>
        </w:numPr>
        <w:tabs>
          <w:tab w:val="left" w:pos="1341"/>
        </w:tabs>
        <w:kinsoku/>
        <w:wordWrap/>
        <w:overflowPunct/>
        <w:topLinePunct w:val="0"/>
        <w:bidi w:val="0"/>
        <w:adjustRightInd/>
        <w:snapToGrid/>
        <w:spacing w:line="480" w:lineRule="exact"/>
        <w:ind w:left="320" w:right="338" w:firstLine="420"/>
        <w:jc w:val="both"/>
        <w:textAlignment w:val="auto"/>
        <w:rPr>
          <w:color w:val="auto"/>
          <w:sz w:val="24"/>
        </w:rPr>
      </w:pPr>
      <w:r>
        <w:rPr>
          <w:color w:val="auto"/>
          <w:spacing w:val="-1"/>
          <w:sz w:val="24"/>
        </w:rPr>
        <w:t>磋商响应供应商委托代理人办理质疑事宜，应当提交授权委托书，并载明委托</w:t>
      </w:r>
      <w:r>
        <w:rPr>
          <w:color w:val="auto"/>
          <w:sz w:val="24"/>
        </w:rPr>
        <w:t>代理的具体权限和事项。授权委托书应当由委托人签字并加盖单位公章。</w:t>
      </w:r>
    </w:p>
    <w:p w14:paraId="67B22011">
      <w:pPr>
        <w:pStyle w:val="37"/>
        <w:keepNext w:val="0"/>
        <w:keepLines w:val="0"/>
        <w:pageBreakBefore w:val="0"/>
        <w:widowControl w:val="0"/>
        <w:numPr>
          <w:ilvl w:val="1"/>
          <w:numId w:val="12"/>
        </w:numPr>
        <w:tabs>
          <w:tab w:val="left" w:pos="1341"/>
        </w:tabs>
        <w:kinsoku/>
        <w:wordWrap/>
        <w:overflowPunct/>
        <w:topLinePunct w:val="0"/>
        <w:bidi w:val="0"/>
        <w:adjustRightInd/>
        <w:snapToGrid/>
        <w:spacing w:line="480" w:lineRule="exact"/>
        <w:ind w:left="320" w:right="338" w:firstLine="420"/>
        <w:jc w:val="both"/>
        <w:textAlignment w:val="auto"/>
        <w:rPr>
          <w:color w:val="auto"/>
          <w:sz w:val="24"/>
        </w:rPr>
      </w:pPr>
      <w:r>
        <w:rPr>
          <w:color w:val="auto"/>
          <w:spacing w:val="-1"/>
          <w:sz w:val="24"/>
        </w:rPr>
        <w:t>提交质疑书时，磋商响应供应商应同时提交本人身份证，委托他人代理质疑事</w:t>
      </w:r>
      <w:r>
        <w:rPr>
          <w:color w:val="auto"/>
          <w:sz w:val="24"/>
        </w:rPr>
        <w:t>宜的，还应提交被委托人的身份证。磋商响应供应商是法人的，应一并提交法人营业执照和法定代表人身份证；磋商响应供应商是其他组织的，应一并提交其他组织经营许可证和主要负责人身份证。磋商响应供应商应当提供上述证明材料的原件及复印件，原件经采购人核对无误后返还。</w:t>
      </w:r>
    </w:p>
    <w:p w14:paraId="69D8C200">
      <w:pPr>
        <w:pStyle w:val="37"/>
        <w:keepNext w:val="0"/>
        <w:keepLines w:val="0"/>
        <w:pageBreakBefore w:val="0"/>
        <w:widowControl w:val="0"/>
        <w:numPr>
          <w:ilvl w:val="1"/>
          <w:numId w:val="12"/>
        </w:numPr>
        <w:tabs>
          <w:tab w:val="left" w:pos="1341"/>
        </w:tabs>
        <w:kinsoku/>
        <w:wordWrap/>
        <w:overflowPunct/>
        <w:topLinePunct w:val="0"/>
        <w:bidi w:val="0"/>
        <w:adjustRightInd/>
        <w:snapToGrid/>
        <w:spacing w:line="480" w:lineRule="exact"/>
        <w:ind w:left="320" w:right="338" w:firstLine="420"/>
        <w:jc w:val="both"/>
        <w:textAlignment w:val="auto"/>
        <w:rPr>
          <w:color w:val="auto"/>
          <w:sz w:val="24"/>
        </w:rPr>
      </w:pPr>
      <w:r>
        <w:rPr>
          <w:color w:val="auto"/>
          <w:spacing w:val="-1"/>
          <w:sz w:val="24"/>
        </w:rPr>
        <w:t>质疑书提交方式。磋商响应供应商或者其委托代理人应当当面提交质疑书及相</w:t>
      </w:r>
      <w:r>
        <w:rPr>
          <w:color w:val="auto"/>
          <w:sz w:val="24"/>
        </w:rPr>
        <w:t>关证明材料。磋商响应供应商以电子邮件、传真等其他方式提交质疑书及相关证明材料的，或者不是磋商响应供应商或者其委托代理人提交质疑书及相关证明材料的，采购人或采购机构可以拒收。</w:t>
      </w:r>
    </w:p>
    <w:p w14:paraId="66EC3939">
      <w:pPr>
        <w:pStyle w:val="37"/>
        <w:keepNext w:val="0"/>
        <w:keepLines w:val="0"/>
        <w:pageBreakBefore w:val="0"/>
        <w:widowControl w:val="0"/>
        <w:numPr>
          <w:ilvl w:val="1"/>
          <w:numId w:val="12"/>
        </w:numPr>
        <w:tabs>
          <w:tab w:val="left" w:pos="1341"/>
        </w:tabs>
        <w:kinsoku/>
        <w:wordWrap/>
        <w:overflowPunct/>
        <w:topLinePunct w:val="0"/>
        <w:bidi w:val="0"/>
        <w:adjustRightInd/>
        <w:snapToGrid/>
        <w:spacing w:line="480" w:lineRule="exact"/>
        <w:ind w:left="320" w:right="338" w:firstLine="420"/>
        <w:jc w:val="both"/>
        <w:textAlignment w:val="auto"/>
        <w:rPr>
          <w:color w:val="auto"/>
          <w:sz w:val="24"/>
        </w:rPr>
      </w:pPr>
      <w:r>
        <w:rPr>
          <w:color w:val="auto"/>
          <w:spacing w:val="-1"/>
          <w:sz w:val="24"/>
        </w:rPr>
        <w:t>磋商响应供应商不得虚假质疑和恶意质疑，并对质疑内容的真实性承担责任。</w:t>
      </w:r>
      <w:r>
        <w:rPr>
          <w:color w:val="auto"/>
          <w:sz w:val="24"/>
        </w:rPr>
        <w:t>磋商响应供应商或者其他利害关系人通过捏造事实、伪造证明材料等方式提出异议或投诉，阻碍招磋商活动正常进行的，属于严重不良行为，采购人将提请财政部门将其列入不良行为记录名单，并依法予以处罚。</w:t>
      </w:r>
    </w:p>
    <w:p w14:paraId="0F592725">
      <w:pPr>
        <w:pStyle w:val="37"/>
        <w:keepNext w:val="0"/>
        <w:keepLines w:val="0"/>
        <w:pageBreakBefore w:val="0"/>
        <w:widowControl w:val="0"/>
        <w:numPr>
          <w:ilvl w:val="1"/>
          <w:numId w:val="12"/>
        </w:numPr>
        <w:tabs>
          <w:tab w:val="left" w:pos="1341"/>
        </w:tabs>
        <w:kinsoku/>
        <w:wordWrap/>
        <w:overflowPunct/>
        <w:topLinePunct w:val="0"/>
        <w:bidi w:val="0"/>
        <w:adjustRightInd/>
        <w:snapToGrid/>
        <w:spacing w:line="480" w:lineRule="exact"/>
        <w:ind w:left="320" w:right="218" w:firstLine="420"/>
        <w:jc w:val="both"/>
        <w:textAlignment w:val="auto"/>
        <w:rPr>
          <w:color w:val="auto"/>
          <w:sz w:val="24"/>
        </w:rPr>
      </w:pPr>
      <w:r>
        <w:rPr>
          <w:color w:val="auto"/>
          <w:sz w:val="24"/>
        </w:rPr>
        <w:t>采购人将在收到符合上述条件的书面质疑后 7</w:t>
      </w:r>
      <w:r>
        <w:rPr>
          <w:color w:val="auto"/>
          <w:spacing w:val="-9"/>
          <w:sz w:val="24"/>
        </w:rPr>
        <w:t xml:space="preserve"> 个工作日内审查质疑事项，作出答复或相关处理决定，并以书面形式通知质疑磋商响应供应商和其他有关磋商响应供应商，但答复的内容不涉及商业秘密。若质疑涉及磋商制度或程序，将被转交政府采购的</w:t>
      </w:r>
      <w:r>
        <w:rPr>
          <w:color w:val="auto"/>
          <w:spacing w:val="-12"/>
          <w:sz w:val="24"/>
        </w:rPr>
        <w:t>管理部门审查。采购人遵循“谁过错谁负担”的原则，有过错的一方承担调查论证费用。</w:t>
      </w:r>
    </w:p>
    <w:p w14:paraId="2ACDF0CC">
      <w:pPr>
        <w:pStyle w:val="37"/>
        <w:keepNext w:val="0"/>
        <w:keepLines w:val="0"/>
        <w:pageBreakBefore w:val="0"/>
        <w:widowControl w:val="0"/>
        <w:numPr>
          <w:ilvl w:val="1"/>
          <w:numId w:val="12"/>
        </w:numPr>
        <w:tabs>
          <w:tab w:val="left" w:pos="1341"/>
        </w:tabs>
        <w:kinsoku/>
        <w:wordWrap/>
        <w:overflowPunct/>
        <w:topLinePunct w:val="0"/>
        <w:bidi w:val="0"/>
        <w:adjustRightInd/>
        <w:snapToGrid/>
        <w:spacing w:line="480" w:lineRule="exact"/>
        <w:ind w:left="320" w:right="338" w:firstLine="420"/>
        <w:jc w:val="both"/>
        <w:textAlignment w:val="auto"/>
        <w:rPr>
          <w:color w:val="auto"/>
          <w:highlight w:val="none"/>
        </w:rPr>
      </w:pPr>
      <w:r>
        <w:rPr>
          <w:color w:val="auto"/>
          <w:spacing w:val="-1"/>
          <w:sz w:val="24"/>
          <w:highlight w:val="none"/>
        </w:rPr>
        <w:t xml:space="preserve">质疑供应商对采购人的答复不满意以及采购人未在规定的时间内做出答复的， </w:t>
      </w:r>
      <w:r>
        <w:rPr>
          <w:color w:val="auto"/>
          <w:spacing w:val="-7"/>
          <w:sz w:val="24"/>
          <w:highlight w:val="none"/>
        </w:rPr>
        <w:t xml:space="preserve">可以在答复期满后 </w:t>
      </w:r>
      <w:r>
        <w:rPr>
          <w:color w:val="auto"/>
          <w:sz w:val="24"/>
          <w:highlight w:val="none"/>
        </w:rPr>
        <w:t>15</w:t>
      </w:r>
      <w:r>
        <w:rPr>
          <w:color w:val="auto"/>
          <w:spacing w:val="-8"/>
          <w:sz w:val="24"/>
          <w:highlight w:val="none"/>
        </w:rPr>
        <w:t xml:space="preserve"> 个工作日内向财政部门投诉。</w:t>
      </w:r>
    </w:p>
    <w:p w14:paraId="4D6453DC">
      <w:pPr>
        <w:pStyle w:val="37"/>
        <w:keepNext w:val="0"/>
        <w:keepLines w:val="0"/>
        <w:pageBreakBefore w:val="0"/>
        <w:widowControl w:val="0"/>
        <w:numPr>
          <w:ilvl w:val="0"/>
          <w:numId w:val="0"/>
        </w:numPr>
        <w:tabs>
          <w:tab w:val="left" w:pos="1341"/>
        </w:tabs>
        <w:kinsoku/>
        <w:wordWrap/>
        <w:overflowPunct/>
        <w:topLinePunct w:val="0"/>
        <w:autoSpaceDE w:val="0"/>
        <w:autoSpaceDN w:val="0"/>
        <w:bidi w:val="0"/>
        <w:adjustRightInd/>
        <w:snapToGrid/>
        <w:spacing w:line="480" w:lineRule="exact"/>
        <w:ind w:right="0" w:rightChars="0" w:firstLine="717" w:firstLineChars="300"/>
        <w:jc w:val="both"/>
        <w:textAlignment w:val="auto"/>
        <w:rPr>
          <w:rFonts w:hint="default" w:ascii="宋体" w:hAnsi="宋体" w:eastAsia="宋体" w:cs="宋体"/>
          <w:b/>
          <w:bCs/>
          <w:color w:val="auto"/>
          <w:spacing w:val="-1"/>
          <w:sz w:val="24"/>
          <w:highlight w:val="none"/>
          <w:lang w:val="en-US" w:eastAsia="zh-CN"/>
        </w:rPr>
      </w:pPr>
      <w:r>
        <w:rPr>
          <w:rFonts w:hint="eastAsia" w:ascii="宋体" w:hAnsi="宋体" w:eastAsia="宋体" w:cs="宋体"/>
          <w:b/>
          <w:bCs/>
          <w:color w:val="auto"/>
          <w:spacing w:val="-1"/>
          <w:sz w:val="24"/>
          <w:highlight w:val="none"/>
          <w:lang w:val="en-US" w:eastAsia="zh-CN"/>
        </w:rPr>
        <w:t>33.招标代理服务收费参照豫招协[2023]002号河南省招标投标协会关于印发《河南省招标代理服务收费指导意见》规定的收费标准收取中标服务费。</w:t>
      </w:r>
    </w:p>
    <w:p w14:paraId="11728A3C">
      <w:pPr>
        <w:pStyle w:val="37"/>
        <w:keepNext w:val="0"/>
        <w:keepLines w:val="0"/>
        <w:pageBreakBefore w:val="0"/>
        <w:widowControl w:val="0"/>
        <w:numPr>
          <w:ilvl w:val="0"/>
          <w:numId w:val="0"/>
        </w:numPr>
        <w:tabs>
          <w:tab w:val="left" w:pos="1341"/>
        </w:tabs>
        <w:kinsoku/>
        <w:wordWrap/>
        <w:overflowPunct/>
        <w:topLinePunct w:val="0"/>
        <w:autoSpaceDE w:val="0"/>
        <w:autoSpaceDN w:val="0"/>
        <w:bidi w:val="0"/>
        <w:adjustRightInd/>
        <w:snapToGrid/>
        <w:spacing w:line="480" w:lineRule="exact"/>
        <w:ind w:right="0" w:rightChars="0" w:firstLine="717" w:firstLineChars="300"/>
        <w:jc w:val="both"/>
        <w:textAlignment w:val="auto"/>
        <w:outlineLvl w:val="0"/>
        <w:rPr>
          <w:rFonts w:hint="default" w:ascii="宋体" w:hAnsi="宋体" w:eastAsia="宋体" w:cs="宋体"/>
          <w:b/>
          <w:bCs/>
          <w:color w:val="auto"/>
          <w:spacing w:val="-1"/>
          <w:sz w:val="24"/>
          <w:highlight w:val="none"/>
          <w:lang w:val="en-US" w:eastAsia="zh-CN"/>
        </w:rPr>
      </w:pPr>
      <w:bookmarkStart w:id="166" w:name="_Toc10193"/>
      <w:r>
        <w:rPr>
          <w:rFonts w:hint="eastAsia" w:ascii="宋体" w:hAnsi="宋体" w:eastAsia="宋体" w:cs="宋体"/>
          <w:b/>
          <w:bCs/>
          <w:color w:val="auto"/>
          <w:spacing w:val="-1"/>
          <w:sz w:val="24"/>
          <w:highlight w:val="none"/>
          <w:lang w:val="en-US" w:eastAsia="zh-CN"/>
        </w:rPr>
        <w:t>河南省招标代理服务费计算标准</w:t>
      </w:r>
      <w:bookmarkEnd w:id="166"/>
    </w:p>
    <w:tbl>
      <w:tblPr>
        <w:tblStyle w:val="19"/>
        <w:tblpPr w:leftFromText="180" w:rightFromText="180" w:vertAnchor="text" w:horzAnchor="page" w:tblpX="1468" w:tblpY="396"/>
        <w:tblOverlap w:val="never"/>
        <w:tblW w:w="8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5" w:type="dxa"/>
          <w:bottom w:w="0" w:type="dxa"/>
          <w:right w:w="15" w:type="dxa"/>
        </w:tblCellMar>
      </w:tblPr>
      <w:tblGrid>
        <w:gridCol w:w="3994"/>
        <w:gridCol w:w="1642"/>
        <w:gridCol w:w="1433"/>
        <w:gridCol w:w="1711"/>
      </w:tblGrid>
      <w:tr w14:paraId="668F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5B96C3A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项目类型/（金额万元）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10B664F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工程</w:t>
            </w:r>
          </w:p>
        </w:tc>
        <w:tc>
          <w:tcPr>
            <w:tcW w:w="1433" w:type="dxa"/>
            <w:tcBorders>
              <w:top w:val="single" w:color="000000" w:sz="4" w:space="0"/>
              <w:left w:val="single" w:color="000000" w:sz="4" w:space="0"/>
              <w:bottom w:val="single" w:color="000000" w:sz="4" w:space="0"/>
              <w:right w:val="single" w:color="000000" w:sz="4" w:space="0"/>
            </w:tcBorders>
            <w:vAlign w:val="center"/>
          </w:tcPr>
          <w:p w14:paraId="5A5D678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货物</w:t>
            </w:r>
          </w:p>
        </w:tc>
        <w:tc>
          <w:tcPr>
            <w:tcW w:w="1711" w:type="dxa"/>
            <w:tcBorders>
              <w:top w:val="single" w:color="000000" w:sz="4" w:space="0"/>
              <w:left w:val="single" w:color="000000" w:sz="4" w:space="0"/>
              <w:bottom w:val="single" w:color="000000" w:sz="4" w:space="0"/>
              <w:right w:val="single" w:color="000000" w:sz="4" w:space="0"/>
            </w:tcBorders>
            <w:vAlign w:val="center"/>
          </w:tcPr>
          <w:p w14:paraId="674663B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服务</w:t>
            </w:r>
          </w:p>
        </w:tc>
      </w:tr>
      <w:tr w14:paraId="5AC6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8CEF91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2EC8EC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433" w:type="dxa"/>
            <w:tcBorders>
              <w:top w:val="single" w:color="000000" w:sz="4" w:space="0"/>
              <w:left w:val="single" w:color="000000" w:sz="4" w:space="0"/>
              <w:bottom w:val="single" w:color="000000" w:sz="4" w:space="0"/>
              <w:right w:val="single" w:color="000000" w:sz="4" w:space="0"/>
            </w:tcBorders>
            <w:vAlign w:val="center"/>
          </w:tcPr>
          <w:p w14:paraId="69850EE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c>
          <w:tcPr>
            <w:tcW w:w="1711" w:type="dxa"/>
            <w:tcBorders>
              <w:top w:val="single" w:color="000000" w:sz="4" w:space="0"/>
              <w:left w:val="single" w:color="000000" w:sz="4" w:space="0"/>
              <w:bottom w:val="single" w:color="000000" w:sz="4" w:space="0"/>
              <w:right w:val="single" w:color="000000" w:sz="4" w:space="0"/>
            </w:tcBorders>
            <w:vAlign w:val="center"/>
          </w:tcPr>
          <w:p w14:paraId="0D54A0B0">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1.70%</w:t>
            </w:r>
          </w:p>
        </w:tc>
      </w:tr>
      <w:tr w14:paraId="05480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6429E387">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100-500万元（含500万元）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374841C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w:t>
            </w:r>
          </w:p>
        </w:tc>
        <w:tc>
          <w:tcPr>
            <w:tcW w:w="1433" w:type="dxa"/>
            <w:tcBorders>
              <w:top w:val="single" w:color="000000" w:sz="4" w:space="0"/>
              <w:left w:val="single" w:color="000000" w:sz="4" w:space="0"/>
              <w:bottom w:val="single" w:color="000000" w:sz="4" w:space="0"/>
              <w:right w:val="single" w:color="000000" w:sz="4" w:space="0"/>
            </w:tcBorders>
            <w:vAlign w:val="center"/>
          </w:tcPr>
          <w:p w14:paraId="4913161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c>
          <w:tcPr>
            <w:tcW w:w="1711" w:type="dxa"/>
            <w:tcBorders>
              <w:top w:val="single" w:color="000000" w:sz="4" w:space="0"/>
              <w:left w:val="single" w:color="000000" w:sz="4" w:space="0"/>
              <w:bottom w:val="single" w:color="000000" w:sz="4" w:space="0"/>
              <w:right w:val="single" w:color="000000" w:sz="4" w:space="0"/>
            </w:tcBorders>
            <w:vAlign w:val="center"/>
          </w:tcPr>
          <w:p w14:paraId="6285C327">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1.20%</w:t>
            </w:r>
          </w:p>
        </w:tc>
      </w:tr>
      <w:tr w14:paraId="3BCE0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A12C38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500-1000万元（含1000万元）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5D47F71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c>
          <w:tcPr>
            <w:tcW w:w="1433" w:type="dxa"/>
            <w:tcBorders>
              <w:top w:val="single" w:color="000000" w:sz="4" w:space="0"/>
              <w:left w:val="single" w:color="000000" w:sz="4" w:space="0"/>
              <w:bottom w:val="single" w:color="000000" w:sz="4" w:space="0"/>
              <w:right w:val="single" w:color="000000" w:sz="4" w:space="0"/>
            </w:tcBorders>
            <w:vAlign w:val="center"/>
          </w:tcPr>
          <w:p w14:paraId="5906FBA5">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0.80%</w:t>
            </w:r>
          </w:p>
        </w:tc>
        <w:tc>
          <w:tcPr>
            <w:tcW w:w="1711" w:type="dxa"/>
            <w:tcBorders>
              <w:top w:val="single" w:color="000000" w:sz="4" w:space="0"/>
              <w:left w:val="single" w:color="000000" w:sz="4" w:space="0"/>
              <w:bottom w:val="single" w:color="000000" w:sz="4" w:space="0"/>
              <w:right w:val="single" w:color="000000" w:sz="4" w:space="0"/>
            </w:tcBorders>
            <w:vAlign w:val="center"/>
          </w:tcPr>
          <w:p w14:paraId="6E6CED2B">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0.70%</w:t>
            </w:r>
          </w:p>
        </w:tc>
      </w:tr>
      <w:tr w14:paraId="0BEF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auto" w:sz="4" w:space="0"/>
              <w:right w:val="single" w:color="000000" w:sz="4" w:space="0"/>
            </w:tcBorders>
            <w:vAlign w:val="center"/>
          </w:tcPr>
          <w:p w14:paraId="4BE0E38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1000-5000万元（含5000万元）</w:t>
            </w:r>
          </w:p>
        </w:tc>
        <w:tc>
          <w:tcPr>
            <w:tcW w:w="1642" w:type="dxa"/>
            <w:tcBorders>
              <w:top w:val="single" w:color="000000" w:sz="4" w:space="0"/>
              <w:left w:val="single" w:color="000000" w:sz="4" w:space="0"/>
              <w:bottom w:val="single" w:color="auto" w:sz="4" w:space="0"/>
              <w:right w:val="single" w:color="000000" w:sz="4" w:space="0"/>
            </w:tcBorders>
            <w:vAlign w:val="center"/>
          </w:tcPr>
          <w:p w14:paraId="623CE88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c>
          <w:tcPr>
            <w:tcW w:w="1433" w:type="dxa"/>
            <w:tcBorders>
              <w:top w:val="single" w:color="000000" w:sz="4" w:space="0"/>
              <w:left w:val="single" w:color="000000" w:sz="4" w:space="0"/>
              <w:bottom w:val="single" w:color="auto" w:sz="4" w:space="0"/>
              <w:right w:val="single" w:color="000000" w:sz="4" w:space="0"/>
            </w:tcBorders>
            <w:vAlign w:val="center"/>
          </w:tcPr>
          <w:p w14:paraId="2D415EA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0.50%</w:t>
            </w:r>
          </w:p>
        </w:tc>
        <w:tc>
          <w:tcPr>
            <w:tcW w:w="1711" w:type="dxa"/>
            <w:tcBorders>
              <w:top w:val="single" w:color="000000" w:sz="4" w:space="0"/>
              <w:left w:val="single" w:color="000000" w:sz="4" w:space="0"/>
              <w:bottom w:val="single" w:color="auto" w:sz="4" w:space="0"/>
              <w:right w:val="single" w:color="000000" w:sz="4" w:space="0"/>
            </w:tcBorders>
            <w:vAlign w:val="center"/>
          </w:tcPr>
          <w:p w14:paraId="205B34B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0.40%</w:t>
            </w:r>
          </w:p>
        </w:tc>
      </w:tr>
      <w:tr w14:paraId="09720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auto" w:sz="4" w:space="0"/>
              <w:left w:val="single" w:color="auto" w:sz="4" w:space="0"/>
              <w:bottom w:val="single" w:color="auto" w:sz="4" w:space="0"/>
              <w:right w:val="single" w:color="auto" w:sz="4" w:space="0"/>
            </w:tcBorders>
            <w:vAlign w:val="center"/>
          </w:tcPr>
          <w:p w14:paraId="5B652B21">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5000万元--1亿元（含1亿元）</w:t>
            </w:r>
          </w:p>
        </w:tc>
        <w:tc>
          <w:tcPr>
            <w:tcW w:w="1642" w:type="dxa"/>
            <w:tcBorders>
              <w:top w:val="single" w:color="auto" w:sz="4" w:space="0"/>
              <w:left w:val="single" w:color="auto" w:sz="4" w:space="0"/>
              <w:bottom w:val="single" w:color="auto" w:sz="4" w:space="0"/>
              <w:right w:val="single" w:color="auto" w:sz="4" w:space="0"/>
            </w:tcBorders>
            <w:vAlign w:val="center"/>
          </w:tcPr>
          <w:p w14:paraId="2DCA05A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c>
          <w:tcPr>
            <w:tcW w:w="1433" w:type="dxa"/>
            <w:tcBorders>
              <w:top w:val="single" w:color="auto" w:sz="4" w:space="0"/>
              <w:left w:val="single" w:color="auto" w:sz="4" w:space="0"/>
              <w:bottom w:val="single" w:color="auto" w:sz="4" w:space="0"/>
              <w:right w:val="single" w:color="auto" w:sz="4" w:space="0"/>
            </w:tcBorders>
            <w:vAlign w:val="center"/>
          </w:tcPr>
          <w:p w14:paraId="69FF410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0.30%</w:t>
            </w:r>
          </w:p>
        </w:tc>
        <w:tc>
          <w:tcPr>
            <w:tcW w:w="1711" w:type="dxa"/>
            <w:tcBorders>
              <w:top w:val="single" w:color="auto" w:sz="4" w:space="0"/>
              <w:left w:val="single" w:color="auto" w:sz="4" w:space="0"/>
              <w:bottom w:val="single" w:color="auto" w:sz="4" w:space="0"/>
              <w:right w:val="single" w:color="auto" w:sz="4" w:space="0"/>
            </w:tcBorders>
            <w:vAlign w:val="center"/>
          </w:tcPr>
          <w:p w14:paraId="6307FDE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0.25%</w:t>
            </w:r>
          </w:p>
        </w:tc>
      </w:tr>
      <w:tr w14:paraId="7C6FC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auto" w:sz="4" w:space="0"/>
              <w:left w:val="single" w:color="auto" w:sz="4" w:space="0"/>
              <w:bottom w:val="single" w:color="auto" w:sz="4" w:space="0"/>
              <w:right w:val="single" w:color="auto" w:sz="4" w:space="0"/>
            </w:tcBorders>
            <w:vAlign w:val="center"/>
          </w:tcPr>
          <w:p w14:paraId="31B71B73">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1亿--5亿元（含5亿元）</w:t>
            </w:r>
          </w:p>
        </w:tc>
        <w:tc>
          <w:tcPr>
            <w:tcW w:w="1642" w:type="dxa"/>
            <w:tcBorders>
              <w:top w:val="single" w:color="auto" w:sz="4" w:space="0"/>
              <w:left w:val="single" w:color="auto" w:sz="4" w:space="0"/>
              <w:bottom w:val="single" w:color="auto" w:sz="4" w:space="0"/>
              <w:right w:val="single" w:color="auto" w:sz="4" w:space="0"/>
            </w:tcBorders>
            <w:vAlign w:val="center"/>
          </w:tcPr>
          <w:p w14:paraId="2EF685E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433" w:type="dxa"/>
            <w:tcBorders>
              <w:top w:val="single" w:color="auto" w:sz="4" w:space="0"/>
              <w:left w:val="single" w:color="auto" w:sz="4" w:space="0"/>
              <w:bottom w:val="single" w:color="auto" w:sz="4" w:space="0"/>
              <w:right w:val="single" w:color="auto" w:sz="4" w:space="0"/>
            </w:tcBorders>
            <w:vAlign w:val="center"/>
          </w:tcPr>
          <w:p w14:paraId="2BD3DB56">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c>
          <w:tcPr>
            <w:tcW w:w="1711" w:type="dxa"/>
            <w:tcBorders>
              <w:top w:val="single" w:color="auto" w:sz="4" w:space="0"/>
              <w:left w:val="single" w:color="auto" w:sz="4" w:space="0"/>
              <w:bottom w:val="single" w:color="auto" w:sz="4" w:space="0"/>
              <w:right w:val="single" w:color="auto" w:sz="4" w:space="0"/>
            </w:tcBorders>
            <w:vAlign w:val="center"/>
          </w:tcPr>
          <w:p w14:paraId="2F471EF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0.10%</w:t>
            </w:r>
          </w:p>
        </w:tc>
      </w:tr>
      <w:tr w14:paraId="2184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auto" w:sz="4" w:space="0"/>
              <w:left w:val="single" w:color="auto" w:sz="4" w:space="0"/>
              <w:bottom w:val="single" w:color="auto" w:sz="4" w:space="0"/>
              <w:right w:val="single" w:color="auto" w:sz="4" w:space="0"/>
            </w:tcBorders>
            <w:vAlign w:val="center"/>
          </w:tcPr>
          <w:p w14:paraId="125B7172">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5亿--10亿元（含10亿元）</w:t>
            </w:r>
          </w:p>
        </w:tc>
        <w:tc>
          <w:tcPr>
            <w:tcW w:w="1642" w:type="dxa"/>
            <w:tcBorders>
              <w:top w:val="single" w:color="auto" w:sz="4" w:space="0"/>
              <w:left w:val="single" w:color="auto" w:sz="4" w:space="0"/>
              <w:bottom w:val="single" w:color="auto" w:sz="4" w:space="0"/>
              <w:right w:val="single" w:color="auto" w:sz="4" w:space="0"/>
            </w:tcBorders>
            <w:vAlign w:val="center"/>
          </w:tcPr>
          <w:p w14:paraId="61363D0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433" w:type="dxa"/>
            <w:tcBorders>
              <w:top w:val="single" w:color="auto" w:sz="4" w:space="0"/>
              <w:left w:val="single" w:color="auto" w:sz="4" w:space="0"/>
              <w:bottom w:val="single" w:color="auto" w:sz="4" w:space="0"/>
              <w:right w:val="single" w:color="auto" w:sz="4" w:space="0"/>
            </w:tcBorders>
            <w:vAlign w:val="center"/>
          </w:tcPr>
          <w:p w14:paraId="1C34EA2E">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c>
          <w:tcPr>
            <w:tcW w:w="1711" w:type="dxa"/>
            <w:tcBorders>
              <w:top w:val="single" w:color="auto" w:sz="4" w:space="0"/>
              <w:left w:val="single" w:color="auto" w:sz="4" w:space="0"/>
              <w:bottom w:val="single" w:color="auto" w:sz="4" w:space="0"/>
              <w:right w:val="single" w:color="auto" w:sz="4" w:space="0"/>
            </w:tcBorders>
            <w:vAlign w:val="center"/>
          </w:tcPr>
          <w:p w14:paraId="5E1F9491">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0.045%</w:t>
            </w:r>
          </w:p>
        </w:tc>
      </w:tr>
      <w:tr w14:paraId="748A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auto" w:sz="4" w:space="0"/>
              <w:left w:val="single" w:color="000000" w:sz="4" w:space="0"/>
              <w:bottom w:val="single" w:color="000000" w:sz="4" w:space="0"/>
              <w:right w:val="single" w:color="000000" w:sz="4" w:space="0"/>
            </w:tcBorders>
            <w:vAlign w:val="center"/>
          </w:tcPr>
          <w:p w14:paraId="68D0A617">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10亿--50亿元（含50亿元）</w:t>
            </w:r>
          </w:p>
        </w:tc>
        <w:tc>
          <w:tcPr>
            <w:tcW w:w="1642" w:type="dxa"/>
            <w:tcBorders>
              <w:top w:val="single" w:color="auto" w:sz="4" w:space="0"/>
              <w:left w:val="single" w:color="000000" w:sz="4" w:space="0"/>
              <w:bottom w:val="single" w:color="000000" w:sz="4" w:space="0"/>
              <w:right w:val="single" w:color="000000" w:sz="4" w:space="0"/>
            </w:tcBorders>
            <w:vAlign w:val="center"/>
          </w:tcPr>
          <w:p w14:paraId="09954B79">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433" w:type="dxa"/>
            <w:tcBorders>
              <w:top w:val="single" w:color="auto" w:sz="4" w:space="0"/>
              <w:left w:val="single" w:color="000000" w:sz="4" w:space="0"/>
              <w:bottom w:val="single" w:color="000000" w:sz="4" w:space="0"/>
              <w:right w:val="single" w:color="000000" w:sz="4" w:space="0"/>
            </w:tcBorders>
            <w:vAlign w:val="center"/>
          </w:tcPr>
          <w:p w14:paraId="6948194D">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c>
          <w:tcPr>
            <w:tcW w:w="1711" w:type="dxa"/>
            <w:tcBorders>
              <w:top w:val="single" w:color="auto" w:sz="4" w:space="0"/>
              <w:left w:val="single" w:color="000000" w:sz="4" w:space="0"/>
              <w:bottom w:val="single" w:color="000000" w:sz="4" w:space="0"/>
              <w:right w:val="single" w:color="000000" w:sz="4" w:space="0"/>
            </w:tcBorders>
            <w:vAlign w:val="center"/>
          </w:tcPr>
          <w:p w14:paraId="6BD66A6A">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0.010%</w:t>
            </w:r>
          </w:p>
        </w:tc>
      </w:tr>
      <w:tr w14:paraId="4E5B2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2B545DE4">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42" w:type="dxa"/>
            <w:tcBorders>
              <w:top w:val="single" w:color="000000" w:sz="4" w:space="0"/>
              <w:left w:val="single" w:color="000000" w:sz="4" w:space="0"/>
              <w:bottom w:val="single" w:color="000000" w:sz="4" w:space="0"/>
              <w:right w:val="single" w:color="000000" w:sz="4" w:space="0"/>
            </w:tcBorders>
            <w:vAlign w:val="center"/>
          </w:tcPr>
          <w:p w14:paraId="78462F1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433" w:type="dxa"/>
            <w:tcBorders>
              <w:top w:val="single" w:color="000000" w:sz="4" w:space="0"/>
              <w:left w:val="single" w:color="000000" w:sz="4" w:space="0"/>
              <w:bottom w:val="single" w:color="000000" w:sz="4" w:space="0"/>
              <w:right w:val="single" w:color="000000" w:sz="4" w:space="0"/>
            </w:tcBorders>
            <w:vAlign w:val="center"/>
          </w:tcPr>
          <w:p w14:paraId="269A2648">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c>
          <w:tcPr>
            <w:tcW w:w="1711" w:type="dxa"/>
            <w:tcBorders>
              <w:top w:val="single" w:color="000000" w:sz="4" w:space="0"/>
              <w:left w:val="single" w:color="000000" w:sz="4" w:space="0"/>
              <w:bottom w:val="single" w:color="000000" w:sz="4" w:space="0"/>
              <w:right w:val="single" w:color="000000" w:sz="4" w:space="0"/>
            </w:tcBorders>
            <w:vAlign w:val="center"/>
          </w:tcPr>
          <w:p w14:paraId="2C134C7C">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0.008%</w:t>
            </w:r>
          </w:p>
        </w:tc>
      </w:tr>
      <w:tr w14:paraId="3104B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79" w:hRule="atLeast"/>
        </w:trPr>
        <w:tc>
          <w:tcPr>
            <w:tcW w:w="3994" w:type="dxa"/>
            <w:tcBorders>
              <w:top w:val="single" w:color="000000" w:sz="4" w:space="0"/>
              <w:left w:val="single" w:color="000000" w:sz="4" w:space="0"/>
              <w:bottom w:val="single" w:color="000000" w:sz="4" w:space="0"/>
              <w:right w:val="single" w:color="000000" w:sz="4" w:space="0"/>
            </w:tcBorders>
            <w:vAlign w:val="center"/>
          </w:tcPr>
          <w:p w14:paraId="7FB42EDF">
            <w:pPr>
              <w:kinsoku/>
              <w:autoSpaceDE/>
              <w:autoSpaceDN w:val="0"/>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100亿元以上</w:t>
            </w:r>
          </w:p>
        </w:tc>
        <w:tc>
          <w:tcPr>
            <w:tcW w:w="1642" w:type="dxa"/>
            <w:tcBorders>
              <w:top w:val="single" w:color="000000" w:sz="4" w:space="0"/>
              <w:left w:val="single" w:color="000000" w:sz="4" w:space="0"/>
              <w:bottom w:val="single" w:color="000000" w:sz="4" w:space="0"/>
              <w:right w:val="single" w:color="000000" w:sz="4" w:space="0"/>
            </w:tcBorders>
            <w:vAlign w:val="center"/>
          </w:tcPr>
          <w:p w14:paraId="26728274">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433" w:type="dxa"/>
            <w:tcBorders>
              <w:top w:val="single" w:color="000000" w:sz="4" w:space="0"/>
              <w:left w:val="single" w:color="000000" w:sz="4" w:space="0"/>
              <w:bottom w:val="single" w:color="000000" w:sz="4" w:space="0"/>
              <w:right w:val="single" w:color="000000" w:sz="4" w:space="0"/>
            </w:tcBorders>
            <w:vAlign w:val="center"/>
          </w:tcPr>
          <w:p w14:paraId="77425342">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c>
          <w:tcPr>
            <w:tcW w:w="1711" w:type="dxa"/>
            <w:tcBorders>
              <w:top w:val="single" w:color="000000" w:sz="4" w:space="0"/>
              <w:left w:val="single" w:color="000000" w:sz="4" w:space="0"/>
              <w:bottom w:val="single" w:color="000000" w:sz="4" w:space="0"/>
              <w:right w:val="single" w:color="000000" w:sz="4" w:space="0"/>
            </w:tcBorders>
            <w:vAlign w:val="center"/>
          </w:tcPr>
          <w:p w14:paraId="6FB95C53">
            <w:pPr>
              <w:kinsoku/>
              <w:autoSpaceDE/>
              <w:autoSpaceDN w:val="0"/>
              <w:jc w:val="center"/>
              <w:textAlignment w:val="center"/>
              <w:rPr>
                <w:rFonts w:hint="default" w:ascii="宋体" w:hAnsi="宋体" w:eastAsia="宋体"/>
                <w:b w:val="0"/>
                <w:i w:val="0"/>
                <w:snapToGrid/>
                <w:color w:val="auto"/>
                <w:sz w:val="24"/>
                <w:szCs w:val="18"/>
                <w:u w:val="none"/>
                <w:lang w:eastAsia="zh-CN"/>
              </w:rPr>
            </w:pPr>
            <w:r>
              <w:rPr>
                <w:rFonts w:hint="default" w:ascii="宋体" w:hAnsi="宋体" w:eastAsia="宋体"/>
                <w:b w:val="0"/>
                <w:i w:val="0"/>
                <w:snapToGrid/>
                <w:color w:val="auto"/>
                <w:sz w:val="24"/>
                <w:szCs w:val="18"/>
                <w:u w:val="none"/>
                <w:lang w:eastAsia="zh-CN"/>
              </w:rPr>
              <w:t>0.004%</w:t>
            </w:r>
          </w:p>
        </w:tc>
      </w:tr>
      <w:tr w14:paraId="24B70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5" w:type="dxa"/>
            <w:bottom w:w="0" w:type="dxa"/>
            <w:right w:w="15" w:type="dxa"/>
          </w:tblCellMar>
        </w:tblPrEx>
        <w:trPr>
          <w:trHeight w:val="621" w:hRule="atLeast"/>
        </w:trPr>
        <w:tc>
          <w:tcPr>
            <w:tcW w:w="8780" w:type="dxa"/>
            <w:gridSpan w:val="4"/>
            <w:vAlign w:val="center"/>
          </w:tcPr>
          <w:p w14:paraId="3D56FFD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6BB05EA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183C23EC">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 万元，招标代理服务收费计算如下:</w:t>
            </w:r>
          </w:p>
          <w:p w14:paraId="15B6933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b w:val="0"/>
                <w:i w:val="0"/>
                <w:snapToGrid/>
                <w:color w:val="auto"/>
                <w:sz w:val="24"/>
                <w:szCs w:val="24"/>
                <w:u w:val="none"/>
                <w:lang w:eastAsia="zh-CN"/>
              </w:rPr>
              <w:t>100万元×1.2%=1.2万元</w:t>
            </w:r>
          </w:p>
          <w:p w14:paraId="521D6F55">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（500-100）万元×1.0%=4万元</w:t>
            </w:r>
          </w:p>
          <w:p w14:paraId="153C02F4">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（1000-500）×0.7%=3.5万元</w:t>
            </w:r>
          </w:p>
          <w:p w14:paraId="1947004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（5000-1000）×0.4%=16万元</w:t>
            </w:r>
          </w:p>
          <w:p w14:paraId="0C35B9D1">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（10000-5000）×0.25%=12.5万元</w:t>
            </w:r>
          </w:p>
          <w:p w14:paraId="1BC6BCCD">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1"/>
                <w:szCs w:val="18"/>
                <w:u w:val="none"/>
                <w:lang w:eastAsia="zh-CN"/>
              </w:rPr>
            </w:pPr>
            <w:r>
              <w:rPr>
                <w:rFonts w:hint="default" w:ascii="宋体" w:hAnsi="宋体" w:eastAsia="宋体"/>
                <w:b w:val="0"/>
                <w:i w:val="0"/>
                <w:snapToGrid/>
                <w:color w:val="auto"/>
                <w:sz w:val="24"/>
                <w:szCs w:val="24"/>
                <w:u w:val="none"/>
                <w:lang w:eastAsia="zh-CN"/>
              </w:rPr>
              <w:t>合计收费=1.2+4+3.5+16+12.5=37.2万元</w:t>
            </w:r>
          </w:p>
        </w:tc>
      </w:tr>
    </w:tbl>
    <w:p w14:paraId="737BDCE9">
      <w:pPr>
        <w:pStyle w:val="37"/>
        <w:widowControl w:val="0"/>
        <w:numPr>
          <w:ilvl w:val="0"/>
          <w:numId w:val="0"/>
        </w:numPr>
        <w:tabs>
          <w:tab w:val="left" w:pos="1341"/>
        </w:tabs>
        <w:autoSpaceDE w:val="0"/>
        <w:autoSpaceDN w:val="0"/>
        <w:spacing w:line="328" w:lineRule="auto"/>
        <w:ind w:right="338" w:rightChars="0"/>
        <w:jc w:val="both"/>
        <w:rPr>
          <w:color w:val="auto"/>
        </w:rPr>
      </w:pPr>
    </w:p>
    <w:p w14:paraId="5DFBE944">
      <w:pPr>
        <w:pStyle w:val="37"/>
        <w:widowControl w:val="0"/>
        <w:numPr>
          <w:ilvl w:val="0"/>
          <w:numId w:val="0"/>
        </w:numPr>
        <w:tabs>
          <w:tab w:val="left" w:pos="1341"/>
        </w:tabs>
        <w:autoSpaceDE w:val="0"/>
        <w:autoSpaceDN w:val="0"/>
        <w:spacing w:line="328" w:lineRule="auto"/>
        <w:ind w:right="338" w:rightChars="0"/>
        <w:jc w:val="both"/>
        <w:rPr>
          <w:color w:val="auto"/>
        </w:rPr>
        <w:sectPr>
          <w:footerReference r:id="rId6" w:type="default"/>
          <w:pgSz w:w="11910" w:h="16840"/>
          <w:pgMar w:top="1400" w:right="1020" w:bottom="900" w:left="1040" w:header="0" w:footer="640" w:gutter="0"/>
          <w:pgNumType w:fmt="decimal"/>
          <w:cols w:space="720" w:num="1"/>
        </w:sectPr>
      </w:pPr>
    </w:p>
    <w:p w14:paraId="3B147139">
      <w:pPr>
        <w:keepNext w:val="0"/>
        <w:keepLines w:val="0"/>
        <w:pageBreakBefore w:val="0"/>
        <w:widowControl w:val="0"/>
        <w:numPr>
          <w:ilvl w:val="0"/>
          <w:numId w:val="0"/>
        </w:numPr>
        <w:kinsoku/>
        <w:wordWrap/>
        <w:overflowPunct/>
        <w:topLinePunct w:val="0"/>
        <w:bidi w:val="0"/>
        <w:adjustRightInd w:val="0"/>
        <w:snapToGrid w:val="0"/>
        <w:spacing w:before="0" w:after="0" w:line="360" w:lineRule="auto"/>
        <w:outlineLvl w:val="9"/>
        <w:rPr>
          <w:rFonts w:hint="eastAsia" w:ascii="宋体" w:hAnsi="宋体" w:eastAsia="宋体" w:cs="宋体"/>
          <w:color w:val="auto"/>
          <w:sz w:val="24"/>
          <w:szCs w:val="24"/>
          <w:highlight w:val="none"/>
          <w:lang w:eastAsia="zh-CN"/>
        </w:rPr>
      </w:pPr>
      <w:bookmarkStart w:id="167" w:name="_Toc25877"/>
      <w:bookmarkStart w:id="168" w:name="_Toc29960"/>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：河南省政府采购合同融资政策告知函</w:t>
      </w:r>
    </w:p>
    <w:p w14:paraId="446D7478">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rPr>
      </w:pPr>
      <w:bookmarkStart w:id="169" w:name="_Toc19399"/>
      <w:bookmarkStart w:id="170" w:name="_Toc7567"/>
    </w:p>
    <w:p w14:paraId="3DF91D9D">
      <w:pPr>
        <w:keepNext w:val="0"/>
        <w:keepLines w:val="0"/>
        <w:pageBreakBefore w:val="0"/>
        <w:widowControl w:val="0"/>
        <w:kinsoku/>
        <w:wordWrap/>
        <w:overflowPunct/>
        <w:topLinePunct w:val="0"/>
        <w:bidi w:val="0"/>
        <w:adjustRightInd w:val="0"/>
        <w:snapToGrid w:val="0"/>
        <w:spacing w:line="360" w:lineRule="auto"/>
        <w:ind w:firstLine="482" w:firstLineChars="200"/>
        <w:jc w:val="center"/>
        <w:outlineLvl w:val="0"/>
        <w:rPr>
          <w:rFonts w:hint="eastAsia" w:ascii="宋体" w:hAnsi="宋体" w:eastAsia="宋体" w:cs="宋体"/>
          <w:color w:val="auto"/>
          <w:sz w:val="24"/>
          <w:szCs w:val="24"/>
          <w:highlight w:val="none"/>
        </w:rPr>
      </w:pPr>
      <w:bookmarkStart w:id="171" w:name="_Toc32579"/>
      <w:r>
        <w:rPr>
          <w:rFonts w:hint="eastAsia" w:ascii="宋体" w:hAnsi="宋体" w:eastAsia="宋体" w:cs="宋体"/>
          <w:b/>
          <w:bCs/>
          <w:color w:val="auto"/>
          <w:sz w:val="24"/>
          <w:szCs w:val="24"/>
          <w:highlight w:val="none"/>
        </w:rPr>
        <w:t>河南省政府采购合同融资政策告知函</w:t>
      </w:r>
      <w:bookmarkEnd w:id="169"/>
      <w:bookmarkEnd w:id="170"/>
      <w:bookmarkEnd w:id="171"/>
    </w:p>
    <w:p w14:paraId="47E3FE35">
      <w:pPr>
        <w:keepNext w:val="0"/>
        <w:keepLines w:val="0"/>
        <w:pageBreakBefore w:val="0"/>
        <w:widowControl w:val="0"/>
        <w:kinsoku/>
        <w:wordWrap/>
        <w:overflowPunct/>
        <w:topLinePunct w:val="0"/>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p>
    <w:p w14:paraId="5BC49507">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w:t>
      </w:r>
    </w:p>
    <w:p w14:paraId="2B2CFCB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欢迎贵公司参与河南省政府采购活动！</w:t>
      </w:r>
    </w:p>
    <w:p w14:paraId="3DBDE01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政府采购合同融资是河南省财政厅支持中小微企业发展，针对参与政府采购活动的</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054BA279">
      <w:pPr>
        <w:pStyle w:val="38"/>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sz w:val="21"/>
          <w:szCs w:val="21"/>
        </w:rPr>
      </w:pPr>
      <w:bookmarkStart w:id="172" w:name="_Toc15196"/>
      <w:r>
        <w:rPr>
          <w:rFonts w:hint="eastAsia" w:ascii="宋体" w:hAnsi="宋体" w:eastAsia="宋体" w:cs="宋体"/>
          <w:b w:val="0"/>
          <w:bCs w:val="0"/>
          <w:color w:val="auto"/>
          <w:sz w:val="24"/>
          <w:szCs w:val="24"/>
          <w:highlight w:val="none"/>
        </w:rPr>
        <w:t>贷款渠道和提供贷款的金融机构，可在河南省政府采购网“河南省政府采购合同融资平台”查询联系。</w:t>
      </w:r>
      <w:bookmarkEnd w:id="172"/>
    </w:p>
    <w:p w14:paraId="3A2F5111">
      <w:pPr>
        <w:rPr>
          <w:rFonts w:ascii="宋体" w:hAnsi="宋体" w:cs="宋体"/>
          <w:sz w:val="24"/>
        </w:rPr>
      </w:pPr>
    </w:p>
    <w:p w14:paraId="670EA26D">
      <w:pPr>
        <w:widowControl w:val="0"/>
        <w:jc w:val="both"/>
        <w:textAlignment w:val="auto"/>
        <w:rPr>
          <w:rFonts w:hint="eastAsia" w:ascii="宋体" w:hAnsi="宋体" w:cs="宋体"/>
          <w:color w:val="auto"/>
          <w:kern w:val="0"/>
          <w:sz w:val="24"/>
          <w:szCs w:val="24"/>
          <w:highlight w:val="none"/>
          <w:shd w:val="clear" w:color="auto" w:fill="F9F9F9"/>
          <w:lang w:val="en-US" w:eastAsia="zh-CN"/>
        </w:rPr>
      </w:pPr>
      <w:r>
        <w:rPr>
          <w:rFonts w:hint="eastAsia" w:ascii="宋体" w:hAnsi="宋体" w:eastAsia="宋体" w:cs="宋体"/>
          <w:color w:val="auto"/>
          <w:kern w:val="0"/>
          <w:sz w:val="21"/>
          <w:szCs w:val="21"/>
          <w:highlight w:val="none"/>
          <w:shd w:val="clear" w:color="auto" w:fill="F9F9F9"/>
        </w:rPr>
        <w:br w:type="page"/>
      </w:r>
      <w:r>
        <w:rPr>
          <w:rFonts w:hint="eastAsia" w:ascii="宋体" w:hAnsi="宋体" w:eastAsia="宋体" w:cs="宋体"/>
          <w:color w:val="auto"/>
          <w:sz w:val="24"/>
          <w:szCs w:val="24"/>
          <w:highlight w:val="none"/>
          <w:lang w:eastAsia="zh-CN"/>
        </w:rPr>
        <w:t>附件</w:t>
      </w:r>
      <w:r>
        <w:rPr>
          <w:rFonts w:hint="eastAsia" w:ascii="宋体" w:hAnsi="宋体" w:eastAsia="宋体" w:cs="宋体"/>
          <w:color w:val="auto"/>
          <w:sz w:val="24"/>
          <w:szCs w:val="24"/>
          <w:highlight w:val="none"/>
          <w:lang w:val="en-US" w:eastAsia="zh-CN"/>
        </w:rPr>
        <w:t>2：卢氏县政府采购合同融资政策告知书</w:t>
      </w:r>
    </w:p>
    <w:p w14:paraId="6B180569">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0CF6C122">
      <w:pPr>
        <w:keepNext w:val="0"/>
        <w:keepLines w:val="0"/>
        <w:pageBreakBefore w:val="0"/>
        <w:widowControl w:val="0"/>
        <w:kinsoku/>
        <w:wordWrap/>
        <w:overflowPunct/>
        <w:topLinePunct w:val="0"/>
        <w:bidi w:val="0"/>
        <w:adjustRightInd w:val="0"/>
        <w:snapToGrid w:val="0"/>
        <w:spacing w:line="360" w:lineRule="auto"/>
        <w:ind w:firstLine="482" w:firstLineChars="2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卢氏县政府采购合同融资政策告知书</w:t>
      </w:r>
    </w:p>
    <w:p w14:paraId="3672C439">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0ED30D7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各供应商:</w:t>
      </w:r>
    </w:p>
    <w:p w14:paraId="39767A71">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3B2DF48B">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特别提醒:该告知书仅统计了我县部分可以提供线上融资的金融机构，凡参与我县政府采购项目，有融资需求的本地或外地中标(成交)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226C04A4">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联系电话:0398-7863556</w:t>
      </w:r>
    </w:p>
    <w:p w14:paraId="2034E30C">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p>
    <w:p w14:paraId="11EE1036">
      <w:pPr>
        <w:keepNext w:val="0"/>
        <w:keepLines w:val="0"/>
        <w:pageBreakBefore w:val="0"/>
        <w:widowControl w:val="0"/>
        <w:kinsoku/>
        <w:wordWrap/>
        <w:overflowPunct/>
        <w:topLinePunct w:val="0"/>
        <w:bidi w:val="0"/>
        <w:adjustRightInd w:val="0"/>
        <w:snapToGrid w:val="0"/>
        <w:spacing w:line="360" w:lineRule="auto"/>
        <w:ind w:firstLine="480" w:firstLineChars="200"/>
        <w:jc w:val="left"/>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承接银行联系方式</w:t>
      </w:r>
    </w:p>
    <w:tbl>
      <w:tblPr>
        <w:tblStyle w:val="20"/>
        <w:tblW w:w="9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5"/>
        <w:gridCol w:w="3065"/>
        <w:gridCol w:w="3066"/>
      </w:tblGrid>
      <w:tr w14:paraId="62A3C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13486B44">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单位名称</w:t>
            </w:r>
          </w:p>
        </w:tc>
        <w:tc>
          <w:tcPr>
            <w:tcW w:w="3065" w:type="dxa"/>
            <w:noWrap w:val="0"/>
            <w:vAlign w:val="center"/>
          </w:tcPr>
          <w:p w14:paraId="46E23CAD">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p>
        </w:tc>
        <w:tc>
          <w:tcPr>
            <w:tcW w:w="3066" w:type="dxa"/>
            <w:noWrap w:val="0"/>
            <w:vAlign w:val="center"/>
          </w:tcPr>
          <w:p w14:paraId="326DACD7">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联系方式</w:t>
            </w:r>
          </w:p>
        </w:tc>
      </w:tr>
      <w:tr w14:paraId="1C8F0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7774A384">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中国建设银行股份有限公司卢氏支行</w:t>
            </w:r>
          </w:p>
        </w:tc>
        <w:tc>
          <w:tcPr>
            <w:tcW w:w="3065" w:type="dxa"/>
            <w:noWrap w:val="0"/>
            <w:vAlign w:val="center"/>
          </w:tcPr>
          <w:p w14:paraId="701212F1">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张江涛</w:t>
            </w:r>
          </w:p>
        </w:tc>
        <w:tc>
          <w:tcPr>
            <w:tcW w:w="3066" w:type="dxa"/>
            <w:noWrap w:val="0"/>
            <w:vAlign w:val="center"/>
          </w:tcPr>
          <w:p w14:paraId="2E7A08E9">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18739850204</w:t>
            </w:r>
          </w:p>
        </w:tc>
      </w:tr>
      <w:tr w14:paraId="1C081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5FA0BCC1">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中国农业银行股份有限公司卢氏县支行</w:t>
            </w:r>
          </w:p>
        </w:tc>
        <w:tc>
          <w:tcPr>
            <w:tcW w:w="3065" w:type="dxa"/>
            <w:noWrap w:val="0"/>
            <w:vAlign w:val="center"/>
          </w:tcPr>
          <w:p w14:paraId="6F6EF227">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代仁旺</w:t>
            </w:r>
          </w:p>
        </w:tc>
        <w:tc>
          <w:tcPr>
            <w:tcW w:w="3066" w:type="dxa"/>
            <w:noWrap w:val="0"/>
            <w:vAlign w:val="center"/>
          </w:tcPr>
          <w:p w14:paraId="682EBE1B">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18939062604</w:t>
            </w:r>
          </w:p>
        </w:tc>
      </w:tr>
      <w:tr w14:paraId="38DD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65" w:type="dxa"/>
            <w:noWrap w:val="0"/>
            <w:vAlign w:val="center"/>
          </w:tcPr>
          <w:p w14:paraId="68C468FF">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中原银行股份有限公司</w:t>
            </w:r>
          </w:p>
          <w:p w14:paraId="45005805">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sz w:val="24"/>
                <w:szCs w:val="24"/>
              </w:rPr>
            </w:pPr>
            <w:r>
              <w:rPr>
                <w:rFonts w:hint="eastAsia" w:ascii="宋体" w:hAnsi="宋体" w:eastAsia="宋体" w:cs="宋体"/>
                <w:sz w:val="24"/>
                <w:szCs w:val="24"/>
              </w:rPr>
              <w:t>卢氏支行</w:t>
            </w:r>
          </w:p>
        </w:tc>
        <w:tc>
          <w:tcPr>
            <w:tcW w:w="3065" w:type="dxa"/>
            <w:noWrap w:val="0"/>
            <w:vAlign w:val="center"/>
          </w:tcPr>
          <w:p w14:paraId="1134D430">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李 博</w:t>
            </w:r>
          </w:p>
        </w:tc>
        <w:tc>
          <w:tcPr>
            <w:tcW w:w="3066" w:type="dxa"/>
            <w:noWrap w:val="0"/>
            <w:vAlign w:val="center"/>
          </w:tcPr>
          <w:p w14:paraId="6A53ED5A">
            <w:pPr>
              <w:keepNext w:val="0"/>
              <w:keepLines w:val="0"/>
              <w:pageBreakBefore w:val="0"/>
              <w:widowControl w:val="0"/>
              <w:kinsoku/>
              <w:wordWrap/>
              <w:overflowPunct/>
              <w:topLinePunct w:val="0"/>
              <w:bidi w:val="0"/>
              <w:adjustRightInd w:val="0"/>
              <w:snapToGrid w:val="0"/>
              <w:spacing w:line="360" w:lineRule="auto"/>
              <w:jc w:val="center"/>
              <w:outlineLvl w:val="9"/>
              <w:rPr>
                <w:rFonts w:hint="eastAsia" w:ascii="宋体" w:hAnsi="宋体" w:eastAsia="宋体" w:cs="宋体"/>
                <w:color w:val="auto"/>
                <w:kern w:val="0"/>
                <w:sz w:val="24"/>
                <w:szCs w:val="24"/>
                <w:highlight w:val="none"/>
                <w:shd w:val="clear" w:color="auto" w:fill="F9F9F9"/>
                <w:vertAlign w:val="baseline"/>
              </w:rPr>
            </w:pPr>
            <w:r>
              <w:rPr>
                <w:rFonts w:hint="eastAsia" w:ascii="宋体" w:hAnsi="宋体" w:eastAsia="宋体" w:cs="宋体"/>
                <w:sz w:val="24"/>
                <w:szCs w:val="24"/>
              </w:rPr>
              <w:t>15839857887</w:t>
            </w:r>
          </w:p>
        </w:tc>
      </w:tr>
    </w:tbl>
    <w:p w14:paraId="6D5D87FB">
      <w:pPr>
        <w:jc w:val="both"/>
        <w:rPr>
          <w:rFonts w:hint="eastAsia" w:ascii="宋体" w:hAnsi="宋体" w:cs="宋体"/>
          <w:b/>
          <w:bCs/>
          <w:color w:val="auto"/>
          <w:highlight w:val="none"/>
          <w:lang w:eastAsia="zh-CN"/>
        </w:rPr>
      </w:pPr>
    </w:p>
    <w:p w14:paraId="2C8491EF">
      <w:pPr>
        <w:rPr>
          <w:rFonts w:hint="eastAsia" w:ascii="宋体" w:hAnsi="宋体" w:cs="宋体"/>
          <w:b/>
          <w:bCs/>
          <w:color w:val="auto"/>
          <w:highlight w:val="none"/>
          <w:lang w:eastAsia="zh-CN"/>
        </w:rPr>
      </w:pPr>
    </w:p>
    <w:p w14:paraId="13B12262">
      <w:pPr>
        <w:rPr>
          <w:rFonts w:hint="eastAsia" w:ascii="宋体" w:hAnsi="宋体" w:eastAsia="宋体" w:cs="宋体"/>
          <w:b/>
          <w:bCs/>
          <w:color w:val="auto"/>
          <w:lang w:val="en-US" w:eastAsia="zh-CN"/>
        </w:rPr>
      </w:pPr>
    </w:p>
    <w:p w14:paraId="497E9985">
      <w:pPr>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br w:type="page"/>
      </w:r>
    </w:p>
    <w:p w14:paraId="08A59493">
      <w:pPr>
        <w:pStyle w:val="2"/>
        <w:spacing w:before="31" w:line="460" w:lineRule="exact"/>
        <w:ind w:firstLine="2891" w:firstLineChars="900"/>
        <w:jc w:val="both"/>
        <w:rPr>
          <w:rFonts w:hint="eastAsia" w:ascii="宋体" w:hAnsi="宋体" w:eastAsia="宋体" w:cs="宋体"/>
          <w:b/>
          <w:bCs/>
          <w:color w:val="auto"/>
          <w:lang w:val="en-US" w:eastAsia="zh-CN"/>
        </w:rPr>
      </w:pPr>
      <w:r>
        <w:rPr>
          <w:rFonts w:hint="eastAsia" w:ascii="宋体" w:hAnsi="宋体" w:eastAsia="宋体" w:cs="宋体"/>
          <w:b/>
          <w:bCs/>
          <w:color w:val="auto"/>
          <w:lang w:val="en-US" w:eastAsia="zh-CN"/>
        </w:rPr>
        <w:t xml:space="preserve">第三章 </w:t>
      </w:r>
      <w:bookmarkEnd w:id="167"/>
      <w:r>
        <w:rPr>
          <w:rFonts w:hint="eastAsia" w:cs="宋体"/>
          <w:b/>
          <w:bCs/>
          <w:color w:val="auto"/>
          <w:lang w:val="en-US" w:eastAsia="zh-CN"/>
        </w:rPr>
        <w:t>服务需求</w:t>
      </w:r>
      <w:bookmarkEnd w:id="168"/>
    </w:p>
    <w:p w14:paraId="020F07D9">
      <w:pPr>
        <w:rPr>
          <w:color w:val="auto"/>
        </w:rPr>
      </w:pPr>
    </w:p>
    <w:p w14:paraId="58AF993E">
      <w:pPr>
        <w:pStyle w:val="14"/>
        <w:keepNext w:val="0"/>
        <w:keepLines w:val="0"/>
        <w:pageBreakBefore w:val="0"/>
        <w:widowControl w:val="0"/>
        <w:kinsoku/>
        <w:wordWrap w:val="0"/>
        <w:overflowPunct/>
        <w:topLinePunct w:val="0"/>
        <w:autoSpaceDE w:val="0"/>
        <w:autoSpaceDN w:val="0"/>
        <w:bidi w:val="0"/>
        <w:adjustRightInd/>
        <w:snapToGrid/>
        <w:spacing w:line="5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一、项目概况：</w:t>
      </w:r>
    </w:p>
    <w:p w14:paraId="44DCBFE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1、采购人：</w:t>
      </w:r>
      <w:r>
        <w:rPr>
          <w:rFonts w:hint="eastAsia" w:ascii="宋体" w:hAnsi="宋体" w:cs="宋体"/>
          <w:color w:val="auto"/>
          <w:sz w:val="24"/>
          <w:szCs w:val="24"/>
          <w:lang w:val="en-US" w:eastAsia="zh-CN"/>
        </w:rPr>
        <w:t>卢氏县城市管理局</w:t>
      </w:r>
    </w:p>
    <w:p w14:paraId="303750F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line="65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2、项目名称：</w:t>
      </w:r>
      <w:r>
        <w:rPr>
          <w:rFonts w:hint="eastAsia" w:ascii="宋体" w:hAnsi="宋体" w:cs="宋体"/>
          <w:color w:val="auto"/>
          <w:sz w:val="24"/>
          <w:szCs w:val="24"/>
          <w:lang w:val="en-US" w:eastAsia="zh-CN"/>
        </w:rPr>
        <w:t>卢氏县完善全民健身场所行动建设项目设计（二次）</w:t>
      </w:r>
    </w:p>
    <w:p w14:paraId="32B92CD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3、项目预算金额：</w:t>
      </w:r>
      <w:r>
        <w:rPr>
          <w:rFonts w:hint="eastAsia" w:ascii="宋体" w:hAnsi="宋体" w:cs="宋体"/>
          <w:color w:val="auto"/>
          <w:sz w:val="24"/>
          <w:szCs w:val="24"/>
          <w:lang w:val="en-US" w:eastAsia="zh-CN"/>
        </w:rPr>
        <w:t>532800元</w:t>
      </w:r>
    </w:p>
    <w:p w14:paraId="255F31C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4、项目规模：</w:t>
      </w:r>
      <w:r>
        <w:rPr>
          <w:rFonts w:hint="eastAsia" w:ascii="宋体" w:hAnsi="宋体" w:cs="宋体"/>
          <w:color w:val="auto"/>
          <w:sz w:val="24"/>
          <w:szCs w:val="24"/>
          <w:lang w:val="en-US" w:eastAsia="zh-CN"/>
        </w:rPr>
        <w:t>卢氏县完善全民健身场所行动建设项目设计</w:t>
      </w:r>
      <w:r>
        <w:rPr>
          <w:rFonts w:hint="eastAsia" w:ascii="宋体" w:hAnsi="宋体" w:eastAsia="宋体" w:cs="宋体"/>
          <w:color w:val="auto"/>
          <w:sz w:val="24"/>
          <w:szCs w:val="24"/>
          <w:lang w:val="en-US" w:eastAsia="zh-CN"/>
        </w:rPr>
        <w:t>共有三个部分，其中老中医院周边健身场所完善项目占地 4780平方米，淇河路北段文化提升建设项目占地 7290平方米，淇河路南段东侧健身场所完善项目占地9305平方米。主要建设内容包括新建绿地、健身步道、健身广场铺装、健身文化小品、健身设施、休闲廊架、坐凳和门头改造、给排水、监控、照明等室外工程和配套健身设施；本项目需完成</w:t>
      </w:r>
      <w:r>
        <w:rPr>
          <w:rFonts w:hint="eastAsia" w:ascii="宋体" w:hAnsi="宋体" w:cs="宋体"/>
          <w:color w:val="auto"/>
          <w:sz w:val="24"/>
          <w:szCs w:val="24"/>
          <w:lang w:val="en-US" w:eastAsia="zh-CN"/>
        </w:rPr>
        <w:t>卢氏县完善全民健身场所行动建设项目设计</w:t>
      </w:r>
      <w:r>
        <w:rPr>
          <w:rFonts w:hint="eastAsia" w:ascii="宋体" w:hAnsi="宋体" w:eastAsia="宋体" w:cs="宋体"/>
          <w:color w:val="auto"/>
          <w:sz w:val="24"/>
          <w:szCs w:val="24"/>
          <w:lang w:val="en-US" w:eastAsia="zh-CN"/>
        </w:rPr>
        <w:t>要求进行测绘规划设计。</w:t>
      </w:r>
    </w:p>
    <w:p w14:paraId="61E5803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5、服务内容：按照</w:t>
      </w:r>
      <w:r>
        <w:rPr>
          <w:rFonts w:hint="eastAsia" w:ascii="宋体" w:hAnsi="宋体" w:cs="宋体"/>
          <w:color w:val="auto"/>
          <w:sz w:val="24"/>
          <w:szCs w:val="24"/>
          <w:lang w:val="en-US" w:eastAsia="zh-CN"/>
        </w:rPr>
        <w:t>卢氏县完善全民健身场所行动建设项目设计（二次）</w:t>
      </w:r>
      <w:r>
        <w:rPr>
          <w:rFonts w:hint="eastAsia" w:ascii="宋体" w:hAnsi="宋体" w:eastAsia="宋体" w:cs="宋体"/>
          <w:color w:val="auto"/>
          <w:sz w:val="24"/>
          <w:szCs w:val="24"/>
          <w:lang w:val="en-US" w:eastAsia="zh-CN"/>
        </w:rPr>
        <w:t>要求进行测绘规划设计，主要包含：老中医院周边健身场所、淇河路北段、淇河路南段东侧健身场所项目施工图设计。</w:t>
      </w:r>
    </w:p>
    <w:p w14:paraId="3F3B4A3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6、标段划分：本项目共分</w:t>
      </w:r>
      <w:r>
        <w:rPr>
          <w:rFonts w:hint="eastAsia" w:ascii="宋体" w:hAnsi="宋体" w:cs="宋体"/>
          <w:color w:val="auto"/>
          <w:sz w:val="24"/>
          <w:szCs w:val="24"/>
          <w:lang w:val="en-US" w:eastAsia="zh-CN"/>
        </w:rPr>
        <w:t>1</w:t>
      </w:r>
      <w:r>
        <w:rPr>
          <w:rFonts w:hint="eastAsia" w:ascii="宋体" w:hAnsi="宋体" w:eastAsia="宋体" w:cs="宋体"/>
          <w:color w:val="auto"/>
          <w:sz w:val="24"/>
          <w:szCs w:val="24"/>
          <w:lang w:val="en-US" w:eastAsia="zh-CN"/>
        </w:rPr>
        <w:t>个标段。</w:t>
      </w:r>
    </w:p>
    <w:p w14:paraId="21F8913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7、资金来源：财政资金，已落实；</w:t>
      </w:r>
    </w:p>
    <w:p w14:paraId="4E969B76">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8、设计周期：</w:t>
      </w:r>
      <w:r>
        <w:rPr>
          <w:rFonts w:hint="eastAsia" w:ascii="宋体" w:hAnsi="宋体" w:cs="宋体"/>
          <w:color w:val="auto"/>
          <w:sz w:val="24"/>
          <w:szCs w:val="24"/>
          <w:lang w:val="en-US" w:eastAsia="zh-CN"/>
        </w:rPr>
        <w:t>合同签订后5日历天完成</w:t>
      </w:r>
      <w:r>
        <w:rPr>
          <w:rFonts w:hint="eastAsia" w:ascii="宋体" w:hAnsi="宋体" w:eastAsia="宋体" w:cs="宋体"/>
          <w:color w:val="auto"/>
          <w:sz w:val="24"/>
          <w:szCs w:val="24"/>
          <w:lang w:val="en-US" w:eastAsia="zh-CN"/>
        </w:rPr>
        <w:t>；</w:t>
      </w:r>
    </w:p>
    <w:p w14:paraId="6B954B28">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9、质量要求：符合国家现行规范和标准，并满足采购人要求；</w:t>
      </w:r>
    </w:p>
    <w:p w14:paraId="6923048B">
      <w:pPr>
        <w:pStyle w:val="14"/>
        <w:keepNext w:val="0"/>
        <w:keepLines w:val="0"/>
        <w:pageBreakBefore w:val="0"/>
        <w:widowControl w:val="0"/>
        <w:kinsoku/>
        <w:wordWrap w:val="0"/>
        <w:overflowPunct/>
        <w:topLinePunct w:val="0"/>
        <w:autoSpaceDE w:val="0"/>
        <w:autoSpaceDN w:val="0"/>
        <w:bidi w:val="0"/>
        <w:adjustRightInd/>
        <w:snapToGrid/>
        <w:spacing w:line="560" w:lineRule="exact"/>
        <w:ind w:firstLine="482"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二、设计内容：</w:t>
      </w:r>
    </w:p>
    <w:p w14:paraId="7AB3EBD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bookmarkStart w:id="173" w:name="_Toc22914"/>
      <w:bookmarkStart w:id="174" w:name="_Toc31041"/>
      <w:bookmarkStart w:id="175" w:name="_Toc4566"/>
      <w:bookmarkStart w:id="176" w:name="_Toc373253036"/>
      <w:bookmarkStart w:id="177" w:name="_Toc20597"/>
      <w:bookmarkStart w:id="178" w:name="_Toc27530"/>
      <w:bookmarkStart w:id="179" w:name="_Toc267495621"/>
      <w:r>
        <w:rPr>
          <w:rFonts w:hint="eastAsia" w:ascii="宋体" w:hAnsi="宋体" w:eastAsia="宋体" w:cs="宋体"/>
          <w:color w:val="auto"/>
          <w:sz w:val="24"/>
          <w:szCs w:val="24"/>
          <w:lang w:val="en-US" w:eastAsia="zh-CN"/>
        </w:rPr>
        <w:t>1.设计依据</w:t>
      </w:r>
      <w:bookmarkEnd w:id="173"/>
      <w:bookmarkEnd w:id="174"/>
      <w:bookmarkEnd w:id="175"/>
      <w:bookmarkEnd w:id="176"/>
      <w:bookmarkEnd w:id="177"/>
      <w:bookmarkEnd w:id="178"/>
    </w:p>
    <w:p w14:paraId="2940D2B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采用的主要标准及规范(不限于此)</w:t>
      </w:r>
    </w:p>
    <w:p w14:paraId="79C24F6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1、国家现行规范、规程，行业标准以及（省、市）地方标准</w:t>
      </w:r>
      <w:r>
        <w:rPr>
          <w:rFonts w:hint="eastAsia" w:ascii="宋体" w:hAnsi="宋体" w:cs="宋体"/>
          <w:color w:val="auto"/>
          <w:sz w:val="24"/>
          <w:szCs w:val="24"/>
          <w:lang w:val="en-US" w:eastAsia="zh-CN"/>
        </w:rPr>
        <w:t>；</w:t>
      </w:r>
    </w:p>
    <w:p w14:paraId="2007C861">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2、采购人与供应商签订的工程设计合同:</w:t>
      </w:r>
    </w:p>
    <w:p w14:paraId="6435914C">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以上规范如有变化，以最新发布的为准。</w:t>
      </w:r>
    </w:p>
    <w:p w14:paraId="2D4793AB">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设计依据（不限于此）仅供投标人编制响应文件时参考。若由于采用所列设计依据而导致任何后果，均由响应人自行负责。</w:t>
      </w:r>
      <w:bookmarkEnd w:id="179"/>
      <w:bookmarkStart w:id="180" w:name="_Toc15088"/>
      <w:bookmarkStart w:id="181" w:name="_Toc6577"/>
      <w:bookmarkStart w:id="182" w:name="_Toc13"/>
      <w:bookmarkStart w:id="183" w:name="_Toc23807"/>
      <w:bookmarkStart w:id="184" w:name="_Toc14508"/>
      <w:bookmarkStart w:id="185" w:name="_Toc373253037"/>
    </w:p>
    <w:p w14:paraId="2161419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2.设计基本要求</w:t>
      </w:r>
      <w:bookmarkEnd w:id="180"/>
      <w:bookmarkEnd w:id="181"/>
      <w:bookmarkEnd w:id="182"/>
      <w:bookmarkEnd w:id="183"/>
      <w:bookmarkEnd w:id="184"/>
      <w:bookmarkEnd w:id="185"/>
    </w:p>
    <w:p w14:paraId="51FD986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（1）严格按照上级部门批准的方案。</w:t>
      </w:r>
    </w:p>
    <w:p w14:paraId="1795FF3E">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default"/>
          <w:highlight w:val="none"/>
          <w:lang w:val="en-US" w:eastAsia="zh-CN"/>
        </w:rPr>
      </w:pPr>
      <w:r>
        <w:rPr>
          <w:rFonts w:hint="eastAsia" w:cs="宋体"/>
          <w:color w:val="auto"/>
          <w:sz w:val="24"/>
          <w:szCs w:val="24"/>
          <w:highlight w:val="none"/>
          <w:lang w:val="en-US" w:eastAsia="zh-CN"/>
        </w:rPr>
        <w:t>（2）设计成果符合图纸预算要求</w:t>
      </w:r>
    </w:p>
    <w:p w14:paraId="0ABA3AC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）设计的质量和深度必须满足各相关部门的技术审查要求。</w:t>
      </w:r>
    </w:p>
    <w:p w14:paraId="77FB1DC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）设计周期必须满足竞争性磋商文件要求的时间。</w:t>
      </w:r>
    </w:p>
    <w:p w14:paraId="42F4D65E">
      <w:pPr>
        <w:rPr>
          <w:rFonts w:hint="default"/>
          <w:highlight w:val="none"/>
          <w:lang w:val="en-US" w:eastAsia="zh-CN"/>
        </w:rPr>
      </w:pPr>
      <w:r>
        <w:rPr>
          <w:rFonts w:hint="eastAsia" w:cs="宋体"/>
          <w:color w:val="auto"/>
          <w:sz w:val="24"/>
          <w:szCs w:val="24"/>
          <w:highlight w:val="none"/>
          <w:lang w:val="en-US" w:eastAsia="zh-CN"/>
        </w:rPr>
        <w:t xml:space="preserve">   </w:t>
      </w:r>
    </w:p>
    <w:p w14:paraId="3BC1E0F4">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设计成果数量</w:t>
      </w:r>
    </w:p>
    <w:p w14:paraId="75ACC48A">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none"/>
          <w:lang w:val="en-US" w:eastAsia="zh-CN"/>
        </w:rPr>
      </w:pPr>
      <w:bookmarkStart w:id="186" w:name="_Toc30570"/>
      <w:bookmarkStart w:id="187" w:name="_Toc2414"/>
      <w:r>
        <w:rPr>
          <w:rFonts w:hint="eastAsia" w:ascii="宋体" w:hAnsi="宋体" w:eastAsia="宋体" w:cs="宋体"/>
          <w:color w:val="auto"/>
          <w:sz w:val="24"/>
          <w:szCs w:val="24"/>
          <w:highlight w:val="none"/>
          <w:lang w:val="en-US" w:eastAsia="zh-CN"/>
        </w:rPr>
        <w:t>图纸电子版1份，纸质版4份；</w:t>
      </w:r>
      <w:bookmarkStart w:id="188" w:name="_Toc22448"/>
    </w:p>
    <w:p w14:paraId="4C53E320">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4A07F36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782F8DF3">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614A43DB">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701F58F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25F23B5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741FD802">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2FB08E69">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62DDCF3D">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80" w:firstLineChars="200"/>
        <w:textAlignment w:val="auto"/>
        <w:rPr>
          <w:rFonts w:hint="eastAsia" w:ascii="宋体" w:hAnsi="宋体" w:eastAsia="宋体" w:cs="宋体"/>
          <w:color w:val="auto"/>
          <w:sz w:val="24"/>
          <w:szCs w:val="24"/>
          <w:highlight w:val="yellow"/>
          <w:lang w:val="en-US" w:eastAsia="zh-CN"/>
        </w:rPr>
      </w:pPr>
    </w:p>
    <w:p w14:paraId="761874D7">
      <w:pPr>
        <w:pStyle w:val="8"/>
        <w:keepNext w:val="0"/>
        <w:keepLines w:val="0"/>
        <w:pageBreakBefore w:val="0"/>
        <w:widowControl w:val="0"/>
        <w:numPr>
          <w:ilvl w:val="0"/>
          <w:numId w:val="0"/>
        </w:numPr>
        <w:kinsoku/>
        <w:wordWrap w:val="0"/>
        <w:overflowPunct/>
        <w:topLinePunct w:val="0"/>
        <w:autoSpaceDE w:val="0"/>
        <w:autoSpaceDN w:val="0"/>
        <w:bidi w:val="0"/>
        <w:adjustRightInd/>
        <w:snapToGrid/>
        <w:spacing w:before="161" w:line="560" w:lineRule="exact"/>
        <w:ind w:firstLine="4096" w:firstLineChars="1700"/>
        <w:textAlignment w:val="auto"/>
        <w:rPr>
          <w:color w:val="auto"/>
        </w:rPr>
      </w:pPr>
      <w:r>
        <w:rPr>
          <w:rFonts w:hint="eastAsia"/>
          <w:b/>
          <w:bCs/>
          <w:color w:val="auto"/>
        </w:rPr>
        <w:t>第四章</w:t>
      </w:r>
      <w:r>
        <w:rPr>
          <w:rFonts w:hint="eastAsia"/>
          <w:b/>
          <w:bCs/>
          <w:color w:val="auto"/>
          <w:lang w:val="en-US" w:eastAsia="zh-CN"/>
        </w:rPr>
        <w:t xml:space="preserve"> </w:t>
      </w:r>
      <w:r>
        <w:rPr>
          <w:b/>
          <w:bCs/>
          <w:color w:val="auto"/>
        </w:rPr>
        <w:t>评审办法</w:t>
      </w:r>
      <w:bookmarkEnd w:id="186"/>
      <w:bookmarkEnd w:id="188"/>
    </w:p>
    <w:p w14:paraId="63E5F7A5">
      <w:pPr>
        <w:spacing w:line="460" w:lineRule="exact"/>
        <w:jc w:val="center"/>
        <w:rPr>
          <w:rFonts w:hint="eastAsia" w:eastAsia="宋体"/>
          <w:color w:val="auto"/>
          <w:sz w:val="28"/>
          <w:szCs w:val="28"/>
          <w:lang w:val="en-US" w:eastAsia="zh-CN"/>
        </w:rPr>
      </w:pPr>
      <w:bookmarkStart w:id="189" w:name="_Toc28583_WPSOffice_Level2"/>
      <w:r>
        <w:rPr>
          <w:rFonts w:hint="eastAsia"/>
          <w:color w:val="auto"/>
          <w:sz w:val="28"/>
          <w:szCs w:val="28"/>
        </w:rPr>
        <w:t>评标办法前附表</w:t>
      </w:r>
      <w:bookmarkEnd w:id="189"/>
    </w:p>
    <w:tbl>
      <w:tblPr>
        <w:tblStyle w:val="19"/>
        <w:tblW w:w="9463"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183"/>
        <w:gridCol w:w="2040"/>
        <w:gridCol w:w="5295"/>
      </w:tblGrid>
      <w:tr w14:paraId="2120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28" w:type="dxa"/>
            <w:gridSpan w:val="2"/>
            <w:vAlign w:val="center"/>
          </w:tcPr>
          <w:p w14:paraId="16DC9D47">
            <w:pPr>
              <w:jc w:val="center"/>
              <w:rPr>
                <w:b/>
                <w:color w:val="auto"/>
                <w:szCs w:val="21"/>
              </w:rPr>
            </w:pPr>
            <w:r>
              <w:rPr>
                <w:rFonts w:hint="eastAsia"/>
                <w:b/>
                <w:color w:val="auto"/>
                <w:szCs w:val="21"/>
              </w:rPr>
              <w:t>条款号</w:t>
            </w:r>
          </w:p>
        </w:tc>
        <w:tc>
          <w:tcPr>
            <w:tcW w:w="2040" w:type="dxa"/>
            <w:vAlign w:val="center"/>
          </w:tcPr>
          <w:p w14:paraId="7D15A16D">
            <w:pPr>
              <w:jc w:val="center"/>
              <w:rPr>
                <w:b/>
                <w:color w:val="auto"/>
                <w:szCs w:val="21"/>
              </w:rPr>
            </w:pPr>
            <w:r>
              <w:rPr>
                <w:rFonts w:hint="eastAsia"/>
                <w:b/>
                <w:color w:val="auto"/>
                <w:szCs w:val="21"/>
              </w:rPr>
              <w:t>评审因素</w:t>
            </w:r>
          </w:p>
        </w:tc>
        <w:tc>
          <w:tcPr>
            <w:tcW w:w="5295" w:type="dxa"/>
            <w:vAlign w:val="center"/>
          </w:tcPr>
          <w:p w14:paraId="2799ADCC">
            <w:pPr>
              <w:jc w:val="center"/>
              <w:rPr>
                <w:b/>
                <w:color w:val="auto"/>
                <w:szCs w:val="21"/>
              </w:rPr>
            </w:pPr>
            <w:r>
              <w:rPr>
                <w:rFonts w:hint="eastAsia"/>
                <w:b/>
                <w:color w:val="auto"/>
                <w:szCs w:val="21"/>
              </w:rPr>
              <w:t>评审标准</w:t>
            </w:r>
          </w:p>
        </w:tc>
      </w:tr>
      <w:tr w14:paraId="4EA3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trPr>
        <w:tc>
          <w:tcPr>
            <w:tcW w:w="945" w:type="dxa"/>
            <w:vMerge w:val="restart"/>
            <w:vAlign w:val="center"/>
          </w:tcPr>
          <w:p w14:paraId="45C32D3F">
            <w:pPr>
              <w:jc w:val="center"/>
              <w:rPr>
                <w:color w:val="auto"/>
                <w:szCs w:val="21"/>
              </w:rPr>
            </w:pPr>
            <w:r>
              <w:rPr>
                <w:rFonts w:hint="eastAsia"/>
                <w:color w:val="auto"/>
                <w:szCs w:val="21"/>
              </w:rPr>
              <w:t>2.1.1</w:t>
            </w:r>
          </w:p>
        </w:tc>
        <w:tc>
          <w:tcPr>
            <w:tcW w:w="1183" w:type="dxa"/>
            <w:vMerge w:val="restart"/>
            <w:vAlign w:val="center"/>
          </w:tcPr>
          <w:p w14:paraId="30EDFC87">
            <w:pPr>
              <w:jc w:val="center"/>
              <w:rPr>
                <w:color w:val="auto"/>
                <w:szCs w:val="21"/>
              </w:rPr>
            </w:pPr>
            <w:r>
              <w:rPr>
                <w:rFonts w:hint="eastAsia"/>
                <w:color w:val="auto"/>
                <w:szCs w:val="21"/>
              </w:rPr>
              <w:t>形式评审标准</w:t>
            </w:r>
          </w:p>
        </w:tc>
        <w:tc>
          <w:tcPr>
            <w:tcW w:w="2040" w:type="dxa"/>
            <w:vAlign w:val="center"/>
          </w:tcPr>
          <w:p w14:paraId="0DCD1CB0">
            <w:pPr>
              <w:spacing w:line="240" w:lineRule="auto"/>
              <w:ind w:firstLine="220" w:firstLineChars="100"/>
              <w:jc w:val="both"/>
              <w:rPr>
                <w:color w:val="auto"/>
                <w:szCs w:val="21"/>
              </w:rPr>
            </w:pPr>
            <w:r>
              <w:rPr>
                <w:rFonts w:hint="eastAsia"/>
                <w:color w:val="auto"/>
                <w:szCs w:val="21"/>
              </w:rPr>
              <w:t>供应商名称</w:t>
            </w:r>
          </w:p>
        </w:tc>
        <w:tc>
          <w:tcPr>
            <w:tcW w:w="5295" w:type="dxa"/>
            <w:vAlign w:val="center"/>
          </w:tcPr>
          <w:p w14:paraId="2315EBF1">
            <w:pPr>
              <w:spacing w:line="240" w:lineRule="auto"/>
              <w:rPr>
                <w:bCs/>
                <w:color w:val="auto"/>
                <w:szCs w:val="21"/>
                <w:lang w:val="en-US"/>
              </w:rPr>
            </w:pPr>
            <w:r>
              <w:rPr>
                <w:rFonts w:hint="eastAsia"/>
                <w:bCs/>
                <w:color w:val="auto"/>
                <w:szCs w:val="21"/>
                <w:lang w:val="en-US"/>
              </w:rPr>
              <w:t>与营业执照等一致</w:t>
            </w:r>
          </w:p>
        </w:tc>
      </w:tr>
      <w:tr w14:paraId="7E00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945" w:type="dxa"/>
            <w:vMerge w:val="continue"/>
            <w:vAlign w:val="top"/>
          </w:tcPr>
          <w:p w14:paraId="486D5E09">
            <w:pPr>
              <w:rPr>
                <w:color w:val="auto"/>
                <w:szCs w:val="21"/>
              </w:rPr>
            </w:pPr>
          </w:p>
        </w:tc>
        <w:tc>
          <w:tcPr>
            <w:tcW w:w="1183" w:type="dxa"/>
            <w:vMerge w:val="continue"/>
            <w:vAlign w:val="top"/>
          </w:tcPr>
          <w:p w14:paraId="4F0FD742">
            <w:pPr>
              <w:rPr>
                <w:color w:val="auto"/>
                <w:szCs w:val="21"/>
              </w:rPr>
            </w:pPr>
          </w:p>
        </w:tc>
        <w:tc>
          <w:tcPr>
            <w:tcW w:w="2040" w:type="dxa"/>
            <w:vAlign w:val="center"/>
          </w:tcPr>
          <w:p w14:paraId="49ADB66C">
            <w:pPr>
              <w:spacing w:line="240" w:lineRule="auto"/>
              <w:jc w:val="center"/>
              <w:rPr>
                <w:color w:val="auto"/>
                <w:szCs w:val="21"/>
              </w:rPr>
            </w:pPr>
            <w:r>
              <w:rPr>
                <w:rFonts w:hint="eastAsia"/>
                <w:color w:val="auto"/>
                <w:szCs w:val="21"/>
              </w:rPr>
              <w:t>投标函签章</w:t>
            </w:r>
          </w:p>
        </w:tc>
        <w:tc>
          <w:tcPr>
            <w:tcW w:w="5295" w:type="dxa"/>
            <w:vAlign w:val="center"/>
          </w:tcPr>
          <w:p w14:paraId="03115BEF">
            <w:pPr>
              <w:spacing w:line="240" w:lineRule="auto"/>
              <w:rPr>
                <w:bCs/>
                <w:color w:val="auto"/>
                <w:szCs w:val="21"/>
                <w:lang w:val="en-US"/>
              </w:rPr>
            </w:pPr>
            <w:r>
              <w:rPr>
                <w:rFonts w:hint="eastAsia"/>
                <w:bCs/>
                <w:color w:val="auto"/>
                <w:szCs w:val="21"/>
                <w:lang w:val="en-US"/>
              </w:rPr>
              <w:t>符合竞争性磋商文件要求的签章或标注的内容</w:t>
            </w:r>
          </w:p>
        </w:tc>
      </w:tr>
      <w:tr w14:paraId="3322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45" w:type="dxa"/>
            <w:vMerge w:val="continue"/>
            <w:vAlign w:val="top"/>
          </w:tcPr>
          <w:p w14:paraId="444C7E0F">
            <w:pPr>
              <w:rPr>
                <w:color w:val="auto"/>
                <w:szCs w:val="21"/>
              </w:rPr>
            </w:pPr>
          </w:p>
        </w:tc>
        <w:tc>
          <w:tcPr>
            <w:tcW w:w="1183" w:type="dxa"/>
            <w:vMerge w:val="continue"/>
            <w:vAlign w:val="top"/>
          </w:tcPr>
          <w:p w14:paraId="66CF7585">
            <w:pPr>
              <w:rPr>
                <w:color w:val="auto"/>
                <w:szCs w:val="21"/>
              </w:rPr>
            </w:pPr>
          </w:p>
        </w:tc>
        <w:tc>
          <w:tcPr>
            <w:tcW w:w="2040" w:type="dxa"/>
            <w:vAlign w:val="center"/>
          </w:tcPr>
          <w:p w14:paraId="24B6082F">
            <w:pPr>
              <w:spacing w:line="240" w:lineRule="auto"/>
              <w:ind w:firstLine="220" w:firstLineChars="100"/>
              <w:jc w:val="both"/>
              <w:rPr>
                <w:color w:val="auto"/>
                <w:szCs w:val="21"/>
              </w:rPr>
            </w:pPr>
            <w:r>
              <w:rPr>
                <w:rFonts w:hint="eastAsia"/>
                <w:color w:val="auto"/>
                <w:szCs w:val="21"/>
              </w:rPr>
              <w:t>响应文件格式</w:t>
            </w:r>
          </w:p>
        </w:tc>
        <w:tc>
          <w:tcPr>
            <w:tcW w:w="5295" w:type="dxa"/>
            <w:vAlign w:val="center"/>
          </w:tcPr>
          <w:p w14:paraId="68DE76DB">
            <w:pPr>
              <w:spacing w:line="240" w:lineRule="auto"/>
              <w:rPr>
                <w:bCs/>
                <w:color w:val="auto"/>
                <w:szCs w:val="21"/>
                <w:lang w:val="en-US"/>
              </w:rPr>
            </w:pPr>
            <w:r>
              <w:rPr>
                <w:rFonts w:hint="eastAsia"/>
                <w:bCs/>
                <w:color w:val="auto"/>
                <w:szCs w:val="21"/>
                <w:lang w:val="en-US"/>
              </w:rPr>
              <w:t>符合“响应文件格式”的要求</w:t>
            </w:r>
          </w:p>
        </w:tc>
      </w:tr>
      <w:tr w14:paraId="6851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945" w:type="dxa"/>
            <w:vMerge w:val="continue"/>
            <w:vAlign w:val="top"/>
          </w:tcPr>
          <w:p w14:paraId="3307AFC7">
            <w:pPr>
              <w:rPr>
                <w:color w:val="auto"/>
                <w:szCs w:val="21"/>
              </w:rPr>
            </w:pPr>
          </w:p>
        </w:tc>
        <w:tc>
          <w:tcPr>
            <w:tcW w:w="1183" w:type="dxa"/>
            <w:vMerge w:val="continue"/>
            <w:vAlign w:val="top"/>
          </w:tcPr>
          <w:p w14:paraId="0C075B4F">
            <w:pPr>
              <w:rPr>
                <w:color w:val="auto"/>
                <w:szCs w:val="21"/>
              </w:rPr>
            </w:pPr>
          </w:p>
        </w:tc>
        <w:tc>
          <w:tcPr>
            <w:tcW w:w="2040" w:type="dxa"/>
            <w:vAlign w:val="center"/>
          </w:tcPr>
          <w:p w14:paraId="1A16D15E">
            <w:pPr>
              <w:spacing w:line="240" w:lineRule="auto"/>
              <w:ind w:firstLine="440" w:firstLineChars="200"/>
              <w:jc w:val="center"/>
              <w:rPr>
                <w:color w:val="auto"/>
                <w:szCs w:val="21"/>
              </w:rPr>
            </w:pPr>
            <w:r>
              <w:rPr>
                <w:rFonts w:hint="eastAsia"/>
                <w:color w:val="auto"/>
                <w:szCs w:val="21"/>
              </w:rPr>
              <w:t>报价唯一</w:t>
            </w:r>
          </w:p>
        </w:tc>
        <w:tc>
          <w:tcPr>
            <w:tcW w:w="5295" w:type="dxa"/>
            <w:vAlign w:val="center"/>
          </w:tcPr>
          <w:p w14:paraId="6AFB6521">
            <w:pPr>
              <w:spacing w:line="240" w:lineRule="auto"/>
              <w:rPr>
                <w:bCs/>
                <w:color w:val="auto"/>
                <w:szCs w:val="21"/>
                <w:lang w:val="en-US"/>
              </w:rPr>
            </w:pPr>
            <w:r>
              <w:rPr>
                <w:rFonts w:hint="eastAsia"/>
                <w:bCs/>
                <w:color w:val="auto"/>
                <w:szCs w:val="21"/>
                <w:lang w:val="en-US"/>
              </w:rPr>
              <w:t>只能有一个有效报价</w:t>
            </w:r>
          </w:p>
        </w:tc>
      </w:tr>
      <w:tr w14:paraId="5E8F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trPr>
        <w:tc>
          <w:tcPr>
            <w:tcW w:w="945" w:type="dxa"/>
            <w:vMerge w:val="restart"/>
            <w:vAlign w:val="center"/>
          </w:tcPr>
          <w:p w14:paraId="4F0DE9D9">
            <w:pPr>
              <w:jc w:val="center"/>
              <w:rPr>
                <w:color w:val="auto"/>
                <w:szCs w:val="21"/>
              </w:rPr>
            </w:pPr>
            <w:r>
              <w:rPr>
                <w:rFonts w:hint="eastAsia"/>
                <w:color w:val="auto"/>
                <w:szCs w:val="21"/>
              </w:rPr>
              <w:t>2.1.2</w:t>
            </w:r>
          </w:p>
        </w:tc>
        <w:tc>
          <w:tcPr>
            <w:tcW w:w="1183" w:type="dxa"/>
            <w:vMerge w:val="restart"/>
            <w:vAlign w:val="center"/>
          </w:tcPr>
          <w:p w14:paraId="6752C82B">
            <w:pPr>
              <w:jc w:val="center"/>
              <w:rPr>
                <w:color w:val="auto"/>
                <w:szCs w:val="21"/>
              </w:rPr>
            </w:pPr>
            <w:r>
              <w:rPr>
                <w:rFonts w:hint="eastAsia"/>
                <w:color w:val="auto"/>
                <w:szCs w:val="21"/>
              </w:rPr>
              <w:t>资格评审标准</w:t>
            </w:r>
          </w:p>
        </w:tc>
        <w:tc>
          <w:tcPr>
            <w:tcW w:w="2040" w:type="dxa"/>
            <w:vAlign w:val="center"/>
          </w:tcPr>
          <w:p w14:paraId="6D9190D8">
            <w:pPr>
              <w:spacing w:line="240" w:lineRule="auto"/>
              <w:jc w:val="both"/>
              <w:rPr>
                <w:color w:val="auto"/>
                <w:szCs w:val="21"/>
              </w:rPr>
            </w:pPr>
            <w:r>
              <w:rPr>
                <w:rFonts w:hint="eastAsia"/>
                <w:color w:val="auto"/>
                <w:szCs w:val="21"/>
              </w:rPr>
              <w:t>落实政府采购政策满足的资格要求</w:t>
            </w:r>
          </w:p>
        </w:tc>
        <w:tc>
          <w:tcPr>
            <w:tcW w:w="5295" w:type="dxa"/>
            <w:vAlign w:val="center"/>
          </w:tcPr>
          <w:p w14:paraId="3FC4FE36">
            <w:pPr>
              <w:spacing w:line="240" w:lineRule="auto"/>
              <w:jc w:val="both"/>
              <w:rPr>
                <w:bCs/>
                <w:color w:val="auto"/>
                <w:szCs w:val="21"/>
                <w:lang w:val="en-US"/>
              </w:rPr>
            </w:pPr>
            <w:r>
              <w:rPr>
                <w:rFonts w:hint="eastAsia"/>
                <w:bCs/>
                <w:color w:val="auto"/>
                <w:szCs w:val="21"/>
                <w:lang w:val="en-US"/>
              </w:rPr>
              <w:t>根据《政府采购促进中小企业发展管理办法》（财库〔2020〕46号）规定，本项目专门面向中小企业采购；同时投标供应商须提供《中小企业声明函》</w:t>
            </w:r>
          </w:p>
        </w:tc>
      </w:tr>
      <w:tr w14:paraId="4561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9" w:hRule="atLeast"/>
        </w:trPr>
        <w:tc>
          <w:tcPr>
            <w:tcW w:w="945" w:type="dxa"/>
            <w:vMerge w:val="continue"/>
            <w:vAlign w:val="center"/>
          </w:tcPr>
          <w:p w14:paraId="51F6C2D6">
            <w:pPr>
              <w:jc w:val="center"/>
              <w:rPr>
                <w:color w:val="auto"/>
                <w:szCs w:val="21"/>
              </w:rPr>
            </w:pPr>
          </w:p>
        </w:tc>
        <w:tc>
          <w:tcPr>
            <w:tcW w:w="1183" w:type="dxa"/>
            <w:vMerge w:val="continue"/>
            <w:vAlign w:val="center"/>
          </w:tcPr>
          <w:p w14:paraId="22DE2118">
            <w:pPr>
              <w:spacing w:line="360" w:lineRule="auto"/>
              <w:rPr>
                <w:color w:val="auto"/>
                <w:szCs w:val="21"/>
              </w:rPr>
            </w:pPr>
          </w:p>
        </w:tc>
        <w:tc>
          <w:tcPr>
            <w:tcW w:w="2040" w:type="dxa"/>
            <w:vAlign w:val="center"/>
          </w:tcPr>
          <w:p w14:paraId="0A085826">
            <w:pPr>
              <w:spacing w:line="240" w:lineRule="auto"/>
              <w:ind w:firstLine="440" w:firstLineChars="200"/>
              <w:jc w:val="both"/>
              <w:rPr>
                <w:rFonts w:hint="eastAsia" w:ascii="宋体" w:hAnsi="宋体" w:eastAsia="宋体" w:cs="宋体"/>
                <w:color w:val="auto"/>
                <w:sz w:val="22"/>
                <w:szCs w:val="21"/>
                <w:lang w:val="zh-CN" w:eastAsia="zh-CN" w:bidi="zh-CN"/>
              </w:rPr>
            </w:pPr>
            <w:r>
              <w:rPr>
                <w:rFonts w:hint="eastAsia"/>
                <w:color w:val="auto"/>
                <w:szCs w:val="21"/>
              </w:rPr>
              <w:t>营业执照</w:t>
            </w:r>
          </w:p>
        </w:tc>
        <w:tc>
          <w:tcPr>
            <w:tcW w:w="5295" w:type="dxa"/>
            <w:vAlign w:val="center"/>
          </w:tcPr>
          <w:p w14:paraId="2E09E37E">
            <w:pPr>
              <w:spacing w:line="240" w:lineRule="auto"/>
              <w:jc w:val="both"/>
              <w:rPr>
                <w:rFonts w:ascii="宋体" w:hAnsi="宋体" w:eastAsia="宋体" w:cs="宋体"/>
                <w:bCs/>
                <w:color w:val="auto"/>
                <w:sz w:val="22"/>
                <w:szCs w:val="21"/>
                <w:lang w:val="en-US" w:eastAsia="zh-CN" w:bidi="zh-CN"/>
              </w:rPr>
            </w:pPr>
            <w:r>
              <w:rPr>
                <w:rFonts w:hint="eastAsia" w:ascii="宋体" w:hAnsi="宋体" w:eastAsia="宋体" w:cs="宋体"/>
                <w:color w:val="auto"/>
                <w:szCs w:val="21"/>
                <w:lang w:val="en-US" w:eastAsia="zh-CN"/>
              </w:rPr>
              <w:t>具有有效的营业执照、税务登记证、组织机构代码证（或有效的统一社会信用代码三证合一营业执照）或事业单位法人证书</w:t>
            </w:r>
          </w:p>
        </w:tc>
      </w:tr>
      <w:tr w14:paraId="10023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945" w:type="dxa"/>
            <w:vMerge w:val="continue"/>
            <w:vAlign w:val="center"/>
          </w:tcPr>
          <w:p w14:paraId="42958CA6">
            <w:pPr>
              <w:jc w:val="center"/>
              <w:rPr>
                <w:color w:val="auto"/>
                <w:szCs w:val="21"/>
              </w:rPr>
            </w:pPr>
          </w:p>
        </w:tc>
        <w:tc>
          <w:tcPr>
            <w:tcW w:w="1183" w:type="dxa"/>
            <w:vMerge w:val="continue"/>
            <w:vAlign w:val="center"/>
          </w:tcPr>
          <w:p w14:paraId="53BB1CC9">
            <w:pPr>
              <w:spacing w:line="360" w:lineRule="auto"/>
              <w:rPr>
                <w:color w:val="auto"/>
                <w:szCs w:val="21"/>
              </w:rPr>
            </w:pPr>
          </w:p>
        </w:tc>
        <w:tc>
          <w:tcPr>
            <w:tcW w:w="2040" w:type="dxa"/>
            <w:vAlign w:val="center"/>
          </w:tcPr>
          <w:p w14:paraId="107C244E">
            <w:pPr>
              <w:spacing w:line="240" w:lineRule="auto"/>
              <w:ind w:firstLine="440" w:firstLineChars="200"/>
              <w:jc w:val="both"/>
              <w:rPr>
                <w:color w:val="auto"/>
                <w:szCs w:val="21"/>
                <w:highlight w:val="none"/>
              </w:rPr>
            </w:pPr>
            <w:r>
              <w:rPr>
                <w:rFonts w:hint="eastAsia"/>
                <w:color w:val="auto"/>
                <w:szCs w:val="21"/>
                <w:highlight w:val="none"/>
              </w:rPr>
              <w:t>供应商资质</w:t>
            </w:r>
          </w:p>
        </w:tc>
        <w:tc>
          <w:tcPr>
            <w:tcW w:w="5295" w:type="dxa"/>
            <w:vAlign w:val="center"/>
          </w:tcPr>
          <w:p w14:paraId="2B80579F">
            <w:pPr>
              <w:bidi w:val="0"/>
              <w:rPr>
                <w:bCs/>
                <w:color w:val="auto"/>
                <w:sz w:val="20"/>
                <w:szCs w:val="18"/>
                <w:highlight w:val="none"/>
              </w:rPr>
            </w:pPr>
            <w:r>
              <w:rPr>
                <w:rFonts w:hint="eastAsia"/>
                <w:lang w:val="en-US" w:eastAsia="zh-CN"/>
              </w:rPr>
              <w:t>须具有城乡规划乙级（含）以上资质或</w:t>
            </w:r>
            <w:r>
              <w:rPr>
                <w:rFonts w:hint="eastAsia"/>
              </w:rPr>
              <w:t>风景园林设计乙级（含）以上资质</w:t>
            </w:r>
            <w:r>
              <w:rPr>
                <w:rFonts w:hint="eastAsia"/>
                <w:lang w:val="en-US" w:eastAsia="zh-CN"/>
              </w:rPr>
              <w:t>；</w:t>
            </w:r>
          </w:p>
        </w:tc>
      </w:tr>
      <w:tr w14:paraId="27627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trPr>
        <w:tc>
          <w:tcPr>
            <w:tcW w:w="945" w:type="dxa"/>
            <w:vMerge w:val="continue"/>
            <w:vAlign w:val="center"/>
          </w:tcPr>
          <w:p w14:paraId="6717EFF3">
            <w:pPr>
              <w:jc w:val="center"/>
              <w:rPr>
                <w:color w:val="auto"/>
                <w:szCs w:val="21"/>
              </w:rPr>
            </w:pPr>
          </w:p>
        </w:tc>
        <w:tc>
          <w:tcPr>
            <w:tcW w:w="1183" w:type="dxa"/>
            <w:vMerge w:val="continue"/>
            <w:vAlign w:val="center"/>
          </w:tcPr>
          <w:p w14:paraId="7FFB687A">
            <w:pPr>
              <w:spacing w:line="360" w:lineRule="auto"/>
              <w:rPr>
                <w:color w:val="auto"/>
                <w:szCs w:val="21"/>
              </w:rPr>
            </w:pPr>
          </w:p>
        </w:tc>
        <w:tc>
          <w:tcPr>
            <w:tcW w:w="2040" w:type="dxa"/>
            <w:vAlign w:val="center"/>
          </w:tcPr>
          <w:p w14:paraId="38AAD6B8">
            <w:pPr>
              <w:spacing w:line="240" w:lineRule="auto"/>
              <w:ind w:firstLine="440" w:firstLineChars="200"/>
              <w:jc w:val="both"/>
              <w:rPr>
                <w:rFonts w:hint="eastAsia" w:eastAsia="宋体"/>
                <w:color w:val="auto"/>
                <w:szCs w:val="21"/>
                <w:highlight w:val="none"/>
                <w:lang w:eastAsia="zh-CN"/>
              </w:rPr>
            </w:pPr>
            <w:r>
              <w:rPr>
                <w:rFonts w:hint="eastAsia"/>
                <w:color w:val="auto"/>
                <w:szCs w:val="21"/>
                <w:highlight w:val="none"/>
                <w:lang w:eastAsia="zh-CN"/>
              </w:rPr>
              <w:t>项目负责人</w:t>
            </w:r>
          </w:p>
        </w:tc>
        <w:tc>
          <w:tcPr>
            <w:tcW w:w="5295" w:type="dxa"/>
            <w:vAlign w:val="center"/>
          </w:tcPr>
          <w:p w14:paraId="276E4C0F">
            <w:pPr>
              <w:spacing w:line="240" w:lineRule="auto"/>
              <w:jc w:val="both"/>
              <w:rPr>
                <w:rFonts w:hint="eastAsia"/>
                <w:bCs/>
                <w:color w:val="auto"/>
                <w:sz w:val="20"/>
                <w:szCs w:val="18"/>
                <w:highlight w:val="none"/>
                <w:lang w:val="en-US" w:eastAsia="zh-CN"/>
              </w:rPr>
            </w:pPr>
            <w:r>
              <w:rPr>
                <w:rFonts w:hint="eastAsia" w:ascii="宋体" w:hAnsi="宋体" w:eastAsia="宋体" w:cs="宋体"/>
                <w:bCs/>
                <w:color w:val="auto"/>
                <w:sz w:val="22"/>
                <w:szCs w:val="22"/>
                <w:highlight w:val="none"/>
                <w:lang w:val="en-US" w:eastAsia="zh-CN"/>
              </w:rPr>
              <w:t>拟派项目负责人须具有一级注册建筑师证书和相关专业高级及以上技术职称，须为本企业正式人员（须提供与本企业签订的劳务合同</w:t>
            </w:r>
            <w:r>
              <w:rPr>
                <w:rFonts w:hint="eastAsia" w:ascii="宋体" w:hAnsi="宋体" w:cs="宋体"/>
                <w:bCs/>
                <w:color w:val="auto"/>
                <w:sz w:val="22"/>
                <w:szCs w:val="22"/>
                <w:highlight w:val="none"/>
                <w:lang w:val="en-US" w:eastAsia="zh-CN"/>
              </w:rPr>
              <w:t>)</w:t>
            </w:r>
            <w:r>
              <w:rPr>
                <w:rFonts w:hint="eastAsia" w:ascii="宋体" w:hAnsi="宋体" w:eastAsia="宋体" w:cs="宋体"/>
                <w:bCs/>
                <w:color w:val="auto"/>
                <w:sz w:val="22"/>
                <w:szCs w:val="22"/>
                <w:highlight w:val="none"/>
                <w:lang w:val="en-US" w:eastAsia="zh-CN"/>
              </w:rPr>
              <w:t>  </w:t>
            </w:r>
          </w:p>
        </w:tc>
      </w:tr>
      <w:tr w14:paraId="75D8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6" w:hRule="atLeast"/>
        </w:trPr>
        <w:tc>
          <w:tcPr>
            <w:tcW w:w="945" w:type="dxa"/>
            <w:vMerge w:val="continue"/>
            <w:vAlign w:val="center"/>
          </w:tcPr>
          <w:p w14:paraId="38056D11">
            <w:pPr>
              <w:jc w:val="center"/>
              <w:rPr>
                <w:color w:val="auto"/>
                <w:szCs w:val="21"/>
              </w:rPr>
            </w:pPr>
          </w:p>
        </w:tc>
        <w:tc>
          <w:tcPr>
            <w:tcW w:w="1183" w:type="dxa"/>
            <w:vMerge w:val="continue"/>
            <w:vAlign w:val="center"/>
          </w:tcPr>
          <w:p w14:paraId="4FB9EEFB">
            <w:pPr>
              <w:spacing w:line="360" w:lineRule="auto"/>
              <w:rPr>
                <w:color w:val="auto"/>
                <w:szCs w:val="21"/>
              </w:rPr>
            </w:pPr>
          </w:p>
        </w:tc>
        <w:tc>
          <w:tcPr>
            <w:tcW w:w="2040" w:type="dxa"/>
            <w:vAlign w:val="center"/>
          </w:tcPr>
          <w:p w14:paraId="5B4ACFDF">
            <w:pPr>
              <w:spacing w:line="360" w:lineRule="auto"/>
              <w:ind w:firstLine="440" w:firstLineChars="200"/>
              <w:jc w:val="both"/>
              <w:rPr>
                <w:color w:val="auto"/>
                <w:szCs w:val="21"/>
              </w:rPr>
            </w:pPr>
            <w:r>
              <w:rPr>
                <w:rFonts w:hint="eastAsia"/>
                <w:color w:val="auto"/>
                <w:szCs w:val="21"/>
              </w:rPr>
              <w:t>企业税收</w:t>
            </w:r>
          </w:p>
        </w:tc>
        <w:tc>
          <w:tcPr>
            <w:tcW w:w="5295" w:type="dxa"/>
            <w:vAlign w:val="center"/>
          </w:tcPr>
          <w:p w14:paraId="6C97D59D">
            <w:pPr>
              <w:spacing w:line="360" w:lineRule="auto"/>
              <w:jc w:val="both"/>
              <w:rPr>
                <w:rFonts w:hint="eastAsia" w:eastAsia="宋体"/>
                <w:bCs/>
                <w:color w:val="auto"/>
                <w:szCs w:val="21"/>
                <w:lang w:val="en-US" w:eastAsia="zh-CN"/>
              </w:rPr>
            </w:pPr>
            <w:r>
              <w:rPr>
                <w:rFonts w:hint="eastAsia"/>
                <w:bCs/>
                <w:color w:val="auto"/>
                <w:szCs w:val="21"/>
                <w:lang w:val="en-US"/>
              </w:rPr>
              <w:t>须提供企业近半年任意连续三个月依法缴纳税收的证明资料（新成立的企业从成立之日起计算）主要是指缴纳增值税或企业所得税或企业附加税的缴费证明，依法免税的投标响应人，应提供相应文件证明其依法免税</w:t>
            </w:r>
            <w:r>
              <w:rPr>
                <w:rFonts w:hint="eastAsia"/>
                <w:bCs/>
                <w:color w:val="auto"/>
                <w:szCs w:val="21"/>
                <w:lang w:val="en-US" w:eastAsia="zh-CN"/>
              </w:rPr>
              <w:t>；</w:t>
            </w:r>
          </w:p>
        </w:tc>
      </w:tr>
      <w:tr w14:paraId="1B312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945" w:type="dxa"/>
            <w:vMerge w:val="continue"/>
            <w:vAlign w:val="center"/>
          </w:tcPr>
          <w:p w14:paraId="34863E3E">
            <w:pPr>
              <w:jc w:val="center"/>
              <w:rPr>
                <w:color w:val="auto"/>
                <w:szCs w:val="21"/>
              </w:rPr>
            </w:pPr>
          </w:p>
        </w:tc>
        <w:tc>
          <w:tcPr>
            <w:tcW w:w="1183" w:type="dxa"/>
            <w:vMerge w:val="continue"/>
            <w:vAlign w:val="center"/>
          </w:tcPr>
          <w:p w14:paraId="406FDDDE">
            <w:pPr>
              <w:spacing w:line="360" w:lineRule="auto"/>
              <w:rPr>
                <w:color w:val="auto"/>
                <w:szCs w:val="21"/>
              </w:rPr>
            </w:pPr>
          </w:p>
        </w:tc>
        <w:tc>
          <w:tcPr>
            <w:tcW w:w="2040" w:type="dxa"/>
            <w:vAlign w:val="center"/>
          </w:tcPr>
          <w:p w14:paraId="10B1B069">
            <w:pPr>
              <w:spacing w:line="240" w:lineRule="atLeast"/>
              <w:rPr>
                <w:rFonts w:hint="eastAsia"/>
                <w:color w:val="auto"/>
                <w:szCs w:val="21"/>
                <w:lang w:eastAsia="zh-CN"/>
              </w:rPr>
            </w:pPr>
            <w:r>
              <w:rPr>
                <w:rFonts w:hint="eastAsia"/>
                <w:color w:val="auto"/>
                <w:szCs w:val="21"/>
                <w:lang w:eastAsia="zh-CN"/>
              </w:rPr>
              <w:t>诚信承诺及网站查询</w:t>
            </w:r>
          </w:p>
        </w:tc>
        <w:tc>
          <w:tcPr>
            <w:tcW w:w="5295" w:type="dxa"/>
            <w:vAlign w:val="center"/>
          </w:tcPr>
          <w:p w14:paraId="30B21C43">
            <w:pPr>
              <w:tabs>
                <w:tab w:val="left" w:pos="360"/>
              </w:tabs>
              <w:wordWrap w:val="0"/>
              <w:spacing w:line="320" w:lineRule="exact"/>
              <w:rPr>
                <w:color w:val="auto"/>
                <w:szCs w:val="21"/>
                <w:lang w:val="en-US"/>
              </w:rPr>
            </w:pPr>
            <w:r>
              <w:rPr>
                <w:rFonts w:hint="eastAsia"/>
                <w:color w:val="auto"/>
                <w:szCs w:val="21"/>
                <w:lang w:val="en-US"/>
              </w:rPr>
              <w:t>1、参加政府采购活动前3年内无行贿犯罪记录、商业贿赂、不正当竞争行为、骗取中标、严重违约等问题承诺；</w:t>
            </w:r>
          </w:p>
          <w:p w14:paraId="79939AED">
            <w:pPr>
              <w:tabs>
                <w:tab w:val="left" w:pos="360"/>
              </w:tabs>
              <w:wordWrap w:val="0"/>
              <w:spacing w:line="320" w:lineRule="exact"/>
              <w:rPr>
                <w:color w:val="auto"/>
                <w:szCs w:val="21"/>
                <w:lang w:val="en-US"/>
              </w:rPr>
            </w:pPr>
            <w:r>
              <w:rPr>
                <w:rFonts w:hint="eastAsia"/>
                <w:color w:val="auto"/>
                <w:szCs w:val="21"/>
                <w:lang w:val="en-US"/>
              </w:rPr>
              <w:t>2、供应商出具无行贿犯罪记录在中国裁判文书网自行查询或自行承诺（查询对象：企业、法定代表人）；</w:t>
            </w:r>
          </w:p>
          <w:p w14:paraId="500003D5">
            <w:pPr>
              <w:tabs>
                <w:tab w:val="left" w:pos="360"/>
              </w:tabs>
              <w:wordWrap w:val="0"/>
              <w:spacing w:line="320" w:lineRule="exact"/>
              <w:rPr>
                <w:color w:val="auto"/>
                <w:szCs w:val="21"/>
                <w:lang w:val="en-US"/>
              </w:rPr>
            </w:pPr>
            <w:r>
              <w:rPr>
                <w:rFonts w:hint="eastAsia"/>
                <w:color w:val="auto"/>
                <w:szCs w:val="21"/>
                <w:lang w:val="en-US"/>
              </w:rPr>
              <w:t>3、提供企业注册地工商管理部门出具的无商业贿赂和不正当竞争行为的查询证明（若当地工商管理部门不办理此项业务，供应商须自行出具本企业无商业贿赂和不正当竞争行为承诺书）；</w:t>
            </w:r>
          </w:p>
          <w:p w14:paraId="68CED15A">
            <w:pPr>
              <w:tabs>
                <w:tab w:val="left" w:pos="360"/>
              </w:tabs>
              <w:wordWrap w:val="0"/>
              <w:spacing w:line="320" w:lineRule="exact"/>
              <w:rPr>
                <w:rFonts w:hint="eastAsia"/>
                <w:lang w:val="en-US"/>
              </w:rPr>
            </w:pPr>
            <w:r>
              <w:rPr>
                <w:rFonts w:hint="eastAsia"/>
                <w:color w:val="auto"/>
                <w:szCs w:val="21"/>
                <w:lang w:val="en-US"/>
              </w:rPr>
              <w:t>4、据《关于在政府采购活动中查询及使用信用记录有关问题的通知》(财库[2016]125号)和豫财购【2016】15号的规定，企业没有被列入“信用中国”网站的“失信被执行人”、“重大税收违法失信主体”、“政府采购严重违法失信行为记录名单”及“中国政府采购网”网站的“政府采购严重违法失信行为信息记录”的响应人；（查询渠道：“信用中国”网站（www.creditchina.gov.cn）、中国政府采购网（www.ccgp.gov.cn）；提供网站的查询信息截图；(注：査询时间必须是磋商公告发布以后开标时间以前并提供网站查询网页截图，查询结果清晰可见)；</w:t>
            </w:r>
          </w:p>
        </w:tc>
      </w:tr>
      <w:tr w14:paraId="33C95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945" w:type="dxa"/>
            <w:vMerge w:val="continue"/>
            <w:vAlign w:val="center"/>
          </w:tcPr>
          <w:p w14:paraId="028495F8">
            <w:pPr>
              <w:jc w:val="center"/>
              <w:rPr>
                <w:color w:val="auto"/>
                <w:szCs w:val="21"/>
              </w:rPr>
            </w:pPr>
          </w:p>
        </w:tc>
        <w:tc>
          <w:tcPr>
            <w:tcW w:w="1183" w:type="dxa"/>
            <w:vMerge w:val="continue"/>
            <w:vAlign w:val="center"/>
          </w:tcPr>
          <w:p w14:paraId="68B98A56">
            <w:pPr>
              <w:spacing w:line="360" w:lineRule="auto"/>
              <w:rPr>
                <w:color w:val="auto"/>
                <w:szCs w:val="21"/>
              </w:rPr>
            </w:pPr>
          </w:p>
        </w:tc>
        <w:tc>
          <w:tcPr>
            <w:tcW w:w="2040" w:type="dxa"/>
            <w:vAlign w:val="center"/>
          </w:tcPr>
          <w:p w14:paraId="11267C0A">
            <w:pPr>
              <w:spacing w:line="240" w:lineRule="atLeast"/>
              <w:jc w:val="center"/>
              <w:rPr>
                <w:rFonts w:hint="eastAsia" w:eastAsia="宋体"/>
                <w:color w:val="auto"/>
                <w:szCs w:val="21"/>
                <w:lang w:eastAsia="zh-CN"/>
              </w:rPr>
            </w:pPr>
            <w:r>
              <w:rPr>
                <w:rFonts w:hint="eastAsia"/>
                <w:color w:val="auto"/>
                <w:szCs w:val="21"/>
                <w:lang w:eastAsia="zh-CN"/>
              </w:rPr>
              <w:t>其他内容</w:t>
            </w:r>
          </w:p>
        </w:tc>
        <w:tc>
          <w:tcPr>
            <w:tcW w:w="5295" w:type="dxa"/>
            <w:vAlign w:val="center"/>
          </w:tcPr>
          <w:p w14:paraId="35CD53D9">
            <w:pPr>
              <w:numPr>
                <w:ilvl w:val="0"/>
                <w:numId w:val="15"/>
              </w:numPr>
              <w:tabs>
                <w:tab w:val="left" w:pos="360"/>
              </w:tabs>
              <w:wordWrap w:val="0"/>
              <w:spacing w:line="320" w:lineRule="exact"/>
              <w:rPr>
                <w:rFonts w:hint="eastAsia"/>
                <w:color w:val="auto"/>
                <w:szCs w:val="21"/>
                <w:lang w:val="en-US" w:eastAsia="zh-CN"/>
              </w:rPr>
            </w:pPr>
            <w:r>
              <w:rPr>
                <w:rFonts w:hint="eastAsia"/>
                <w:color w:val="auto"/>
                <w:szCs w:val="21"/>
                <w:lang w:val="en-US" w:eastAsia="zh-CN"/>
              </w:rPr>
              <w:t>本项目不接受联合体投标；</w:t>
            </w:r>
          </w:p>
          <w:p w14:paraId="0DF21FEC">
            <w:pPr>
              <w:numPr>
                <w:ilvl w:val="0"/>
                <w:numId w:val="15"/>
              </w:numPr>
              <w:tabs>
                <w:tab w:val="left" w:pos="360"/>
              </w:tabs>
              <w:wordWrap w:val="0"/>
              <w:spacing w:line="320" w:lineRule="exact"/>
              <w:rPr>
                <w:rFonts w:hint="eastAsia" w:eastAsia="宋体"/>
                <w:color w:val="auto"/>
                <w:szCs w:val="21"/>
                <w:lang w:val="en-US" w:eastAsia="zh-CN"/>
              </w:rPr>
            </w:pPr>
            <w:r>
              <w:rPr>
                <w:rFonts w:hint="eastAsia"/>
                <w:color w:val="auto"/>
                <w:szCs w:val="21"/>
                <w:lang w:val="en-US" w:eastAsia="zh-CN"/>
              </w:rPr>
              <w:t>竞争性磋商文件规定的其他资格要求资料</w:t>
            </w:r>
          </w:p>
        </w:tc>
      </w:tr>
      <w:tr w14:paraId="7B6B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45" w:type="dxa"/>
            <w:vMerge w:val="restart"/>
            <w:vAlign w:val="center"/>
          </w:tcPr>
          <w:p w14:paraId="4BD173EC">
            <w:pPr>
              <w:jc w:val="center"/>
              <w:rPr>
                <w:color w:val="auto"/>
                <w:szCs w:val="21"/>
              </w:rPr>
            </w:pPr>
            <w:r>
              <w:rPr>
                <w:rFonts w:hint="eastAsia"/>
                <w:color w:val="auto"/>
                <w:szCs w:val="21"/>
              </w:rPr>
              <w:t>2.1.3</w:t>
            </w:r>
          </w:p>
        </w:tc>
        <w:tc>
          <w:tcPr>
            <w:tcW w:w="1183" w:type="dxa"/>
            <w:vMerge w:val="restart"/>
            <w:vAlign w:val="center"/>
          </w:tcPr>
          <w:p w14:paraId="2E214955">
            <w:pPr>
              <w:jc w:val="center"/>
              <w:rPr>
                <w:color w:val="auto"/>
                <w:szCs w:val="21"/>
              </w:rPr>
            </w:pPr>
            <w:r>
              <w:rPr>
                <w:rFonts w:hint="eastAsia"/>
                <w:color w:val="auto"/>
                <w:szCs w:val="21"/>
              </w:rPr>
              <w:t>响应性评审标准</w:t>
            </w:r>
          </w:p>
        </w:tc>
        <w:tc>
          <w:tcPr>
            <w:tcW w:w="2040" w:type="dxa"/>
            <w:vAlign w:val="center"/>
          </w:tcPr>
          <w:p w14:paraId="65E1744E">
            <w:pPr>
              <w:spacing w:line="360" w:lineRule="auto"/>
              <w:ind w:firstLine="440" w:firstLineChars="200"/>
              <w:jc w:val="center"/>
              <w:rPr>
                <w:color w:val="auto"/>
                <w:szCs w:val="21"/>
              </w:rPr>
            </w:pPr>
            <w:r>
              <w:rPr>
                <w:rFonts w:hint="eastAsia"/>
                <w:color w:val="auto"/>
                <w:szCs w:val="21"/>
              </w:rPr>
              <w:t>投标内容</w:t>
            </w:r>
          </w:p>
        </w:tc>
        <w:tc>
          <w:tcPr>
            <w:tcW w:w="5295" w:type="dxa"/>
            <w:vAlign w:val="center"/>
          </w:tcPr>
          <w:p w14:paraId="270B758C">
            <w:pPr>
              <w:spacing w:line="360" w:lineRule="auto"/>
              <w:jc w:val="both"/>
              <w:rPr>
                <w:color w:val="auto"/>
                <w:szCs w:val="21"/>
              </w:rPr>
            </w:pPr>
            <w:r>
              <w:rPr>
                <w:rFonts w:hint="eastAsia"/>
                <w:color w:val="auto"/>
                <w:szCs w:val="21"/>
              </w:rPr>
              <w:t>符合第二章“供应商须知”规定</w:t>
            </w:r>
          </w:p>
        </w:tc>
      </w:tr>
      <w:tr w14:paraId="118F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45" w:type="dxa"/>
            <w:vMerge w:val="continue"/>
            <w:vAlign w:val="top"/>
          </w:tcPr>
          <w:p w14:paraId="4BC7710C">
            <w:pPr>
              <w:rPr>
                <w:color w:val="auto"/>
                <w:szCs w:val="21"/>
              </w:rPr>
            </w:pPr>
          </w:p>
        </w:tc>
        <w:tc>
          <w:tcPr>
            <w:tcW w:w="1183" w:type="dxa"/>
            <w:vMerge w:val="continue"/>
            <w:vAlign w:val="top"/>
          </w:tcPr>
          <w:p w14:paraId="543EC35C">
            <w:pPr>
              <w:rPr>
                <w:color w:val="auto"/>
                <w:szCs w:val="21"/>
              </w:rPr>
            </w:pPr>
          </w:p>
        </w:tc>
        <w:tc>
          <w:tcPr>
            <w:tcW w:w="2040" w:type="dxa"/>
            <w:vAlign w:val="center"/>
          </w:tcPr>
          <w:p w14:paraId="57B10323">
            <w:pPr>
              <w:spacing w:line="360" w:lineRule="auto"/>
              <w:ind w:firstLine="440" w:firstLineChars="200"/>
              <w:jc w:val="center"/>
              <w:rPr>
                <w:rFonts w:hint="eastAsia" w:eastAsia="宋体"/>
                <w:color w:val="auto"/>
                <w:szCs w:val="21"/>
                <w:lang w:eastAsia="zh-CN"/>
              </w:rPr>
            </w:pPr>
            <w:r>
              <w:rPr>
                <w:rFonts w:hint="eastAsia"/>
                <w:color w:val="auto"/>
                <w:szCs w:val="21"/>
                <w:lang w:eastAsia="zh-CN"/>
              </w:rPr>
              <w:t>设计周期</w:t>
            </w:r>
          </w:p>
        </w:tc>
        <w:tc>
          <w:tcPr>
            <w:tcW w:w="5295" w:type="dxa"/>
            <w:vAlign w:val="center"/>
          </w:tcPr>
          <w:p w14:paraId="70CBEBBA">
            <w:pPr>
              <w:spacing w:line="360" w:lineRule="auto"/>
              <w:jc w:val="both"/>
              <w:rPr>
                <w:color w:val="auto"/>
                <w:szCs w:val="21"/>
              </w:rPr>
            </w:pPr>
            <w:r>
              <w:rPr>
                <w:rFonts w:hint="eastAsia"/>
                <w:color w:val="auto"/>
                <w:szCs w:val="21"/>
              </w:rPr>
              <w:t>符合第二章“供应商须知”规定</w:t>
            </w:r>
          </w:p>
        </w:tc>
      </w:tr>
      <w:tr w14:paraId="66B34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945" w:type="dxa"/>
            <w:vMerge w:val="continue"/>
            <w:vAlign w:val="top"/>
          </w:tcPr>
          <w:p w14:paraId="6C692E71">
            <w:pPr>
              <w:rPr>
                <w:color w:val="auto"/>
                <w:szCs w:val="21"/>
              </w:rPr>
            </w:pPr>
          </w:p>
        </w:tc>
        <w:tc>
          <w:tcPr>
            <w:tcW w:w="1183" w:type="dxa"/>
            <w:vMerge w:val="continue"/>
            <w:vAlign w:val="top"/>
          </w:tcPr>
          <w:p w14:paraId="35140D8F">
            <w:pPr>
              <w:rPr>
                <w:color w:val="auto"/>
                <w:szCs w:val="21"/>
              </w:rPr>
            </w:pPr>
          </w:p>
        </w:tc>
        <w:tc>
          <w:tcPr>
            <w:tcW w:w="2040" w:type="dxa"/>
            <w:vAlign w:val="center"/>
          </w:tcPr>
          <w:p w14:paraId="3E676C09">
            <w:pPr>
              <w:spacing w:line="360" w:lineRule="auto"/>
              <w:ind w:firstLine="440" w:firstLineChars="200"/>
              <w:jc w:val="center"/>
              <w:rPr>
                <w:color w:val="auto"/>
                <w:szCs w:val="21"/>
              </w:rPr>
            </w:pPr>
            <w:r>
              <w:rPr>
                <w:rFonts w:hint="eastAsia"/>
                <w:color w:val="auto"/>
                <w:szCs w:val="21"/>
              </w:rPr>
              <w:t>质量要求</w:t>
            </w:r>
          </w:p>
        </w:tc>
        <w:tc>
          <w:tcPr>
            <w:tcW w:w="5295" w:type="dxa"/>
            <w:vAlign w:val="center"/>
          </w:tcPr>
          <w:p w14:paraId="09ED7C51">
            <w:pPr>
              <w:spacing w:line="360" w:lineRule="auto"/>
              <w:jc w:val="both"/>
              <w:rPr>
                <w:color w:val="auto"/>
                <w:szCs w:val="21"/>
              </w:rPr>
            </w:pPr>
            <w:r>
              <w:rPr>
                <w:rFonts w:hint="eastAsia"/>
                <w:color w:val="auto"/>
                <w:szCs w:val="21"/>
              </w:rPr>
              <w:t>符合第二章“供应商须知”规定</w:t>
            </w:r>
          </w:p>
        </w:tc>
      </w:tr>
      <w:tr w14:paraId="2B24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45" w:type="dxa"/>
            <w:vMerge w:val="continue"/>
            <w:vAlign w:val="top"/>
          </w:tcPr>
          <w:p w14:paraId="246A3493">
            <w:pPr>
              <w:rPr>
                <w:color w:val="auto"/>
                <w:szCs w:val="21"/>
              </w:rPr>
            </w:pPr>
          </w:p>
        </w:tc>
        <w:tc>
          <w:tcPr>
            <w:tcW w:w="1183" w:type="dxa"/>
            <w:vMerge w:val="continue"/>
            <w:vAlign w:val="top"/>
          </w:tcPr>
          <w:p w14:paraId="79766270">
            <w:pPr>
              <w:rPr>
                <w:color w:val="auto"/>
                <w:szCs w:val="21"/>
              </w:rPr>
            </w:pPr>
          </w:p>
        </w:tc>
        <w:tc>
          <w:tcPr>
            <w:tcW w:w="2040" w:type="dxa"/>
            <w:vAlign w:val="center"/>
          </w:tcPr>
          <w:p w14:paraId="5E633044">
            <w:pPr>
              <w:spacing w:line="360" w:lineRule="auto"/>
              <w:ind w:firstLine="440" w:firstLineChars="200"/>
              <w:jc w:val="center"/>
              <w:rPr>
                <w:color w:val="auto"/>
                <w:szCs w:val="21"/>
              </w:rPr>
            </w:pPr>
            <w:r>
              <w:rPr>
                <w:rFonts w:hint="eastAsia"/>
                <w:color w:val="auto"/>
                <w:szCs w:val="21"/>
              </w:rPr>
              <w:t>投标有效期</w:t>
            </w:r>
          </w:p>
        </w:tc>
        <w:tc>
          <w:tcPr>
            <w:tcW w:w="5295" w:type="dxa"/>
            <w:vAlign w:val="center"/>
          </w:tcPr>
          <w:p w14:paraId="37927F38">
            <w:pPr>
              <w:spacing w:line="360" w:lineRule="auto"/>
              <w:jc w:val="both"/>
              <w:rPr>
                <w:color w:val="auto"/>
                <w:szCs w:val="21"/>
              </w:rPr>
            </w:pPr>
            <w:r>
              <w:rPr>
                <w:rFonts w:hint="eastAsia"/>
                <w:color w:val="auto"/>
                <w:szCs w:val="21"/>
              </w:rPr>
              <w:t>符合第二章“供应商须知”规定</w:t>
            </w:r>
          </w:p>
        </w:tc>
      </w:tr>
      <w:tr w14:paraId="6C0B5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45" w:type="dxa"/>
            <w:vMerge w:val="continue"/>
            <w:vAlign w:val="top"/>
          </w:tcPr>
          <w:p w14:paraId="2E9EE2FF">
            <w:pPr>
              <w:rPr>
                <w:color w:val="auto"/>
                <w:szCs w:val="21"/>
              </w:rPr>
            </w:pPr>
          </w:p>
        </w:tc>
        <w:tc>
          <w:tcPr>
            <w:tcW w:w="1183" w:type="dxa"/>
            <w:vMerge w:val="continue"/>
            <w:vAlign w:val="top"/>
          </w:tcPr>
          <w:p w14:paraId="49B739AC">
            <w:pPr>
              <w:rPr>
                <w:color w:val="auto"/>
                <w:szCs w:val="21"/>
              </w:rPr>
            </w:pPr>
          </w:p>
        </w:tc>
        <w:tc>
          <w:tcPr>
            <w:tcW w:w="2040" w:type="dxa"/>
            <w:vAlign w:val="center"/>
          </w:tcPr>
          <w:p w14:paraId="5BDE368B">
            <w:pPr>
              <w:spacing w:line="360" w:lineRule="auto"/>
              <w:ind w:firstLine="440" w:firstLineChars="200"/>
              <w:jc w:val="center"/>
              <w:rPr>
                <w:rFonts w:hint="eastAsia" w:ascii="宋体" w:hAnsi="宋体" w:eastAsia="宋体" w:cs="宋体"/>
                <w:color w:val="auto"/>
                <w:sz w:val="22"/>
                <w:szCs w:val="21"/>
                <w:lang w:val="zh-CN" w:eastAsia="zh-CN" w:bidi="zh-CN"/>
              </w:rPr>
            </w:pPr>
            <w:r>
              <w:rPr>
                <w:rFonts w:hint="eastAsia"/>
                <w:color w:val="auto"/>
                <w:szCs w:val="21"/>
              </w:rPr>
              <w:t>投标承诺书</w:t>
            </w:r>
          </w:p>
        </w:tc>
        <w:tc>
          <w:tcPr>
            <w:tcW w:w="5295" w:type="dxa"/>
            <w:vAlign w:val="center"/>
          </w:tcPr>
          <w:p w14:paraId="376D7829">
            <w:pPr>
              <w:spacing w:line="360" w:lineRule="auto"/>
              <w:jc w:val="both"/>
              <w:rPr>
                <w:rFonts w:hint="eastAsia" w:ascii="宋体" w:hAnsi="宋体" w:eastAsia="宋体" w:cs="宋体"/>
                <w:color w:val="auto"/>
                <w:sz w:val="22"/>
                <w:szCs w:val="21"/>
                <w:lang w:val="zh-CN" w:eastAsia="zh-CN" w:bidi="zh-CN"/>
              </w:rPr>
            </w:pPr>
            <w:r>
              <w:rPr>
                <w:rFonts w:hint="eastAsia"/>
                <w:color w:val="auto"/>
                <w:szCs w:val="21"/>
              </w:rPr>
              <w:t>符合第二章“供应商须知”规定</w:t>
            </w:r>
          </w:p>
        </w:tc>
      </w:tr>
      <w:tr w14:paraId="09BDE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45" w:type="dxa"/>
            <w:vMerge w:val="continue"/>
            <w:vAlign w:val="top"/>
          </w:tcPr>
          <w:p w14:paraId="3260F416">
            <w:pPr>
              <w:rPr>
                <w:color w:val="auto"/>
                <w:szCs w:val="21"/>
              </w:rPr>
            </w:pPr>
          </w:p>
        </w:tc>
        <w:tc>
          <w:tcPr>
            <w:tcW w:w="1183" w:type="dxa"/>
            <w:vMerge w:val="continue"/>
            <w:vAlign w:val="top"/>
          </w:tcPr>
          <w:p w14:paraId="0552E1BA">
            <w:pPr>
              <w:rPr>
                <w:color w:val="auto"/>
                <w:szCs w:val="21"/>
              </w:rPr>
            </w:pPr>
          </w:p>
        </w:tc>
        <w:tc>
          <w:tcPr>
            <w:tcW w:w="2040" w:type="dxa"/>
            <w:vAlign w:val="center"/>
          </w:tcPr>
          <w:p w14:paraId="30B55989">
            <w:pPr>
              <w:spacing w:line="360" w:lineRule="auto"/>
              <w:ind w:firstLine="440" w:firstLineChars="200"/>
              <w:jc w:val="center"/>
              <w:rPr>
                <w:rFonts w:hint="eastAsia" w:eastAsia="宋体"/>
                <w:color w:val="auto"/>
                <w:szCs w:val="21"/>
                <w:lang w:eastAsia="zh-CN"/>
              </w:rPr>
            </w:pPr>
            <w:r>
              <w:rPr>
                <w:rFonts w:hint="eastAsia"/>
                <w:color w:val="auto"/>
                <w:szCs w:val="21"/>
                <w:lang w:eastAsia="zh-CN"/>
              </w:rPr>
              <w:t>其他内容</w:t>
            </w:r>
          </w:p>
        </w:tc>
        <w:tc>
          <w:tcPr>
            <w:tcW w:w="5295" w:type="dxa"/>
            <w:vAlign w:val="center"/>
          </w:tcPr>
          <w:p w14:paraId="6328C931">
            <w:pPr>
              <w:spacing w:line="360" w:lineRule="auto"/>
              <w:jc w:val="both"/>
              <w:rPr>
                <w:color w:val="auto"/>
                <w:szCs w:val="21"/>
              </w:rPr>
            </w:pPr>
            <w:r>
              <w:rPr>
                <w:rFonts w:hint="eastAsia"/>
                <w:color w:val="auto"/>
                <w:szCs w:val="21"/>
              </w:rPr>
              <w:t>符合第二章“供应商须知”规定</w:t>
            </w:r>
          </w:p>
        </w:tc>
      </w:tr>
      <w:tr w14:paraId="6F71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2128" w:type="dxa"/>
            <w:gridSpan w:val="2"/>
            <w:vAlign w:val="center"/>
          </w:tcPr>
          <w:p w14:paraId="5B9E7660">
            <w:pPr>
              <w:spacing w:line="360" w:lineRule="auto"/>
              <w:jc w:val="center"/>
              <w:rPr>
                <w:color w:val="auto"/>
                <w:szCs w:val="21"/>
              </w:rPr>
            </w:pPr>
            <w:r>
              <w:rPr>
                <w:rFonts w:hint="eastAsia"/>
                <w:color w:val="auto"/>
                <w:szCs w:val="21"/>
              </w:rPr>
              <w:t>2.2.1</w:t>
            </w:r>
          </w:p>
        </w:tc>
        <w:tc>
          <w:tcPr>
            <w:tcW w:w="2040" w:type="dxa"/>
            <w:vAlign w:val="center"/>
          </w:tcPr>
          <w:p w14:paraId="317D517C">
            <w:pPr>
              <w:spacing w:line="360" w:lineRule="auto"/>
              <w:ind w:firstLine="440" w:firstLineChars="200"/>
              <w:jc w:val="both"/>
              <w:rPr>
                <w:color w:val="auto"/>
                <w:szCs w:val="21"/>
              </w:rPr>
            </w:pPr>
            <w:r>
              <w:rPr>
                <w:rFonts w:hint="eastAsia"/>
                <w:color w:val="auto"/>
                <w:szCs w:val="21"/>
              </w:rPr>
              <w:t>分值构成</w:t>
            </w:r>
          </w:p>
          <w:p w14:paraId="29D7338C">
            <w:pPr>
              <w:spacing w:line="360" w:lineRule="auto"/>
              <w:jc w:val="center"/>
              <w:rPr>
                <w:color w:val="auto"/>
                <w:szCs w:val="21"/>
              </w:rPr>
            </w:pPr>
            <w:r>
              <w:rPr>
                <w:rFonts w:hint="eastAsia"/>
                <w:color w:val="auto"/>
                <w:szCs w:val="21"/>
              </w:rPr>
              <w:t>(总分100分)</w:t>
            </w:r>
          </w:p>
        </w:tc>
        <w:tc>
          <w:tcPr>
            <w:tcW w:w="5295" w:type="dxa"/>
            <w:vAlign w:val="center"/>
          </w:tcPr>
          <w:p w14:paraId="08A56135">
            <w:pPr>
              <w:spacing w:line="360" w:lineRule="auto"/>
              <w:jc w:val="both"/>
              <w:rPr>
                <w:color w:val="auto"/>
                <w:szCs w:val="21"/>
              </w:rPr>
            </w:pPr>
            <w:r>
              <w:rPr>
                <w:rFonts w:hint="eastAsia"/>
                <w:color w:val="auto"/>
                <w:szCs w:val="21"/>
              </w:rPr>
              <w:t>投标报价：</w:t>
            </w:r>
            <w:r>
              <w:rPr>
                <w:rFonts w:hint="eastAsia"/>
                <w:color w:val="auto"/>
                <w:szCs w:val="21"/>
                <w:u w:val="single"/>
                <w:lang w:val="en-US" w:eastAsia="zh-CN"/>
              </w:rPr>
              <w:t>20</w:t>
            </w:r>
            <w:r>
              <w:rPr>
                <w:rFonts w:hint="eastAsia"/>
                <w:color w:val="auto"/>
                <w:szCs w:val="21"/>
              </w:rPr>
              <w:t>分</w:t>
            </w:r>
          </w:p>
          <w:p w14:paraId="030D6F45">
            <w:pPr>
              <w:spacing w:line="360" w:lineRule="auto"/>
              <w:jc w:val="both"/>
              <w:rPr>
                <w:color w:val="auto"/>
                <w:szCs w:val="21"/>
              </w:rPr>
            </w:pPr>
            <w:r>
              <w:rPr>
                <w:rFonts w:hint="eastAsia"/>
                <w:color w:val="auto"/>
                <w:szCs w:val="21"/>
              </w:rPr>
              <w:t>技术部分：</w:t>
            </w:r>
            <w:r>
              <w:rPr>
                <w:rFonts w:hint="eastAsia"/>
                <w:color w:val="auto"/>
                <w:szCs w:val="21"/>
                <w:u w:val="single"/>
                <w:lang w:val="en-US" w:eastAsia="zh-CN"/>
              </w:rPr>
              <w:t>60</w:t>
            </w:r>
            <w:r>
              <w:rPr>
                <w:rFonts w:hint="eastAsia"/>
                <w:color w:val="auto"/>
                <w:szCs w:val="21"/>
              </w:rPr>
              <w:t>分</w:t>
            </w:r>
          </w:p>
          <w:p w14:paraId="561DFCDB">
            <w:pPr>
              <w:spacing w:line="360" w:lineRule="auto"/>
              <w:jc w:val="both"/>
              <w:rPr>
                <w:color w:val="auto"/>
                <w:szCs w:val="21"/>
                <w:u w:val="single"/>
              </w:rPr>
            </w:pPr>
            <w:r>
              <w:rPr>
                <w:rFonts w:hint="eastAsia"/>
                <w:color w:val="auto"/>
                <w:szCs w:val="21"/>
              </w:rPr>
              <w:t>商务部分：</w:t>
            </w:r>
            <w:r>
              <w:rPr>
                <w:rFonts w:hint="eastAsia"/>
                <w:color w:val="auto"/>
                <w:szCs w:val="21"/>
                <w:u w:val="single"/>
                <w:lang w:val="en-US" w:eastAsia="zh-CN"/>
              </w:rPr>
              <w:t>20</w:t>
            </w:r>
            <w:r>
              <w:rPr>
                <w:rFonts w:hint="eastAsia"/>
                <w:color w:val="auto"/>
                <w:szCs w:val="21"/>
              </w:rPr>
              <w:t>分</w:t>
            </w:r>
          </w:p>
        </w:tc>
      </w:tr>
    </w:tbl>
    <w:p w14:paraId="7E10AF66">
      <w:pPr>
        <w:rPr>
          <w:color w:val="auto"/>
        </w:rPr>
      </w:pPr>
    </w:p>
    <w:p w14:paraId="1BE9E530">
      <w:pPr>
        <w:pStyle w:val="8"/>
        <w:rPr>
          <w:color w:val="auto"/>
        </w:rPr>
      </w:pPr>
    </w:p>
    <w:tbl>
      <w:tblPr>
        <w:tblStyle w:val="19"/>
        <w:tblW w:w="9639"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165"/>
        <w:gridCol w:w="1622"/>
        <w:gridCol w:w="5888"/>
      </w:tblGrid>
      <w:tr w14:paraId="3292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964" w:type="dxa"/>
            <w:vAlign w:val="center"/>
          </w:tcPr>
          <w:p w14:paraId="41C65ACC">
            <w:pPr>
              <w:spacing w:line="400" w:lineRule="exact"/>
              <w:ind w:firstLine="28"/>
              <w:jc w:val="center"/>
              <w:rPr>
                <w:b/>
                <w:color w:val="auto"/>
                <w:szCs w:val="21"/>
              </w:rPr>
            </w:pPr>
            <w:r>
              <w:rPr>
                <w:rFonts w:hint="eastAsia"/>
                <w:b/>
                <w:color w:val="auto"/>
                <w:szCs w:val="21"/>
              </w:rPr>
              <w:t>序号</w:t>
            </w:r>
          </w:p>
        </w:tc>
        <w:tc>
          <w:tcPr>
            <w:tcW w:w="1165" w:type="dxa"/>
            <w:vAlign w:val="center"/>
          </w:tcPr>
          <w:p w14:paraId="55FEECAC">
            <w:pPr>
              <w:spacing w:line="400" w:lineRule="exact"/>
              <w:ind w:firstLine="28"/>
              <w:jc w:val="center"/>
              <w:rPr>
                <w:b/>
                <w:color w:val="auto"/>
                <w:szCs w:val="21"/>
              </w:rPr>
            </w:pPr>
            <w:r>
              <w:rPr>
                <w:rFonts w:hint="eastAsia"/>
                <w:b/>
                <w:color w:val="auto"/>
                <w:szCs w:val="21"/>
              </w:rPr>
              <w:t>评分因素</w:t>
            </w:r>
          </w:p>
          <w:p w14:paraId="1969EA34">
            <w:pPr>
              <w:spacing w:line="400" w:lineRule="exact"/>
              <w:ind w:firstLine="28"/>
              <w:jc w:val="center"/>
              <w:rPr>
                <w:b/>
                <w:color w:val="auto"/>
                <w:szCs w:val="21"/>
              </w:rPr>
            </w:pPr>
            <w:r>
              <w:rPr>
                <w:rFonts w:hint="eastAsia"/>
                <w:b/>
                <w:color w:val="auto"/>
                <w:szCs w:val="21"/>
              </w:rPr>
              <w:t>及分值</w:t>
            </w:r>
          </w:p>
        </w:tc>
        <w:tc>
          <w:tcPr>
            <w:tcW w:w="7510" w:type="dxa"/>
            <w:gridSpan w:val="2"/>
            <w:vAlign w:val="center"/>
          </w:tcPr>
          <w:p w14:paraId="6C4A541F">
            <w:pPr>
              <w:spacing w:line="400" w:lineRule="exact"/>
              <w:ind w:firstLine="28"/>
              <w:jc w:val="center"/>
              <w:rPr>
                <w:b/>
                <w:color w:val="auto"/>
                <w:szCs w:val="21"/>
              </w:rPr>
            </w:pPr>
            <w:r>
              <w:rPr>
                <w:rFonts w:hint="eastAsia"/>
                <w:b/>
                <w:color w:val="auto"/>
                <w:szCs w:val="21"/>
              </w:rPr>
              <w:t>评分标准</w:t>
            </w:r>
          </w:p>
        </w:tc>
      </w:tr>
      <w:tr w14:paraId="7DF36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964" w:type="dxa"/>
            <w:vAlign w:val="center"/>
          </w:tcPr>
          <w:p w14:paraId="1AC6CD00">
            <w:pPr>
              <w:spacing w:line="400" w:lineRule="exact"/>
              <w:ind w:firstLine="28"/>
              <w:jc w:val="center"/>
              <w:rPr>
                <w:color w:val="auto"/>
                <w:szCs w:val="21"/>
              </w:rPr>
            </w:pPr>
            <w:r>
              <w:rPr>
                <w:rFonts w:hint="eastAsia"/>
                <w:color w:val="auto"/>
                <w:szCs w:val="21"/>
                <w:lang w:val="en-US"/>
              </w:rPr>
              <w:t>2.2.2</w:t>
            </w:r>
          </w:p>
        </w:tc>
        <w:tc>
          <w:tcPr>
            <w:tcW w:w="1165" w:type="dxa"/>
            <w:vAlign w:val="center"/>
          </w:tcPr>
          <w:p w14:paraId="0440525D">
            <w:pPr>
              <w:spacing w:line="400" w:lineRule="exact"/>
              <w:ind w:firstLine="28"/>
              <w:jc w:val="center"/>
              <w:rPr>
                <w:color w:val="auto"/>
                <w:szCs w:val="21"/>
              </w:rPr>
            </w:pPr>
            <w:r>
              <w:rPr>
                <w:rFonts w:hint="eastAsia"/>
                <w:color w:val="auto"/>
                <w:szCs w:val="21"/>
              </w:rPr>
              <w:t>报价（</w:t>
            </w:r>
            <w:r>
              <w:rPr>
                <w:rFonts w:hint="eastAsia"/>
                <w:color w:val="auto"/>
                <w:szCs w:val="21"/>
                <w:lang w:val="en-US" w:eastAsia="zh-CN"/>
              </w:rPr>
              <w:t>20</w:t>
            </w:r>
            <w:r>
              <w:rPr>
                <w:rFonts w:hint="eastAsia"/>
                <w:color w:val="auto"/>
                <w:szCs w:val="21"/>
              </w:rPr>
              <w:t>分）</w:t>
            </w:r>
          </w:p>
        </w:tc>
        <w:tc>
          <w:tcPr>
            <w:tcW w:w="7510" w:type="dxa"/>
            <w:gridSpan w:val="2"/>
            <w:vAlign w:val="center"/>
          </w:tcPr>
          <w:p w14:paraId="30A6140A">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1、价格分采用低价优先法计算，即通过资格性和初步审查且第二轮投标价格最低的投标报价为评标基准价，其价格得分为满分</w:t>
            </w:r>
            <w:r>
              <w:rPr>
                <w:rFonts w:hint="eastAsia"/>
                <w:color w:val="auto"/>
                <w:sz w:val="22"/>
                <w:szCs w:val="22"/>
                <w:lang w:val="en-US" w:eastAsia="zh-CN"/>
              </w:rPr>
              <w:t>20</w:t>
            </w:r>
            <w:r>
              <w:rPr>
                <w:rFonts w:hint="eastAsia" w:eastAsia="宋体"/>
                <w:color w:val="auto"/>
                <w:sz w:val="22"/>
                <w:szCs w:val="22"/>
                <w:lang w:val="en-US" w:eastAsia="zh-CN"/>
              </w:rPr>
              <w:t>分。</w:t>
            </w:r>
          </w:p>
          <w:p w14:paraId="414D2B5A">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其他投标供应商的价格分统一按照下列公式计算：</w:t>
            </w:r>
          </w:p>
          <w:p w14:paraId="79293911">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投标报价得分＝（评标基准价/投标报价）×</w:t>
            </w:r>
            <w:r>
              <w:rPr>
                <w:rFonts w:hint="eastAsia"/>
                <w:color w:val="auto"/>
                <w:sz w:val="22"/>
                <w:szCs w:val="22"/>
                <w:lang w:val="en-US" w:eastAsia="zh-CN"/>
              </w:rPr>
              <w:t>20</w:t>
            </w:r>
            <w:r>
              <w:rPr>
                <w:rFonts w:hint="eastAsia" w:eastAsia="宋体"/>
                <w:color w:val="auto"/>
                <w:sz w:val="22"/>
                <w:szCs w:val="22"/>
                <w:lang w:val="en-US" w:eastAsia="zh-CN"/>
              </w:rPr>
              <w:t>％×100</w:t>
            </w:r>
          </w:p>
          <w:p w14:paraId="0584214E">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2、磋商小组认为响应人的报价明显低于其他通过符合性审查响应人的报价，有可能影响项目实施进度或者不能诚信履约的，应当要求其在评标现场合理的时间内提供书面说明，必要时提交相关证明材料；响应人不能证明其报价合理性的，磋商小组应当将其作为无效投标处理。</w:t>
            </w:r>
          </w:p>
          <w:p w14:paraId="41246C2D">
            <w:pPr>
              <w:spacing w:line="360" w:lineRule="auto"/>
              <w:rPr>
                <w:rFonts w:hint="eastAsia" w:eastAsia="宋体"/>
                <w:color w:val="auto"/>
                <w:sz w:val="22"/>
                <w:szCs w:val="22"/>
                <w:lang w:val="en-US" w:eastAsia="zh-CN"/>
              </w:rPr>
            </w:pPr>
            <w:r>
              <w:rPr>
                <w:rFonts w:hint="eastAsia" w:eastAsia="宋体"/>
                <w:color w:val="auto"/>
                <w:sz w:val="22"/>
                <w:szCs w:val="22"/>
                <w:lang w:val="en-US" w:eastAsia="zh-CN"/>
              </w:rPr>
              <w:t>3、超出采购人预算价的响应报价为无效报价。</w:t>
            </w:r>
          </w:p>
        </w:tc>
      </w:tr>
      <w:tr w14:paraId="131D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8" w:hRule="atLeast"/>
        </w:trPr>
        <w:tc>
          <w:tcPr>
            <w:tcW w:w="964" w:type="dxa"/>
            <w:vMerge w:val="restart"/>
            <w:vAlign w:val="center"/>
          </w:tcPr>
          <w:p w14:paraId="6E902831">
            <w:pPr>
              <w:spacing w:line="400" w:lineRule="exact"/>
              <w:ind w:firstLine="28"/>
              <w:jc w:val="center"/>
              <w:rPr>
                <w:color w:val="auto"/>
                <w:szCs w:val="21"/>
                <w:lang w:val="en-US"/>
              </w:rPr>
            </w:pPr>
            <w:r>
              <w:rPr>
                <w:rFonts w:hint="eastAsia"/>
                <w:color w:val="auto"/>
                <w:szCs w:val="21"/>
              </w:rPr>
              <w:t>2</w:t>
            </w:r>
            <w:r>
              <w:rPr>
                <w:rFonts w:hint="eastAsia"/>
                <w:color w:val="auto"/>
                <w:szCs w:val="21"/>
                <w:lang w:val="en-US"/>
              </w:rPr>
              <w:t>.2.3</w:t>
            </w:r>
          </w:p>
        </w:tc>
        <w:tc>
          <w:tcPr>
            <w:tcW w:w="1165" w:type="dxa"/>
            <w:vMerge w:val="restart"/>
            <w:vAlign w:val="center"/>
          </w:tcPr>
          <w:p w14:paraId="1D834B3D">
            <w:pPr>
              <w:spacing w:line="400" w:lineRule="exact"/>
              <w:ind w:firstLine="28"/>
              <w:jc w:val="center"/>
              <w:rPr>
                <w:rFonts w:hint="eastAsia" w:ascii="宋体" w:hAnsi="宋体" w:eastAsia="宋体" w:cs="宋体"/>
                <w:color w:val="auto"/>
                <w:sz w:val="22"/>
                <w:szCs w:val="22"/>
              </w:rPr>
            </w:pPr>
            <w:r>
              <w:rPr>
                <w:rFonts w:hint="eastAsia" w:ascii="宋体" w:hAnsi="宋体" w:eastAsia="宋体" w:cs="宋体"/>
                <w:color w:val="auto"/>
                <w:sz w:val="22"/>
                <w:szCs w:val="22"/>
              </w:rPr>
              <w:t>技术标（</w:t>
            </w:r>
            <w:r>
              <w:rPr>
                <w:rFonts w:hint="eastAsia" w:cs="宋体"/>
                <w:color w:val="auto"/>
                <w:sz w:val="22"/>
                <w:szCs w:val="22"/>
                <w:lang w:val="en-US" w:eastAsia="zh-CN"/>
              </w:rPr>
              <w:t>60</w:t>
            </w:r>
            <w:r>
              <w:rPr>
                <w:rFonts w:hint="eastAsia" w:ascii="宋体" w:hAnsi="宋体" w:eastAsia="宋体" w:cs="宋体"/>
                <w:color w:val="auto"/>
                <w:sz w:val="22"/>
                <w:szCs w:val="22"/>
              </w:rPr>
              <w:t>分）</w:t>
            </w:r>
          </w:p>
        </w:tc>
        <w:tc>
          <w:tcPr>
            <w:tcW w:w="1622" w:type="dxa"/>
            <w:vAlign w:val="center"/>
          </w:tcPr>
          <w:p w14:paraId="4D29EB7D">
            <w:pPr>
              <w:spacing w:line="360" w:lineRule="auto"/>
              <w:jc w:val="center"/>
              <w:rPr>
                <w:rFonts w:hint="eastAsia" w:ascii="宋体" w:hAnsi="宋体" w:eastAsia="宋体" w:cs="宋体"/>
                <w:color w:val="auto"/>
                <w:kern w:val="2"/>
                <w:sz w:val="22"/>
                <w:szCs w:val="22"/>
                <w:lang w:val="en-US"/>
              </w:rPr>
            </w:pPr>
            <w:r>
              <w:rPr>
                <w:rFonts w:hint="eastAsia" w:ascii="宋体" w:hAnsi="宋体" w:eastAsia="宋体" w:cs="宋体"/>
                <w:color w:val="auto"/>
                <w:spacing w:val="-6"/>
                <w:sz w:val="22"/>
                <w:szCs w:val="22"/>
                <w:lang w:val="en-US" w:eastAsia="zh-CN"/>
              </w:rPr>
              <w:t>对本项目的认识、理解（</w:t>
            </w:r>
            <w:r>
              <w:rPr>
                <w:rFonts w:hint="eastAsia" w:cs="宋体"/>
                <w:color w:val="auto"/>
                <w:spacing w:val="-6"/>
                <w:sz w:val="22"/>
                <w:szCs w:val="22"/>
                <w:lang w:val="en-US" w:eastAsia="zh-CN"/>
              </w:rPr>
              <w:t>10</w:t>
            </w:r>
            <w:r>
              <w:rPr>
                <w:rFonts w:hint="eastAsia" w:ascii="宋体" w:hAnsi="宋体" w:eastAsia="宋体" w:cs="宋体"/>
                <w:color w:val="auto"/>
                <w:spacing w:val="-6"/>
                <w:sz w:val="22"/>
                <w:szCs w:val="22"/>
                <w:lang w:val="en-US" w:eastAsia="zh-CN"/>
              </w:rPr>
              <w:t>分）</w:t>
            </w:r>
          </w:p>
        </w:tc>
        <w:tc>
          <w:tcPr>
            <w:tcW w:w="5888" w:type="dxa"/>
            <w:vAlign w:val="center"/>
          </w:tcPr>
          <w:p w14:paraId="40425017">
            <w:pPr>
              <w:spacing w:line="360" w:lineRule="auto"/>
              <w:jc w:val="left"/>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根据供应商对本项目背景、现状、工作重点、工作难点、预期效果的理解和认识等方面进行综合评分：1.对项目背景及现状理解透彻、具体、全面，工作思路及重点、难点分析清晰，针对性强，可行性强，得</w:t>
            </w:r>
            <w:r>
              <w:rPr>
                <w:rFonts w:hint="eastAsia" w:cs="宋体"/>
                <w:color w:val="auto"/>
                <w:sz w:val="22"/>
                <w:szCs w:val="22"/>
                <w:lang w:val="en-US" w:eastAsia="zh-CN"/>
              </w:rPr>
              <w:t>10</w:t>
            </w:r>
            <w:r>
              <w:rPr>
                <w:rFonts w:hint="eastAsia" w:ascii="宋体" w:hAnsi="宋体" w:eastAsia="宋体" w:cs="宋体"/>
                <w:color w:val="auto"/>
                <w:sz w:val="22"/>
                <w:szCs w:val="22"/>
                <w:lang w:val="en-US" w:eastAsia="zh-CN"/>
              </w:rPr>
              <w:t>分。2.对项目背景及现状理解清晰、具体，工作思路及重点、难点分析较清晰，针对性较强，可行性较强，得</w:t>
            </w:r>
            <w:r>
              <w:rPr>
                <w:rFonts w:hint="eastAsia" w:cs="宋体"/>
                <w:color w:val="auto"/>
                <w:sz w:val="22"/>
                <w:szCs w:val="22"/>
                <w:lang w:val="en-US" w:eastAsia="zh-CN"/>
              </w:rPr>
              <w:t>6</w:t>
            </w:r>
            <w:r>
              <w:rPr>
                <w:rFonts w:hint="eastAsia" w:ascii="宋体" w:hAnsi="宋体" w:eastAsia="宋体" w:cs="宋体"/>
                <w:color w:val="auto"/>
                <w:sz w:val="22"/>
                <w:szCs w:val="22"/>
                <w:lang w:val="en-US" w:eastAsia="zh-CN"/>
              </w:rPr>
              <w:t>分。3.对项目背景及现状理解不全面，工作思路及重点、难点分析基本完整，针对性</w:t>
            </w:r>
            <w:r>
              <w:rPr>
                <w:rFonts w:hint="eastAsia" w:cs="宋体"/>
                <w:color w:val="auto"/>
                <w:sz w:val="22"/>
                <w:szCs w:val="22"/>
                <w:lang w:val="en-US" w:eastAsia="zh-CN"/>
              </w:rPr>
              <w:t>不强</w:t>
            </w:r>
            <w:r>
              <w:rPr>
                <w:rFonts w:hint="eastAsia" w:ascii="宋体" w:hAnsi="宋体" w:eastAsia="宋体" w:cs="宋体"/>
                <w:color w:val="auto"/>
                <w:sz w:val="22"/>
                <w:szCs w:val="22"/>
                <w:lang w:val="en-US" w:eastAsia="zh-CN"/>
              </w:rPr>
              <w:t>，得1分。4.未提供方案得0分</w:t>
            </w:r>
          </w:p>
        </w:tc>
      </w:tr>
      <w:tr w14:paraId="1A85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vAlign w:val="center"/>
          </w:tcPr>
          <w:p w14:paraId="0302F8E1">
            <w:pPr>
              <w:spacing w:line="400" w:lineRule="exact"/>
              <w:ind w:firstLine="28"/>
              <w:jc w:val="center"/>
              <w:rPr>
                <w:color w:val="auto"/>
                <w:szCs w:val="21"/>
              </w:rPr>
            </w:pPr>
          </w:p>
        </w:tc>
        <w:tc>
          <w:tcPr>
            <w:tcW w:w="1165" w:type="dxa"/>
            <w:vMerge w:val="continue"/>
            <w:vAlign w:val="center"/>
          </w:tcPr>
          <w:p w14:paraId="7CFB4164">
            <w:pPr>
              <w:spacing w:line="400" w:lineRule="exact"/>
              <w:ind w:firstLine="28"/>
              <w:jc w:val="center"/>
              <w:rPr>
                <w:rFonts w:hint="eastAsia" w:ascii="宋体" w:hAnsi="宋体" w:eastAsia="宋体" w:cs="宋体"/>
                <w:color w:val="auto"/>
                <w:sz w:val="22"/>
                <w:szCs w:val="22"/>
              </w:rPr>
            </w:pPr>
          </w:p>
        </w:tc>
        <w:tc>
          <w:tcPr>
            <w:tcW w:w="1622" w:type="dxa"/>
            <w:vAlign w:val="center"/>
          </w:tcPr>
          <w:p w14:paraId="555C7018">
            <w:pPr>
              <w:spacing w:line="360" w:lineRule="auto"/>
              <w:jc w:val="center"/>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w:t>
            </w:r>
          </w:p>
          <w:p w14:paraId="226003EF">
            <w:pPr>
              <w:spacing w:line="360" w:lineRule="auto"/>
              <w:jc w:val="center"/>
              <w:rPr>
                <w:rFonts w:hint="eastAsia" w:ascii="宋体" w:hAnsi="宋体" w:eastAsia="宋体" w:cs="宋体"/>
                <w:color w:val="auto"/>
                <w:spacing w:val="0"/>
                <w:sz w:val="22"/>
                <w:szCs w:val="22"/>
                <w:highlight w:val="none"/>
                <w:lang w:val="en-US" w:eastAsia="zh-CN"/>
              </w:rPr>
            </w:pPr>
            <w:r>
              <w:rPr>
                <w:rFonts w:hint="eastAsia" w:ascii="宋体" w:hAnsi="宋体" w:eastAsia="宋体" w:cs="宋体"/>
                <w:color w:val="auto"/>
                <w:spacing w:val="-6"/>
                <w:sz w:val="22"/>
                <w:szCs w:val="22"/>
                <w:lang w:val="en-US" w:eastAsia="zh-CN"/>
              </w:rPr>
              <w:t>（1</w:t>
            </w:r>
            <w:r>
              <w:rPr>
                <w:rFonts w:hint="eastAsia" w:cs="宋体"/>
                <w:color w:val="auto"/>
                <w:spacing w:val="-6"/>
                <w:sz w:val="22"/>
                <w:szCs w:val="22"/>
                <w:lang w:val="en-US" w:eastAsia="zh-CN"/>
              </w:rPr>
              <w:t>0</w:t>
            </w:r>
            <w:r>
              <w:rPr>
                <w:rFonts w:hint="eastAsia" w:ascii="宋体" w:hAnsi="宋体" w:eastAsia="宋体" w:cs="宋体"/>
                <w:color w:val="auto"/>
                <w:spacing w:val="-6"/>
                <w:sz w:val="22"/>
                <w:szCs w:val="22"/>
                <w:lang w:val="en-US" w:eastAsia="zh-CN"/>
              </w:rPr>
              <w:t>分）</w:t>
            </w:r>
          </w:p>
        </w:tc>
        <w:tc>
          <w:tcPr>
            <w:tcW w:w="5888" w:type="dxa"/>
            <w:vAlign w:val="center"/>
          </w:tcPr>
          <w:p w14:paraId="57B72B18">
            <w:p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根据供应商对本项目实施方案，包括但不限于主要工作内容、工作方法、技术路线、队伍组织、实施步骤等方面进行综合评分：</w:t>
            </w:r>
          </w:p>
          <w:p w14:paraId="1E6A93DB">
            <w:pPr>
              <w:numPr>
                <w:ilvl w:val="0"/>
                <w:numId w:val="16"/>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实施方案工作内容详细精确，工作方法可行性强，工作流程及时间安排，技术路线清晰，队伍组织科学性强，实施步骤合理高效，得</w:t>
            </w:r>
            <w:r>
              <w:rPr>
                <w:rFonts w:hint="eastAsia" w:cs="宋体"/>
                <w:color w:val="auto"/>
                <w:spacing w:val="-6"/>
                <w:sz w:val="22"/>
                <w:szCs w:val="22"/>
                <w:lang w:val="en-US" w:eastAsia="zh-CN"/>
              </w:rPr>
              <w:t>10</w:t>
            </w:r>
            <w:r>
              <w:rPr>
                <w:rFonts w:hint="eastAsia" w:ascii="宋体" w:hAnsi="宋体" w:eastAsia="宋体" w:cs="宋体"/>
                <w:color w:val="auto"/>
                <w:spacing w:val="-6"/>
                <w:sz w:val="22"/>
                <w:szCs w:val="22"/>
                <w:lang w:val="en-US" w:eastAsia="zh-CN"/>
              </w:rPr>
              <w:t>分。</w:t>
            </w:r>
          </w:p>
          <w:p w14:paraId="0A5307FF">
            <w:pPr>
              <w:numPr>
                <w:ilvl w:val="0"/>
                <w:numId w:val="16"/>
              </w:numPr>
              <w:spacing w:line="360" w:lineRule="auto"/>
              <w:ind w:left="0" w:leftChars="0" w:firstLine="0" w:firstLineChars="0"/>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实施方案工作内容描述准确，工作方法比较可行，工作流程及时间安排，技术路线比较准确，队伍组织和实施步骤安排比较合理，得</w:t>
            </w:r>
            <w:r>
              <w:rPr>
                <w:rFonts w:hint="eastAsia" w:cs="宋体"/>
                <w:color w:val="auto"/>
                <w:spacing w:val="-6"/>
                <w:sz w:val="22"/>
                <w:szCs w:val="22"/>
                <w:lang w:val="en-US" w:eastAsia="zh-CN"/>
              </w:rPr>
              <w:t>6</w:t>
            </w:r>
            <w:r>
              <w:rPr>
                <w:rFonts w:hint="eastAsia" w:ascii="宋体" w:hAnsi="宋体" w:eastAsia="宋体" w:cs="宋体"/>
                <w:color w:val="auto"/>
                <w:spacing w:val="-6"/>
                <w:sz w:val="22"/>
                <w:szCs w:val="22"/>
                <w:lang w:val="en-US" w:eastAsia="zh-CN"/>
              </w:rPr>
              <w:t>分。</w:t>
            </w:r>
          </w:p>
          <w:p w14:paraId="5495DA26">
            <w:pPr>
              <w:numPr>
                <w:ilvl w:val="0"/>
                <w:numId w:val="16"/>
              </w:numPr>
              <w:spacing w:line="360" w:lineRule="auto"/>
              <w:ind w:left="0" w:leftChars="0" w:firstLine="0" w:firstLineChars="0"/>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实施方案工作内容描述简单，工作方法可行性</w:t>
            </w:r>
            <w:r>
              <w:rPr>
                <w:rFonts w:hint="eastAsia" w:cs="宋体"/>
                <w:color w:val="auto"/>
                <w:spacing w:val="-6"/>
                <w:sz w:val="22"/>
                <w:szCs w:val="22"/>
                <w:lang w:val="en-US" w:eastAsia="zh-CN"/>
              </w:rPr>
              <w:t>不强</w:t>
            </w:r>
            <w:r>
              <w:rPr>
                <w:rFonts w:hint="eastAsia" w:ascii="宋体" w:hAnsi="宋体" w:eastAsia="宋体" w:cs="宋体"/>
                <w:color w:val="auto"/>
                <w:spacing w:val="-6"/>
                <w:sz w:val="22"/>
                <w:szCs w:val="22"/>
                <w:lang w:val="en-US" w:eastAsia="zh-CN"/>
              </w:rPr>
              <w:t>，工作流程及时间安排，技术路线不够全面，队伍组织科学性</w:t>
            </w:r>
            <w:r>
              <w:rPr>
                <w:rFonts w:hint="eastAsia" w:cs="宋体"/>
                <w:color w:val="auto"/>
                <w:spacing w:val="-6"/>
                <w:sz w:val="22"/>
                <w:szCs w:val="22"/>
                <w:lang w:val="en-US" w:eastAsia="zh-CN"/>
              </w:rPr>
              <w:t>不合理</w:t>
            </w:r>
            <w:r>
              <w:rPr>
                <w:rFonts w:hint="eastAsia" w:ascii="宋体" w:hAnsi="宋体" w:eastAsia="宋体" w:cs="宋体"/>
                <w:color w:val="auto"/>
                <w:spacing w:val="-6"/>
                <w:sz w:val="22"/>
                <w:szCs w:val="22"/>
                <w:lang w:val="en-US" w:eastAsia="zh-CN"/>
              </w:rPr>
              <w:t>，得</w:t>
            </w:r>
            <w:r>
              <w:rPr>
                <w:rFonts w:hint="eastAsia" w:cs="宋体"/>
                <w:color w:val="auto"/>
                <w:spacing w:val="-6"/>
                <w:sz w:val="22"/>
                <w:szCs w:val="22"/>
                <w:lang w:val="en-US" w:eastAsia="zh-CN"/>
              </w:rPr>
              <w:t>1</w:t>
            </w:r>
            <w:r>
              <w:rPr>
                <w:rFonts w:hint="eastAsia" w:ascii="宋体" w:hAnsi="宋体" w:eastAsia="宋体" w:cs="宋体"/>
                <w:color w:val="auto"/>
                <w:spacing w:val="-6"/>
                <w:sz w:val="22"/>
                <w:szCs w:val="22"/>
                <w:lang w:val="en-US" w:eastAsia="zh-CN"/>
              </w:rPr>
              <w:t>分。</w:t>
            </w:r>
          </w:p>
          <w:p w14:paraId="7954C065">
            <w:pPr>
              <w:numPr>
                <w:ilvl w:val="0"/>
                <w:numId w:val="0"/>
              </w:numPr>
              <w:spacing w:line="360" w:lineRule="auto"/>
              <w:ind w:leftChars="0"/>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4.未提供方案得0分</w:t>
            </w:r>
          </w:p>
        </w:tc>
      </w:tr>
      <w:tr w14:paraId="6020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vAlign w:val="center"/>
          </w:tcPr>
          <w:p w14:paraId="1574657F">
            <w:pPr>
              <w:spacing w:line="400" w:lineRule="exact"/>
              <w:ind w:firstLine="28"/>
              <w:jc w:val="center"/>
              <w:rPr>
                <w:color w:val="auto"/>
                <w:szCs w:val="21"/>
              </w:rPr>
            </w:pPr>
          </w:p>
        </w:tc>
        <w:tc>
          <w:tcPr>
            <w:tcW w:w="1165" w:type="dxa"/>
            <w:vMerge w:val="continue"/>
            <w:vAlign w:val="center"/>
          </w:tcPr>
          <w:p w14:paraId="140D9A4A">
            <w:pPr>
              <w:spacing w:line="400" w:lineRule="exact"/>
              <w:ind w:firstLine="28"/>
              <w:jc w:val="center"/>
              <w:rPr>
                <w:rFonts w:hint="eastAsia" w:ascii="宋体" w:hAnsi="宋体" w:eastAsia="宋体" w:cs="宋体"/>
                <w:color w:val="auto"/>
                <w:sz w:val="22"/>
                <w:szCs w:val="22"/>
              </w:rPr>
            </w:pPr>
          </w:p>
        </w:tc>
        <w:tc>
          <w:tcPr>
            <w:tcW w:w="1622" w:type="dxa"/>
            <w:vAlign w:val="center"/>
          </w:tcPr>
          <w:p w14:paraId="53CA557D">
            <w:pPr>
              <w:numPr>
                <w:ilvl w:val="0"/>
                <w:numId w:val="0"/>
              </w:numPr>
              <w:spacing w:line="360" w:lineRule="auto"/>
              <w:jc w:val="center"/>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质量保障措施方案(8分)</w:t>
            </w:r>
          </w:p>
        </w:tc>
        <w:tc>
          <w:tcPr>
            <w:tcW w:w="5888" w:type="dxa"/>
            <w:vAlign w:val="center"/>
          </w:tcPr>
          <w:p w14:paraId="5A1D7E5C">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根据供应商提供项目质量保障措施方案，方案内容包括不限于质量管理目标、质量保障组织架构、质量控制措施等进行综合评分：</w:t>
            </w:r>
          </w:p>
          <w:p w14:paraId="01DA5EA5">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1.质量管理目标内容详细清晰、质量保障组织架构科学合理、质量控制措施具体切实可行性强，得8分；</w:t>
            </w:r>
          </w:p>
          <w:p w14:paraId="71B764F7">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2.质量管理目标内容较详细、质量保障组织架构比较合理、质量控制措施可行性较强，得5分；</w:t>
            </w:r>
          </w:p>
          <w:p w14:paraId="68D8854E">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3.质量管理目标内容不够具体、质量保障组织架构一般、质量控制措施不够全面、实施可行性一般，得1分。</w:t>
            </w:r>
          </w:p>
          <w:p w14:paraId="037B416C">
            <w:pPr>
              <w:numPr>
                <w:ilvl w:val="0"/>
                <w:numId w:val="0"/>
              </w:numPr>
              <w:spacing w:line="360" w:lineRule="auto"/>
              <w:jc w:val="left"/>
              <w:rPr>
                <w:rFonts w:hint="eastAsia" w:ascii="宋体" w:hAnsi="宋体" w:eastAsia="宋体" w:cs="宋体"/>
                <w:color w:val="auto"/>
                <w:spacing w:val="-6"/>
                <w:sz w:val="22"/>
                <w:szCs w:val="22"/>
                <w:lang w:val="en-US" w:eastAsia="zh-CN"/>
              </w:rPr>
            </w:pPr>
            <w:r>
              <w:rPr>
                <w:rFonts w:hint="eastAsia" w:ascii="宋体" w:hAnsi="宋体" w:eastAsia="宋体" w:cs="宋体"/>
                <w:color w:val="auto"/>
                <w:spacing w:val="-6"/>
                <w:sz w:val="22"/>
                <w:szCs w:val="22"/>
                <w:lang w:val="en-US" w:eastAsia="zh-CN"/>
              </w:rPr>
              <w:t>4.未提供方案得0分。</w:t>
            </w:r>
          </w:p>
        </w:tc>
      </w:tr>
      <w:tr w14:paraId="59D6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vAlign w:val="center"/>
          </w:tcPr>
          <w:p w14:paraId="11D84010">
            <w:pPr>
              <w:spacing w:line="400" w:lineRule="exact"/>
              <w:ind w:firstLine="28"/>
              <w:jc w:val="center"/>
              <w:rPr>
                <w:color w:val="auto"/>
                <w:szCs w:val="21"/>
              </w:rPr>
            </w:pPr>
          </w:p>
        </w:tc>
        <w:tc>
          <w:tcPr>
            <w:tcW w:w="1165" w:type="dxa"/>
            <w:vMerge w:val="continue"/>
            <w:vAlign w:val="center"/>
          </w:tcPr>
          <w:p w14:paraId="0F3168D8">
            <w:pPr>
              <w:spacing w:line="400" w:lineRule="exact"/>
              <w:ind w:firstLine="28"/>
              <w:jc w:val="center"/>
              <w:rPr>
                <w:rFonts w:hint="eastAsia" w:ascii="宋体" w:hAnsi="宋体" w:eastAsia="宋体" w:cs="宋体"/>
                <w:color w:val="auto"/>
                <w:sz w:val="22"/>
                <w:szCs w:val="22"/>
              </w:rPr>
            </w:pPr>
          </w:p>
        </w:tc>
        <w:tc>
          <w:tcPr>
            <w:tcW w:w="1622" w:type="dxa"/>
            <w:vAlign w:val="center"/>
          </w:tcPr>
          <w:p w14:paraId="100E4081">
            <w:pPr>
              <w:pStyle w:val="35"/>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pacing w:val="0"/>
                <w:sz w:val="22"/>
                <w:szCs w:val="22"/>
                <w:highlight w:val="none"/>
              </w:rPr>
            </w:pPr>
            <w:r>
              <w:rPr>
                <w:rFonts w:hint="eastAsia" w:ascii="宋体" w:hAnsi="宋体" w:eastAsia="宋体" w:cs="宋体"/>
                <w:snapToGrid w:val="0"/>
                <w:color w:val="000000"/>
                <w:sz w:val="22"/>
                <w:szCs w:val="22"/>
                <w:highlight w:val="none"/>
                <w:lang w:bidi="ar"/>
              </w:rPr>
              <w:t>工作进度的安排</w:t>
            </w:r>
            <w:r>
              <w:rPr>
                <w:rFonts w:hint="eastAsia" w:ascii="宋体" w:hAnsi="宋体" w:eastAsia="宋体" w:cs="宋体"/>
                <w:snapToGrid w:val="0"/>
                <w:sz w:val="22"/>
                <w:szCs w:val="22"/>
                <w:highlight w:val="none"/>
                <w:lang w:val="en-US" w:bidi="ar-SA"/>
              </w:rPr>
              <w:t>（</w:t>
            </w:r>
            <w:r>
              <w:rPr>
                <w:rFonts w:hint="eastAsia" w:cs="宋体"/>
                <w:snapToGrid w:val="0"/>
                <w:sz w:val="22"/>
                <w:szCs w:val="22"/>
                <w:highlight w:val="none"/>
                <w:lang w:val="en-US" w:eastAsia="zh-CN" w:bidi="ar-SA"/>
              </w:rPr>
              <w:t>8</w:t>
            </w:r>
            <w:r>
              <w:rPr>
                <w:rFonts w:hint="eastAsia" w:ascii="宋体" w:hAnsi="宋体" w:eastAsia="宋体" w:cs="宋体"/>
                <w:snapToGrid w:val="0"/>
                <w:sz w:val="22"/>
                <w:szCs w:val="22"/>
                <w:highlight w:val="none"/>
                <w:lang w:val="en-US" w:bidi="ar-SA"/>
              </w:rPr>
              <w:t>分）</w:t>
            </w:r>
          </w:p>
        </w:tc>
        <w:tc>
          <w:tcPr>
            <w:tcW w:w="5888" w:type="dxa"/>
            <w:vAlign w:val="center"/>
          </w:tcPr>
          <w:p w14:paraId="6E8ED0FF">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0"/>
                <w:sz w:val="22"/>
                <w:szCs w:val="22"/>
                <w:highlight w:val="none"/>
              </w:rPr>
            </w:pPr>
            <w:r>
              <w:rPr>
                <w:rFonts w:hint="eastAsia" w:ascii="宋体" w:hAnsi="宋体" w:eastAsia="宋体" w:cs="宋体"/>
                <w:snapToGrid w:val="0"/>
                <w:kern w:val="2"/>
                <w:sz w:val="22"/>
                <w:szCs w:val="22"/>
                <w:highlight w:val="none"/>
                <w:lang w:val="en-US" w:eastAsia="zh-CN"/>
              </w:rPr>
              <w:t>根据工作进度安排的具体性、合理性、可行性进行比较打分。优得</w:t>
            </w:r>
            <w:r>
              <w:rPr>
                <w:rFonts w:hint="eastAsia" w:cs="宋体"/>
                <w:snapToGrid w:val="0"/>
                <w:kern w:val="2"/>
                <w:sz w:val="22"/>
                <w:szCs w:val="22"/>
                <w:highlight w:val="none"/>
                <w:lang w:val="en-US" w:eastAsia="zh-CN"/>
              </w:rPr>
              <w:t>8</w:t>
            </w:r>
            <w:r>
              <w:rPr>
                <w:rFonts w:hint="eastAsia" w:ascii="宋体" w:hAnsi="宋体" w:eastAsia="宋体" w:cs="宋体"/>
                <w:snapToGrid w:val="0"/>
                <w:kern w:val="2"/>
                <w:sz w:val="22"/>
                <w:szCs w:val="22"/>
                <w:highlight w:val="none"/>
                <w:lang w:val="en-US" w:eastAsia="zh-CN"/>
              </w:rPr>
              <w:t>分；良</w:t>
            </w:r>
            <w:r>
              <w:rPr>
                <w:rFonts w:hint="eastAsia" w:cs="宋体"/>
                <w:snapToGrid w:val="0"/>
                <w:kern w:val="2"/>
                <w:sz w:val="22"/>
                <w:szCs w:val="22"/>
                <w:highlight w:val="none"/>
                <w:lang w:val="en-US" w:eastAsia="zh-CN"/>
              </w:rPr>
              <w:t>5</w:t>
            </w:r>
            <w:r>
              <w:rPr>
                <w:rFonts w:hint="eastAsia" w:ascii="宋体" w:hAnsi="宋体" w:eastAsia="宋体" w:cs="宋体"/>
                <w:snapToGrid w:val="0"/>
                <w:kern w:val="2"/>
                <w:sz w:val="22"/>
                <w:szCs w:val="22"/>
                <w:highlight w:val="none"/>
                <w:lang w:val="en-US" w:eastAsia="zh-CN"/>
              </w:rPr>
              <w:t>分；差得</w:t>
            </w:r>
            <w:r>
              <w:rPr>
                <w:rFonts w:hint="eastAsia" w:cs="宋体"/>
                <w:snapToGrid w:val="0"/>
                <w:kern w:val="2"/>
                <w:sz w:val="22"/>
                <w:szCs w:val="22"/>
                <w:highlight w:val="none"/>
                <w:lang w:val="en-US" w:eastAsia="zh-CN"/>
              </w:rPr>
              <w:t>1</w:t>
            </w:r>
            <w:r>
              <w:rPr>
                <w:rFonts w:hint="eastAsia" w:ascii="宋体" w:hAnsi="宋体" w:eastAsia="宋体" w:cs="宋体"/>
                <w:snapToGrid w:val="0"/>
                <w:kern w:val="2"/>
                <w:sz w:val="22"/>
                <w:szCs w:val="22"/>
                <w:highlight w:val="none"/>
                <w:lang w:val="en-US" w:eastAsia="zh-CN"/>
              </w:rPr>
              <w:t>分</w:t>
            </w:r>
            <w:r>
              <w:rPr>
                <w:rFonts w:hint="eastAsia" w:cs="宋体"/>
                <w:snapToGrid w:val="0"/>
                <w:kern w:val="2"/>
                <w:sz w:val="22"/>
                <w:szCs w:val="22"/>
                <w:highlight w:val="none"/>
                <w:lang w:val="en-US" w:eastAsia="zh-CN"/>
              </w:rPr>
              <w:t>；未提供方案得0分。</w:t>
            </w:r>
          </w:p>
        </w:tc>
      </w:tr>
      <w:tr w14:paraId="5D03C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vAlign w:val="center"/>
          </w:tcPr>
          <w:p w14:paraId="53B70F3C">
            <w:pPr>
              <w:spacing w:line="400" w:lineRule="exact"/>
              <w:ind w:firstLine="28"/>
              <w:jc w:val="center"/>
              <w:rPr>
                <w:color w:val="auto"/>
                <w:szCs w:val="21"/>
              </w:rPr>
            </w:pPr>
          </w:p>
        </w:tc>
        <w:tc>
          <w:tcPr>
            <w:tcW w:w="1165" w:type="dxa"/>
            <w:vMerge w:val="continue"/>
            <w:vAlign w:val="center"/>
          </w:tcPr>
          <w:p w14:paraId="550D5E19">
            <w:pPr>
              <w:spacing w:line="400" w:lineRule="exact"/>
              <w:ind w:firstLine="28"/>
              <w:jc w:val="center"/>
              <w:rPr>
                <w:rFonts w:hint="eastAsia" w:ascii="宋体" w:hAnsi="宋体" w:eastAsia="宋体" w:cs="宋体"/>
                <w:color w:val="auto"/>
                <w:sz w:val="22"/>
                <w:szCs w:val="22"/>
              </w:rPr>
            </w:pPr>
          </w:p>
        </w:tc>
        <w:tc>
          <w:tcPr>
            <w:tcW w:w="1622" w:type="dxa"/>
            <w:vAlign w:val="center"/>
          </w:tcPr>
          <w:p w14:paraId="1F72183F">
            <w:pPr>
              <w:pStyle w:val="35"/>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新工艺应用</w:t>
            </w:r>
          </w:p>
          <w:p w14:paraId="13387F3D">
            <w:pPr>
              <w:pStyle w:val="35"/>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（8分）</w:t>
            </w:r>
          </w:p>
        </w:tc>
        <w:tc>
          <w:tcPr>
            <w:tcW w:w="5888" w:type="dxa"/>
            <w:vAlign w:val="center"/>
          </w:tcPr>
          <w:p w14:paraId="3E36C08A">
            <w:pPr>
              <w:pStyle w:val="35"/>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1、新工艺、新技术、新材料选用符合地方实际，并在本项目经济可行，内容全面可实施性合理得8分；</w:t>
            </w:r>
          </w:p>
          <w:p w14:paraId="14620E23">
            <w:pPr>
              <w:pStyle w:val="35"/>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2、新工艺、新技术、新材料选用符合地方实际，并在本项目经济可行，内容全面可实施性较合理得5分；</w:t>
            </w:r>
          </w:p>
          <w:p w14:paraId="0FB5675A">
            <w:pPr>
              <w:pStyle w:val="35"/>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3、新工艺、新技术、新材料选用符合地方实际，并在本项目经济可行，内容全面可实施性</w:t>
            </w:r>
            <w:r>
              <w:rPr>
                <w:rFonts w:hint="eastAsia" w:cs="宋体"/>
                <w:snapToGrid w:val="0"/>
                <w:color w:val="000000"/>
                <w:sz w:val="22"/>
                <w:szCs w:val="22"/>
                <w:highlight w:val="none"/>
                <w:lang w:val="en-US" w:eastAsia="zh-CN" w:bidi="ar"/>
              </w:rPr>
              <w:t>不强</w:t>
            </w:r>
            <w:r>
              <w:rPr>
                <w:rFonts w:hint="eastAsia" w:ascii="宋体" w:hAnsi="宋体" w:eastAsia="宋体" w:cs="宋体"/>
                <w:snapToGrid w:val="0"/>
                <w:color w:val="000000"/>
                <w:sz w:val="22"/>
                <w:szCs w:val="22"/>
                <w:highlight w:val="none"/>
                <w:lang w:val="en-US" w:eastAsia="zh-CN" w:bidi="ar"/>
              </w:rPr>
              <w:t>得1分；</w:t>
            </w:r>
          </w:p>
          <w:p w14:paraId="5FD80474">
            <w:pPr>
              <w:pStyle w:val="35"/>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注：若缺项，该项为0分。</w:t>
            </w:r>
          </w:p>
        </w:tc>
      </w:tr>
      <w:tr w14:paraId="232B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vAlign w:val="center"/>
          </w:tcPr>
          <w:p w14:paraId="7CEBFAB4">
            <w:pPr>
              <w:spacing w:line="400" w:lineRule="exact"/>
              <w:ind w:firstLine="28"/>
              <w:jc w:val="center"/>
              <w:rPr>
                <w:color w:val="auto"/>
                <w:szCs w:val="21"/>
              </w:rPr>
            </w:pPr>
          </w:p>
        </w:tc>
        <w:tc>
          <w:tcPr>
            <w:tcW w:w="1165" w:type="dxa"/>
            <w:vMerge w:val="continue"/>
            <w:vAlign w:val="center"/>
          </w:tcPr>
          <w:p w14:paraId="36B8A858">
            <w:pPr>
              <w:spacing w:line="400" w:lineRule="exact"/>
              <w:ind w:firstLine="28"/>
              <w:jc w:val="center"/>
              <w:rPr>
                <w:rFonts w:hint="eastAsia" w:ascii="宋体" w:hAnsi="宋体" w:eastAsia="宋体" w:cs="宋体"/>
                <w:color w:val="auto"/>
                <w:sz w:val="22"/>
                <w:szCs w:val="22"/>
              </w:rPr>
            </w:pPr>
          </w:p>
        </w:tc>
        <w:tc>
          <w:tcPr>
            <w:tcW w:w="1622" w:type="dxa"/>
            <w:vAlign w:val="center"/>
          </w:tcPr>
          <w:p w14:paraId="5F18006A">
            <w:pPr>
              <w:pStyle w:val="35"/>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降低工程造价保障（8分）</w:t>
            </w:r>
          </w:p>
        </w:tc>
        <w:tc>
          <w:tcPr>
            <w:tcW w:w="5888" w:type="dxa"/>
            <w:vAlign w:val="center"/>
          </w:tcPr>
          <w:p w14:paraId="6E967041">
            <w:pPr>
              <w:pStyle w:val="35"/>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1、在工程造价限额内，提出能降低工程造价的保证，内容全面可实施性合理得8分；</w:t>
            </w:r>
          </w:p>
          <w:p w14:paraId="3F909267">
            <w:pPr>
              <w:pStyle w:val="35"/>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2、在工程造价限额内，提出能降低工程造价的保证，内容较全面可实施性较合理得5分；</w:t>
            </w:r>
          </w:p>
          <w:p w14:paraId="6B76E24C">
            <w:pPr>
              <w:pStyle w:val="35"/>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3、在工程造价限额内，提出能降低工程造价的保证，内容一般可实施性</w:t>
            </w:r>
            <w:r>
              <w:rPr>
                <w:rFonts w:hint="eastAsia" w:cs="宋体"/>
                <w:snapToGrid w:val="0"/>
                <w:color w:val="000000"/>
                <w:sz w:val="22"/>
                <w:szCs w:val="22"/>
                <w:highlight w:val="none"/>
                <w:lang w:val="en-US" w:eastAsia="zh-CN" w:bidi="ar"/>
              </w:rPr>
              <w:t>不强</w:t>
            </w:r>
            <w:r>
              <w:rPr>
                <w:rFonts w:hint="eastAsia" w:ascii="宋体" w:hAnsi="宋体" w:eastAsia="宋体" w:cs="宋体"/>
                <w:snapToGrid w:val="0"/>
                <w:color w:val="000000"/>
                <w:sz w:val="22"/>
                <w:szCs w:val="22"/>
                <w:highlight w:val="none"/>
                <w:lang w:val="en-US" w:eastAsia="zh-CN" w:bidi="ar"/>
              </w:rPr>
              <w:t>得1分；</w:t>
            </w:r>
          </w:p>
          <w:p w14:paraId="5AF82B40">
            <w:pPr>
              <w:pStyle w:val="35"/>
              <w:pageBreakBefore w:val="0"/>
              <w:kinsoku/>
              <w:wordWrap/>
              <w:overflowPunct/>
              <w:topLinePunct w:val="0"/>
              <w:bidi w:val="0"/>
              <w:adjustRightInd w:val="0"/>
              <w:snapToGrid w:val="0"/>
              <w:spacing w:beforeAutospacing="0" w:afterAutospacing="0" w:line="360" w:lineRule="auto"/>
              <w:ind w:left="0" w:leftChars="0" w:right="0" w:rightChars="0"/>
              <w:jc w:val="both"/>
              <w:rPr>
                <w:rFonts w:hint="eastAsia" w:ascii="宋体" w:hAnsi="宋体" w:eastAsia="宋体" w:cs="宋体"/>
                <w:snapToGrid w:val="0"/>
                <w:color w:val="000000"/>
                <w:sz w:val="22"/>
                <w:szCs w:val="22"/>
                <w:highlight w:val="none"/>
                <w:lang w:val="en-US" w:eastAsia="zh-CN" w:bidi="ar"/>
              </w:rPr>
            </w:pPr>
            <w:r>
              <w:rPr>
                <w:rFonts w:hint="eastAsia" w:ascii="宋体" w:hAnsi="宋体" w:eastAsia="宋体" w:cs="宋体"/>
                <w:snapToGrid w:val="0"/>
                <w:color w:val="000000"/>
                <w:sz w:val="22"/>
                <w:szCs w:val="22"/>
                <w:highlight w:val="none"/>
                <w:lang w:val="en-US" w:eastAsia="zh-CN" w:bidi="ar"/>
              </w:rPr>
              <w:t>注：若缺项，该项为0分。</w:t>
            </w:r>
          </w:p>
        </w:tc>
      </w:tr>
      <w:tr w14:paraId="10DC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vAlign w:val="center"/>
          </w:tcPr>
          <w:p w14:paraId="74BE50CC">
            <w:pPr>
              <w:spacing w:line="400" w:lineRule="exact"/>
              <w:ind w:firstLine="28"/>
              <w:jc w:val="center"/>
              <w:rPr>
                <w:color w:val="auto"/>
                <w:szCs w:val="21"/>
              </w:rPr>
            </w:pPr>
          </w:p>
        </w:tc>
        <w:tc>
          <w:tcPr>
            <w:tcW w:w="1165" w:type="dxa"/>
            <w:vMerge w:val="continue"/>
            <w:vAlign w:val="center"/>
          </w:tcPr>
          <w:p w14:paraId="1904D0BA">
            <w:pPr>
              <w:spacing w:line="400" w:lineRule="exact"/>
              <w:ind w:firstLine="28"/>
              <w:jc w:val="center"/>
              <w:rPr>
                <w:rFonts w:hint="eastAsia" w:ascii="宋体" w:hAnsi="宋体" w:eastAsia="宋体" w:cs="宋体"/>
                <w:color w:val="auto"/>
                <w:sz w:val="22"/>
                <w:szCs w:val="22"/>
              </w:rPr>
            </w:pPr>
          </w:p>
        </w:tc>
        <w:tc>
          <w:tcPr>
            <w:tcW w:w="1622" w:type="dxa"/>
            <w:vAlign w:val="center"/>
          </w:tcPr>
          <w:p w14:paraId="136A1C3E">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center"/>
              <w:rPr>
                <w:rFonts w:hint="eastAsia" w:ascii="宋体" w:hAnsi="宋体" w:eastAsia="宋体" w:cs="宋体"/>
                <w:b w:val="0"/>
                <w:bCs w:val="0"/>
                <w:color w:val="auto"/>
                <w:spacing w:val="-6"/>
                <w:sz w:val="22"/>
                <w:szCs w:val="22"/>
                <w:lang w:val="en-US" w:eastAsia="zh-CN" w:bidi="zh-CN"/>
              </w:rPr>
            </w:pPr>
            <w:r>
              <w:rPr>
                <w:rFonts w:hint="eastAsia" w:ascii="宋体" w:hAnsi="宋体" w:eastAsia="宋体" w:cs="宋体"/>
                <w:snapToGrid w:val="0"/>
                <w:kern w:val="2"/>
                <w:sz w:val="22"/>
                <w:szCs w:val="22"/>
                <w:highlight w:val="none"/>
                <w:lang w:val="en-US" w:eastAsia="zh-CN"/>
              </w:rPr>
              <w:t>重点难点进行分析、合理化建议(</w:t>
            </w:r>
            <w:r>
              <w:rPr>
                <w:rFonts w:hint="eastAsia" w:cs="宋体"/>
                <w:snapToGrid w:val="0"/>
                <w:kern w:val="2"/>
                <w:sz w:val="22"/>
                <w:szCs w:val="22"/>
                <w:highlight w:val="none"/>
                <w:lang w:val="en-US" w:eastAsia="zh-CN"/>
              </w:rPr>
              <w:t>8</w:t>
            </w:r>
            <w:r>
              <w:rPr>
                <w:rFonts w:hint="eastAsia" w:ascii="宋体" w:hAnsi="宋体" w:eastAsia="宋体" w:cs="宋体"/>
                <w:snapToGrid w:val="0"/>
                <w:kern w:val="2"/>
                <w:sz w:val="22"/>
                <w:szCs w:val="22"/>
                <w:highlight w:val="none"/>
                <w:lang w:val="en-US" w:eastAsia="zh-CN"/>
              </w:rPr>
              <w:t>分)</w:t>
            </w:r>
          </w:p>
        </w:tc>
        <w:tc>
          <w:tcPr>
            <w:tcW w:w="5888" w:type="dxa"/>
            <w:vAlign w:val="center"/>
          </w:tcPr>
          <w:p w14:paraId="65F69F5B">
            <w:pPr>
              <w:pageBreakBefore w:val="0"/>
              <w:numPr>
                <w:ilvl w:val="0"/>
                <w:numId w:val="0"/>
              </w:numPr>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bidi="ar-SA"/>
              </w:rPr>
              <w:t>（1）</w:t>
            </w:r>
            <w:r>
              <w:rPr>
                <w:rFonts w:hint="eastAsia" w:ascii="宋体" w:hAnsi="宋体" w:eastAsia="宋体" w:cs="宋体"/>
                <w:snapToGrid w:val="0"/>
                <w:kern w:val="2"/>
                <w:sz w:val="22"/>
                <w:szCs w:val="22"/>
                <w:highlight w:val="none"/>
                <w:lang w:val="en-US" w:eastAsia="zh-CN"/>
              </w:rPr>
              <w:t>重点难点分析；</w:t>
            </w:r>
            <w:r>
              <w:rPr>
                <w:rFonts w:hint="eastAsia" w:ascii="宋体" w:hAnsi="宋体" w:eastAsia="宋体"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rPr>
              <w:t>应对措施；</w:t>
            </w:r>
            <w:r>
              <w:rPr>
                <w:rFonts w:hint="eastAsia" w:ascii="宋体" w:hAnsi="宋体" w:eastAsia="宋体" w:cs="宋体"/>
                <w:snapToGrid w:val="0"/>
                <w:kern w:val="2"/>
                <w:sz w:val="22"/>
                <w:szCs w:val="22"/>
                <w:highlight w:val="none"/>
                <w:lang w:val="en-US" w:eastAsia="zh-CN" w:bidi="ar-SA"/>
              </w:rPr>
              <w:t>（3）</w:t>
            </w:r>
            <w:r>
              <w:rPr>
                <w:rFonts w:hint="eastAsia" w:ascii="宋体" w:hAnsi="宋体" w:eastAsia="宋体" w:cs="宋体"/>
                <w:snapToGrid w:val="0"/>
                <w:kern w:val="2"/>
                <w:sz w:val="22"/>
                <w:szCs w:val="22"/>
                <w:highlight w:val="none"/>
                <w:lang w:val="en-US" w:eastAsia="zh-CN"/>
              </w:rPr>
              <w:t>相关的合理化建议。</w:t>
            </w:r>
          </w:p>
          <w:p w14:paraId="0A8B64D6">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1.以上方案的三点内容全面具体、针对性强、可操作性强，得</w:t>
            </w:r>
            <w:r>
              <w:rPr>
                <w:rFonts w:hint="eastAsia" w:cs="宋体"/>
                <w:snapToGrid w:val="0"/>
                <w:kern w:val="2"/>
                <w:sz w:val="22"/>
                <w:szCs w:val="22"/>
                <w:highlight w:val="none"/>
                <w:lang w:val="en-US" w:eastAsia="zh-CN"/>
              </w:rPr>
              <w:t>8</w:t>
            </w:r>
            <w:r>
              <w:rPr>
                <w:rFonts w:hint="eastAsia" w:ascii="宋体" w:hAnsi="宋体" w:eastAsia="宋体" w:cs="宋体"/>
                <w:snapToGrid w:val="0"/>
                <w:kern w:val="2"/>
                <w:sz w:val="22"/>
                <w:szCs w:val="22"/>
                <w:highlight w:val="none"/>
                <w:lang w:val="en-US" w:eastAsia="zh-CN"/>
              </w:rPr>
              <w:t>分；</w:t>
            </w:r>
          </w:p>
          <w:p w14:paraId="4AA6294E">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2.以上方案的三点内容较全面、针对性较强、可操作性较强，得</w:t>
            </w:r>
            <w:r>
              <w:rPr>
                <w:rFonts w:hint="eastAsia" w:cs="宋体"/>
                <w:snapToGrid w:val="0"/>
                <w:kern w:val="2"/>
                <w:sz w:val="22"/>
                <w:szCs w:val="22"/>
                <w:highlight w:val="none"/>
                <w:lang w:val="en-US" w:eastAsia="zh-CN"/>
              </w:rPr>
              <w:t>5</w:t>
            </w:r>
            <w:r>
              <w:rPr>
                <w:rFonts w:hint="eastAsia" w:ascii="宋体" w:hAnsi="宋体" w:eastAsia="宋体" w:cs="宋体"/>
                <w:snapToGrid w:val="0"/>
                <w:kern w:val="2"/>
                <w:sz w:val="22"/>
                <w:szCs w:val="22"/>
                <w:highlight w:val="none"/>
                <w:lang w:val="en-US" w:eastAsia="zh-CN"/>
              </w:rPr>
              <w:t>分；</w:t>
            </w:r>
          </w:p>
          <w:p w14:paraId="1D28851A">
            <w:pPr>
              <w:pageBreakBefore w:val="0"/>
              <w:numPr>
                <w:ilvl w:val="0"/>
                <w:numId w:val="0"/>
              </w:numPr>
              <w:kinsoku/>
              <w:wordWrap/>
              <w:overflowPunct/>
              <w:topLinePunct w:val="0"/>
              <w:bidi w:val="0"/>
              <w:adjustRightInd w:val="0"/>
              <w:snapToGrid w:val="0"/>
              <w:spacing w:beforeAutospacing="0" w:afterAutospacing="0" w:line="360" w:lineRule="auto"/>
              <w:ind w:left="0" w:leftChars="0" w:right="0"/>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3.以上方案的三点内容完整性、针对性、可操作性均</w:t>
            </w:r>
            <w:r>
              <w:rPr>
                <w:rFonts w:hint="eastAsia" w:cs="宋体"/>
                <w:snapToGrid w:val="0"/>
                <w:kern w:val="2"/>
                <w:sz w:val="22"/>
                <w:szCs w:val="22"/>
                <w:highlight w:val="none"/>
                <w:lang w:val="en-US" w:eastAsia="zh-CN"/>
              </w:rPr>
              <w:t>不强</w:t>
            </w:r>
            <w:r>
              <w:rPr>
                <w:rFonts w:hint="eastAsia" w:ascii="宋体" w:hAnsi="宋体" w:eastAsia="宋体" w:cs="宋体"/>
                <w:snapToGrid w:val="0"/>
                <w:kern w:val="2"/>
                <w:sz w:val="22"/>
                <w:szCs w:val="22"/>
                <w:highlight w:val="none"/>
                <w:lang w:val="en-US" w:eastAsia="zh-CN"/>
              </w:rPr>
              <w:t>，得</w:t>
            </w:r>
            <w:r>
              <w:rPr>
                <w:rFonts w:hint="eastAsia" w:cs="宋体"/>
                <w:snapToGrid w:val="0"/>
                <w:kern w:val="2"/>
                <w:sz w:val="22"/>
                <w:szCs w:val="22"/>
                <w:highlight w:val="none"/>
                <w:lang w:val="en-US" w:eastAsia="zh-CN"/>
              </w:rPr>
              <w:t>1</w:t>
            </w:r>
            <w:r>
              <w:rPr>
                <w:rFonts w:hint="eastAsia" w:ascii="宋体" w:hAnsi="宋体" w:eastAsia="宋体" w:cs="宋体"/>
                <w:snapToGrid w:val="0"/>
                <w:kern w:val="2"/>
                <w:sz w:val="22"/>
                <w:szCs w:val="22"/>
                <w:highlight w:val="none"/>
                <w:lang w:val="en-US" w:eastAsia="zh-CN"/>
              </w:rPr>
              <w:t>分。</w:t>
            </w:r>
          </w:p>
          <w:p w14:paraId="41EF238A">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b w:val="0"/>
                <w:bCs w:val="0"/>
                <w:color w:val="auto"/>
                <w:spacing w:val="-6"/>
                <w:sz w:val="22"/>
                <w:szCs w:val="22"/>
                <w:lang w:val="en-US" w:eastAsia="zh-CN" w:bidi="zh-CN"/>
              </w:rPr>
            </w:pPr>
            <w:r>
              <w:rPr>
                <w:rFonts w:hint="eastAsia" w:ascii="宋体" w:hAnsi="宋体" w:eastAsia="宋体" w:cs="宋体"/>
                <w:snapToGrid w:val="0"/>
                <w:kern w:val="2"/>
                <w:sz w:val="22"/>
                <w:szCs w:val="22"/>
                <w:highlight w:val="none"/>
                <w:lang w:val="en-US" w:eastAsia="zh-CN"/>
              </w:rPr>
              <w:t>4.未提供方案得0分。</w:t>
            </w:r>
          </w:p>
        </w:tc>
      </w:tr>
      <w:tr w14:paraId="17D1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964" w:type="dxa"/>
            <w:vMerge w:val="restart"/>
            <w:vAlign w:val="center"/>
          </w:tcPr>
          <w:p w14:paraId="3BB613ED">
            <w:pPr>
              <w:spacing w:line="400" w:lineRule="exact"/>
              <w:ind w:firstLine="28"/>
              <w:jc w:val="center"/>
              <w:rPr>
                <w:color w:val="auto"/>
                <w:szCs w:val="21"/>
                <w:lang w:val="en-US"/>
              </w:rPr>
            </w:pPr>
            <w:r>
              <w:rPr>
                <w:rFonts w:hint="eastAsia"/>
                <w:color w:val="auto"/>
                <w:szCs w:val="21"/>
                <w:lang w:val="en-US"/>
              </w:rPr>
              <w:t>2.2.4</w:t>
            </w:r>
          </w:p>
        </w:tc>
        <w:tc>
          <w:tcPr>
            <w:tcW w:w="1165" w:type="dxa"/>
            <w:vMerge w:val="restart"/>
            <w:vAlign w:val="center"/>
          </w:tcPr>
          <w:p w14:paraId="78F9033C">
            <w:pPr>
              <w:spacing w:line="400" w:lineRule="exact"/>
              <w:jc w:val="center"/>
              <w:rPr>
                <w:rFonts w:hint="eastAsia" w:ascii="宋体" w:hAnsi="宋体" w:eastAsia="宋体" w:cs="宋体"/>
                <w:color w:val="auto"/>
                <w:sz w:val="22"/>
                <w:szCs w:val="22"/>
              </w:rPr>
            </w:pPr>
            <w:r>
              <w:rPr>
                <w:rFonts w:hint="eastAsia" w:ascii="宋体" w:hAnsi="宋体" w:eastAsia="宋体" w:cs="宋体"/>
                <w:color w:val="auto"/>
                <w:sz w:val="22"/>
                <w:szCs w:val="22"/>
              </w:rPr>
              <w:t>商务标（</w:t>
            </w:r>
            <w:r>
              <w:rPr>
                <w:rFonts w:hint="eastAsia" w:cs="宋体"/>
                <w:color w:val="auto"/>
                <w:sz w:val="22"/>
                <w:szCs w:val="22"/>
                <w:lang w:val="en-US" w:eastAsia="zh-CN"/>
              </w:rPr>
              <w:t>20</w:t>
            </w:r>
            <w:r>
              <w:rPr>
                <w:rFonts w:hint="eastAsia" w:ascii="宋体" w:hAnsi="宋体" w:eastAsia="宋体" w:cs="宋体"/>
                <w:color w:val="auto"/>
                <w:sz w:val="22"/>
                <w:szCs w:val="22"/>
                <w:lang w:val="en-US"/>
              </w:rPr>
              <w:t>分</w:t>
            </w:r>
            <w:r>
              <w:rPr>
                <w:rFonts w:hint="eastAsia" w:ascii="宋体" w:hAnsi="宋体" w:eastAsia="宋体" w:cs="宋体"/>
                <w:color w:val="auto"/>
                <w:sz w:val="22"/>
                <w:szCs w:val="22"/>
              </w:rPr>
              <w:t>）</w:t>
            </w:r>
          </w:p>
        </w:tc>
        <w:tc>
          <w:tcPr>
            <w:tcW w:w="1622" w:type="dxa"/>
            <w:vAlign w:val="center"/>
          </w:tcPr>
          <w:p w14:paraId="3B503E3C">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color w:val="auto"/>
                <w:spacing w:val="-6"/>
                <w:sz w:val="22"/>
                <w:szCs w:val="22"/>
                <w:highlight w:val="none"/>
                <w:lang w:val="en-US" w:eastAsia="zh-CN"/>
              </w:rPr>
            </w:pPr>
            <w:r>
              <w:rPr>
                <w:rFonts w:hint="eastAsia" w:ascii="宋体" w:hAnsi="宋体" w:eastAsia="宋体" w:cs="宋体"/>
                <w:snapToGrid w:val="0"/>
                <w:kern w:val="2"/>
                <w:sz w:val="22"/>
                <w:szCs w:val="22"/>
                <w:highlight w:val="none"/>
                <w:lang w:val="en-US" w:eastAsia="zh-CN"/>
              </w:rPr>
              <w:t>同类项目业绩(6分)</w:t>
            </w:r>
          </w:p>
        </w:tc>
        <w:tc>
          <w:tcPr>
            <w:tcW w:w="5888" w:type="dxa"/>
            <w:vAlign w:val="center"/>
          </w:tcPr>
          <w:p w14:paraId="3F5557A0">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color w:val="auto"/>
                <w:spacing w:val="-6"/>
                <w:sz w:val="22"/>
                <w:szCs w:val="22"/>
                <w:highlight w:val="none"/>
                <w:lang w:val="en-US" w:eastAsia="zh-CN"/>
              </w:rPr>
            </w:pPr>
            <w:r>
              <w:rPr>
                <w:rFonts w:hint="eastAsia" w:ascii="宋体" w:hAnsi="宋体" w:eastAsia="宋体" w:cs="宋体"/>
                <w:snapToGrid w:val="0"/>
                <w:kern w:val="2"/>
                <w:sz w:val="22"/>
                <w:szCs w:val="22"/>
                <w:highlight w:val="none"/>
                <w:lang w:val="en-US" w:eastAsia="zh-CN"/>
              </w:rPr>
              <w:t>供应商自2022年1月1日以来（以合同签订时间为准）承担过类似业绩的，提供1个业绩得2分，最高得6分；注：须提供项目合同扫描件、中标通知书并加盖供应商公章。</w:t>
            </w:r>
          </w:p>
        </w:tc>
      </w:tr>
      <w:tr w14:paraId="1315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964" w:type="dxa"/>
            <w:vMerge w:val="continue"/>
            <w:vAlign w:val="center"/>
          </w:tcPr>
          <w:p w14:paraId="3C716B8A">
            <w:pPr>
              <w:spacing w:line="400" w:lineRule="exact"/>
              <w:ind w:firstLine="28"/>
              <w:jc w:val="center"/>
              <w:rPr>
                <w:rFonts w:hint="eastAsia"/>
                <w:color w:val="auto"/>
                <w:szCs w:val="21"/>
                <w:lang w:val="en-US"/>
              </w:rPr>
            </w:pPr>
          </w:p>
        </w:tc>
        <w:tc>
          <w:tcPr>
            <w:tcW w:w="1165" w:type="dxa"/>
            <w:vMerge w:val="continue"/>
            <w:vAlign w:val="center"/>
          </w:tcPr>
          <w:p w14:paraId="1451E425">
            <w:pPr>
              <w:spacing w:line="400" w:lineRule="exact"/>
              <w:jc w:val="center"/>
              <w:rPr>
                <w:rFonts w:hint="eastAsia" w:ascii="宋体" w:hAnsi="宋体" w:eastAsia="宋体" w:cs="宋体"/>
                <w:color w:val="auto"/>
                <w:sz w:val="22"/>
                <w:szCs w:val="22"/>
              </w:rPr>
            </w:pPr>
          </w:p>
        </w:tc>
        <w:tc>
          <w:tcPr>
            <w:tcW w:w="1622" w:type="dxa"/>
            <w:vAlign w:val="center"/>
          </w:tcPr>
          <w:p w14:paraId="2DF896C5">
            <w:pPr>
              <w:pageBreakBefore w:val="0"/>
              <w:kinsoku/>
              <w:wordWrap/>
              <w:overflowPunct/>
              <w:topLinePunct w:val="0"/>
              <w:bidi w:val="0"/>
              <w:adjustRightInd w:val="0"/>
              <w:snapToGrid w:val="0"/>
              <w:spacing w:beforeAutospacing="0" w:afterAutospacing="0" w:line="360" w:lineRule="auto"/>
              <w:ind w:left="2" w:leftChars="0" w:right="0" w:hanging="2" w:hangingChars="1"/>
              <w:jc w:val="center"/>
              <w:rPr>
                <w:rFonts w:hint="eastAsia" w:ascii="宋体" w:hAnsi="宋体" w:eastAsia="宋体" w:cs="宋体"/>
                <w:snapToGrid w:val="0"/>
                <w:kern w:val="2"/>
                <w:sz w:val="22"/>
                <w:szCs w:val="22"/>
                <w:highlight w:val="none"/>
                <w:lang w:val="en-US" w:eastAsia="zh-CN"/>
              </w:rPr>
            </w:pPr>
            <w:r>
              <w:rPr>
                <w:rFonts w:hint="eastAsia" w:ascii="宋体" w:hAnsi="宋体" w:eastAsia="宋体" w:cs="宋体"/>
                <w:snapToGrid w:val="0"/>
                <w:kern w:val="2"/>
                <w:sz w:val="22"/>
                <w:szCs w:val="22"/>
                <w:highlight w:val="none"/>
                <w:lang w:val="en-US" w:eastAsia="zh-CN"/>
              </w:rPr>
              <w:t>项目团队（4分）</w:t>
            </w:r>
          </w:p>
        </w:tc>
        <w:tc>
          <w:tcPr>
            <w:tcW w:w="5888" w:type="dxa"/>
            <w:vAlign w:val="center"/>
          </w:tcPr>
          <w:p w14:paraId="2DCABA8A">
            <w:pPr>
              <w:pageBreakBefore w:val="0"/>
              <w:kinsoku/>
              <w:wordWrap/>
              <w:overflowPunct/>
              <w:topLinePunct w:val="0"/>
              <w:bidi w:val="0"/>
              <w:adjustRightInd w:val="0"/>
              <w:snapToGrid w:val="0"/>
              <w:spacing w:beforeAutospacing="0" w:afterAutospacing="0" w:line="360" w:lineRule="auto"/>
              <w:ind w:left="2" w:leftChars="0" w:right="0" w:rightChars="0" w:hanging="2" w:hangingChars="1"/>
              <w:jc w:val="both"/>
              <w:rPr>
                <w:rFonts w:hint="eastAsia" w:ascii="宋体" w:hAnsi="宋体" w:eastAsia="宋体" w:cs="宋体"/>
                <w:snapToGrid w:val="0"/>
                <w:kern w:val="2"/>
                <w:sz w:val="22"/>
                <w:szCs w:val="22"/>
                <w:highlight w:val="none"/>
                <w:lang w:val="en-US" w:eastAsia="zh-CN"/>
              </w:rPr>
            </w:pPr>
            <w:r>
              <w:rPr>
                <w:rFonts w:hint="eastAsia" w:ascii="宋体" w:hAnsi="宋体" w:eastAsia="宋体" w:cs="宋体"/>
                <w:sz w:val="22"/>
                <w:szCs w:val="22"/>
                <w:highlight w:val="none"/>
              </w:rPr>
              <w:t>除项目负责人外，项目团队每多配备一名相关专业注册证书</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如注册城乡规划师、注册建造师（市政公用工程）、注册风景园林工程师等</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的得</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分，最多得</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分。（须提供证书原件扫描件或图片。）</w:t>
            </w:r>
          </w:p>
        </w:tc>
      </w:tr>
      <w:tr w14:paraId="0C4F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3" w:hRule="atLeast"/>
        </w:trPr>
        <w:tc>
          <w:tcPr>
            <w:tcW w:w="964" w:type="dxa"/>
            <w:vMerge w:val="continue"/>
            <w:vAlign w:val="center"/>
          </w:tcPr>
          <w:p w14:paraId="4CF8FD95">
            <w:pPr>
              <w:spacing w:line="400" w:lineRule="exact"/>
              <w:ind w:firstLine="28"/>
              <w:jc w:val="center"/>
              <w:rPr>
                <w:color w:val="auto"/>
                <w:szCs w:val="21"/>
              </w:rPr>
            </w:pPr>
          </w:p>
        </w:tc>
        <w:tc>
          <w:tcPr>
            <w:tcW w:w="1165" w:type="dxa"/>
            <w:vMerge w:val="continue"/>
            <w:vAlign w:val="center"/>
          </w:tcPr>
          <w:p w14:paraId="28E6B8FD">
            <w:pPr>
              <w:spacing w:line="400" w:lineRule="exact"/>
              <w:ind w:firstLine="28"/>
              <w:jc w:val="center"/>
              <w:rPr>
                <w:rFonts w:hint="eastAsia" w:ascii="宋体" w:hAnsi="宋体" w:eastAsia="宋体" w:cs="宋体"/>
                <w:color w:val="auto"/>
                <w:sz w:val="22"/>
                <w:szCs w:val="22"/>
              </w:rPr>
            </w:pPr>
          </w:p>
        </w:tc>
        <w:tc>
          <w:tcPr>
            <w:tcW w:w="1622" w:type="dxa"/>
            <w:tcBorders>
              <w:top w:val="single" w:color="auto" w:sz="4" w:space="0"/>
              <w:left w:val="single" w:color="auto" w:sz="4" w:space="0"/>
              <w:bottom w:val="single" w:color="auto" w:sz="4" w:space="0"/>
              <w:right w:val="single" w:color="auto" w:sz="4" w:space="0"/>
            </w:tcBorders>
            <w:vAlign w:val="center"/>
          </w:tcPr>
          <w:p w14:paraId="398C193E">
            <w:pPr>
              <w:pStyle w:val="35"/>
              <w:pageBreakBefore w:val="0"/>
              <w:kinsoku/>
              <w:wordWrap/>
              <w:overflowPunct/>
              <w:topLinePunct w:val="0"/>
              <w:bidi w:val="0"/>
              <w:adjustRightInd w:val="0"/>
              <w:snapToGrid w:val="0"/>
              <w:spacing w:beforeAutospacing="0" w:afterAutospacing="0" w:line="360" w:lineRule="auto"/>
              <w:ind w:left="0" w:leftChars="0" w:right="0"/>
              <w:jc w:val="center"/>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项目实施期间服务承诺</w:t>
            </w:r>
          </w:p>
          <w:p w14:paraId="5CB275E8">
            <w:pPr>
              <w:pStyle w:val="35"/>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w:t>
            </w:r>
            <w:r>
              <w:rPr>
                <w:rFonts w:hint="eastAsia" w:cs="宋体"/>
                <w:snapToGrid w:val="0"/>
                <w:kern w:val="2"/>
                <w:sz w:val="22"/>
                <w:szCs w:val="22"/>
                <w:highlight w:val="none"/>
                <w:lang w:val="en-US" w:eastAsia="zh-CN" w:bidi="ar-SA"/>
              </w:rPr>
              <w:t>6</w:t>
            </w:r>
            <w:r>
              <w:rPr>
                <w:rFonts w:hint="eastAsia" w:ascii="宋体" w:hAnsi="宋体" w:eastAsia="宋体" w:cs="宋体"/>
                <w:snapToGrid w:val="0"/>
                <w:kern w:val="2"/>
                <w:sz w:val="22"/>
                <w:szCs w:val="22"/>
                <w:highlight w:val="none"/>
                <w:lang w:val="en-US" w:eastAsia="zh-CN" w:bidi="ar-SA"/>
              </w:rPr>
              <w:t>分）</w:t>
            </w:r>
          </w:p>
        </w:tc>
        <w:tc>
          <w:tcPr>
            <w:tcW w:w="5888" w:type="dxa"/>
            <w:tcBorders>
              <w:top w:val="single" w:color="auto" w:sz="4" w:space="0"/>
              <w:left w:val="single" w:color="auto" w:sz="4" w:space="0"/>
              <w:bottom w:val="single" w:color="auto" w:sz="4" w:space="0"/>
              <w:right w:val="single" w:color="auto" w:sz="4" w:space="0"/>
            </w:tcBorders>
            <w:vAlign w:val="center"/>
          </w:tcPr>
          <w:p w14:paraId="390E63FC">
            <w:pPr>
              <w:spacing w:line="360" w:lineRule="auto"/>
              <w:jc w:val="left"/>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满足采购人要求，并对项目进行所需承诺；</w:t>
            </w:r>
          </w:p>
          <w:p w14:paraId="7F53BC63">
            <w:pPr>
              <w:pageBreakBefore w:val="0"/>
              <w:kinsoku/>
              <w:overflowPunct/>
              <w:topLinePunct w:val="0"/>
              <w:bidi w:val="0"/>
              <w:adjustRightInd w:val="0"/>
              <w:snapToGrid w:val="0"/>
              <w:spacing w:line="360" w:lineRule="auto"/>
              <w:jc w:val="left"/>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1、服务过程中与相关各方的配合、沟通措施，确保规划方案（设计方案）审批通过的保证措施。（</w:t>
            </w:r>
            <w:r>
              <w:rPr>
                <w:rFonts w:hint="eastAsia"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bidi="ar-SA"/>
              </w:rPr>
              <w:t>分）</w:t>
            </w:r>
          </w:p>
          <w:p w14:paraId="5A2EC63A">
            <w:pPr>
              <w:pageBreakBefore w:val="0"/>
              <w:kinsoku/>
              <w:overflowPunct/>
              <w:topLinePunct w:val="0"/>
              <w:bidi w:val="0"/>
              <w:adjustRightInd w:val="0"/>
              <w:snapToGrid w:val="0"/>
              <w:spacing w:line="360" w:lineRule="auto"/>
              <w:jc w:val="left"/>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2、服务承诺</w:t>
            </w:r>
            <w:r>
              <w:rPr>
                <w:rFonts w:hint="eastAsia" w:ascii="宋体" w:hAnsi="宋体" w:eastAsia="宋体" w:cs="宋体"/>
                <w:snapToGrid w:val="0"/>
                <w:kern w:val="2"/>
                <w:sz w:val="22"/>
                <w:szCs w:val="22"/>
                <w:highlight w:val="none"/>
                <w:lang w:val="zh-CN" w:eastAsia="zh-CN" w:bidi="ar-SA"/>
              </w:rPr>
              <w:t>内容详实，科学、合理，考虑周全，措施到位，针对性强，完全能够满足项目的需要</w:t>
            </w:r>
            <w:r>
              <w:rPr>
                <w:rFonts w:hint="eastAsia" w:ascii="宋体" w:hAnsi="宋体" w:eastAsia="宋体" w:cs="宋体"/>
                <w:snapToGrid w:val="0"/>
                <w:kern w:val="2"/>
                <w:sz w:val="22"/>
                <w:szCs w:val="22"/>
                <w:highlight w:val="none"/>
                <w:lang w:val="en-US" w:eastAsia="zh-CN" w:bidi="ar-SA"/>
              </w:rPr>
              <w:t>。（</w:t>
            </w:r>
            <w:r>
              <w:rPr>
                <w:rFonts w:hint="eastAsia"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bidi="ar-SA"/>
              </w:rPr>
              <w:t>分）</w:t>
            </w:r>
          </w:p>
          <w:p w14:paraId="08ABBBF5">
            <w:pPr>
              <w:pageBreakBefore w:val="0"/>
              <w:numPr>
                <w:ilvl w:val="0"/>
                <w:numId w:val="0"/>
              </w:numPr>
              <w:kinsoku/>
              <w:wordWrap/>
              <w:overflowPunct/>
              <w:topLinePunct w:val="0"/>
              <w:bidi w:val="0"/>
              <w:adjustRightInd w:val="0"/>
              <w:snapToGrid w:val="0"/>
              <w:spacing w:beforeAutospacing="0" w:afterAutospacing="0" w:line="360" w:lineRule="auto"/>
              <w:ind w:left="-2" w:leftChars="-1" w:right="0" w:rightChars="0" w:firstLine="0" w:firstLineChars="0"/>
              <w:jc w:val="both"/>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3、对本项目及采购人的合理化建议、增值服务优惠及其他实质性的优惠。（</w:t>
            </w:r>
            <w:r>
              <w:rPr>
                <w:rFonts w:hint="eastAsia"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bidi="ar-SA"/>
              </w:rPr>
              <w:t>分）</w:t>
            </w:r>
          </w:p>
        </w:tc>
      </w:tr>
      <w:tr w14:paraId="5BF40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0" w:hRule="atLeast"/>
        </w:trPr>
        <w:tc>
          <w:tcPr>
            <w:tcW w:w="964" w:type="dxa"/>
            <w:vMerge w:val="continue"/>
            <w:vAlign w:val="center"/>
          </w:tcPr>
          <w:p w14:paraId="159D11C0">
            <w:pPr>
              <w:spacing w:line="400" w:lineRule="exact"/>
              <w:ind w:firstLine="28"/>
              <w:jc w:val="center"/>
              <w:rPr>
                <w:color w:val="auto"/>
                <w:szCs w:val="21"/>
              </w:rPr>
            </w:pPr>
          </w:p>
        </w:tc>
        <w:tc>
          <w:tcPr>
            <w:tcW w:w="1165" w:type="dxa"/>
            <w:vMerge w:val="continue"/>
            <w:vAlign w:val="center"/>
          </w:tcPr>
          <w:p w14:paraId="36ECFD2E">
            <w:pPr>
              <w:spacing w:line="400" w:lineRule="exact"/>
              <w:ind w:firstLine="28"/>
              <w:jc w:val="center"/>
              <w:rPr>
                <w:rFonts w:hint="eastAsia" w:ascii="宋体" w:hAnsi="宋体" w:eastAsia="宋体" w:cs="宋体"/>
                <w:color w:val="auto"/>
                <w:sz w:val="22"/>
                <w:szCs w:val="22"/>
              </w:rPr>
            </w:pPr>
          </w:p>
        </w:tc>
        <w:tc>
          <w:tcPr>
            <w:tcW w:w="1622" w:type="dxa"/>
            <w:tcBorders>
              <w:top w:val="single" w:color="auto" w:sz="4" w:space="0"/>
              <w:left w:val="single" w:color="auto" w:sz="4" w:space="0"/>
              <w:bottom w:val="single" w:color="auto" w:sz="4" w:space="0"/>
              <w:right w:val="single" w:color="auto" w:sz="4" w:space="0"/>
            </w:tcBorders>
            <w:vAlign w:val="center"/>
          </w:tcPr>
          <w:p w14:paraId="672BC3F4">
            <w:pPr>
              <w:pStyle w:val="35"/>
              <w:pageBreakBefore w:val="0"/>
              <w:kinsoku/>
              <w:wordWrap/>
              <w:overflowPunct/>
              <w:topLinePunct w:val="0"/>
              <w:bidi w:val="0"/>
              <w:adjustRightInd w:val="0"/>
              <w:snapToGrid w:val="0"/>
              <w:spacing w:beforeAutospacing="0" w:afterAutospacing="0" w:line="360" w:lineRule="auto"/>
              <w:ind w:left="0" w:leftChars="0" w:right="0"/>
              <w:jc w:val="center"/>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后期服务承诺</w:t>
            </w:r>
          </w:p>
          <w:p w14:paraId="0E6FBF5F">
            <w:pPr>
              <w:pStyle w:val="35"/>
              <w:pageBreakBefore w:val="0"/>
              <w:kinsoku/>
              <w:wordWrap/>
              <w:overflowPunct/>
              <w:topLinePunct w:val="0"/>
              <w:bidi w:val="0"/>
              <w:adjustRightInd w:val="0"/>
              <w:snapToGrid w:val="0"/>
              <w:spacing w:beforeAutospacing="0" w:afterAutospacing="0" w:line="360" w:lineRule="auto"/>
              <w:ind w:left="0" w:leftChars="0" w:right="0" w:rightChars="0"/>
              <w:jc w:val="center"/>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w:t>
            </w:r>
            <w:r>
              <w:rPr>
                <w:rFonts w:hint="eastAsia" w:cs="宋体"/>
                <w:snapToGrid w:val="0"/>
                <w:kern w:val="2"/>
                <w:sz w:val="22"/>
                <w:szCs w:val="22"/>
                <w:highlight w:val="none"/>
                <w:lang w:val="en-US" w:eastAsia="zh-CN" w:bidi="ar-SA"/>
              </w:rPr>
              <w:t>4</w:t>
            </w:r>
            <w:r>
              <w:rPr>
                <w:rFonts w:hint="eastAsia" w:ascii="宋体" w:hAnsi="宋体" w:eastAsia="宋体" w:cs="宋体"/>
                <w:snapToGrid w:val="0"/>
                <w:kern w:val="2"/>
                <w:sz w:val="22"/>
                <w:szCs w:val="22"/>
                <w:highlight w:val="none"/>
                <w:lang w:val="en-US" w:eastAsia="zh-CN" w:bidi="ar-SA"/>
              </w:rPr>
              <w:t>分）</w:t>
            </w:r>
          </w:p>
        </w:tc>
        <w:tc>
          <w:tcPr>
            <w:tcW w:w="5888" w:type="dxa"/>
            <w:tcBorders>
              <w:top w:val="single" w:color="auto" w:sz="4" w:space="0"/>
              <w:left w:val="single" w:color="auto" w:sz="4" w:space="0"/>
              <w:bottom w:val="single" w:color="auto" w:sz="4" w:space="0"/>
              <w:right w:val="single" w:color="auto" w:sz="4" w:space="0"/>
            </w:tcBorders>
            <w:vAlign w:val="center"/>
          </w:tcPr>
          <w:p w14:paraId="7FA58962">
            <w:pPr>
              <w:spacing w:line="360" w:lineRule="auto"/>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评审小组根据供应商提供的后期服务方案的完整性、可行性等进行综合评价。</w:t>
            </w:r>
          </w:p>
          <w:p w14:paraId="3ECA2E26">
            <w:pPr>
              <w:spacing w:line="360" w:lineRule="auto"/>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后期服务方案、包括项目资料的移交验收、项目延续期间的服务承诺较详细，服务经验较丰富，符合采购人实际情况，有很强针对性和可行性，完全满足或优于项目需求，得</w:t>
            </w:r>
            <w:r>
              <w:rPr>
                <w:rFonts w:hint="eastAsia" w:cs="宋体"/>
                <w:snapToGrid w:val="0"/>
                <w:kern w:val="2"/>
                <w:sz w:val="22"/>
                <w:szCs w:val="22"/>
                <w:highlight w:val="none"/>
                <w:lang w:val="en-US" w:eastAsia="zh-CN" w:bidi="ar-SA"/>
              </w:rPr>
              <w:t>4</w:t>
            </w:r>
            <w:r>
              <w:rPr>
                <w:rFonts w:hint="eastAsia" w:ascii="宋体" w:hAnsi="宋体" w:eastAsia="宋体" w:cs="宋体"/>
                <w:snapToGrid w:val="0"/>
                <w:kern w:val="2"/>
                <w:sz w:val="22"/>
                <w:szCs w:val="22"/>
                <w:highlight w:val="none"/>
                <w:lang w:val="en-US" w:eastAsia="zh-CN" w:bidi="ar-SA"/>
              </w:rPr>
              <w:t>分。</w:t>
            </w:r>
          </w:p>
          <w:p w14:paraId="235F6376">
            <w:pPr>
              <w:pageBreakBefore w:val="0"/>
              <w:kinsoku/>
              <w:wordWrap/>
              <w:overflowPunct/>
              <w:topLinePunct w:val="0"/>
              <w:bidi w:val="0"/>
              <w:adjustRightInd w:val="0"/>
              <w:snapToGrid w:val="0"/>
              <w:spacing w:beforeAutospacing="0" w:afterAutospacing="0" w:line="360" w:lineRule="auto"/>
              <w:ind w:left="2" w:leftChars="0" w:right="0" w:hanging="2" w:hangingChars="1"/>
              <w:jc w:val="both"/>
              <w:rPr>
                <w:rFonts w:hint="eastAsia" w:ascii="宋体" w:hAnsi="宋体" w:eastAsia="宋体" w:cs="宋体"/>
                <w:snapToGrid w:val="0"/>
                <w:kern w:val="2"/>
                <w:sz w:val="22"/>
                <w:szCs w:val="22"/>
                <w:highlight w:val="none"/>
                <w:lang w:val="en-US" w:eastAsia="zh-CN" w:bidi="ar-SA"/>
              </w:rPr>
            </w:pPr>
            <w:r>
              <w:rPr>
                <w:rFonts w:hint="eastAsia" w:ascii="宋体" w:hAnsi="宋体" w:eastAsia="宋体" w:cs="宋体"/>
                <w:snapToGrid w:val="0"/>
                <w:kern w:val="2"/>
                <w:sz w:val="22"/>
                <w:szCs w:val="22"/>
                <w:highlight w:val="none"/>
                <w:lang w:val="en-US" w:eastAsia="zh-CN" w:bidi="ar-SA"/>
              </w:rPr>
              <w:t xml:space="preserve">后期服务方案综合考虑各方面需求比较完整、合理、可行，后期服务方案比较完整、合理，基本满足招标文件要求，得 </w:t>
            </w:r>
            <w:r>
              <w:rPr>
                <w:rFonts w:hint="eastAsia" w:cs="宋体"/>
                <w:snapToGrid w:val="0"/>
                <w:kern w:val="2"/>
                <w:sz w:val="22"/>
                <w:szCs w:val="22"/>
                <w:highlight w:val="none"/>
                <w:lang w:val="en-US" w:eastAsia="zh-CN" w:bidi="ar-SA"/>
              </w:rPr>
              <w:t>2</w:t>
            </w:r>
            <w:r>
              <w:rPr>
                <w:rFonts w:hint="eastAsia" w:ascii="宋体" w:hAnsi="宋体" w:eastAsia="宋体" w:cs="宋体"/>
                <w:snapToGrid w:val="0"/>
                <w:kern w:val="2"/>
                <w:sz w:val="22"/>
                <w:szCs w:val="22"/>
                <w:highlight w:val="none"/>
                <w:lang w:val="en-US" w:eastAsia="zh-CN" w:bidi="ar-SA"/>
              </w:rPr>
              <w:t>分。</w:t>
            </w:r>
          </w:p>
          <w:p w14:paraId="2F9AC866">
            <w:pPr>
              <w:pageBreakBefore w:val="0"/>
              <w:numPr>
                <w:ilvl w:val="0"/>
                <w:numId w:val="0"/>
              </w:numPr>
              <w:kinsoku/>
              <w:wordWrap/>
              <w:overflowPunct/>
              <w:topLinePunct w:val="0"/>
              <w:bidi w:val="0"/>
              <w:adjustRightInd w:val="0"/>
              <w:snapToGrid w:val="0"/>
              <w:spacing w:beforeAutospacing="0" w:afterAutospacing="0" w:line="360" w:lineRule="auto"/>
              <w:ind w:left="0" w:leftChars="0" w:right="0" w:rightChars="0" w:firstLine="0" w:firstLineChars="0"/>
              <w:jc w:val="both"/>
              <w:rPr>
                <w:rFonts w:hint="eastAsia" w:ascii="宋体" w:hAnsi="宋体" w:eastAsia="宋体" w:cs="宋体"/>
                <w:color w:val="auto"/>
                <w:spacing w:val="-6"/>
                <w:sz w:val="22"/>
                <w:szCs w:val="22"/>
                <w:lang w:val="en-US" w:eastAsia="zh-CN"/>
              </w:rPr>
            </w:pPr>
            <w:r>
              <w:rPr>
                <w:rFonts w:hint="eastAsia" w:ascii="宋体" w:hAnsi="宋体" w:eastAsia="宋体" w:cs="宋体"/>
                <w:snapToGrid w:val="0"/>
                <w:kern w:val="2"/>
                <w:sz w:val="22"/>
                <w:szCs w:val="22"/>
                <w:highlight w:val="none"/>
                <w:lang w:val="en-US" w:eastAsia="zh-CN" w:bidi="ar-SA"/>
              </w:rPr>
              <w:t>后期服务方案简单，基本满足招标文件要求，得 1分。缺项得</w:t>
            </w:r>
            <w:r>
              <w:rPr>
                <w:rFonts w:hint="eastAsia" w:cs="宋体"/>
                <w:snapToGrid w:val="0"/>
                <w:kern w:val="2"/>
                <w:sz w:val="22"/>
                <w:szCs w:val="22"/>
                <w:highlight w:val="none"/>
                <w:lang w:val="en-US" w:eastAsia="zh-CN" w:bidi="ar-SA"/>
              </w:rPr>
              <w:t>0</w:t>
            </w:r>
            <w:r>
              <w:rPr>
                <w:rFonts w:hint="eastAsia" w:ascii="宋体" w:hAnsi="宋体" w:eastAsia="宋体" w:cs="宋体"/>
                <w:snapToGrid w:val="0"/>
                <w:kern w:val="2"/>
                <w:sz w:val="22"/>
                <w:szCs w:val="22"/>
                <w:highlight w:val="none"/>
                <w:lang w:val="en-US" w:eastAsia="zh-CN" w:bidi="ar-SA"/>
              </w:rPr>
              <w:t>分。</w:t>
            </w:r>
          </w:p>
        </w:tc>
      </w:tr>
      <w:tr w14:paraId="3BBF6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0" w:hRule="atLeast"/>
        </w:trPr>
        <w:tc>
          <w:tcPr>
            <w:tcW w:w="9639" w:type="dxa"/>
            <w:gridSpan w:val="4"/>
            <w:tcBorders>
              <w:top w:val="single" w:color="auto" w:sz="4" w:space="0"/>
              <w:left w:val="single" w:color="auto" w:sz="4" w:space="0"/>
              <w:bottom w:val="single" w:color="auto" w:sz="4" w:space="0"/>
              <w:right w:val="single" w:color="auto" w:sz="4" w:space="0"/>
            </w:tcBorders>
            <w:vAlign w:val="center"/>
          </w:tcPr>
          <w:p w14:paraId="1A1DA2A5">
            <w:pPr>
              <w:spacing w:line="400" w:lineRule="exact"/>
              <w:rPr>
                <w:color w:val="auto"/>
                <w:szCs w:val="21"/>
                <w:lang w:val="en-US"/>
              </w:rPr>
            </w:pPr>
            <w:r>
              <w:rPr>
                <w:rFonts w:hint="eastAsia"/>
                <w:color w:val="auto"/>
                <w:szCs w:val="21"/>
                <w:lang w:val="en-US"/>
              </w:rPr>
              <w:t>供应商综合得分﹦报价得分+技术标＋</w:t>
            </w:r>
            <w:r>
              <w:rPr>
                <w:rFonts w:hint="eastAsia"/>
                <w:color w:val="auto"/>
                <w:szCs w:val="21"/>
                <w:lang w:val="en-US" w:eastAsia="zh-CN"/>
              </w:rPr>
              <w:t>商务</w:t>
            </w:r>
            <w:r>
              <w:rPr>
                <w:rFonts w:hint="eastAsia"/>
                <w:color w:val="auto"/>
                <w:szCs w:val="21"/>
                <w:lang w:val="en-US"/>
              </w:rPr>
              <w:t>标</w:t>
            </w:r>
          </w:p>
          <w:p w14:paraId="0262D3E7">
            <w:pPr>
              <w:spacing w:line="400" w:lineRule="exact"/>
              <w:rPr>
                <w:color w:val="auto"/>
                <w:szCs w:val="21"/>
                <w:lang w:val="en-US"/>
              </w:rPr>
            </w:pPr>
            <w:r>
              <w:rPr>
                <w:rFonts w:hint="eastAsia"/>
                <w:color w:val="auto"/>
                <w:szCs w:val="21"/>
                <w:lang w:val="en-US"/>
              </w:rPr>
              <w:t>1．</w:t>
            </w:r>
            <w:r>
              <w:rPr>
                <w:rFonts w:hint="eastAsia"/>
                <w:color w:val="auto"/>
                <w:szCs w:val="21"/>
                <w:lang w:val="en-US" w:eastAsia="zh-CN"/>
              </w:rPr>
              <w:t>磋商小组</w:t>
            </w:r>
            <w:r>
              <w:rPr>
                <w:rFonts w:hint="eastAsia"/>
                <w:color w:val="auto"/>
                <w:szCs w:val="21"/>
                <w:lang w:val="en-US"/>
              </w:rPr>
              <w:t>对所有评审项得分的算术平均值，作为该供应商的最终得分。</w:t>
            </w:r>
          </w:p>
          <w:p w14:paraId="6A813C99">
            <w:pPr>
              <w:spacing w:line="400" w:lineRule="exact"/>
              <w:rPr>
                <w:color w:val="auto"/>
                <w:szCs w:val="21"/>
                <w:lang w:val="en-US"/>
              </w:rPr>
            </w:pPr>
            <w:r>
              <w:rPr>
                <w:rFonts w:hint="eastAsia"/>
                <w:color w:val="auto"/>
                <w:szCs w:val="21"/>
                <w:lang w:val="en-US"/>
              </w:rPr>
              <w:t>2．计分过程中按四舍五入的法则，取至小数点后3位，最终结果取至小数点后2位，</w:t>
            </w:r>
            <w:r>
              <w:rPr>
                <w:rFonts w:hint="eastAsia"/>
                <w:color w:val="auto"/>
                <w:szCs w:val="21"/>
                <w:lang w:val="en-US" w:eastAsia="zh-CN"/>
              </w:rPr>
              <w:t>磋商小组</w:t>
            </w:r>
            <w:r>
              <w:rPr>
                <w:rFonts w:hint="eastAsia"/>
                <w:color w:val="auto"/>
                <w:szCs w:val="21"/>
                <w:lang w:val="en-US"/>
              </w:rPr>
              <w:t>将按供应商得分高低排序向招标人推荐3名成交候选人。</w:t>
            </w:r>
          </w:p>
        </w:tc>
      </w:tr>
    </w:tbl>
    <w:p w14:paraId="6A1780C1">
      <w:pPr>
        <w:pStyle w:val="36"/>
        <w:ind w:left="0" w:firstLine="482" w:firstLineChars="200"/>
        <w:outlineLvl w:val="0"/>
        <w:rPr>
          <w:rFonts w:ascii="宋体" w:hAnsi="宋体"/>
          <w:color w:val="auto"/>
          <w:sz w:val="24"/>
          <w:szCs w:val="24"/>
        </w:rPr>
      </w:pPr>
      <w:bookmarkStart w:id="190" w:name="_Toc9678"/>
      <w:bookmarkStart w:id="191" w:name="_Toc29721_WPSOffice_Level2"/>
      <w:bookmarkStart w:id="192" w:name="_Toc1597"/>
      <w:r>
        <w:rPr>
          <w:rFonts w:hint="eastAsia" w:ascii="宋体" w:hAnsi="宋体"/>
          <w:color w:val="auto"/>
          <w:sz w:val="24"/>
          <w:szCs w:val="24"/>
        </w:rPr>
        <w:t>1. 评标方法</w:t>
      </w:r>
      <w:bookmarkEnd w:id="187"/>
      <w:bookmarkEnd w:id="190"/>
      <w:bookmarkEnd w:id="191"/>
      <w:bookmarkEnd w:id="192"/>
    </w:p>
    <w:p w14:paraId="46266A6A">
      <w:pPr>
        <w:spacing w:line="400" w:lineRule="exact"/>
        <w:ind w:firstLine="480" w:firstLineChars="200"/>
        <w:rPr>
          <w:color w:val="auto"/>
          <w:sz w:val="24"/>
        </w:rPr>
      </w:pPr>
      <w:r>
        <w:rPr>
          <w:rFonts w:hint="eastAsia"/>
          <w:color w:val="auto"/>
          <w:sz w:val="24"/>
          <w:lang w:bidi="en-US"/>
        </w:rPr>
        <w:t>本次评标采用综合评分法。磋商小组对满足磋商文件实质性要求的响应文件</w:t>
      </w:r>
      <w:r>
        <w:rPr>
          <w:rFonts w:hint="eastAsia"/>
          <w:color w:val="auto"/>
          <w:sz w:val="24"/>
        </w:rPr>
        <w:t>，按照本章规定的评分标准进行打分，并按得分由高到低顺序推荐成交候选人，综合评分相等时，以报价得分高的优先；报价得分也相等的，由采购人自行确定。</w:t>
      </w:r>
    </w:p>
    <w:p w14:paraId="2606D4BC">
      <w:pPr>
        <w:pStyle w:val="36"/>
        <w:ind w:left="0" w:firstLine="482" w:firstLineChars="200"/>
        <w:outlineLvl w:val="0"/>
        <w:rPr>
          <w:rFonts w:ascii="宋体" w:hAnsi="宋体"/>
          <w:color w:val="auto"/>
          <w:sz w:val="24"/>
          <w:szCs w:val="24"/>
        </w:rPr>
      </w:pPr>
      <w:bookmarkStart w:id="193" w:name="_Toc281405529"/>
      <w:bookmarkStart w:id="194" w:name="_Toc24936"/>
      <w:bookmarkStart w:id="195" w:name="_Toc20649"/>
      <w:bookmarkStart w:id="196" w:name="_Toc5817"/>
      <w:bookmarkStart w:id="197" w:name="_Toc487498487"/>
      <w:bookmarkStart w:id="198" w:name="_Toc318450723"/>
      <w:bookmarkStart w:id="199" w:name="_Toc152042378"/>
      <w:bookmarkStart w:id="200" w:name="_Toc26640_WPSOffice_Level2"/>
      <w:bookmarkStart w:id="201" w:name="_Toc144974568"/>
      <w:bookmarkStart w:id="202" w:name="_Toc152045601"/>
      <w:bookmarkStart w:id="203" w:name="_Toc455080157"/>
      <w:bookmarkStart w:id="204" w:name="_Toc16578"/>
      <w:bookmarkStart w:id="205" w:name="_Toc12013"/>
      <w:bookmarkStart w:id="206" w:name="_Toc144974570"/>
      <w:bookmarkStart w:id="207" w:name="_Toc281405531"/>
      <w:bookmarkStart w:id="208" w:name="_Toc455080159"/>
      <w:bookmarkStart w:id="209" w:name="_Toc30189"/>
      <w:bookmarkStart w:id="210" w:name="_Toc22439"/>
      <w:bookmarkStart w:id="211" w:name="_Toc25492"/>
      <w:bookmarkStart w:id="212" w:name="_Toc463701081"/>
      <w:bookmarkStart w:id="213" w:name="_Toc152045603"/>
      <w:bookmarkStart w:id="214" w:name="_Toc11061"/>
      <w:bookmarkStart w:id="215" w:name="_Toc464035560"/>
      <w:bookmarkStart w:id="216" w:name="_Toc152042380"/>
      <w:bookmarkStart w:id="217" w:name="_Toc318450725"/>
      <w:r>
        <w:rPr>
          <w:rFonts w:hint="eastAsia" w:ascii="宋体" w:hAnsi="宋体"/>
          <w:color w:val="auto"/>
          <w:sz w:val="24"/>
          <w:szCs w:val="24"/>
        </w:rPr>
        <w:t>2. 评审标准</w:t>
      </w:r>
      <w:bookmarkEnd w:id="193"/>
      <w:bookmarkEnd w:id="194"/>
      <w:bookmarkEnd w:id="195"/>
      <w:bookmarkEnd w:id="196"/>
      <w:bookmarkEnd w:id="197"/>
      <w:bookmarkEnd w:id="198"/>
      <w:bookmarkEnd w:id="199"/>
      <w:bookmarkEnd w:id="200"/>
      <w:bookmarkEnd w:id="201"/>
      <w:bookmarkEnd w:id="202"/>
      <w:bookmarkEnd w:id="203"/>
      <w:bookmarkEnd w:id="204"/>
    </w:p>
    <w:bookmarkEnd w:id="205"/>
    <w:bookmarkEnd w:id="206"/>
    <w:bookmarkEnd w:id="207"/>
    <w:bookmarkEnd w:id="208"/>
    <w:bookmarkEnd w:id="209"/>
    <w:bookmarkEnd w:id="210"/>
    <w:bookmarkEnd w:id="211"/>
    <w:bookmarkEnd w:id="212"/>
    <w:bookmarkEnd w:id="213"/>
    <w:bookmarkEnd w:id="214"/>
    <w:bookmarkEnd w:id="215"/>
    <w:bookmarkEnd w:id="216"/>
    <w:bookmarkEnd w:id="217"/>
    <w:p w14:paraId="6F7F4796">
      <w:pPr>
        <w:spacing w:line="400" w:lineRule="exact"/>
        <w:ind w:firstLine="480" w:firstLineChars="200"/>
        <w:rPr>
          <w:rFonts w:hint="eastAsia" w:ascii="宋体" w:hAnsi="宋体" w:eastAsia="宋体" w:cs="宋体"/>
          <w:color w:val="auto"/>
          <w:sz w:val="24"/>
          <w:lang w:bidi="en-US"/>
        </w:rPr>
      </w:pPr>
      <w:bookmarkStart w:id="218" w:name="_Toc16952"/>
      <w:bookmarkStart w:id="219" w:name="_Toc15878"/>
      <w:bookmarkStart w:id="220" w:name="_Toc30922_WPSOffice_Level3"/>
      <w:bookmarkStart w:id="221" w:name="_Toc318450726"/>
      <w:bookmarkStart w:id="222" w:name="_Toc17308"/>
      <w:bookmarkStart w:id="223" w:name="_Toc455080160"/>
      <w:bookmarkStart w:id="224" w:name="_Toc281405532"/>
      <w:r>
        <w:rPr>
          <w:rFonts w:hint="eastAsia" w:ascii="宋体" w:hAnsi="宋体" w:eastAsia="宋体" w:cs="宋体"/>
          <w:color w:val="auto"/>
          <w:sz w:val="24"/>
          <w:lang w:bidi="en-US"/>
        </w:rPr>
        <w:t>2.1 初步评审标准</w:t>
      </w:r>
      <w:bookmarkEnd w:id="218"/>
      <w:bookmarkEnd w:id="219"/>
      <w:bookmarkEnd w:id="220"/>
    </w:p>
    <w:p w14:paraId="597A01F1">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2.1.1 资格评审标准：由磋商小组审核。</w:t>
      </w:r>
    </w:p>
    <w:p w14:paraId="5DD11D6F">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2.1.2 形式评审标准：由磋商小组审核。</w:t>
      </w:r>
    </w:p>
    <w:p w14:paraId="65B66673">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2.1.3 响应性评审标准：由磋商小组审核。</w:t>
      </w:r>
    </w:p>
    <w:p w14:paraId="13BAF63D">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以上有一项不符合要求的按无效标处理。</w:t>
      </w:r>
    </w:p>
    <w:p w14:paraId="6FFB5ADB">
      <w:pPr>
        <w:spacing w:line="400" w:lineRule="exact"/>
        <w:ind w:firstLine="480" w:firstLineChars="200"/>
        <w:rPr>
          <w:rFonts w:hint="eastAsia" w:ascii="宋体" w:hAnsi="宋体" w:eastAsia="宋体" w:cs="宋体"/>
          <w:color w:val="auto"/>
          <w:sz w:val="24"/>
          <w:lang w:bidi="en-US"/>
        </w:rPr>
      </w:pPr>
      <w:bookmarkStart w:id="225" w:name="_Toc17292_WPSOffice_Level3"/>
      <w:r>
        <w:rPr>
          <w:rFonts w:hint="eastAsia" w:ascii="宋体" w:hAnsi="宋体" w:eastAsia="宋体" w:cs="宋体"/>
          <w:color w:val="auto"/>
          <w:sz w:val="24"/>
          <w:lang w:bidi="en-US"/>
        </w:rPr>
        <w:t>2.2 分值构成与评分标准</w:t>
      </w:r>
      <w:bookmarkEnd w:id="225"/>
    </w:p>
    <w:p w14:paraId="01E1D6A1">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2.2.1 分值构成</w:t>
      </w:r>
    </w:p>
    <w:p w14:paraId="476D1248">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（1）最后磋商报价：见评标办法前附表</w:t>
      </w:r>
    </w:p>
    <w:p w14:paraId="508967F1">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（2）技术标：见评标办法前附表</w:t>
      </w:r>
    </w:p>
    <w:p w14:paraId="5A7B91A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（3）商务标：见评标办法前附表</w:t>
      </w:r>
    </w:p>
    <w:p w14:paraId="3B6DB54B">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2.2.2 评分标准</w:t>
      </w:r>
    </w:p>
    <w:p w14:paraId="587875A2">
      <w:pPr>
        <w:spacing w:line="400" w:lineRule="exact"/>
        <w:ind w:firstLine="480" w:firstLineChars="200"/>
        <w:rPr>
          <w:rFonts w:hint="eastAsia" w:ascii="宋体" w:hAnsi="宋体" w:eastAsia="宋体" w:cs="宋体"/>
          <w:color w:val="auto"/>
          <w:sz w:val="24"/>
          <w:lang w:bidi="en-US"/>
        </w:rPr>
      </w:pPr>
      <w:bookmarkStart w:id="226" w:name="_Toc25340"/>
      <w:bookmarkStart w:id="227" w:name="_Toc487498488"/>
      <w:r>
        <w:rPr>
          <w:rFonts w:hint="eastAsia" w:ascii="宋体" w:hAnsi="宋体" w:eastAsia="宋体" w:cs="宋体"/>
          <w:color w:val="auto"/>
          <w:sz w:val="24"/>
          <w:lang w:bidi="en-US"/>
        </w:rPr>
        <w:t>（1）最后磋商报价：见评标办法前附表</w:t>
      </w:r>
    </w:p>
    <w:p w14:paraId="4852EDED">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（2）技术标：见评标办法前附表</w:t>
      </w:r>
    </w:p>
    <w:p w14:paraId="340156C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（3）商务标：见评标办法前附表</w:t>
      </w:r>
    </w:p>
    <w:p w14:paraId="66E74622">
      <w:pPr>
        <w:pStyle w:val="36"/>
        <w:ind w:left="0" w:firstLine="482" w:firstLineChars="200"/>
        <w:outlineLvl w:val="0"/>
        <w:rPr>
          <w:rFonts w:ascii="宋体" w:hAnsi="宋体"/>
          <w:color w:val="auto"/>
          <w:sz w:val="24"/>
          <w:szCs w:val="24"/>
        </w:rPr>
      </w:pPr>
      <w:bookmarkStart w:id="228" w:name="_Toc15225"/>
      <w:bookmarkStart w:id="229" w:name="_Toc14449_WPSOffice_Level2"/>
      <w:bookmarkStart w:id="230" w:name="_Toc29132"/>
      <w:r>
        <w:rPr>
          <w:rFonts w:hint="eastAsia" w:ascii="宋体" w:hAnsi="宋体"/>
          <w:color w:val="auto"/>
          <w:sz w:val="24"/>
          <w:szCs w:val="24"/>
        </w:rPr>
        <w:t>3. 评审程序</w:t>
      </w:r>
      <w:bookmarkEnd w:id="221"/>
      <w:bookmarkEnd w:id="222"/>
      <w:bookmarkEnd w:id="223"/>
      <w:bookmarkEnd w:id="224"/>
      <w:bookmarkEnd w:id="226"/>
      <w:bookmarkEnd w:id="227"/>
      <w:bookmarkEnd w:id="228"/>
      <w:bookmarkEnd w:id="229"/>
      <w:bookmarkEnd w:id="230"/>
    </w:p>
    <w:p w14:paraId="770DCDA7">
      <w:pPr>
        <w:spacing w:line="400" w:lineRule="exact"/>
        <w:ind w:firstLine="480" w:firstLineChars="200"/>
        <w:rPr>
          <w:rFonts w:hint="eastAsia" w:ascii="宋体" w:hAnsi="宋体" w:eastAsia="宋体" w:cs="宋体"/>
          <w:color w:val="auto"/>
          <w:sz w:val="24"/>
          <w:lang w:bidi="en-US"/>
        </w:rPr>
      </w:pPr>
      <w:bookmarkStart w:id="231" w:name="_Toc318450727"/>
      <w:bookmarkStart w:id="232" w:name="_Toc30986"/>
      <w:bookmarkStart w:id="233" w:name="_Toc29614"/>
      <w:bookmarkStart w:id="234" w:name="_Toc464035562"/>
      <w:bookmarkStart w:id="235" w:name="_Toc5427"/>
      <w:bookmarkStart w:id="236" w:name="_Toc455080161"/>
      <w:bookmarkStart w:id="237" w:name="_Toc11862_WPSOffice_Level3"/>
      <w:bookmarkStart w:id="238" w:name="_Toc18886"/>
      <w:bookmarkStart w:id="239" w:name="_Toc281405533"/>
      <w:bookmarkStart w:id="240" w:name="_Toc14633"/>
      <w:bookmarkStart w:id="241" w:name="_Toc7272"/>
      <w:bookmarkStart w:id="242" w:name="_Toc463701083"/>
      <w:r>
        <w:rPr>
          <w:rFonts w:hint="eastAsia" w:ascii="宋体" w:hAnsi="宋体" w:eastAsia="宋体" w:cs="宋体"/>
          <w:color w:val="auto"/>
          <w:sz w:val="24"/>
          <w:lang w:bidi="en-US"/>
        </w:rPr>
        <w:t>3.1 初步评审</w:t>
      </w:r>
      <w:bookmarkEnd w:id="231"/>
      <w:bookmarkEnd w:id="232"/>
      <w:bookmarkEnd w:id="233"/>
      <w:bookmarkEnd w:id="234"/>
      <w:bookmarkEnd w:id="235"/>
      <w:bookmarkEnd w:id="236"/>
      <w:bookmarkEnd w:id="237"/>
      <w:bookmarkEnd w:id="238"/>
      <w:bookmarkEnd w:id="239"/>
      <w:bookmarkEnd w:id="240"/>
      <w:bookmarkEnd w:id="241"/>
      <w:bookmarkEnd w:id="242"/>
    </w:p>
    <w:p w14:paraId="5268B6FC">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3.1.1 磋商小组依据本章第2.1款规定的标准对响应文件进行初步评审。有一项不符合评审标准的，作废标处理。</w:t>
      </w:r>
    </w:p>
    <w:p w14:paraId="5F301D45">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3.1.2 供应商有以下情形之一的，其投标作废标处理：</w:t>
      </w:r>
    </w:p>
    <w:p w14:paraId="01C46112">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（1）串通投标或弄虚作假或有其他违法行为的；</w:t>
      </w:r>
    </w:p>
    <w:p w14:paraId="354D1EF9">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2</w:t>
      </w:r>
      <w:r>
        <w:rPr>
          <w:rFonts w:hint="eastAsia" w:ascii="宋体" w:hAnsi="宋体" w:eastAsia="宋体" w:cs="宋体"/>
          <w:color w:val="auto"/>
          <w:sz w:val="24"/>
          <w:lang w:bidi="en-US"/>
        </w:rPr>
        <w:t>）不按磋商小组要求澄清、说明或补正的；</w:t>
      </w:r>
    </w:p>
    <w:p w14:paraId="53184F67">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3</w:t>
      </w:r>
      <w:r>
        <w:rPr>
          <w:rFonts w:hint="eastAsia" w:ascii="宋体" w:hAnsi="宋体" w:eastAsia="宋体" w:cs="宋体"/>
          <w:color w:val="auto"/>
          <w:sz w:val="24"/>
          <w:lang w:bidi="en-US"/>
        </w:rPr>
        <w:t>）未按规定格式填写、内容不全或关键字迹模糊、无法辨认的；</w:t>
      </w:r>
    </w:p>
    <w:p w14:paraId="218739F3">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4</w:t>
      </w:r>
      <w:r>
        <w:rPr>
          <w:rFonts w:hint="eastAsia" w:ascii="宋体" w:hAnsi="宋体" w:eastAsia="宋体" w:cs="宋体"/>
          <w:color w:val="auto"/>
          <w:sz w:val="24"/>
          <w:lang w:bidi="en-US"/>
        </w:rPr>
        <w:t>）响应文件附有采购人不能接受的条件；</w:t>
      </w:r>
    </w:p>
    <w:p w14:paraId="7AA2156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w:t>
      </w:r>
      <w:r>
        <w:rPr>
          <w:rFonts w:hint="eastAsia" w:ascii="宋体" w:hAnsi="宋体" w:eastAsia="宋体" w:cs="宋体"/>
          <w:color w:val="auto"/>
          <w:sz w:val="24"/>
          <w:lang w:val="en-US" w:eastAsia="zh-CN" w:bidi="en-US"/>
        </w:rPr>
        <w:t>5</w:t>
      </w:r>
      <w:r>
        <w:rPr>
          <w:rFonts w:hint="eastAsia" w:ascii="宋体" w:hAnsi="宋体" w:eastAsia="宋体" w:cs="宋体"/>
          <w:color w:val="auto"/>
          <w:sz w:val="24"/>
          <w:lang w:bidi="en-US"/>
        </w:rPr>
        <w:t>）不符合磋商文件规定的其他实质性要求。</w:t>
      </w:r>
    </w:p>
    <w:p w14:paraId="69049E16">
      <w:pPr>
        <w:spacing w:line="400" w:lineRule="exact"/>
        <w:ind w:firstLine="480" w:firstLineChars="200"/>
        <w:rPr>
          <w:rFonts w:hint="eastAsia" w:ascii="宋体" w:hAnsi="宋体" w:eastAsia="宋体" w:cs="宋体"/>
          <w:color w:val="auto"/>
          <w:sz w:val="24"/>
          <w:lang w:bidi="en-US"/>
        </w:rPr>
      </w:pPr>
      <w:bookmarkStart w:id="243" w:name="_Toc10295_WPSOffice_Level3"/>
      <w:bookmarkStart w:id="244" w:name="_Toc10692"/>
      <w:bookmarkStart w:id="245" w:name="_Toc21032"/>
      <w:bookmarkStart w:id="246" w:name="_Toc281405534"/>
      <w:bookmarkStart w:id="247" w:name="_Toc21570"/>
      <w:bookmarkStart w:id="248" w:name="_Toc463701084"/>
      <w:bookmarkStart w:id="249" w:name="_Toc26049"/>
      <w:bookmarkStart w:id="250" w:name="_Toc7121"/>
      <w:bookmarkStart w:id="251" w:name="_Toc464035563"/>
      <w:bookmarkStart w:id="252" w:name="_Toc318450728"/>
      <w:bookmarkStart w:id="253" w:name="_Toc455080162"/>
      <w:bookmarkStart w:id="254" w:name="_Toc12406"/>
      <w:r>
        <w:rPr>
          <w:rFonts w:hint="eastAsia" w:ascii="宋体" w:hAnsi="宋体" w:eastAsia="宋体" w:cs="宋体"/>
          <w:color w:val="auto"/>
          <w:sz w:val="24"/>
          <w:lang w:bidi="en-US"/>
        </w:rPr>
        <w:t>3.2 详细评审</w:t>
      </w:r>
      <w:bookmarkEnd w:id="243"/>
      <w:bookmarkEnd w:id="244"/>
      <w:bookmarkEnd w:id="245"/>
      <w:bookmarkEnd w:id="246"/>
      <w:bookmarkEnd w:id="247"/>
      <w:bookmarkEnd w:id="248"/>
      <w:bookmarkEnd w:id="249"/>
      <w:bookmarkEnd w:id="250"/>
      <w:bookmarkEnd w:id="251"/>
      <w:bookmarkEnd w:id="252"/>
      <w:bookmarkEnd w:id="253"/>
      <w:bookmarkEnd w:id="254"/>
    </w:p>
    <w:p w14:paraId="79E044A8">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3.2.1 磋商小组邀请通过初步评审的供应商进行磋商报价，磋商报价为供应商最终有效报价。</w:t>
      </w:r>
    </w:p>
    <w:p w14:paraId="5033D5C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val="en-US" w:bidi="en-US"/>
        </w:rPr>
        <w:t>3.2.2磋商小组</w:t>
      </w:r>
      <w:r>
        <w:rPr>
          <w:rFonts w:hint="eastAsia" w:ascii="宋体" w:hAnsi="宋体" w:eastAsia="宋体" w:cs="宋体"/>
          <w:color w:val="auto"/>
          <w:sz w:val="24"/>
          <w:lang w:bidi="en-US"/>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color w:val="auto"/>
          <w:sz w:val="24"/>
          <w:lang w:val="en-US" w:bidi="en-US"/>
        </w:rPr>
        <w:t>磋商小组</w:t>
      </w:r>
      <w:r>
        <w:rPr>
          <w:rFonts w:hint="eastAsia" w:ascii="宋体" w:hAnsi="宋体" w:eastAsia="宋体" w:cs="宋体"/>
          <w:color w:val="auto"/>
          <w:sz w:val="24"/>
          <w:lang w:bidi="en-US"/>
        </w:rPr>
        <w:t>应当将其作为无效投标处理。</w:t>
      </w:r>
    </w:p>
    <w:p w14:paraId="53720051">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3</w:t>
      </w:r>
      <w:r>
        <w:rPr>
          <w:rFonts w:hint="eastAsia" w:ascii="宋体" w:hAnsi="宋体" w:eastAsia="宋体" w:cs="宋体"/>
          <w:color w:val="auto"/>
          <w:sz w:val="24"/>
          <w:lang w:bidi="en-US"/>
        </w:rPr>
        <w:t>磋商小组按本章第2.2款规定的量化因素和分值进行打分，并计算出综合评分得分。</w:t>
      </w:r>
    </w:p>
    <w:p w14:paraId="34B2A193">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4</w:t>
      </w:r>
      <w:r>
        <w:rPr>
          <w:rFonts w:hint="eastAsia" w:ascii="宋体" w:hAnsi="宋体" w:eastAsia="宋体" w:cs="宋体"/>
          <w:color w:val="auto"/>
          <w:sz w:val="24"/>
          <w:lang w:bidi="en-US"/>
        </w:rPr>
        <w:t>评分分值计算保留小数点后两位，小数点后第三位“四舍五入”。</w:t>
      </w:r>
    </w:p>
    <w:p w14:paraId="25947C65">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5</w:t>
      </w:r>
      <w:r>
        <w:rPr>
          <w:rFonts w:hint="eastAsia" w:ascii="宋体" w:hAnsi="宋体" w:eastAsia="宋体" w:cs="宋体"/>
          <w:color w:val="auto"/>
          <w:sz w:val="24"/>
          <w:lang w:bidi="en-US"/>
        </w:rPr>
        <w:t>供应商的最终得分以全部小组成员打分的算术平均值为准，作为该供应商的最终得分。</w:t>
      </w:r>
    </w:p>
    <w:p w14:paraId="33090F48">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3.2.</w:t>
      </w:r>
      <w:r>
        <w:rPr>
          <w:rFonts w:hint="eastAsia" w:ascii="宋体" w:hAnsi="宋体" w:eastAsia="宋体" w:cs="宋体"/>
          <w:color w:val="auto"/>
          <w:sz w:val="24"/>
          <w:lang w:val="en-US" w:bidi="en-US"/>
        </w:rPr>
        <w:t>6</w:t>
      </w:r>
      <w:r>
        <w:rPr>
          <w:rFonts w:hint="eastAsia" w:ascii="宋体" w:hAnsi="宋体" w:eastAsia="宋体" w:cs="宋体"/>
          <w:color w:val="auto"/>
          <w:sz w:val="24"/>
          <w:lang w:bidi="en-US"/>
        </w:rPr>
        <w:t>在磋商过程中，凡遇到磋商文件中无界定或界定不清、前后不一致使磋商小组意见有分歧且又难以协商一致的问题，均由磋商小组予以表决，获半数以上同意的即为通过，未获半数同意的即为否决。</w:t>
      </w:r>
    </w:p>
    <w:p w14:paraId="509FE08A">
      <w:pPr>
        <w:spacing w:line="400" w:lineRule="exact"/>
        <w:ind w:firstLine="480" w:firstLineChars="200"/>
        <w:rPr>
          <w:rFonts w:hint="eastAsia" w:ascii="宋体" w:hAnsi="宋体" w:eastAsia="宋体" w:cs="宋体"/>
          <w:color w:val="auto"/>
          <w:sz w:val="24"/>
          <w:lang w:bidi="en-US"/>
        </w:rPr>
      </w:pPr>
      <w:bookmarkStart w:id="255" w:name="_Toc24862"/>
      <w:bookmarkStart w:id="256" w:name="_Toc463701085"/>
      <w:bookmarkStart w:id="257" w:name="_Toc281405535"/>
      <w:bookmarkStart w:id="258" w:name="_Toc31110_WPSOffice_Level3"/>
      <w:bookmarkStart w:id="259" w:name="_Toc8342"/>
      <w:bookmarkStart w:id="260" w:name="_Toc318450729"/>
      <w:bookmarkStart w:id="261" w:name="_Toc10153"/>
      <w:bookmarkStart w:id="262" w:name="_Toc8813"/>
      <w:bookmarkStart w:id="263" w:name="_Toc464035564"/>
      <w:bookmarkStart w:id="264" w:name="_Toc455080163"/>
      <w:bookmarkStart w:id="265" w:name="_Toc28633"/>
      <w:bookmarkStart w:id="266" w:name="_Toc11958"/>
      <w:r>
        <w:rPr>
          <w:rFonts w:hint="eastAsia" w:ascii="宋体" w:hAnsi="宋体" w:eastAsia="宋体" w:cs="宋体"/>
          <w:color w:val="auto"/>
          <w:sz w:val="24"/>
          <w:lang w:bidi="en-US"/>
        </w:rPr>
        <w:t>3.3 响应文件的澄清和补正</w:t>
      </w:r>
      <w:bookmarkEnd w:id="255"/>
      <w:bookmarkEnd w:id="256"/>
      <w:bookmarkEnd w:id="257"/>
      <w:bookmarkEnd w:id="258"/>
      <w:bookmarkEnd w:id="259"/>
      <w:bookmarkEnd w:id="260"/>
      <w:bookmarkEnd w:id="261"/>
      <w:bookmarkEnd w:id="262"/>
      <w:bookmarkEnd w:id="263"/>
      <w:bookmarkEnd w:id="264"/>
      <w:bookmarkEnd w:id="265"/>
      <w:bookmarkEnd w:id="266"/>
    </w:p>
    <w:p w14:paraId="7C6DFC2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3.3.1在磋商过程中，磋商小组可以书面形式要求供应商对所提交的响应文件中不明确的内容进行书面澄清或说明，或者对细微偏离进行补正。磋商小组不接受供应商主动提出的澄清、说明或补正。</w:t>
      </w:r>
    </w:p>
    <w:p w14:paraId="1B49494E">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3.3.2 澄清、说明和补正不得超出响应文件的范围或者改变响应文件的实质性内容（算术性错误修正的除外）。供应商的书面澄清、说明和补正属于响应文件的组成部分。</w:t>
      </w:r>
    </w:p>
    <w:p w14:paraId="3ECC1E9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3.3.3 磋商小组对供应商提交的澄清、说明或补正有疑问的，可以要求供应商进一步澄清、说明或补正，直至满足磋商小组的要求。</w:t>
      </w:r>
    </w:p>
    <w:p w14:paraId="66090C95">
      <w:pPr>
        <w:spacing w:line="400" w:lineRule="exact"/>
        <w:ind w:firstLine="480" w:firstLineChars="200"/>
        <w:rPr>
          <w:rFonts w:hint="eastAsia" w:ascii="宋体" w:hAnsi="宋体" w:eastAsia="宋体" w:cs="宋体"/>
          <w:color w:val="auto"/>
          <w:sz w:val="24"/>
          <w:lang w:bidi="en-US"/>
        </w:rPr>
      </w:pPr>
      <w:bookmarkStart w:id="267" w:name="_Toc281405536"/>
      <w:bookmarkStart w:id="268" w:name="_Toc32183"/>
      <w:bookmarkStart w:id="269" w:name="_Toc318450730"/>
      <w:bookmarkStart w:id="270" w:name="_Toc26894"/>
      <w:bookmarkStart w:id="271" w:name="_Toc464035565"/>
      <w:bookmarkStart w:id="272" w:name="_Toc22986"/>
      <w:bookmarkStart w:id="273" w:name="_Toc16310_WPSOffice_Level3"/>
      <w:bookmarkStart w:id="274" w:name="_Toc5903"/>
      <w:bookmarkStart w:id="275" w:name="_Toc1857"/>
      <w:bookmarkStart w:id="276" w:name="_Toc19453"/>
      <w:bookmarkStart w:id="277" w:name="_Toc463701086"/>
      <w:bookmarkStart w:id="278" w:name="_Toc455080164"/>
      <w:r>
        <w:rPr>
          <w:rFonts w:hint="eastAsia" w:ascii="宋体" w:hAnsi="宋体" w:eastAsia="宋体" w:cs="宋体"/>
          <w:color w:val="auto"/>
          <w:sz w:val="24"/>
          <w:lang w:bidi="en-US"/>
        </w:rPr>
        <w:t>3.4 评标结果</w:t>
      </w:r>
      <w:bookmarkEnd w:id="267"/>
      <w:bookmarkEnd w:id="268"/>
      <w:bookmarkEnd w:id="269"/>
      <w:bookmarkEnd w:id="270"/>
      <w:bookmarkEnd w:id="271"/>
      <w:bookmarkEnd w:id="272"/>
      <w:bookmarkEnd w:id="273"/>
      <w:bookmarkEnd w:id="274"/>
      <w:bookmarkEnd w:id="275"/>
      <w:bookmarkEnd w:id="276"/>
      <w:bookmarkEnd w:id="277"/>
      <w:bookmarkEnd w:id="278"/>
    </w:p>
    <w:p w14:paraId="43678CD4">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3.4.1除第二章“供应商须知”前附表授权直接确定成交人外，磋商小组按照得分由高到低的顺序推荐成交候选人。</w:t>
      </w:r>
    </w:p>
    <w:p w14:paraId="4D03A7BA">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val="en-US" w:bidi="en-US"/>
        </w:rPr>
        <w:t>3.4.2供应商</w:t>
      </w:r>
      <w:r>
        <w:rPr>
          <w:rFonts w:hint="eastAsia" w:ascii="宋体" w:hAnsi="宋体" w:eastAsia="宋体" w:cs="宋体"/>
          <w:color w:val="auto"/>
          <w:sz w:val="24"/>
          <w:lang w:bidi="en-US"/>
        </w:rPr>
        <w:t>提供相同品牌产品且通过资格审查、符合性审查的不同供应商参加同一合同项下投标的，按一家供应商计算，评审后得分最高的同品牌供应商获得中标人推荐资格；</w:t>
      </w:r>
    </w:p>
    <w:p w14:paraId="2462EAEB">
      <w:pPr>
        <w:spacing w:line="400" w:lineRule="exact"/>
        <w:ind w:firstLine="480" w:firstLineChars="200"/>
        <w:rPr>
          <w:rFonts w:hint="eastAsia" w:ascii="宋体" w:hAnsi="宋体" w:eastAsia="宋体" w:cs="宋体"/>
          <w:color w:val="auto"/>
          <w:sz w:val="24"/>
          <w:lang w:bidi="en-US"/>
        </w:rPr>
      </w:pPr>
      <w:r>
        <w:rPr>
          <w:rFonts w:hint="eastAsia" w:ascii="宋体" w:hAnsi="宋体" w:eastAsia="宋体" w:cs="宋体"/>
          <w:color w:val="auto"/>
          <w:sz w:val="24"/>
          <w:lang w:bidi="en-US"/>
        </w:rPr>
        <w:t>3.4.</w:t>
      </w:r>
      <w:r>
        <w:rPr>
          <w:rFonts w:hint="eastAsia" w:ascii="宋体" w:hAnsi="宋体" w:eastAsia="宋体" w:cs="宋体"/>
          <w:color w:val="auto"/>
          <w:sz w:val="24"/>
          <w:lang w:val="en-US" w:bidi="en-US"/>
        </w:rPr>
        <w:t>3</w:t>
      </w:r>
      <w:r>
        <w:rPr>
          <w:rFonts w:hint="eastAsia" w:ascii="宋体" w:hAnsi="宋体" w:eastAsia="宋体" w:cs="宋体"/>
          <w:color w:val="auto"/>
          <w:sz w:val="24"/>
          <w:lang w:bidi="en-US"/>
        </w:rPr>
        <w:t xml:space="preserve"> 磋商小组完成评标后，应当向采购人提交书面评审报告。</w:t>
      </w:r>
    </w:p>
    <w:p w14:paraId="3DB9D6EB">
      <w:pPr>
        <w:pStyle w:val="2"/>
        <w:spacing w:before="24"/>
        <w:ind w:left="841" w:right="909"/>
        <w:jc w:val="center"/>
        <w:outlineLvl w:val="9"/>
        <w:rPr>
          <w:color w:val="auto"/>
        </w:rPr>
      </w:pPr>
      <w:r>
        <w:rPr>
          <w:color w:val="auto"/>
        </w:rPr>
        <w:br w:type="page"/>
      </w:r>
    </w:p>
    <w:p w14:paraId="4D377D57">
      <w:pPr>
        <w:pStyle w:val="2"/>
        <w:spacing w:before="31"/>
        <w:ind w:firstLine="1928" w:firstLineChars="600"/>
        <w:jc w:val="both"/>
        <w:rPr>
          <w:b/>
          <w:bCs/>
          <w:color w:val="auto"/>
        </w:rPr>
      </w:pPr>
      <w:bookmarkStart w:id="279" w:name="_Toc22577"/>
      <w:bookmarkStart w:id="280" w:name="_Toc20625"/>
      <w:r>
        <w:rPr>
          <w:rFonts w:hint="eastAsia"/>
          <w:b/>
          <w:bCs/>
          <w:color w:val="auto"/>
        </w:rPr>
        <w:t>第五章 合同主要条款及格式</w:t>
      </w:r>
      <w:bookmarkEnd w:id="279"/>
      <w:bookmarkEnd w:id="280"/>
    </w:p>
    <w:p w14:paraId="6F615F62">
      <w:pPr>
        <w:spacing w:line="360" w:lineRule="auto"/>
        <w:jc w:val="center"/>
        <w:rPr>
          <w:rFonts w:ascii="宋体" w:hAnsi="宋体" w:cs="宋体"/>
          <w:color w:val="auto"/>
          <w:sz w:val="24"/>
        </w:rPr>
      </w:pPr>
      <w:bookmarkStart w:id="281" w:name="_Toc2461"/>
      <w:r>
        <w:rPr>
          <w:rFonts w:hint="eastAsia" w:ascii="宋体" w:hAnsi="宋体" w:cs="宋体"/>
          <w:color w:val="auto"/>
          <w:sz w:val="24"/>
        </w:rPr>
        <w:t>注：本合同仅为合同的参考文本</w:t>
      </w:r>
    </w:p>
    <w:p w14:paraId="5171B048">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甲方（需方）：_________</w:t>
      </w:r>
    </w:p>
    <w:p w14:paraId="11D8CF88">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乙方（供方）：_________</w:t>
      </w:r>
    </w:p>
    <w:p w14:paraId="2DF89370">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经过双方友好协商，依据《中华人民共和国合同法》，双方同意签订以下合同条款，以便双方共同遵守、履行合同。</w:t>
      </w:r>
    </w:p>
    <w:p w14:paraId="5DE31AEB">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一、合同金额</w:t>
      </w:r>
    </w:p>
    <w:p w14:paraId="7F04ED87">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cs="宋体"/>
          <w:color w:val="auto"/>
          <w:kern w:val="0"/>
          <w:sz w:val="24"/>
        </w:rPr>
      </w:pPr>
      <w:r>
        <w:rPr>
          <w:rFonts w:hint="eastAsia" w:ascii="宋体" w:hAnsi="宋体" w:cs="宋体"/>
          <w:color w:val="auto"/>
          <w:kern w:val="0"/>
          <w:sz w:val="24"/>
        </w:rPr>
        <w:t>合同金额为（</w:t>
      </w:r>
      <w:r>
        <w:rPr>
          <w:rFonts w:hint="eastAsia" w:cs="宋体"/>
          <w:color w:val="auto"/>
          <w:kern w:val="0"/>
          <w:sz w:val="24"/>
          <w:lang w:val="en-US" w:eastAsia="zh-CN"/>
        </w:rPr>
        <w:t>元</w:t>
      </w:r>
      <w:r>
        <w:rPr>
          <w:rFonts w:hint="eastAsia" w:ascii="宋体" w:hAnsi="宋体" w:cs="宋体"/>
          <w:color w:val="auto"/>
          <w:kern w:val="0"/>
          <w:sz w:val="24"/>
        </w:rPr>
        <w:t>）：</w:t>
      </w:r>
      <w:r>
        <w:rPr>
          <w:rFonts w:hint="eastAsia" w:ascii="宋体" w:hAnsi="宋体" w:cs="宋体"/>
          <w:color w:val="auto"/>
          <w:kern w:val="0"/>
          <w:sz w:val="24"/>
          <w:u w:val="single"/>
        </w:rPr>
        <w:t>_</w:t>
      </w:r>
      <w:r>
        <w:rPr>
          <w:rFonts w:hint="eastAsia" w:cs="宋体"/>
          <w:color w:val="auto"/>
          <w:kern w:val="0"/>
          <w:sz w:val="24"/>
          <w:u w:val="single"/>
          <w:lang w:val="en-US" w:eastAsia="zh-CN"/>
        </w:rPr>
        <w:t xml:space="preserve">大写：    小写：    </w:t>
      </w:r>
      <w:r>
        <w:rPr>
          <w:rFonts w:hint="eastAsia" w:ascii="宋体" w:hAnsi="宋体" w:cs="宋体"/>
          <w:color w:val="auto"/>
          <w:kern w:val="0"/>
          <w:sz w:val="24"/>
        </w:rPr>
        <w:t>。</w:t>
      </w:r>
    </w:p>
    <w:p w14:paraId="1A912E55">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二、服务范围</w:t>
      </w:r>
    </w:p>
    <w:p w14:paraId="34067C86">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乙方提供以下服务：</w:t>
      </w:r>
    </w:p>
    <w:p w14:paraId="314DAB37">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cs="宋体"/>
          <w:bCs/>
          <w:color w:val="auto"/>
          <w:sz w:val="24"/>
        </w:rPr>
      </w:pPr>
      <w:r>
        <w:rPr>
          <w:rFonts w:hint="eastAsia" w:ascii="宋体" w:hAnsi="宋体" w:cs="宋体"/>
          <w:bCs/>
          <w:color w:val="auto"/>
          <w:sz w:val="24"/>
        </w:rPr>
        <w:t>1.__________________________</w:t>
      </w:r>
    </w:p>
    <w:p w14:paraId="58A2FD1A">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cs="宋体"/>
          <w:bCs/>
          <w:color w:val="auto"/>
          <w:sz w:val="24"/>
        </w:rPr>
      </w:pPr>
      <w:r>
        <w:rPr>
          <w:rFonts w:hint="eastAsia" w:ascii="宋体" w:hAnsi="宋体" w:cs="宋体"/>
          <w:bCs/>
          <w:color w:val="auto"/>
          <w:sz w:val="24"/>
        </w:rPr>
        <w:t>2.__________________________</w:t>
      </w:r>
    </w:p>
    <w:p w14:paraId="6E9A3369">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w:t>
      </w:r>
    </w:p>
    <w:p w14:paraId="07BBEE33">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三、甲方乙方的权利和义务</w:t>
      </w:r>
    </w:p>
    <w:p w14:paraId="11EA9627">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1.甲方的权利和义务</w:t>
      </w:r>
    </w:p>
    <w:p w14:paraId="06353481">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2.乙方的权利和义务</w:t>
      </w:r>
    </w:p>
    <w:p w14:paraId="6BA1B531">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四、服务期限（项目完成期限）</w:t>
      </w:r>
    </w:p>
    <w:p w14:paraId="08EDDA77">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委托服务期限自____年____月至____年____月止。</w:t>
      </w:r>
    </w:p>
    <w:p w14:paraId="32A36E80">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五、付款方式</w:t>
      </w:r>
    </w:p>
    <w:p w14:paraId="29C4FD17">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highlight w:val="green"/>
        </w:rPr>
      </w:pPr>
      <w:r>
        <w:rPr>
          <w:rFonts w:hint="eastAsia" w:ascii="宋体" w:hAnsi="宋体" w:cs="宋体"/>
          <w:color w:val="auto"/>
          <w:kern w:val="0"/>
          <w:sz w:val="24"/>
        </w:rPr>
        <w:t>合同签订之后，甲方负责对乙方进行全过程监管，并支付其工程款：</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rPr>
        <w:t>。</w:t>
      </w:r>
    </w:p>
    <w:p w14:paraId="5ABF6BB9">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color w:val="auto"/>
          <w:sz w:val="24"/>
        </w:rPr>
      </w:pPr>
      <w:r>
        <w:rPr>
          <w:rFonts w:hint="eastAsia" w:ascii="宋体" w:hAnsi="宋体" w:cs="宋体"/>
          <w:b/>
          <w:color w:val="auto"/>
          <w:sz w:val="24"/>
        </w:rPr>
        <w:t>六、 知识产权归属</w:t>
      </w:r>
    </w:p>
    <w:p w14:paraId="646647AF">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七、 保密 </w:t>
      </w:r>
    </w:p>
    <w:p w14:paraId="100CCC6B">
      <w:pPr>
        <w:keepNext w:val="0"/>
        <w:keepLines w:val="0"/>
        <w:pageBreakBefore w:val="0"/>
        <w:widowControl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八、 违约责任与赔偿损失 </w:t>
      </w:r>
    </w:p>
    <w:p w14:paraId="7E43C6EF">
      <w:pPr>
        <w:keepNext w:val="0"/>
        <w:keepLines w:val="0"/>
        <w:pageBreakBefore w:val="0"/>
        <w:widowControl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 乙方提供的服务不符合本合同规定的，甲方有权拒收，并且乙方须向甲方方支付本合同总价__%的违约金。 </w:t>
      </w:r>
    </w:p>
    <w:p w14:paraId="7DD76353">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2.乙方未能按本合同规定的交货时间提供服务，从逾期之日起每日按本合同总价__%的数额向甲方支付违约金；逾期半个月以上的，甲方有权终止合同，由此造成的甲方经济损失由乙方承担。 </w:t>
      </w:r>
    </w:p>
    <w:p w14:paraId="0C078379">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3. 甲方无正当理由拒收接受服务，到期拒付服务款项的，甲方向乙方偿付本合同总的__%的违约金。甲方人逾期付款，则每日按本合同总价的__%向乙方偿付违约金。 </w:t>
      </w:r>
    </w:p>
    <w:p w14:paraId="5FFC5983">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4. 其它违约责任按《中华人民共和国合同法》处理。 </w:t>
      </w:r>
    </w:p>
    <w:p w14:paraId="356C2205">
      <w:pPr>
        <w:keepNext w:val="0"/>
        <w:keepLines w:val="0"/>
        <w:pageBreakBefore w:val="0"/>
        <w:kinsoku/>
        <w:wordWrap/>
        <w:overflowPunct/>
        <w:topLinePunct w:val="0"/>
        <w:bidi w:val="0"/>
        <w:snapToGrid/>
        <w:spacing w:line="440" w:lineRule="exact"/>
        <w:ind w:firstLine="482" w:firstLineChars="200"/>
        <w:textAlignment w:val="auto"/>
        <w:rPr>
          <w:rFonts w:ascii="宋体" w:hAnsi="宋体" w:cs="宋体"/>
          <w:color w:val="auto"/>
          <w:sz w:val="24"/>
        </w:rPr>
      </w:pPr>
      <w:r>
        <w:rPr>
          <w:rFonts w:hint="eastAsia" w:ascii="宋体" w:hAnsi="宋体" w:cs="宋体"/>
          <w:b/>
          <w:color w:val="auto"/>
          <w:sz w:val="24"/>
        </w:rPr>
        <w:t>九、 争议的解决</w:t>
      </w:r>
    </w:p>
    <w:p w14:paraId="1909C9D0">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 合同执行过程中发生的任何争议，如双方不能通过友好协商解决，按相关法律法规处理。 </w:t>
      </w:r>
    </w:p>
    <w:p w14:paraId="32A48559">
      <w:pPr>
        <w:keepNext w:val="0"/>
        <w:keepLines w:val="0"/>
        <w:pageBreakBefore w:val="0"/>
        <w:kinsoku/>
        <w:wordWrap/>
        <w:overflowPunct/>
        <w:topLinePunct w:val="0"/>
        <w:bidi w:val="0"/>
        <w:snapToGrid/>
        <w:spacing w:line="440" w:lineRule="exact"/>
        <w:ind w:firstLine="482" w:firstLineChars="200"/>
        <w:textAlignment w:val="auto"/>
        <w:rPr>
          <w:rFonts w:ascii="宋体" w:hAnsi="宋体" w:cs="宋体"/>
          <w:color w:val="auto"/>
          <w:sz w:val="24"/>
        </w:rPr>
      </w:pPr>
      <w:r>
        <w:rPr>
          <w:rFonts w:hint="eastAsia" w:ascii="宋体" w:hAnsi="宋体" w:cs="宋体"/>
          <w:b/>
          <w:color w:val="auto"/>
          <w:sz w:val="24"/>
        </w:rPr>
        <w:t>十、 不可抗力</w:t>
      </w:r>
    </w:p>
    <w:p w14:paraId="2A30AEA1">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 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4C4197B7">
      <w:pPr>
        <w:keepNext w:val="0"/>
        <w:keepLines w:val="0"/>
        <w:pageBreakBefore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十一、 税费 </w:t>
      </w:r>
    </w:p>
    <w:p w14:paraId="60B0641A">
      <w:pPr>
        <w:keepNext w:val="0"/>
        <w:keepLines w:val="0"/>
        <w:pageBreakBefore w:val="0"/>
        <w:kinsoku/>
        <w:wordWrap/>
        <w:overflowPunct/>
        <w:topLinePunct w:val="0"/>
        <w:bidi w:val="0"/>
        <w:snapToGrid/>
        <w:spacing w:line="440" w:lineRule="exact"/>
        <w:ind w:firstLine="480" w:firstLineChars="200"/>
        <w:textAlignment w:val="auto"/>
        <w:rPr>
          <w:rFonts w:ascii="宋体" w:hAnsi="宋体" w:cs="宋体"/>
          <w:color w:val="auto"/>
          <w:sz w:val="24"/>
        </w:rPr>
      </w:pPr>
      <w:r>
        <w:rPr>
          <w:rFonts w:hint="eastAsia" w:ascii="宋体" w:hAnsi="宋体" w:cs="宋体"/>
          <w:color w:val="auto"/>
          <w:kern w:val="0"/>
          <w:sz w:val="24"/>
        </w:rPr>
        <w:t>1. 在中国境内、外发生的与本合同执行有关的一切税费均由乙方负担。</w:t>
      </w:r>
    </w:p>
    <w:p w14:paraId="54B6EE5B">
      <w:pPr>
        <w:keepNext w:val="0"/>
        <w:keepLines w:val="0"/>
        <w:pageBreakBefore w:val="0"/>
        <w:kinsoku/>
        <w:wordWrap/>
        <w:overflowPunct/>
        <w:topLinePunct w:val="0"/>
        <w:bidi w:val="0"/>
        <w:snapToGrid/>
        <w:spacing w:line="440" w:lineRule="exact"/>
        <w:ind w:firstLine="482" w:firstLineChars="200"/>
        <w:textAlignment w:val="auto"/>
        <w:rPr>
          <w:rFonts w:ascii="宋体" w:hAnsi="宋体" w:cs="宋体"/>
          <w:b/>
          <w:color w:val="auto"/>
          <w:sz w:val="24"/>
        </w:rPr>
      </w:pPr>
      <w:r>
        <w:rPr>
          <w:rFonts w:hint="eastAsia" w:ascii="宋体" w:hAnsi="宋体" w:cs="宋体"/>
          <w:b/>
          <w:color w:val="auto"/>
          <w:sz w:val="24"/>
        </w:rPr>
        <w:t xml:space="preserve">十二、 其它 </w:t>
      </w:r>
    </w:p>
    <w:p w14:paraId="3D274AEA">
      <w:pPr>
        <w:keepNext w:val="0"/>
        <w:keepLines w:val="0"/>
        <w:pageBreakBefore w:val="0"/>
        <w:widowControl/>
        <w:kinsoku/>
        <w:wordWrap/>
        <w:overflowPunct/>
        <w:topLinePunct w:val="0"/>
        <w:bidi w:val="0"/>
        <w:snapToGrid/>
        <w:spacing w:line="440" w:lineRule="exact"/>
        <w:ind w:firstLine="480" w:firstLineChars="200"/>
        <w:jc w:val="left"/>
        <w:textAlignment w:val="auto"/>
        <w:rPr>
          <w:rFonts w:ascii="宋体" w:hAnsi="宋体" w:cs="宋体"/>
          <w:color w:val="auto"/>
          <w:sz w:val="24"/>
        </w:rPr>
      </w:pPr>
      <w:r>
        <w:rPr>
          <w:rFonts w:hint="eastAsia" w:ascii="宋体" w:hAnsi="宋体" w:cs="宋体"/>
          <w:color w:val="auto"/>
          <w:sz w:val="24"/>
        </w:rPr>
        <w:t>1. 本合同所有附件、</w:t>
      </w:r>
      <w:r>
        <w:rPr>
          <w:rFonts w:hint="eastAsia" w:ascii="宋体" w:hAnsi="宋体" w:cs="宋体"/>
          <w:color w:val="auto"/>
          <w:sz w:val="24"/>
          <w:lang w:eastAsia="zh-CN"/>
        </w:rPr>
        <w:t>磋商</w:t>
      </w:r>
      <w:r>
        <w:rPr>
          <w:rFonts w:hint="eastAsia" w:ascii="宋体" w:hAnsi="宋体" w:cs="宋体"/>
          <w:color w:val="auto"/>
          <w:sz w:val="24"/>
        </w:rPr>
        <w:t>文件、</w:t>
      </w:r>
      <w:r>
        <w:rPr>
          <w:rFonts w:hint="eastAsia" w:ascii="宋体" w:hAnsi="宋体" w:cs="宋体"/>
          <w:color w:val="auto"/>
          <w:sz w:val="24"/>
          <w:lang w:eastAsia="zh-CN"/>
        </w:rPr>
        <w:t>响应</w:t>
      </w:r>
      <w:r>
        <w:rPr>
          <w:rFonts w:hint="eastAsia" w:ascii="宋体" w:hAnsi="宋体" w:cs="宋体"/>
          <w:color w:val="auto"/>
          <w:sz w:val="24"/>
        </w:rPr>
        <w:t>文件、中标通知书均为合同的有效组成部分，与本合</w:t>
      </w:r>
    </w:p>
    <w:p w14:paraId="2089BC3E">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同具有同等法律效力。</w:t>
      </w:r>
    </w:p>
    <w:p w14:paraId="3DC7385F">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 2. 在执行本合同的过程中，所有经双方签署确认的文件（包括会议纪要、补充协议、往来信函）即成为本合同的有效组成部分。 </w:t>
      </w:r>
    </w:p>
    <w:p w14:paraId="316DBE0A">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如一方地址、电话、传真号码有变更，应在变更当日内书面通知对方，否则，应承担相应责任。</w:t>
      </w:r>
    </w:p>
    <w:p w14:paraId="0AA4A80E">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 4. 除甲方事先书面同意外，乙方不得部分或全部转让其应履行的合同项下的义务。 </w:t>
      </w:r>
    </w:p>
    <w:p w14:paraId="307A7A46">
      <w:pPr>
        <w:keepNext w:val="0"/>
        <w:keepLines w:val="0"/>
        <w:pageBreakBefore w:val="0"/>
        <w:kinsoku/>
        <w:wordWrap/>
        <w:overflowPunct/>
        <w:topLinePunct w:val="0"/>
        <w:autoSpaceDE w:val="0"/>
        <w:autoSpaceDN w:val="0"/>
        <w:bidi w:val="0"/>
        <w:adjustRightInd w:val="0"/>
        <w:snapToGrid/>
        <w:spacing w:line="440" w:lineRule="exact"/>
        <w:ind w:firstLine="482" w:firstLineChars="200"/>
        <w:jc w:val="left"/>
        <w:textAlignment w:val="auto"/>
        <w:rPr>
          <w:rFonts w:ascii="宋体" w:hAnsi="宋体" w:cs="宋体"/>
          <w:b/>
          <w:color w:val="auto"/>
          <w:kern w:val="0"/>
          <w:sz w:val="24"/>
        </w:rPr>
      </w:pPr>
      <w:r>
        <w:rPr>
          <w:rFonts w:hint="eastAsia" w:ascii="宋体" w:hAnsi="宋体" w:cs="宋体"/>
          <w:b/>
          <w:color w:val="auto"/>
          <w:kern w:val="0"/>
          <w:sz w:val="24"/>
        </w:rPr>
        <w:t xml:space="preserve">十三、 合同生效： </w:t>
      </w:r>
    </w:p>
    <w:p w14:paraId="48679BBC">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1.本合同在甲乙双方法人代表或其授权代表签字盖章后生效。 </w:t>
      </w:r>
    </w:p>
    <w:p w14:paraId="61F43587">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2. 合同一式__份。 </w:t>
      </w:r>
    </w:p>
    <w:p w14:paraId="663C37FD">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kern w:val="0"/>
          <w:sz w:val="24"/>
        </w:rPr>
      </w:pPr>
    </w:p>
    <w:p w14:paraId="5E415D14">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hint="eastAsia" w:ascii="宋体" w:hAnsi="宋体" w:cs="宋体"/>
          <w:color w:val="auto"/>
          <w:kern w:val="0"/>
          <w:sz w:val="24"/>
        </w:rPr>
      </w:pPr>
    </w:p>
    <w:p w14:paraId="2CE8E3D8">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甲方（盖章）：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乙方（盖章）： </w:t>
      </w:r>
    </w:p>
    <w:p w14:paraId="18C21510">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代表：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代表： </w:t>
      </w:r>
    </w:p>
    <w:p w14:paraId="4AA0FC6D">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签定地点： </w:t>
      </w:r>
    </w:p>
    <w:p w14:paraId="0E8FD491">
      <w:pPr>
        <w:keepNext w:val="0"/>
        <w:keepLines w:val="0"/>
        <w:pageBreakBefore w:val="0"/>
        <w:kinsoku/>
        <w:wordWrap/>
        <w:overflowPunct/>
        <w:topLinePunct w:val="0"/>
        <w:autoSpaceDE w:val="0"/>
        <w:autoSpaceDN w:val="0"/>
        <w:bidi w:val="0"/>
        <w:adjustRightInd w:val="0"/>
        <w:snapToGrid/>
        <w:spacing w:line="440" w:lineRule="exact"/>
        <w:ind w:firstLine="480" w:firstLineChars="200"/>
        <w:jc w:val="left"/>
        <w:textAlignment w:val="auto"/>
        <w:rPr>
          <w:rFonts w:ascii="宋体" w:hAnsi="宋体" w:cs="宋体"/>
          <w:color w:val="auto"/>
          <w:kern w:val="0"/>
          <w:sz w:val="24"/>
        </w:rPr>
      </w:pPr>
      <w:r>
        <w:rPr>
          <w:rFonts w:hint="eastAsia" w:ascii="宋体" w:hAnsi="宋体" w:cs="宋体"/>
          <w:color w:val="auto"/>
          <w:kern w:val="0"/>
          <w:sz w:val="24"/>
        </w:rPr>
        <w:t xml:space="preserve">签定日期： 年 月 日               </w:t>
      </w:r>
      <w:r>
        <w:rPr>
          <w:rFonts w:hint="eastAsia" w:cs="宋体"/>
          <w:color w:val="auto"/>
          <w:kern w:val="0"/>
          <w:sz w:val="24"/>
          <w:lang w:val="en-US" w:eastAsia="zh-CN"/>
        </w:rPr>
        <w:t xml:space="preserve">    </w:t>
      </w: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签定日期： 年 月 日 </w:t>
      </w:r>
    </w:p>
    <w:p w14:paraId="33EF4DF6">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开户名称： </w:t>
      </w:r>
    </w:p>
    <w:p w14:paraId="244A5938">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银行帐号： </w:t>
      </w:r>
    </w:p>
    <w:p w14:paraId="0EBEEA1A">
      <w:pPr>
        <w:keepNext w:val="0"/>
        <w:keepLines w:val="0"/>
        <w:pageBreakBefore w:val="0"/>
        <w:kinsoku/>
        <w:wordWrap/>
        <w:overflowPunct/>
        <w:topLinePunct w:val="0"/>
        <w:autoSpaceDE w:val="0"/>
        <w:autoSpaceDN w:val="0"/>
        <w:bidi w:val="0"/>
        <w:adjustRightInd w:val="0"/>
        <w:snapToGrid/>
        <w:spacing w:line="440" w:lineRule="exact"/>
        <w:jc w:val="left"/>
        <w:textAlignment w:val="auto"/>
        <w:rPr>
          <w:rFonts w:hint="eastAsia" w:ascii="宋体" w:hAnsi="宋体" w:cs="宋体"/>
          <w:color w:val="auto"/>
          <w:kern w:val="0"/>
          <w:sz w:val="24"/>
        </w:rPr>
      </w:pPr>
      <w:r>
        <w:rPr>
          <w:rFonts w:hint="eastAsia" w:ascii="宋体" w:hAnsi="宋体" w:cs="宋体"/>
          <w:color w:val="auto"/>
          <w:kern w:val="0"/>
          <w:sz w:val="24"/>
        </w:rPr>
        <w:t xml:space="preserve">                                   </w:t>
      </w:r>
      <w:r>
        <w:rPr>
          <w:rFonts w:hint="eastAsia" w:cs="宋体"/>
          <w:color w:val="auto"/>
          <w:kern w:val="0"/>
          <w:sz w:val="24"/>
          <w:lang w:val="en-US" w:eastAsia="zh-CN"/>
        </w:rPr>
        <w:t xml:space="preserve">           </w:t>
      </w:r>
      <w:r>
        <w:rPr>
          <w:rFonts w:hint="eastAsia" w:ascii="宋体" w:hAnsi="宋体" w:cs="宋体"/>
          <w:color w:val="auto"/>
          <w:kern w:val="0"/>
          <w:sz w:val="24"/>
        </w:rPr>
        <w:t xml:space="preserve">开 户 行： </w:t>
      </w:r>
    </w:p>
    <w:p w14:paraId="0C332BD4">
      <w:pPr>
        <w:pStyle w:val="2"/>
        <w:spacing w:before="31"/>
        <w:ind w:firstLine="1920" w:firstLineChars="600"/>
        <w:jc w:val="both"/>
        <w:rPr>
          <w:color w:val="auto"/>
        </w:rPr>
      </w:pPr>
      <w:r>
        <w:rPr>
          <w:rFonts w:hint="eastAsia"/>
          <w:color w:val="auto"/>
        </w:rPr>
        <w:br w:type="page"/>
      </w:r>
      <w:bookmarkStart w:id="282" w:name="_Toc9875"/>
      <w:r>
        <w:rPr>
          <w:rFonts w:hint="eastAsia"/>
          <w:b/>
          <w:bCs/>
          <w:color w:val="auto"/>
        </w:rPr>
        <w:t>第六章</w:t>
      </w:r>
      <w:r>
        <w:rPr>
          <w:rFonts w:hint="eastAsia"/>
          <w:b/>
          <w:bCs/>
          <w:color w:val="auto"/>
          <w:lang w:val="en-US" w:eastAsia="zh-CN"/>
        </w:rPr>
        <w:t xml:space="preserve"> </w:t>
      </w:r>
      <w:r>
        <w:rPr>
          <w:rFonts w:hint="eastAsia"/>
          <w:b/>
          <w:bCs/>
          <w:color w:val="auto"/>
        </w:rPr>
        <w:t>响应文件内容及格式</w:t>
      </w:r>
      <w:bookmarkEnd w:id="281"/>
      <w:bookmarkEnd w:id="282"/>
    </w:p>
    <w:p w14:paraId="6B14B9F9">
      <w:pPr>
        <w:pStyle w:val="5"/>
        <w:spacing w:before="198"/>
        <w:ind w:left="897" w:right="909"/>
        <w:jc w:val="center"/>
        <w:rPr>
          <w:color w:val="auto"/>
        </w:rPr>
      </w:pPr>
      <w:bookmarkStart w:id="283" w:name="_Toc9511_WPSOffice_Level1"/>
      <w:r>
        <w:rPr>
          <w:color w:val="auto"/>
        </w:rPr>
        <w:t>（此格式仅供参考）</w:t>
      </w:r>
      <w:bookmarkEnd w:id="283"/>
    </w:p>
    <w:p w14:paraId="189764D1">
      <w:pPr>
        <w:pStyle w:val="8"/>
        <w:ind w:left="0"/>
        <w:rPr>
          <w:b/>
          <w:color w:val="auto"/>
        </w:rPr>
      </w:pPr>
    </w:p>
    <w:p w14:paraId="52558590">
      <w:pPr>
        <w:pStyle w:val="8"/>
        <w:spacing w:before="3"/>
        <w:ind w:left="0"/>
        <w:rPr>
          <w:b/>
          <w:color w:val="auto"/>
          <w:sz w:val="35"/>
        </w:rPr>
      </w:pPr>
    </w:p>
    <w:p w14:paraId="06BA489C">
      <w:pPr>
        <w:pStyle w:val="8"/>
        <w:ind w:left="0"/>
        <w:jc w:val="center"/>
        <w:rPr>
          <w:rFonts w:hint="eastAsia"/>
          <w:b/>
          <w:color w:val="auto"/>
          <w:sz w:val="48"/>
          <w:szCs w:val="28"/>
          <w:lang w:val="en-US" w:eastAsia="zh-CN"/>
        </w:rPr>
      </w:pPr>
    </w:p>
    <w:p w14:paraId="649F7B5F">
      <w:pPr>
        <w:pStyle w:val="8"/>
        <w:ind w:left="0"/>
        <w:jc w:val="center"/>
        <w:rPr>
          <w:rFonts w:hint="default"/>
          <w:b/>
          <w:color w:val="auto"/>
          <w:sz w:val="52"/>
          <w:szCs w:val="32"/>
          <w:u w:val="single"/>
          <w:lang w:val="en-US" w:eastAsia="zh-CN"/>
        </w:rPr>
      </w:pPr>
      <w:r>
        <w:rPr>
          <w:rFonts w:hint="eastAsia"/>
          <w:b/>
          <w:color w:val="auto"/>
          <w:sz w:val="52"/>
          <w:szCs w:val="32"/>
          <w:u w:val="single"/>
          <w:lang w:val="en-US" w:eastAsia="zh-CN"/>
        </w:rPr>
        <w:t xml:space="preserve"> 项目名称 </w:t>
      </w:r>
    </w:p>
    <w:p w14:paraId="2AE07A41">
      <w:pPr>
        <w:pStyle w:val="14"/>
        <w:rPr>
          <w:rFonts w:hint="eastAsia"/>
          <w:color w:val="auto"/>
          <w:lang w:val="en-US" w:eastAsia="zh-CN"/>
        </w:rPr>
      </w:pPr>
    </w:p>
    <w:p w14:paraId="7E6DCD1D">
      <w:pPr>
        <w:spacing w:before="375"/>
        <w:jc w:val="center"/>
        <w:outlineLvl w:val="9"/>
        <w:rPr>
          <w:rFonts w:hint="eastAsia" w:ascii="Times New Roman" w:hAnsi="Times New Roman" w:eastAsia="宋体" w:cs="Times New Roman"/>
          <w:b/>
          <w:color w:val="auto"/>
          <w:sz w:val="48"/>
          <w:szCs w:val="28"/>
          <w:lang w:val="en-US" w:eastAsia="zh-CN" w:bidi="ar-SA"/>
        </w:rPr>
      </w:pPr>
      <w:bookmarkStart w:id="284" w:name="_Toc839"/>
      <w:bookmarkStart w:id="285" w:name="_Toc20123_WPSOffice_Level1"/>
    </w:p>
    <w:p w14:paraId="016D35F0">
      <w:pPr>
        <w:pStyle w:val="2"/>
        <w:outlineLvl w:val="9"/>
        <w:rPr>
          <w:rFonts w:hint="eastAsia"/>
          <w:color w:val="auto"/>
          <w:lang w:val="en-US" w:eastAsia="zh-CN"/>
        </w:rPr>
      </w:pPr>
    </w:p>
    <w:p w14:paraId="0DE2ABF9">
      <w:pPr>
        <w:spacing w:before="375"/>
        <w:jc w:val="center"/>
        <w:outlineLvl w:val="0"/>
        <w:rPr>
          <w:b/>
          <w:color w:val="auto"/>
          <w:sz w:val="72"/>
        </w:rPr>
      </w:pPr>
      <w:bookmarkStart w:id="286" w:name="_Toc15721"/>
      <w:r>
        <w:rPr>
          <w:b/>
          <w:color w:val="auto"/>
          <w:sz w:val="72"/>
        </w:rPr>
        <w:t>响应文件</w:t>
      </w:r>
      <w:bookmarkEnd w:id="284"/>
      <w:bookmarkEnd w:id="285"/>
      <w:bookmarkEnd w:id="286"/>
    </w:p>
    <w:p w14:paraId="3E0DC3D5">
      <w:pPr>
        <w:pStyle w:val="8"/>
        <w:spacing w:before="3"/>
        <w:ind w:left="0"/>
        <w:jc w:val="center"/>
        <w:rPr>
          <w:b/>
          <w:color w:val="auto"/>
          <w:sz w:val="60"/>
        </w:rPr>
      </w:pPr>
    </w:p>
    <w:p w14:paraId="705DB91C">
      <w:pPr>
        <w:pStyle w:val="8"/>
        <w:ind w:left="0"/>
        <w:jc w:val="center"/>
        <w:outlineLvl w:val="0"/>
        <w:rPr>
          <w:b/>
          <w:color w:val="auto"/>
          <w:sz w:val="30"/>
        </w:rPr>
      </w:pPr>
      <w:bookmarkStart w:id="287" w:name="_Toc25794"/>
      <w:bookmarkStart w:id="288" w:name="_Toc7912"/>
      <w:bookmarkStart w:id="289" w:name="_Toc12366_WPSOffice_Level1"/>
      <w:r>
        <w:rPr>
          <w:b/>
          <w:color w:val="auto"/>
          <w:sz w:val="32"/>
        </w:rPr>
        <w:t>项目编号：</w:t>
      </w:r>
      <w:bookmarkEnd w:id="287"/>
      <w:bookmarkEnd w:id="288"/>
      <w:bookmarkEnd w:id="289"/>
    </w:p>
    <w:p w14:paraId="5085600A">
      <w:pPr>
        <w:pStyle w:val="8"/>
        <w:ind w:left="0"/>
        <w:rPr>
          <w:b/>
          <w:color w:val="auto"/>
          <w:sz w:val="30"/>
        </w:rPr>
      </w:pPr>
    </w:p>
    <w:p w14:paraId="3BB5F37D">
      <w:pPr>
        <w:pStyle w:val="8"/>
        <w:ind w:left="0"/>
        <w:rPr>
          <w:b/>
          <w:color w:val="auto"/>
          <w:sz w:val="30"/>
        </w:rPr>
      </w:pPr>
    </w:p>
    <w:p w14:paraId="437CC1BF">
      <w:pPr>
        <w:pStyle w:val="8"/>
        <w:ind w:left="0"/>
        <w:rPr>
          <w:b/>
          <w:color w:val="auto"/>
          <w:sz w:val="30"/>
        </w:rPr>
      </w:pPr>
    </w:p>
    <w:p w14:paraId="56B518A7">
      <w:pPr>
        <w:pStyle w:val="8"/>
        <w:ind w:left="0"/>
        <w:rPr>
          <w:b/>
          <w:color w:val="auto"/>
          <w:sz w:val="30"/>
        </w:rPr>
      </w:pPr>
    </w:p>
    <w:p w14:paraId="4ED01261">
      <w:pPr>
        <w:pStyle w:val="8"/>
        <w:ind w:left="0"/>
        <w:rPr>
          <w:b/>
          <w:color w:val="auto"/>
          <w:sz w:val="30"/>
        </w:rPr>
      </w:pPr>
    </w:p>
    <w:p w14:paraId="61E4DB19">
      <w:pPr>
        <w:pStyle w:val="8"/>
        <w:ind w:left="0"/>
        <w:rPr>
          <w:b/>
          <w:color w:val="auto"/>
          <w:sz w:val="30"/>
        </w:rPr>
      </w:pPr>
    </w:p>
    <w:p w14:paraId="40492A83">
      <w:pPr>
        <w:pStyle w:val="8"/>
        <w:ind w:left="0"/>
        <w:rPr>
          <w:b/>
          <w:color w:val="auto"/>
          <w:sz w:val="30"/>
        </w:rPr>
      </w:pPr>
    </w:p>
    <w:p w14:paraId="00F72801">
      <w:pPr>
        <w:pStyle w:val="14"/>
        <w:rPr>
          <w:b/>
          <w:color w:val="auto"/>
          <w:sz w:val="30"/>
        </w:rPr>
      </w:pPr>
    </w:p>
    <w:p w14:paraId="6D32E608">
      <w:pPr>
        <w:pStyle w:val="10"/>
        <w:rPr>
          <w:color w:val="auto"/>
        </w:rPr>
      </w:pPr>
    </w:p>
    <w:p w14:paraId="28C47299">
      <w:pPr>
        <w:pStyle w:val="8"/>
        <w:keepNext w:val="0"/>
        <w:keepLines w:val="0"/>
        <w:pageBreakBefore w:val="0"/>
        <w:widowControl w:val="0"/>
        <w:kinsoku/>
        <w:wordWrap/>
        <w:overflowPunct/>
        <w:topLinePunct w:val="0"/>
        <w:autoSpaceDE w:val="0"/>
        <w:autoSpaceDN w:val="0"/>
        <w:bidi w:val="0"/>
        <w:adjustRightInd/>
        <w:snapToGrid/>
        <w:spacing w:line="480" w:lineRule="auto"/>
        <w:ind w:left="0" w:firstLine="0" w:firstLineChars="0"/>
        <w:textAlignment w:val="auto"/>
        <w:rPr>
          <w:b/>
          <w:color w:val="auto"/>
          <w:sz w:val="30"/>
        </w:rPr>
      </w:pPr>
    </w:p>
    <w:p w14:paraId="286BC0FD">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rFonts w:hint="eastAsia"/>
          <w:color w:val="auto"/>
          <w:sz w:val="28"/>
          <w:szCs w:val="28"/>
        </w:rPr>
      </w:pPr>
      <w:bookmarkStart w:id="290" w:name="_Toc30532_WPSOffice_Level2"/>
    </w:p>
    <w:p w14:paraId="490FFC89">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color w:val="auto"/>
          <w:sz w:val="28"/>
          <w:szCs w:val="28"/>
        </w:rPr>
      </w:pPr>
      <w:r>
        <w:rPr>
          <w:rFonts w:hint="eastAsia"/>
          <w:color w:val="auto"/>
          <w:sz w:val="28"/>
          <w:szCs w:val="28"/>
        </w:rPr>
        <w:t>供应商：（公章签章）</w:t>
      </w:r>
      <w:bookmarkEnd w:id="290"/>
    </w:p>
    <w:p w14:paraId="2E49E3A0">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color w:val="auto"/>
          <w:sz w:val="28"/>
          <w:szCs w:val="28"/>
        </w:rPr>
      </w:pPr>
      <w:bookmarkStart w:id="291" w:name="_Toc1100_WPSOffice_Level3"/>
      <w:r>
        <w:rPr>
          <w:rFonts w:hint="eastAsia"/>
          <w:color w:val="auto"/>
          <w:sz w:val="28"/>
          <w:szCs w:val="28"/>
        </w:rPr>
        <w:t>法定代表人或其委托代理人：（法人签章）</w:t>
      </w:r>
      <w:bookmarkEnd w:id="291"/>
    </w:p>
    <w:p w14:paraId="1357E6B0">
      <w:pPr>
        <w:keepNext w:val="0"/>
        <w:keepLines w:val="0"/>
        <w:pageBreakBefore w:val="0"/>
        <w:widowControl w:val="0"/>
        <w:kinsoku/>
        <w:wordWrap/>
        <w:overflowPunct/>
        <w:topLinePunct w:val="0"/>
        <w:autoSpaceDE w:val="0"/>
        <w:autoSpaceDN w:val="0"/>
        <w:bidi w:val="0"/>
        <w:adjustRightInd/>
        <w:snapToGrid/>
        <w:spacing w:line="480" w:lineRule="auto"/>
        <w:ind w:firstLine="0" w:firstLineChars="0"/>
        <w:jc w:val="center"/>
        <w:textAlignment w:val="auto"/>
        <w:rPr>
          <w:color w:val="auto"/>
          <w:sz w:val="28"/>
          <w:szCs w:val="28"/>
        </w:rPr>
      </w:pPr>
      <w:bookmarkStart w:id="292" w:name="_Toc31948_WPSOffice_Level2"/>
      <w:r>
        <w:rPr>
          <w:rFonts w:hint="eastAsia"/>
          <w:color w:val="auto"/>
          <w:sz w:val="28"/>
          <w:szCs w:val="28"/>
        </w:rPr>
        <w:t>年</w:t>
      </w:r>
      <w:r>
        <w:rPr>
          <w:rFonts w:hint="eastAsia"/>
          <w:color w:val="auto"/>
          <w:sz w:val="28"/>
          <w:szCs w:val="28"/>
          <w:lang w:val="en-US" w:eastAsia="zh-CN"/>
        </w:rPr>
        <w:t xml:space="preserve"> </w:t>
      </w:r>
      <w:r>
        <w:rPr>
          <w:rFonts w:hint="eastAsia"/>
          <w:color w:val="auto"/>
          <w:sz w:val="28"/>
          <w:szCs w:val="28"/>
        </w:rPr>
        <w:t>月</w:t>
      </w:r>
      <w:r>
        <w:rPr>
          <w:rFonts w:hint="eastAsia"/>
          <w:color w:val="auto"/>
          <w:sz w:val="28"/>
          <w:szCs w:val="28"/>
          <w:lang w:val="en-US" w:eastAsia="zh-CN"/>
        </w:rPr>
        <w:t xml:space="preserve"> </w:t>
      </w:r>
      <w:r>
        <w:rPr>
          <w:rFonts w:hint="eastAsia"/>
          <w:color w:val="auto"/>
          <w:sz w:val="28"/>
          <w:szCs w:val="28"/>
        </w:rPr>
        <w:t>日</w:t>
      </w:r>
      <w:bookmarkEnd w:id="292"/>
    </w:p>
    <w:p w14:paraId="7CE6B3A6">
      <w:pPr>
        <w:spacing w:before="13"/>
        <w:ind w:right="446"/>
        <w:jc w:val="center"/>
        <w:rPr>
          <w:color w:val="auto"/>
          <w:sz w:val="44"/>
          <w:szCs w:val="21"/>
        </w:rPr>
      </w:pPr>
      <w:r>
        <w:rPr>
          <w:color w:val="auto"/>
          <w:sz w:val="48"/>
        </w:rPr>
        <w:br w:type="page"/>
      </w:r>
      <w:bookmarkStart w:id="293" w:name="_Toc28927_WPSOffice_Level3"/>
      <w:r>
        <w:rPr>
          <w:color w:val="auto"/>
          <w:sz w:val="44"/>
          <w:szCs w:val="21"/>
        </w:rPr>
        <w:t>目</w:t>
      </w:r>
      <w:r>
        <w:rPr>
          <w:rFonts w:hint="eastAsia"/>
          <w:color w:val="auto"/>
          <w:sz w:val="44"/>
          <w:szCs w:val="21"/>
          <w:lang w:val="en-US" w:eastAsia="zh-CN"/>
        </w:rPr>
        <w:t xml:space="preserve"> </w:t>
      </w:r>
      <w:r>
        <w:rPr>
          <w:color w:val="auto"/>
          <w:sz w:val="44"/>
          <w:szCs w:val="21"/>
        </w:rPr>
        <w:t>录</w:t>
      </w:r>
      <w:bookmarkEnd w:id="293"/>
    </w:p>
    <w:p w14:paraId="18234F9C">
      <w:pPr>
        <w:pStyle w:val="8"/>
        <w:spacing w:before="12"/>
        <w:ind w:left="0"/>
        <w:jc w:val="center"/>
        <w:rPr>
          <w:color w:val="auto"/>
          <w:sz w:val="44"/>
        </w:rPr>
      </w:pPr>
    </w:p>
    <w:p w14:paraId="1556422B">
      <w:pPr>
        <w:jc w:val="center"/>
        <w:rPr>
          <w:rFonts w:hint="eastAsia" w:eastAsia="宋体"/>
          <w:color w:val="auto"/>
          <w:lang w:eastAsia="zh-CN"/>
        </w:rPr>
        <w:sectPr>
          <w:footerReference r:id="rId7" w:type="default"/>
          <w:pgSz w:w="11910" w:h="16840"/>
          <w:pgMar w:top="1340" w:right="1020" w:bottom="900" w:left="1040" w:header="0" w:footer="720" w:gutter="0"/>
          <w:pgNumType w:fmt="decimal"/>
          <w:cols w:space="720" w:num="1"/>
        </w:sectPr>
      </w:pPr>
      <w:r>
        <w:rPr>
          <w:rFonts w:hint="eastAsia"/>
          <w:color w:val="auto"/>
          <w:lang w:eastAsia="zh-CN"/>
        </w:rPr>
        <w:t>（格式自拟）</w:t>
      </w:r>
    </w:p>
    <w:p w14:paraId="376D1CF1">
      <w:pPr>
        <w:spacing w:line="360" w:lineRule="auto"/>
        <w:jc w:val="center"/>
        <w:outlineLvl w:val="0"/>
        <w:rPr>
          <w:b/>
          <w:bCs/>
          <w:color w:val="auto"/>
          <w:sz w:val="28"/>
          <w:szCs w:val="20"/>
          <w:lang w:val="en-US"/>
        </w:rPr>
      </w:pPr>
      <w:bookmarkStart w:id="294" w:name="_Toc144974857"/>
      <w:bookmarkStart w:id="295" w:name="_Toc152045788"/>
      <w:bookmarkStart w:id="296" w:name="_Toc152042577"/>
      <w:bookmarkStart w:id="297" w:name="_Toc8655_WPSOffice_Level1"/>
      <w:bookmarkStart w:id="298" w:name="_Toc28978"/>
      <w:bookmarkStart w:id="299" w:name="_Toc487498495"/>
      <w:bookmarkStart w:id="300" w:name="_Toc17559"/>
      <w:bookmarkStart w:id="301" w:name="_Toc25215"/>
      <w:r>
        <w:rPr>
          <w:rFonts w:hint="eastAsia"/>
          <w:b/>
          <w:bCs/>
          <w:color w:val="auto"/>
          <w:sz w:val="28"/>
          <w:szCs w:val="20"/>
          <w:lang w:val="en-US"/>
        </w:rPr>
        <w:t>一、磋商函及</w:t>
      </w:r>
      <w:bookmarkEnd w:id="294"/>
      <w:bookmarkEnd w:id="295"/>
      <w:bookmarkEnd w:id="296"/>
      <w:r>
        <w:rPr>
          <w:rFonts w:hint="eastAsia"/>
          <w:b/>
          <w:bCs/>
          <w:color w:val="auto"/>
          <w:sz w:val="28"/>
          <w:szCs w:val="20"/>
          <w:lang w:val="en-US"/>
        </w:rPr>
        <w:t>磋商函附录</w:t>
      </w:r>
      <w:bookmarkEnd w:id="297"/>
      <w:bookmarkEnd w:id="298"/>
      <w:bookmarkEnd w:id="299"/>
      <w:bookmarkEnd w:id="300"/>
      <w:bookmarkEnd w:id="301"/>
    </w:p>
    <w:p w14:paraId="40172D89">
      <w:pPr>
        <w:spacing w:line="360" w:lineRule="auto"/>
        <w:jc w:val="center"/>
        <w:outlineLvl w:val="2"/>
        <w:rPr>
          <w:color w:val="auto"/>
          <w:sz w:val="28"/>
          <w:szCs w:val="20"/>
          <w:lang w:val="en-US"/>
        </w:rPr>
      </w:pPr>
      <w:bookmarkStart w:id="302" w:name="_Toc318450744"/>
      <w:bookmarkStart w:id="303" w:name="_Toc455080170"/>
      <w:bookmarkStart w:id="304" w:name="_Toc30581"/>
      <w:bookmarkStart w:id="305" w:name="_Toc152042578"/>
      <w:bookmarkStart w:id="306" w:name="_Toc152045789"/>
      <w:bookmarkStart w:id="307" w:name="_Toc463701092"/>
      <w:bookmarkStart w:id="308" w:name="_Toc23888"/>
      <w:bookmarkStart w:id="309" w:name="_Toc8915"/>
      <w:bookmarkStart w:id="310" w:name="_Toc464035571"/>
      <w:bookmarkStart w:id="311" w:name="_Toc26765"/>
      <w:bookmarkStart w:id="312" w:name="_Toc18705"/>
      <w:bookmarkStart w:id="313" w:name="_Toc7366_WPSOffice_Level2"/>
      <w:bookmarkStart w:id="314" w:name="_Toc487498496"/>
      <w:bookmarkStart w:id="315" w:name="_Toc26262"/>
      <w:bookmarkStart w:id="316" w:name="_Toc488504497"/>
      <w:bookmarkStart w:id="317" w:name="_Toc144974858"/>
      <w:bookmarkStart w:id="318" w:name="_Toc11855"/>
      <w:r>
        <w:rPr>
          <w:rFonts w:hint="eastAsia"/>
          <w:color w:val="auto"/>
          <w:sz w:val="28"/>
          <w:szCs w:val="20"/>
          <w:lang w:val="en-US"/>
        </w:rPr>
        <w:t>（一）磋商函</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4C627A8">
      <w:pPr>
        <w:spacing w:line="360" w:lineRule="auto"/>
        <w:rPr>
          <w:color w:val="auto"/>
          <w:sz w:val="24"/>
        </w:rPr>
      </w:pPr>
      <w:r>
        <w:rPr>
          <w:rFonts w:hint="eastAsia"/>
          <w:color w:val="auto"/>
          <w:sz w:val="24"/>
          <w:u w:val="single"/>
        </w:rPr>
        <w:t>（采购人名称）</w:t>
      </w:r>
      <w:r>
        <w:rPr>
          <w:rFonts w:hint="eastAsia"/>
          <w:color w:val="auto"/>
          <w:sz w:val="24"/>
        </w:rPr>
        <w:t>：</w:t>
      </w:r>
    </w:p>
    <w:p w14:paraId="151FB6F4">
      <w:pPr>
        <w:spacing w:line="360" w:lineRule="auto"/>
        <w:ind w:firstLine="480" w:firstLineChars="200"/>
        <w:rPr>
          <w:color w:val="auto"/>
          <w:sz w:val="24"/>
        </w:rPr>
      </w:pPr>
      <w:r>
        <w:rPr>
          <w:rFonts w:hint="eastAsia"/>
          <w:color w:val="auto"/>
          <w:sz w:val="24"/>
        </w:rPr>
        <w:t xml:space="preserve">1．我方在考察现场并充分研究 </w:t>
      </w:r>
      <w:r>
        <w:rPr>
          <w:rFonts w:hint="eastAsia"/>
          <w:color w:val="auto"/>
          <w:sz w:val="24"/>
          <w:u w:val="single"/>
        </w:rPr>
        <w:t xml:space="preserve">      （项目名称）</w:t>
      </w:r>
      <w:r>
        <w:rPr>
          <w:rFonts w:hint="eastAsia"/>
          <w:color w:val="auto"/>
          <w:sz w:val="24"/>
          <w:u w:val="single"/>
          <w:lang w:val="en-US" w:eastAsia="zh-CN"/>
        </w:rPr>
        <w:t xml:space="preserve"> </w:t>
      </w:r>
      <w:r>
        <w:rPr>
          <w:rFonts w:hint="eastAsia"/>
          <w:color w:val="auto"/>
          <w:sz w:val="24"/>
        </w:rPr>
        <w:t>磋商文件的全部内容，愿意以磋商函附录中的报价</w:t>
      </w:r>
      <w:r>
        <w:rPr>
          <w:rFonts w:hint="eastAsia"/>
          <w:color w:val="auto"/>
          <w:sz w:val="24"/>
          <w:u w:val="single"/>
          <w:lang w:val="en-US" w:eastAsia="zh-CN"/>
        </w:rPr>
        <w:t xml:space="preserve">大写：    小写：      </w:t>
      </w:r>
      <w:r>
        <w:rPr>
          <w:rFonts w:hint="eastAsia"/>
          <w:color w:val="auto"/>
          <w:sz w:val="24"/>
        </w:rPr>
        <w:t>，质量</w:t>
      </w:r>
      <w:r>
        <w:rPr>
          <w:rFonts w:hint="eastAsia"/>
          <w:color w:val="auto"/>
          <w:sz w:val="24"/>
          <w:u w:val="single"/>
          <w:lang w:val="en-US" w:eastAsia="zh-CN"/>
        </w:rPr>
        <w:t xml:space="preserve">     </w:t>
      </w:r>
      <w:r>
        <w:rPr>
          <w:rFonts w:hint="eastAsia"/>
          <w:color w:val="auto"/>
          <w:sz w:val="24"/>
        </w:rPr>
        <w:t>，</w:t>
      </w:r>
      <w:r>
        <w:rPr>
          <w:rFonts w:hint="eastAsia"/>
          <w:color w:val="auto"/>
          <w:sz w:val="24"/>
          <w:lang w:eastAsia="zh-CN"/>
        </w:rPr>
        <w:t>设计周期</w:t>
      </w:r>
      <w:r>
        <w:rPr>
          <w:rFonts w:hint="eastAsia"/>
          <w:color w:val="auto"/>
          <w:sz w:val="24"/>
          <w:u w:val="single"/>
          <w:lang w:val="en-US" w:eastAsia="zh-CN"/>
        </w:rPr>
        <w:t xml:space="preserve">    </w:t>
      </w:r>
      <w:r>
        <w:rPr>
          <w:rFonts w:hint="eastAsia"/>
          <w:color w:val="auto"/>
          <w:sz w:val="24"/>
        </w:rPr>
        <w:t>，并严格按照合同约定完成相关</w:t>
      </w:r>
      <w:r>
        <w:rPr>
          <w:rFonts w:hint="eastAsia"/>
          <w:color w:val="auto"/>
          <w:sz w:val="24"/>
          <w:lang w:eastAsia="zh-CN"/>
        </w:rPr>
        <w:t>设计</w:t>
      </w:r>
      <w:r>
        <w:rPr>
          <w:rFonts w:hint="eastAsia"/>
          <w:color w:val="auto"/>
          <w:sz w:val="24"/>
        </w:rPr>
        <w:t>服务。</w:t>
      </w:r>
    </w:p>
    <w:p w14:paraId="31F44885">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据此函，经考察现场并</w:t>
      </w:r>
      <w:r>
        <w:rPr>
          <w:rFonts w:hint="eastAsia"/>
          <w:color w:val="auto"/>
          <w:sz w:val="24"/>
        </w:rPr>
        <w:t>认真</w:t>
      </w:r>
      <w:r>
        <w:rPr>
          <w:color w:val="auto"/>
          <w:sz w:val="24"/>
        </w:rPr>
        <w:t>研究</w:t>
      </w:r>
      <w:r>
        <w:rPr>
          <w:rFonts w:hint="eastAsia"/>
          <w:color w:val="auto"/>
          <w:sz w:val="24"/>
        </w:rPr>
        <w:t>磋商</w:t>
      </w:r>
      <w:r>
        <w:rPr>
          <w:color w:val="auto"/>
          <w:sz w:val="24"/>
        </w:rPr>
        <w:t>文件后，</w:t>
      </w:r>
      <w:r>
        <w:rPr>
          <w:rFonts w:hint="eastAsia"/>
          <w:color w:val="auto"/>
          <w:sz w:val="24"/>
        </w:rPr>
        <w:t>我方</w:t>
      </w:r>
      <w:r>
        <w:rPr>
          <w:color w:val="auto"/>
          <w:sz w:val="24"/>
        </w:rPr>
        <w:t>同意：</w:t>
      </w:r>
    </w:p>
    <w:p w14:paraId="45273C86">
      <w:pPr>
        <w:spacing w:line="360" w:lineRule="auto"/>
        <w:ind w:firstLine="480" w:firstLineChars="200"/>
        <w:rPr>
          <w:color w:val="auto"/>
          <w:sz w:val="24"/>
        </w:rPr>
      </w:pPr>
      <w:r>
        <w:rPr>
          <w:rFonts w:hint="eastAsia"/>
          <w:color w:val="auto"/>
          <w:sz w:val="24"/>
          <w:lang w:val="en-US"/>
        </w:rPr>
        <w:t>2</w:t>
      </w:r>
      <w:r>
        <w:rPr>
          <w:color w:val="auto"/>
          <w:sz w:val="24"/>
        </w:rPr>
        <w:t>.1</w:t>
      </w:r>
      <w:r>
        <w:rPr>
          <w:rFonts w:hint="eastAsia"/>
          <w:color w:val="auto"/>
          <w:sz w:val="24"/>
        </w:rPr>
        <w:t>根据项目情况，</w:t>
      </w:r>
      <w:r>
        <w:rPr>
          <w:color w:val="auto"/>
          <w:sz w:val="24"/>
        </w:rPr>
        <w:t>自主报价参与商务投标报价并承担</w:t>
      </w:r>
      <w:r>
        <w:rPr>
          <w:rFonts w:hint="eastAsia"/>
          <w:color w:val="auto"/>
          <w:sz w:val="24"/>
        </w:rPr>
        <w:t>磋商</w:t>
      </w:r>
      <w:r>
        <w:rPr>
          <w:color w:val="auto"/>
          <w:sz w:val="24"/>
        </w:rPr>
        <w:t>文件规定的</w:t>
      </w:r>
      <w:r>
        <w:rPr>
          <w:rFonts w:hint="eastAsia"/>
          <w:color w:val="auto"/>
          <w:sz w:val="24"/>
        </w:rPr>
        <w:t>各项内容及服务</w:t>
      </w:r>
      <w:r>
        <w:rPr>
          <w:color w:val="auto"/>
          <w:sz w:val="24"/>
        </w:rPr>
        <w:t>（报价表附后）。</w:t>
      </w:r>
    </w:p>
    <w:p w14:paraId="3D86E0EF">
      <w:pPr>
        <w:spacing w:line="360" w:lineRule="auto"/>
        <w:ind w:firstLine="480" w:firstLineChars="200"/>
        <w:rPr>
          <w:color w:val="auto"/>
          <w:sz w:val="24"/>
        </w:rPr>
      </w:pPr>
      <w:r>
        <w:rPr>
          <w:rFonts w:hint="eastAsia"/>
          <w:color w:val="auto"/>
          <w:sz w:val="24"/>
          <w:lang w:val="en-US"/>
        </w:rPr>
        <w:t>2</w:t>
      </w:r>
      <w:r>
        <w:rPr>
          <w:color w:val="auto"/>
          <w:sz w:val="24"/>
        </w:rPr>
        <w:t>.2接受</w:t>
      </w:r>
      <w:r>
        <w:rPr>
          <w:rFonts w:hint="eastAsia"/>
          <w:color w:val="auto"/>
          <w:sz w:val="24"/>
        </w:rPr>
        <w:t>采购人“合同文本”中</w:t>
      </w:r>
      <w:r>
        <w:rPr>
          <w:color w:val="auto"/>
          <w:sz w:val="24"/>
        </w:rPr>
        <w:t>条款的所有要求。</w:t>
      </w:r>
    </w:p>
    <w:p w14:paraId="5E5569A9">
      <w:pPr>
        <w:spacing w:line="360" w:lineRule="auto"/>
        <w:ind w:firstLine="480" w:firstLineChars="200"/>
        <w:rPr>
          <w:color w:val="auto"/>
          <w:sz w:val="24"/>
        </w:rPr>
      </w:pPr>
      <w:r>
        <w:rPr>
          <w:rFonts w:hint="eastAsia"/>
          <w:color w:val="auto"/>
          <w:sz w:val="24"/>
          <w:lang w:val="en-US"/>
        </w:rPr>
        <w:t>2</w:t>
      </w:r>
      <w:r>
        <w:rPr>
          <w:color w:val="auto"/>
          <w:sz w:val="24"/>
        </w:rPr>
        <w:t>.3一旦我方</w:t>
      </w:r>
      <w:r>
        <w:rPr>
          <w:rFonts w:hint="eastAsia"/>
          <w:color w:val="auto"/>
          <w:sz w:val="24"/>
        </w:rPr>
        <w:t>成交</w:t>
      </w:r>
      <w:r>
        <w:rPr>
          <w:color w:val="auto"/>
          <w:sz w:val="24"/>
        </w:rPr>
        <w:t>，保证按</w:t>
      </w:r>
      <w:r>
        <w:rPr>
          <w:rFonts w:hint="eastAsia"/>
          <w:color w:val="auto"/>
          <w:sz w:val="24"/>
        </w:rPr>
        <w:t>磋商</w:t>
      </w:r>
      <w:r>
        <w:rPr>
          <w:color w:val="auto"/>
          <w:sz w:val="24"/>
        </w:rPr>
        <w:t>文件的规定和投标时的相关承诺提供</w:t>
      </w:r>
      <w:r>
        <w:rPr>
          <w:rFonts w:hint="eastAsia"/>
          <w:color w:val="auto"/>
          <w:sz w:val="24"/>
        </w:rPr>
        <w:t>相关产品及</w:t>
      </w:r>
      <w:r>
        <w:rPr>
          <w:color w:val="auto"/>
          <w:sz w:val="24"/>
        </w:rPr>
        <w:t>服务。</w:t>
      </w:r>
    </w:p>
    <w:p w14:paraId="214DC370">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4按</w:t>
      </w:r>
      <w:r>
        <w:rPr>
          <w:rFonts w:hint="eastAsia"/>
          <w:color w:val="auto"/>
          <w:sz w:val="24"/>
        </w:rPr>
        <w:t>磋商</w:t>
      </w:r>
      <w:r>
        <w:rPr>
          <w:color w:val="auto"/>
          <w:sz w:val="24"/>
        </w:rPr>
        <w:t>文件中的规定，认定本</w:t>
      </w:r>
      <w:r>
        <w:rPr>
          <w:rFonts w:hint="eastAsia"/>
          <w:color w:val="auto"/>
          <w:sz w:val="24"/>
        </w:rPr>
        <w:t>响应</w:t>
      </w:r>
      <w:r>
        <w:rPr>
          <w:color w:val="auto"/>
          <w:sz w:val="24"/>
        </w:rPr>
        <w:t>文件的有效期为</w:t>
      </w:r>
      <w:r>
        <w:rPr>
          <w:rFonts w:hint="eastAsia"/>
          <w:color w:val="auto"/>
          <w:sz w:val="24"/>
        </w:rPr>
        <w:t>响应文件递交</w:t>
      </w:r>
      <w:r>
        <w:rPr>
          <w:color w:val="auto"/>
          <w:sz w:val="24"/>
        </w:rPr>
        <w:t>截止</w:t>
      </w:r>
      <w:r>
        <w:rPr>
          <w:rFonts w:hint="eastAsia"/>
          <w:color w:val="auto"/>
          <w:sz w:val="24"/>
        </w:rPr>
        <w:t>日</w:t>
      </w:r>
      <w:r>
        <w:rPr>
          <w:color w:val="auto"/>
          <w:sz w:val="24"/>
        </w:rPr>
        <w:t>后60</w:t>
      </w:r>
      <w:r>
        <w:rPr>
          <w:rFonts w:hint="eastAsia"/>
          <w:color w:val="auto"/>
          <w:sz w:val="24"/>
        </w:rPr>
        <w:t>日历</w:t>
      </w:r>
      <w:r>
        <w:rPr>
          <w:color w:val="auto"/>
          <w:sz w:val="24"/>
        </w:rPr>
        <w:t>天。本</w:t>
      </w:r>
      <w:r>
        <w:rPr>
          <w:rFonts w:hint="eastAsia"/>
          <w:color w:val="auto"/>
          <w:sz w:val="24"/>
        </w:rPr>
        <w:t>响应</w:t>
      </w:r>
      <w:r>
        <w:rPr>
          <w:color w:val="auto"/>
          <w:sz w:val="24"/>
        </w:rPr>
        <w:t>文件在截止</w:t>
      </w:r>
      <w:r>
        <w:rPr>
          <w:rFonts w:hint="eastAsia"/>
          <w:color w:val="auto"/>
          <w:sz w:val="24"/>
        </w:rPr>
        <w:t>日起即</w:t>
      </w:r>
      <w:r>
        <w:rPr>
          <w:color w:val="auto"/>
          <w:sz w:val="24"/>
        </w:rPr>
        <w:t>对我方</w:t>
      </w:r>
      <w:r>
        <w:rPr>
          <w:rFonts w:hint="eastAsia"/>
          <w:color w:val="auto"/>
          <w:sz w:val="24"/>
        </w:rPr>
        <w:t>具</w:t>
      </w:r>
      <w:r>
        <w:rPr>
          <w:color w:val="auto"/>
          <w:sz w:val="24"/>
        </w:rPr>
        <w:t>有约束力</w:t>
      </w:r>
      <w:r>
        <w:rPr>
          <w:rFonts w:hint="eastAsia"/>
          <w:color w:val="auto"/>
          <w:sz w:val="24"/>
        </w:rPr>
        <w:t>。</w:t>
      </w:r>
    </w:p>
    <w:p w14:paraId="320154E1">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5提供</w:t>
      </w:r>
      <w:r>
        <w:rPr>
          <w:rFonts w:hint="eastAsia"/>
          <w:color w:val="auto"/>
          <w:sz w:val="24"/>
        </w:rPr>
        <w:t>磋商</w:t>
      </w:r>
      <w:r>
        <w:rPr>
          <w:color w:val="auto"/>
          <w:sz w:val="24"/>
        </w:rPr>
        <w:t>文件中要求的所有文件资料。</w:t>
      </w:r>
    </w:p>
    <w:p w14:paraId="4FC17BC9">
      <w:pPr>
        <w:spacing w:line="360" w:lineRule="auto"/>
        <w:ind w:firstLine="480" w:firstLineChars="200"/>
        <w:rPr>
          <w:color w:val="auto"/>
          <w:sz w:val="24"/>
        </w:rPr>
      </w:pPr>
      <w:r>
        <w:rPr>
          <w:rFonts w:hint="eastAsia"/>
          <w:color w:val="auto"/>
          <w:sz w:val="24"/>
          <w:lang w:val="en-US"/>
        </w:rPr>
        <w:t>2</w:t>
      </w:r>
      <w:r>
        <w:rPr>
          <w:rFonts w:hint="eastAsia"/>
          <w:color w:val="auto"/>
          <w:sz w:val="24"/>
        </w:rPr>
        <w:t>.</w:t>
      </w:r>
      <w:r>
        <w:rPr>
          <w:color w:val="auto"/>
          <w:sz w:val="24"/>
        </w:rPr>
        <w:t>6承认报价是评标的重要因素，但不是唯一标准。</w:t>
      </w:r>
      <w:r>
        <w:rPr>
          <w:rFonts w:hint="eastAsia"/>
          <w:color w:val="auto"/>
          <w:sz w:val="24"/>
        </w:rPr>
        <w:t>我方完全理解采购人不一定将合同授予最低报价的供应商的行为。</w:t>
      </w:r>
    </w:p>
    <w:p w14:paraId="5D3AD0A6">
      <w:pPr>
        <w:spacing w:line="360" w:lineRule="auto"/>
        <w:ind w:firstLine="480" w:firstLineChars="200"/>
        <w:rPr>
          <w:color w:val="auto"/>
          <w:sz w:val="24"/>
        </w:rPr>
      </w:pPr>
      <w:r>
        <w:rPr>
          <w:rFonts w:hint="eastAsia"/>
          <w:color w:val="auto"/>
          <w:sz w:val="24"/>
          <w:lang w:val="en-US"/>
        </w:rPr>
        <w:t>2</w:t>
      </w:r>
      <w:r>
        <w:rPr>
          <w:rFonts w:hint="eastAsia"/>
          <w:color w:val="auto"/>
          <w:sz w:val="24"/>
        </w:rPr>
        <w:t>.7</w:t>
      </w:r>
      <w:r>
        <w:rPr>
          <w:color w:val="auto"/>
          <w:sz w:val="24"/>
        </w:rPr>
        <w:t>已经详细审核了全部</w:t>
      </w:r>
      <w:r>
        <w:rPr>
          <w:rFonts w:hint="eastAsia"/>
          <w:color w:val="auto"/>
          <w:sz w:val="24"/>
        </w:rPr>
        <w:t>磋商</w:t>
      </w:r>
      <w:r>
        <w:rPr>
          <w:color w:val="auto"/>
          <w:sz w:val="24"/>
        </w:rPr>
        <w:t>文件，包括修改、补充的文件（如果有的话）和参考资料，我们完全理解并同意放弃对这方面有不明及误解的权利。</w:t>
      </w:r>
    </w:p>
    <w:p w14:paraId="562FCF49">
      <w:pPr>
        <w:spacing w:line="360" w:lineRule="auto"/>
        <w:ind w:firstLine="480" w:firstLineChars="200"/>
        <w:rPr>
          <w:color w:val="auto"/>
          <w:sz w:val="24"/>
        </w:rPr>
      </w:pPr>
      <w:r>
        <w:rPr>
          <w:rFonts w:hint="eastAsia"/>
          <w:color w:val="auto"/>
          <w:sz w:val="24"/>
          <w:lang w:val="en-US"/>
        </w:rPr>
        <w:t>2</w:t>
      </w:r>
      <w:r>
        <w:rPr>
          <w:rFonts w:hint="eastAsia"/>
          <w:color w:val="auto"/>
          <w:sz w:val="24"/>
        </w:rPr>
        <w:t>.8</w:t>
      </w:r>
      <w:r>
        <w:rPr>
          <w:color w:val="auto"/>
          <w:sz w:val="24"/>
        </w:rPr>
        <w:t>按《中华人民共和国</w:t>
      </w:r>
      <w:r>
        <w:rPr>
          <w:rFonts w:hint="eastAsia"/>
          <w:color w:val="auto"/>
          <w:sz w:val="24"/>
          <w:lang w:eastAsia="zh-CN"/>
        </w:rPr>
        <w:t>民法典</w:t>
      </w:r>
      <w:r>
        <w:rPr>
          <w:color w:val="auto"/>
          <w:sz w:val="24"/>
        </w:rPr>
        <w:t>》履行自己的全部责任。</w:t>
      </w:r>
    </w:p>
    <w:p w14:paraId="52704E65">
      <w:pPr>
        <w:spacing w:line="400" w:lineRule="exact"/>
        <w:ind w:firstLine="4200" w:firstLineChars="1750"/>
        <w:rPr>
          <w:color w:val="auto"/>
          <w:sz w:val="24"/>
        </w:rPr>
      </w:pPr>
    </w:p>
    <w:p w14:paraId="3DD12AE4">
      <w:pPr>
        <w:spacing w:line="360" w:lineRule="auto"/>
        <w:ind w:firstLine="4200" w:firstLineChars="1750"/>
        <w:rPr>
          <w:color w:val="auto"/>
          <w:sz w:val="24"/>
        </w:rPr>
      </w:pPr>
      <w:r>
        <w:rPr>
          <w:rFonts w:hint="eastAsia"/>
          <w:color w:val="auto"/>
          <w:sz w:val="24"/>
        </w:rPr>
        <w:t>供应商：（公章签章）</w:t>
      </w:r>
    </w:p>
    <w:p w14:paraId="725F2083">
      <w:pPr>
        <w:spacing w:line="360" w:lineRule="auto"/>
        <w:jc w:val="center"/>
        <w:rPr>
          <w:color w:val="auto"/>
          <w:sz w:val="24"/>
        </w:rPr>
      </w:pPr>
      <w:bookmarkStart w:id="319" w:name="_Toc13053_WPSOffice_Level3"/>
      <w:r>
        <w:rPr>
          <w:rFonts w:hint="eastAsia"/>
          <w:color w:val="auto"/>
          <w:sz w:val="24"/>
        </w:rPr>
        <w:t>法定代表人或其委托代理人：（法人签章）</w:t>
      </w:r>
      <w:bookmarkEnd w:id="319"/>
    </w:p>
    <w:p w14:paraId="591C0EFC">
      <w:pPr>
        <w:spacing w:line="360" w:lineRule="auto"/>
        <w:ind w:firstLine="960" w:firstLineChars="400"/>
        <w:jc w:val="both"/>
        <w:rPr>
          <w:color w:val="auto"/>
          <w:sz w:val="24"/>
        </w:rPr>
      </w:pPr>
      <w:r>
        <w:rPr>
          <w:rFonts w:hint="eastAsia"/>
          <w:color w:val="auto"/>
          <w:sz w:val="24"/>
        </w:rPr>
        <w:t xml:space="preserve">                                年  月   日</w:t>
      </w:r>
    </w:p>
    <w:p w14:paraId="6E1F1E75">
      <w:pPr>
        <w:spacing w:before="38" w:line="360" w:lineRule="auto"/>
        <w:ind w:left="887" w:right="909"/>
        <w:jc w:val="center"/>
        <w:rPr>
          <w:b/>
          <w:color w:val="auto"/>
          <w:sz w:val="32"/>
        </w:rPr>
      </w:pPr>
      <w:r>
        <w:rPr>
          <w:b/>
          <w:color w:val="auto"/>
          <w:sz w:val="32"/>
        </w:rPr>
        <w:br w:type="page"/>
      </w:r>
    </w:p>
    <w:p w14:paraId="3734CFD8">
      <w:pPr>
        <w:spacing w:line="360" w:lineRule="auto"/>
        <w:jc w:val="center"/>
        <w:outlineLvl w:val="2"/>
        <w:rPr>
          <w:color w:val="auto"/>
          <w:sz w:val="28"/>
          <w:szCs w:val="20"/>
          <w:lang w:val="en-US"/>
        </w:rPr>
      </w:pPr>
      <w:bookmarkStart w:id="320" w:name="_Toc403418420"/>
      <w:bookmarkStart w:id="321" w:name="_Toc216842529"/>
      <w:bookmarkStart w:id="322" w:name="_Toc403418354"/>
      <w:bookmarkStart w:id="323" w:name="_Toc13604_WPSOffice_Level2"/>
      <w:bookmarkStart w:id="324" w:name="_Toc20293"/>
      <w:bookmarkStart w:id="325" w:name="_Toc25194"/>
      <w:bookmarkStart w:id="326" w:name="_Toc14822"/>
      <w:r>
        <w:rPr>
          <w:rFonts w:hint="eastAsia"/>
          <w:color w:val="auto"/>
          <w:sz w:val="28"/>
          <w:szCs w:val="20"/>
          <w:lang w:val="en-US"/>
        </w:rPr>
        <w:t>（二）</w:t>
      </w:r>
      <w:bookmarkEnd w:id="320"/>
      <w:bookmarkEnd w:id="321"/>
      <w:bookmarkEnd w:id="322"/>
      <w:r>
        <w:rPr>
          <w:rFonts w:hint="eastAsia"/>
          <w:color w:val="auto"/>
          <w:sz w:val="28"/>
          <w:szCs w:val="20"/>
          <w:lang w:val="en-US"/>
        </w:rPr>
        <w:t>磋商函附录</w:t>
      </w:r>
      <w:bookmarkEnd w:id="323"/>
      <w:bookmarkEnd w:id="324"/>
      <w:bookmarkEnd w:id="325"/>
      <w:bookmarkEnd w:id="326"/>
    </w:p>
    <w:tbl>
      <w:tblPr>
        <w:tblStyle w:val="19"/>
        <w:tblW w:w="9160" w:type="dxa"/>
        <w:tblInd w:w="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2138"/>
        <w:gridCol w:w="2805"/>
        <w:gridCol w:w="2407"/>
      </w:tblGrid>
      <w:tr w14:paraId="77AD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810" w:type="dxa"/>
            <w:vAlign w:val="center"/>
          </w:tcPr>
          <w:p w14:paraId="14A57C71">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项目名称</w:t>
            </w:r>
          </w:p>
        </w:tc>
        <w:tc>
          <w:tcPr>
            <w:tcW w:w="7350" w:type="dxa"/>
            <w:gridSpan w:val="3"/>
            <w:vAlign w:val="center"/>
          </w:tcPr>
          <w:p w14:paraId="5C6B0D97">
            <w:pPr>
              <w:adjustRightInd w:val="0"/>
              <w:snapToGrid w:val="0"/>
              <w:spacing w:line="300" w:lineRule="exact"/>
              <w:jc w:val="center"/>
              <w:rPr>
                <w:rFonts w:ascii="宋体" w:hAnsi="宋体" w:cs="宋体"/>
                <w:color w:val="auto"/>
                <w:sz w:val="24"/>
              </w:rPr>
            </w:pPr>
          </w:p>
        </w:tc>
      </w:tr>
      <w:tr w14:paraId="07D5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10" w:type="dxa"/>
            <w:vAlign w:val="center"/>
          </w:tcPr>
          <w:p w14:paraId="5E34E8F3">
            <w:pPr>
              <w:adjustRightInd w:val="0"/>
              <w:snapToGrid w:val="0"/>
              <w:spacing w:line="300" w:lineRule="exact"/>
              <w:jc w:val="center"/>
              <w:rPr>
                <w:rFonts w:hint="eastAsia" w:ascii="宋体" w:hAnsi="宋体" w:eastAsia="宋体" w:cs="宋体"/>
                <w:color w:val="auto"/>
                <w:sz w:val="24"/>
                <w:lang w:eastAsia="zh-CN"/>
              </w:rPr>
            </w:pPr>
            <w:r>
              <w:rPr>
                <w:rFonts w:hint="eastAsia" w:ascii="宋体" w:hAnsi="宋体" w:cs="宋体"/>
                <w:color w:val="auto"/>
                <w:sz w:val="24"/>
              </w:rPr>
              <w:t>供应商</w:t>
            </w:r>
            <w:r>
              <w:rPr>
                <w:rFonts w:hint="eastAsia" w:ascii="宋体" w:hAnsi="宋体" w:cs="宋体"/>
                <w:color w:val="auto"/>
                <w:sz w:val="24"/>
                <w:lang w:eastAsia="zh-CN"/>
              </w:rPr>
              <w:t>名称</w:t>
            </w:r>
          </w:p>
        </w:tc>
        <w:tc>
          <w:tcPr>
            <w:tcW w:w="7350" w:type="dxa"/>
            <w:gridSpan w:val="3"/>
            <w:vAlign w:val="center"/>
          </w:tcPr>
          <w:p w14:paraId="2308F270">
            <w:pPr>
              <w:adjustRightInd w:val="0"/>
              <w:snapToGrid w:val="0"/>
              <w:spacing w:line="300" w:lineRule="exact"/>
              <w:jc w:val="center"/>
              <w:rPr>
                <w:rFonts w:ascii="宋体" w:hAnsi="宋体" w:cs="宋体"/>
                <w:color w:val="auto"/>
                <w:sz w:val="24"/>
              </w:rPr>
            </w:pPr>
          </w:p>
        </w:tc>
      </w:tr>
      <w:tr w14:paraId="30AA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10" w:type="dxa"/>
            <w:vAlign w:val="center"/>
          </w:tcPr>
          <w:p w14:paraId="5049D122">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投标内容</w:t>
            </w:r>
          </w:p>
        </w:tc>
        <w:tc>
          <w:tcPr>
            <w:tcW w:w="7350" w:type="dxa"/>
            <w:gridSpan w:val="3"/>
            <w:vAlign w:val="center"/>
          </w:tcPr>
          <w:p w14:paraId="2E6E7968">
            <w:pPr>
              <w:adjustRightInd w:val="0"/>
              <w:snapToGrid w:val="0"/>
              <w:spacing w:line="380" w:lineRule="exact"/>
              <w:jc w:val="center"/>
              <w:rPr>
                <w:rFonts w:ascii="宋体" w:hAnsi="宋体" w:cs="宋体"/>
                <w:color w:val="auto"/>
                <w:sz w:val="24"/>
              </w:rPr>
            </w:pPr>
          </w:p>
        </w:tc>
      </w:tr>
      <w:tr w14:paraId="1048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810" w:type="dxa"/>
            <w:vAlign w:val="center"/>
          </w:tcPr>
          <w:p w14:paraId="6D714050">
            <w:pPr>
              <w:adjustRightInd w:val="0"/>
              <w:snapToGrid w:val="0"/>
              <w:spacing w:line="300" w:lineRule="exact"/>
              <w:jc w:val="center"/>
              <w:rPr>
                <w:rFonts w:hint="eastAsia" w:ascii="宋体" w:hAnsi="宋体" w:eastAsia="宋体" w:cs="宋体"/>
                <w:color w:val="auto"/>
                <w:sz w:val="24"/>
                <w:lang w:eastAsia="zh-CN"/>
              </w:rPr>
            </w:pPr>
            <w:r>
              <w:rPr>
                <w:rFonts w:hint="eastAsia" w:ascii="宋体" w:hAnsi="宋体" w:cs="宋体"/>
                <w:color w:val="auto"/>
                <w:sz w:val="24"/>
              </w:rPr>
              <w:t>投标报价</w:t>
            </w:r>
          </w:p>
        </w:tc>
        <w:tc>
          <w:tcPr>
            <w:tcW w:w="7350" w:type="dxa"/>
            <w:gridSpan w:val="3"/>
            <w:vAlign w:val="center"/>
          </w:tcPr>
          <w:p w14:paraId="2177841B">
            <w:pPr>
              <w:adjustRightInd w:val="0"/>
              <w:snapToGrid w:val="0"/>
              <w:spacing w:line="380" w:lineRule="exact"/>
              <w:jc w:val="both"/>
              <w:rPr>
                <w:rFonts w:hint="eastAsia" w:cs="宋体"/>
                <w:color w:val="auto"/>
                <w:sz w:val="24"/>
                <w:u w:val="single"/>
                <w:lang w:val="en-US" w:eastAsia="zh-CN"/>
              </w:rPr>
            </w:pPr>
            <w:r>
              <w:rPr>
                <w:rFonts w:hint="eastAsia" w:cs="宋体"/>
                <w:color w:val="auto"/>
                <w:sz w:val="24"/>
                <w:u w:val="single"/>
                <w:lang w:val="en-US" w:eastAsia="zh-CN"/>
              </w:rPr>
              <w:t>大写：</w:t>
            </w:r>
          </w:p>
          <w:p w14:paraId="16846264">
            <w:pPr>
              <w:adjustRightInd w:val="0"/>
              <w:snapToGrid w:val="0"/>
              <w:spacing w:line="380" w:lineRule="exact"/>
              <w:jc w:val="both"/>
              <w:rPr>
                <w:rFonts w:hint="default"/>
                <w:lang w:val="en-US" w:eastAsia="zh-CN"/>
              </w:rPr>
            </w:pPr>
            <w:r>
              <w:rPr>
                <w:rFonts w:hint="eastAsia" w:cs="宋体"/>
                <w:color w:val="auto"/>
                <w:sz w:val="24"/>
                <w:u w:val="single"/>
                <w:lang w:val="en-US" w:eastAsia="zh-CN"/>
              </w:rPr>
              <w:t>小写:</w:t>
            </w:r>
          </w:p>
        </w:tc>
      </w:tr>
      <w:tr w14:paraId="07F36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810" w:type="dxa"/>
            <w:vAlign w:val="center"/>
          </w:tcPr>
          <w:p w14:paraId="0DCDB7BE">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项目负责人</w:t>
            </w:r>
          </w:p>
        </w:tc>
        <w:tc>
          <w:tcPr>
            <w:tcW w:w="2138" w:type="dxa"/>
            <w:vAlign w:val="center"/>
          </w:tcPr>
          <w:p w14:paraId="01168C60">
            <w:pPr>
              <w:adjustRightInd w:val="0"/>
              <w:snapToGrid w:val="0"/>
              <w:spacing w:line="300" w:lineRule="exact"/>
              <w:jc w:val="center"/>
              <w:rPr>
                <w:rFonts w:ascii="宋体" w:hAnsi="宋体" w:cs="宋体"/>
                <w:color w:val="auto"/>
                <w:sz w:val="24"/>
              </w:rPr>
            </w:pPr>
          </w:p>
        </w:tc>
        <w:tc>
          <w:tcPr>
            <w:tcW w:w="2805" w:type="dxa"/>
            <w:vAlign w:val="center"/>
          </w:tcPr>
          <w:p w14:paraId="14BE6798">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联系方式</w:t>
            </w:r>
          </w:p>
        </w:tc>
        <w:tc>
          <w:tcPr>
            <w:tcW w:w="2407" w:type="dxa"/>
            <w:vAlign w:val="center"/>
          </w:tcPr>
          <w:p w14:paraId="64EECC24">
            <w:pPr>
              <w:adjustRightInd w:val="0"/>
              <w:snapToGrid w:val="0"/>
              <w:spacing w:line="300" w:lineRule="exact"/>
              <w:jc w:val="center"/>
              <w:rPr>
                <w:rFonts w:ascii="宋体" w:hAnsi="宋体" w:cs="宋体"/>
                <w:color w:val="auto"/>
                <w:sz w:val="24"/>
              </w:rPr>
            </w:pPr>
          </w:p>
        </w:tc>
      </w:tr>
      <w:tr w14:paraId="4A17F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810" w:type="dxa"/>
            <w:vAlign w:val="center"/>
          </w:tcPr>
          <w:p w14:paraId="53645B6E">
            <w:pPr>
              <w:adjustRightInd w:val="0"/>
              <w:snapToGrid w:val="0"/>
              <w:spacing w:line="300" w:lineRule="exact"/>
              <w:jc w:val="center"/>
              <w:rPr>
                <w:rFonts w:ascii="宋体" w:hAnsi="宋体" w:cs="宋体"/>
                <w:color w:val="auto"/>
                <w:sz w:val="24"/>
              </w:rPr>
            </w:pPr>
            <w:r>
              <w:rPr>
                <w:rFonts w:hint="eastAsia" w:ascii="宋体" w:hAnsi="宋体" w:cs="宋体"/>
                <w:color w:val="auto"/>
                <w:sz w:val="24"/>
                <w:lang w:eastAsia="zh-CN"/>
              </w:rPr>
              <w:t>设计</w:t>
            </w:r>
            <w:r>
              <w:rPr>
                <w:rFonts w:hint="eastAsia" w:ascii="宋体" w:hAnsi="宋体" w:cs="宋体"/>
                <w:color w:val="auto"/>
                <w:sz w:val="24"/>
              </w:rPr>
              <w:t>周期</w:t>
            </w:r>
          </w:p>
        </w:tc>
        <w:tc>
          <w:tcPr>
            <w:tcW w:w="7350" w:type="dxa"/>
            <w:gridSpan w:val="3"/>
            <w:vAlign w:val="center"/>
          </w:tcPr>
          <w:p w14:paraId="76EED3F9">
            <w:pPr>
              <w:adjustRightInd w:val="0"/>
              <w:snapToGrid w:val="0"/>
              <w:spacing w:line="300" w:lineRule="exact"/>
              <w:jc w:val="center"/>
              <w:rPr>
                <w:rFonts w:ascii="宋体" w:hAnsi="宋体" w:cs="宋体"/>
                <w:color w:val="auto"/>
                <w:sz w:val="24"/>
              </w:rPr>
            </w:pPr>
          </w:p>
        </w:tc>
      </w:tr>
      <w:tr w14:paraId="4092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810" w:type="dxa"/>
            <w:vAlign w:val="center"/>
          </w:tcPr>
          <w:p w14:paraId="75717850">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质量标准</w:t>
            </w:r>
          </w:p>
        </w:tc>
        <w:tc>
          <w:tcPr>
            <w:tcW w:w="7350" w:type="dxa"/>
            <w:gridSpan w:val="3"/>
            <w:vAlign w:val="center"/>
          </w:tcPr>
          <w:p w14:paraId="0C482792">
            <w:pPr>
              <w:adjustRightInd w:val="0"/>
              <w:snapToGrid w:val="0"/>
              <w:spacing w:line="300" w:lineRule="exact"/>
              <w:jc w:val="center"/>
              <w:rPr>
                <w:rFonts w:ascii="宋体" w:hAnsi="宋体" w:cs="宋体"/>
                <w:color w:val="auto"/>
                <w:sz w:val="24"/>
              </w:rPr>
            </w:pPr>
          </w:p>
        </w:tc>
      </w:tr>
      <w:tr w14:paraId="7863A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810" w:type="dxa"/>
            <w:vAlign w:val="center"/>
          </w:tcPr>
          <w:p w14:paraId="1C97E9F6">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投标有效期</w:t>
            </w:r>
          </w:p>
        </w:tc>
        <w:tc>
          <w:tcPr>
            <w:tcW w:w="7350" w:type="dxa"/>
            <w:gridSpan w:val="3"/>
            <w:vAlign w:val="center"/>
          </w:tcPr>
          <w:p w14:paraId="09B89CAB">
            <w:pPr>
              <w:adjustRightInd w:val="0"/>
              <w:snapToGrid w:val="0"/>
              <w:spacing w:line="300" w:lineRule="exact"/>
              <w:jc w:val="center"/>
              <w:rPr>
                <w:rFonts w:ascii="宋体" w:hAnsi="宋体" w:cs="宋体"/>
                <w:color w:val="auto"/>
                <w:sz w:val="24"/>
              </w:rPr>
            </w:pPr>
          </w:p>
        </w:tc>
      </w:tr>
      <w:tr w14:paraId="4EAE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1810" w:type="dxa"/>
            <w:vAlign w:val="center"/>
          </w:tcPr>
          <w:p w14:paraId="2150C237">
            <w:pPr>
              <w:adjustRightInd w:val="0"/>
              <w:snapToGrid w:val="0"/>
              <w:spacing w:line="300" w:lineRule="exact"/>
              <w:jc w:val="center"/>
              <w:rPr>
                <w:rFonts w:ascii="宋体" w:hAnsi="宋体" w:cs="宋体"/>
                <w:color w:val="auto"/>
                <w:sz w:val="24"/>
              </w:rPr>
            </w:pPr>
            <w:r>
              <w:rPr>
                <w:rFonts w:hint="eastAsia" w:ascii="宋体" w:hAnsi="宋体" w:cs="宋体"/>
                <w:color w:val="auto"/>
                <w:sz w:val="24"/>
              </w:rPr>
              <w:t>备注</w:t>
            </w:r>
          </w:p>
        </w:tc>
        <w:tc>
          <w:tcPr>
            <w:tcW w:w="7350" w:type="dxa"/>
            <w:gridSpan w:val="3"/>
            <w:vAlign w:val="center"/>
          </w:tcPr>
          <w:p w14:paraId="3254869A">
            <w:pPr>
              <w:adjustRightInd w:val="0"/>
              <w:snapToGrid w:val="0"/>
              <w:spacing w:line="300" w:lineRule="exact"/>
              <w:jc w:val="center"/>
              <w:rPr>
                <w:rFonts w:ascii="宋体" w:hAnsi="宋体" w:cs="宋体"/>
                <w:color w:val="auto"/>
                <w:sz w:val="24"/>
              </w:rPr>
            </w:pPr>
          </w:p>
        </w:tc>
      </w:tr>
    </w:tbl>
    <w:p w14:paraId="238BF5CB">
      <w:pPr>
        <w:spacing w:line="300" w:lineRule="exact"/>
        <w:rPr>
          <w:color w:val="auto"/>
          <w:szCs w:val="21"/>
        </w:rPr>
      </w:pPr>
    </w:p>
    <w:p w14:paraId="3F5C7DF7">
      <w:pPr>
        <w:spacing w:line="360" w:lineRule="exact"/>
        <w:rPr>
          <w:b/>
          <w:bCs/>
          <w:color w:val="auto"/>
          <w:szCs w:val="21"/>
        </w:rPr>
      </w:pPr>
      <w:r>
        <w:rPr>
          <w:rFonts w:hint="eastAsia"/>
          <w:b/>
          <w:bCs/>
          <w:color w:val="auto"/>
          <w:szCs w:val="21"/>
        </w:rPr>
        <w:t>注：1、投标报价仅且只有一个有效报价，不得出现两个及以上报价，否则作废标处理。</w:t>
      </w:r>
    </w:p>
    <w:p w14:paraId="08224C4C">
      <w:pPr>
        <w:spacing w:line="360" w:lineRule="exact"/>
        <w:rPr>
          <w:color w:val="auto"/>
          <w:szCs w:val="21"/>
        </w:rPr>
      </w:pPr>
      <w:r>
        <w:rPr>
          <w:rFonts w:hint="eastAsia"/>
          <w:b/>
          <w:bCs/>
          <w:color w:val="auto"/>
          <w:szCs w:val="21"/>
        </w:rPr>
        <w:t>2、此处为第一轮报价供</w:t>
      </w:r>
      <w:r>
        <w:rPr>
          <w:rFonts w:hint="eastAsia"/>
          <w:b/>
          <w:bCs/>
          <w:color w:val="auto"/>
          <w:szCs w:val="21"/>
          <w:lang w:eastAsia="zh-CN"/>
        </w:rPr>
        <w:t>磋商</w:t>
      </w:r>
      <w:r>
        <w:rPr>
          <w:rFonts w:hint="eastAsia"/>
          <w:b/>
          <w:bCs/>
          <w:color w:val="auto"/>
          <w:szCs w:val="21"/>
        </w:rPr>
        <w:t>小组在评审时参考比较，此时的最低报价并不是成交的条件。</w:t>
      </w:r>
    </w:p>
    <w:p w14:paraId="7BA3E6D0">
      <w:pPr>
        <w:spacing w:line="300" w:lineRule="exact"/>
        <w:rPr>
          <w:color w:val="auto"/>
          <w:szCs w:val="21"/>
        </w:rPr>
      </w:pPr>
    </w:p>
    <w:p w14:paraId="0EB070D6">
      <w:pPr>
        <w:spacing w:line="300" w:lineRule="exact"/>
        <w:rPr>
          <w:color w:val="auto"/>
          <w:szCs w:val="21"/>
        </w:rPr>
      </w:pPr>
    </w:p>
    <w:p w14:paraId="39A19EDE">
      <w:pPr>
        <w:spacing w:line="300" w:lineRule="exact"/>
        <w:ind w:firstLine="3600" w:firstLineChars="1500"/>
        <w:rPr>
          <w:color w:val="auto"/>
          <w:sz w:val="24"/>
        </w:rPr>
      </w:pPr>
      <w:r>
        <w:rPr>
          <w:rFonts w:hint="eastAsia"/>
          <w:color w:val="auto"/>
          <w:sz w:val="24"/>
        </w:rPr>
        <w:t>供应商：（公章签章）</w:t>
      </w:r>
    </w:p>
    <w:p w14:paraId="100E6BC2">
      <w:pPr>
        <w:spacing w:line="300" w:lineRule="exact"/>
        <w:rPr>
          <w:color w:val="auto"/>
          <w:sz w:val="24"/>
        </w:rPr>
      </w:pPr>
    </w:p>
    <w:p w14:paraId="16891685">
      <w:pPr>
        <w:spacing w:line="300" w:lineRule="exact"/>
        <w:ind w:firstLine="3600" w:firstLineChars="1500"/>
        <w:rPr>
          <w:color w:val="auto"/>
          <w:sz w:val="24"/>
        </w:rPr>
      </w:pPr>
      <w:r>
        <w:rPr>
          <w:rFonts w:hint="eastAsia"/>
          <w:color w:val="auto"/>
          <w:sz w:val="24"/>
        </w:rPr>
        <w:t>联系人：          电话 ：</w:t>
      </w:r>
    </w:p>
    <w:p w14:paraId="29E1AF74">
      <w:pPr>
        <w:spacing w:line="300" w:lineRule="exact"/>
        <w:rPr>
          <w:color w:val="auto"/>
          <w:sz w:val="24"/>
        </w:rPr>
      </w:pPr>
    </w:p>
    <w:p w14:paraId="256DA17F">
      <w:pPr>
        <w:spacing w:line="300" w:lineRule="exact"/>
        <w:ind w:firstLine="3600" w:firstLineChars="1500"/>
        <w:rPr>
          <w:color w:val="auto"/>
          <w:sz w:val="24"/>
        </w:rPr>
      </w:pPr>
      <w:r>
        <w:rPr>
          <w:rFonts w:hint="eastAsia"/>
          <w:color w:val="auto"/>
          <w:sz w:val="24"/>
        </w:rPr>
        <w:t xml:space="preserve">法定代表人或其委托代理人：（法人签章）       </w:t>
      </w:r>
    </w:p>
    <w:p w14:paraId="27F01E1E">
      <w:pPr>
        <w:spacing w:line="300" w:lineRule="exact"/>
        <w:rPr>
          <w:color w:val="auto"/>
          <w:sz w:val="24"/>
        </w:rPr>
      </w:pPr>
    </w:p>
    <w:p w14:paraId="37B7E871">
      <w:pPr>
        <w:spacing w:line="300" w:lineRule="exact"/>
        <w:ind w:firstLine="3600" w:firstLineChars="1500"/>
        <w:rPr>
          <w:color w:val="auto"/>
          <w:sz w:val="24"/>
        </w:rPr>
      </w:pPr>
      <w:r>
        <w:rPr>
          <w:rFonts w:hint="eastAsia"/>
          <w:color w:val="auto"/>
          <w:sz w:val="24"/>
        </w:rPr>
        <w:t>日期：     年   月   日</w:t>
      </w:r>
    </w:p>
    <w:p w14:paraId="61A7A266">
      <w:pPr>
        <w:spacing w:before="38"/>
        <w:ind w:right="909"/>
        <w:jc w:val="both"/>
        <w:rPr>
          <w:b/>
          <w:color w:val="auto"/>
          <w:sz w:val="32"/>
        </w:rPr>
      </w:pPr>
      <w:r>
        <w:rPr>
          <w:b/>
          <w:color w:val="auto"/>
          <w:sz w:val="32"/>
        </w:rPr>
        <w:br w:type="page"/>
      </w:r>
    </w:p>
    <w:p w14:paraId="0ADA3E2B">
      <w:pPr>
        <w:pStyle w:val="36"/>
        <w:ind w:left="0"/>
        <w:jc w:val="center"/>
        <w:outlineLvl w:val="0"/>
        <w:rPr>
          <w:rFonts w:ascii="宋体" w:hAnsi="宋体"/>
          <w:color w:val="auto"/>
        </w:rPr>
      </w:pPr>
      <w:bookmarkStart w:id="327" w:name="_Toc118"/>
      <w:bookmarkStart w:id="328" w:name="_Toc4976_WPSOffice_Level1"/>
      <w:bookmarkStart w:id="329" w:name="_Toc29682"/>
      <w:bookmarkStart w:id="330" w:name="_Toc465887466"/>
      <w:bookmarkStart w:id="331" w:name="_Toc467255652"/>
      <w:bookmarkStart w:id="332" w:name="_Toc424308521"/>
      <w:bookmarkStart w:id="333" w:name="_Toc30441"/>
      <w:r>
        <w:rPr>
          <w:rFonts w:hint="eastAsia" w:ascii="宋体" w:hAnsi="宋体"/>
          <w:color w:val="auto"/>
        </w:rPr>
        <w:t>二、法定代表人身份证明</w:t>
      </w:r>
      <w:bookmarkEnd w:id="327"/>
      <w:bookmarkEnd w:id="328"/>
      <w:bookmarkEnd w:id="329"/>
      <w:bookmarkEnd w:id="330"/>
      <w:bookmarkEnd w:id="331"/>
      <w:bookmarkEnd w:id="332"/>
      <w:bookmarkEnd w:id="333"/>
    </w:p>
    <w:p w14:paraId="56DDEAD2">
      <w:pPr>
        <w:pStyle w:val="3"/>
        <w:tabs>
          <w:tab w:val="left" w:pos="720"/>
        </w:tabs>
        <w:snapToGrid w:val="0"/>
        <w:spacing w:before="0"/>
        <w:ind w:left="0"/>
        <w:outlineLvl w:val="9"/>
        <w:rPr>
          <w:b w:val="0"/>
          <w:color w:val="auto"/>
          <w:sz w:val="24"/>
          <w:szCs w:val="24"/>
        </w:rPr>
      </w:pPr>
      <w:bookmarkStart w:id="334" w:name="_Toc424308522"/>
      <w:bookmarkStart w:id="335" w:name="_Toc465887467"/>
      <w:bookmarkStart w:id="336" w:name="_Toc32377"/>
      <w:bookmarkStart w:id="337" w:name="_Toc467255653"/>
    </w:p>
    <w:p w14:paraId="107BDBE6">
      <w:pPr>
        <w:pStyle w:val="3"/>
        <w:tabs>
          <w:tab w:val="left" w:pos="720"/>
        </w:tabs>
        <w:snapToGrid w:val="0"/>
        <w:spacing w:before="0"/>
        <w:ind w:left="0"/>
        <w:rPr>
          <w:b w:val="0"/>
          <w:color w:val="auto"/>
          <w:sz w:val="24"/>
          <w:szCs w:val="24"/>
        </w:rPr>
      </w:pPr>
      <w:r>
        <w:rPr>
          <w:rFonts w:hint="eastAsia"/>
          <w:b w:val="0"/>
          <w:color w:val="auto"/>
          <w:sz w:val="24"/>
          <w:szCs w:val="24"/>
        </w:rPr>
        <w:t>单位名称：</w:t>
      </w:r>
      <w:bookmarkEnd w:id="334"/>
      <w:bookmarkEnd w:id="335"/>
      <w:bookmarkEnd w:id="336"/>
      <w:bookmarkEnd w:id="337"/>
    </w:p>
    <w:p w14:paraId="1C5AACAA">
      <w:pPr>
        <w:snapToGrid w:val="0"/>
        <w:rPr>
          <w:color w:val="auto"/>
          <w:sz w:val="24"/>
        </w:rPr>
      </w:pPr>
    </w:p>
    <w:p w14:paraId="2D3BEF2A">
      <w:pPr>
        <w:snapToGrid w:val="0"/>
        <w:rPr>
          <w:color w:val="auto"/>
          <w:sz w:val="24"/>
        </w:rPr>
      </w:pPr>
      <w:r>
        <w:rPr>
          <w:rFonts w:hint="eastAsia"/>
          <w:color w:val="auto"/>
          <w:sz w:val="24"/>
        </w:rPr>
        <w:t>单位性质：</w:t>
      </w:r>
    </w:p>
    <w:p w14:paraId="63A67E75">
      <w:pPr>
        <w:snapToGrid w:val="0"/>
        <w:rPr>
          <w:color w:val="auto"/>
          <w:sz w:val="24"/>
        </w:rPr>
      </w:pPr>
    </w:p>
    <w:p w14:paraId="1DDCF181">
      <w:pPr>
        <w:snapToGrid w:val="0"/>
        <w:rPr>
          <w:color w:val="auto"/>
          <w:sz w:val="24"/>
        </w:rPr>
      </w:pPr>
      <w:r>
        <w:rPr>
          <w:rFonts w:hint="eastAsia"/>
          <w:color w:val="auto"/>
          <w:sz w:val="24"/>
        </w:rPr>
        <w:t>地   址：</w:t>
      </w:r>
    </w:p>
    <w:p w14:paraId="48638871">
      <w:pPr>
        <w:snapToGrid w:val="0"/>
        <w:rPr>
          <w:color w:val="auto"/>
          <w:sz w:val="24"/>
        </w:rPr>
      </w:pPr>
    </w:p>
    <w:p w14:paraId="606735E7">
      <w:pPr>
        <w:snapToGrid w:val="0"/>
        <w:rPr>
          <w:color w:val="auto"/>
          <w:sz w:val="24"/>
        </w:rPr>
      </w:pPr>
      <w:r>
        <w:rPr>
          <w:rFonts w:hint="eastAsia"/>
          <w:color w:val="auto"/>
          <w:sz w:val="24"/>
        </w:rPr>
        <w:t>成立时间：</w:t>
      </w:r>
    </w:p>
    <w:p w14:paraId="4525B86B">
      <w:pPr>
        <w:snapToGrid w:val="0"/>
        <w:rPr>
          <w:color w:val="auto"/>
          <w:sz w:val="24"/>
        </w:rPr>
      </w:pPr>
    </w:p>
    <w:p w14:paraId="4676F5A3">
      <w:pPr>
        <w:snapToGrid w:val="0"/>
        <w:rPr>
          <w:color w:val="auto"/>
          <w:sz w:val="24"/>
        </w:rPr>
      </w:pPr>
      <w:r>
        <w:rPr>
          <w:rFonts w:hint="eastAsia"/>
          <w:color w:val="auto"/>
          <w:sz w:val="24"/>
        </w:rPr>
        <w:t>经营期限：</w:t>
      </w:r>
    </w:p>
    <w:p w14:paraId="015D24ED">
      <w:pPr>
        <w:snapToGrid w:val="0"/>
        <w:rPr>
          <w:color w:val="auto"/>
          <w:sz w:val="24"/>
        </w:rPr>
      </w:pPr>
    </w:p>
    <w:p w14:paraId="26B60C68">
      <w:pPr>
        <w:snapToGrid w:val="0"/>
        <w:rPr>
          <w:color w:val="auto"/>
          <w:sz w:val="24"/>
          <w:u w:val="single"/>
        </w:rPr>
      </w:pPr>
      <w:r>
        <w:rPr>
          <w:rFonts w:hint="eastAsia"/>
          <w:color w:val="auto"/>
          <w:sz w:val="24"/>
        </w:rPr>
        <w:t>姓  名：</w:t>
      </w:r>
      <w:r>
        <w:rPr>
          <w:rFonts w:hint="eastAsia"/>
          <w:color w:val="auto"/>
          <w:sz w:val="24"/>
          <w:lang w:val="en-US" w:eastAsia="zh-CN"/>
        </w:rPr>
        <w:t xml:space="preserve">     </w:t>
      </w:r>
      <w:r>
        <w:rPr>
          <w:rFonts w:hint="eastAsia"/>
          <w:color w:val="auto"/>
          <w:sz w:val="24"/>
        </w:rPr>
        <w:t xml:space="preserve"> 性 别：</w:t>
      </w:r>
    </w:p>
    <w:p w14:paraId="6A262ECC">
      <w:pPr>
        <w:snapToGrid w:val="0"/>
        <w:rPr>
          <w:color w:val="auto"/>
          <w:sz w:val="24"/>
          <w:u w:val="single"/>
        </w:rPr>
      </w:pPr>
    </w:p>
    <w:p w14:paraId="2F12FB71">
      <w:pPr>
        <w:snapToGrid w:val="0"/>
        <w:rPr>
          <w:color w:val="auto"/>
          <w:sz w:val="24"/>
        </w:rPr>
      </w:pPr>
      <w:r>
        <w:rPr>
          <w:rFonts w:hint="eastAsia"/>
          <w:color w:val="auto"/>
          <w:sz w:val="24"/>
        </w:rPr>
        <w:t xml:space="preserve">年 龄：  </w:t>
      </w:r>
      <w:r>
        <w:rPr>
          <w:rFonts w:hint="eastAsia"/>
          <w:color w:val="auto"/>
          <w:sz w:val="24"/>
          <w:lang w:val="en-US" w:eastAsia="zh-CN"/>
        </w:rPr>
        <w:t xml:space="preserve">    </w:t>
      </w:r>
      <w:r>
        <w:rPr>
          <w:rFonts w:hint="eastAsia"/>
          <w:color w:val="auto"/>
          <w:sz w:val="24"/>
        </w:rPr>
        <w:t xml:space="preserve"> 职务：</w:t>
      </w:r>
    </w:p>
    <w:p w14:paraId="0370BEA4">
      <w:pPr>
        <w:snapToGrid w:val="0"/>
        <w:rPr>
          <w:color w:val="auto"/>
          <w:sz w:val="24"/>
        </w:rPr>
      </w:pPr>
    </w:p>
    <w:p w14:paraId="66F24F80">
      <w:pPr>
        <w:snapToGrid w:val="0"/>
        <w:rPr>
          <w:color w:val="auto"/>
          <w:sz w:val="24"/>
        </w:rPr>
      </w:pPr>
      <w:r>
        <w:rPr>
          <w:rFonts w:hint="eastAsia"/>
          <w:color w:val="auto"/>
          <w:sz w:val="24"/>
        </w:rPr>
        <w:t>系（投标供应商名称）的法定代表人。</w:t>
      </w:r>
    </w:p>
    <w:p w14:paraId="5F7C9F8A">
      <w:pPr>
        <w:snapToGrid w:val="0"/>
        <w:spacing w:line="360" w:lineRule="auto"/>
        <w:rPr>
          <w:color w:val="auto"/>
          <w:sz w:val="24"/>
        </w:rPr>
      </w:pPr>
    </w:p>
    <w:p w14:paraId="2EC90B05">
      <w:pPr>
        <w:snapToGrid w:val="0"/>
        <w:spacing w:line="360" w:lineRule="auto"/>
        <w:rPr>
          <w:color w:val="auto"/>
          <w:sz w:val="24"/>
        </w:rPr>
      </w:pPr>
    </w:p>
    <w:p w14:paraId="060E32DD">
      <w:pPr>
        <w:snapToGrid w:val="0"/>
        <w:rPr>
          <w:rFonts w:hint="eastAsia"/>
          <w:color w:val="auto"/>
          <w:sz w:val="24"/>
        </w:rPr>
      </w:pPr>
      <w:r>
        <w:rPr>
          <w:rFonts w:hint="eastAsia"/>
          <w:color w:val="auto"/>
          <w:sz w:val="24"/>
        </w:rPr>
        <w:t xml:space="preserve">特此证明   </w:t>
      </w:r>
    </w:p>
    <w:p w14:paraId="17A84035">
      <w:pPr>
        <w:snapToGrid w:val="0"/>
        <w:rPr>
          <w:rFonts w:hint="eastAsia"/>
          <w:color w:val="auto"/>
          <w:sz w:val="24"/>
        </w:rPr>
      </w:pPr>
    </w:p>
    <w:p w14:paraId="4B26C800">
      <w:pPr>
        <w:snapToGrid w:val="0"/>
        <w:rPr>
          <w:rFonts w:hint="eastAsia"/>
          <w:color w:val="auto"/>
          <w:sz w:val="24"/>
        </w:rPr>
      </w:pPr>
    </w:p>
    <w:p w14:paraId="48279C51">
      <w:pPr>
        <w:snapToGrid w:val="0"/>
        <w:rPr>
          <w:rFonts w:hint="eastAsia"/>
          <w:color w:val="auto"/>
          <w:sz w:val="24"/>
        </w:rPr>
      </w:pPr>
      <w:r>
        <w:rPr>
          <w:rFonts w:hint="eastAsia"/>
          <w:color w:val="auto"/>
          <w:sz w:val="24"/>
        </w:rPr>
        <w:t>供应商：（公章签章）</w:t>
      </w:r>
    </w:p>
    <w:p w14:paraId="05095FCD">
      <w:pPr>
        <w:snapToGrid w:val="0"/>
        <w:spacing w:line="360" w:lineRule="auto"/>
        <w:rPr>
          <w:color w:val="auto"/>
        </w:rPr>
      </w:pPr>
    </w:p>
    <w:p w14:paraId="350142F9">
      <w:pPr>
        <w:snapToGrid w:val="0"/>
        <w:spacing w:line="360" w:lineRule="auto"/>
        <w:jc w:val="center"/>
        <w:rPr>
          <w:color w:val="auto"/>
          <w:sz w:val="24"/>
        </w:rPr>
      </w:pPr>
      <w:bookmarkStart w:id="338" w:name="_Toc11862_WPSOffice_Level2"/>
      <w:r>
        <w:rPr>
          <w:rFonts w:hint="eastAsia"/>
          <w:color w:val="auto"/>
          <w:sz w:val="24"/>
        </w:rPr>
        <w:t>年    月    日</w:t>
      </w:r>
      <w:bookmarkEnd w:id="338"/>
    </w:p>
    <w:p w14:paraId="0F7F1325">
      <w:pPr>
        <w:pStyle w:val="4"/>
        <w:tabs>
          <w:tab w:val="left" w:pos="425"/>
          <w:tab w:val="left" w:pos="720"/>
        </w:tabs>
        <w:ind w:left="288"/>
        <w:jc w:val="center"/>
        <w:outlineLvl w:val="9"/>
        <w:rPr>
          <w:color w:val="auto"/>
        </w:rPr>
      </w:pPr>
      <w:r>
        <w:rPr>
          <w:rFonts w:hint="eastAsia"/>
          <w:bCs w:val="0"/>
          <w:color w:val="auto"/>
          <w:sz w:val="36"/>
          <w:szCs w:val="36"/>
        </w:rPr>
        <w:br w:type="page"/>
      </w:r>
    </w:p>
    <w:p w14:paraId="182E5559">
      <w:pPr>
        <w:pStyle w:val="36"/>
        <w:ind w:left="0"/>
        <w:jc w:val="center"/>
        <w:outlineLvl w:val="0"/>
        <w:rPr>
          <w:rFonts w:ascii="宋体" w:hAnsi="宋体"/>
          <w:color w:val="auto"/>
        </w:rPr>
      </w:pPr>
      <w:bookmarkStart w:id="339" w:name="_Toc13521"/>
      <w:bookmarkStart w:id="340" w:name="_Toc467255654"/>
      <w:bookmarkStart w:id="341" w:name="_Toc29749"/>
      <w:bookmarkStart w:id="342" w:name="_Toc424308523"/>
      <w:bookmarkStart w:id="343" w:name="_Toc25543"/>
      <w:bookmarkStart w:id="344" w:name="_Toc465887468"/>
      <w:bookmarkStart w:id="345" w:name="_Toc3669_WPSOffice_Level1"/>
      <w:r>
        <w:rPr>
          <w:rFonts w:hint="eastAsia" w:ascii="宋体" w:hAnsi="宋体"/>
          <w:color w:val="auto"/>
        </w:rPr>
        <w:t>三、法定代表人授权书</w:t>
      </w:r>
      <w:bookmarkEnd w:id="339"/>
      <w:bookmarkEnd w:id="340"/>
      <w:bookmarkEnd w:id="341"/>
      <w:bookmarkEnd w:id="342"/>
      <w:bookmarkEnd w:id="343"/>
      <w:bookmarkEnd w:id="344"/>
      <w:bookmarkEnd w:id="345"/>
    </w:p>
    <w:p w14:paraId="7FB524DC">
      <w:pPr>
        <w:pStyle w:val="38"/>
        <w:jc w:val="both"/>
        <w:rPr>
          <w:rFonts w:hAnsi="宋体"/>
          <w:color w:val="auto"/>
        </w:rPr>
      </w:pPr>
    </w:p>
    <w:p w14:paraId="0A0D4D38">
      <w:pPr>
        <w:snapToGrid w:val="0"/>
        <w:spacing w:line="360" w:lineRule="auto"/>
        <w:ind w:firstLine="480" w:firstLineChars="200"/>
        <w:rPr>
          <w:color w:val="auto"/>
          <w:sz w:val="24"/>
        </w:rPr>
      </w:pPr>
    </w:p>
    <w:p w14:paraId="6AAD4EE1">
      <w:pPr>
        <w:spacing w:line="600" w:lineRule="auto"/>
        <w:ind w:firstLine="480" w:firstLineChars="200"/>
        <w:rPr>
          <w:color w:val="auto"/>
          <w:sz w:val="24"/>
          <w:szCs w:val="24"/>
        </w:rPr>
      </w:pPr>
      <w:r>
        <w:rPr>
          <w:rFonts w:hint="eastAsia"/>
          <w:color w:val="auto"/>
          <w:sz w:val="24"/>
          <w:szCs w:val="24"/>
        </w:rPr>
        <w:t>本人</w:t>
      </w:r>
      <w:r>
        <w:rPr>
          <w:rFonts w:hint="eastAsia"/>
          <w:color w:val="auto"/>
          <w:sz w:val="24"/>
          <w:szCs w:val="24"/>
          <w:u w:val="single"/>
        </w:rPr>
        <w:t>（姓名）</w:t>
      </w:r>
      <w:r>
        <w:rPr>
          <w:rFonts w:hint="eastAsia"/>
          <w:color w:val="auto"/>
          <w:sz w:val="24"/>
          <w:szCs w:val="24"/>
        </w:rPr>
        <w:t>系</w:t>
      </w:r>
      <w:r>
        <w:rPr>
          <w:rFonts w:hint="eastAsia"/>
          <w:color w:val="auto"/>
          <w:sz w:val="24"/>
          <w:szCs w:val="24"/>
          <w:u w:val="single"/>
        </w:rPr>
        <w:t>（供应商人名称）</w:t>
      </w:r>
      <w:r>
        <w:rPr>
          <w:rFonts w:hint="eastAsia"/>
          <w:color w:val="auto"/>
          <w:sz w:val="24"/>
          <w:szCs w:val="24"/>
        </w:rPr>
        <w:t>的法定代表人，现委托</w:t>
      </w:r>
      <w:r>
        <w:rPr>
          <w:rFonts w:hint="eastAsia"/>
          <w:color w:val="auto"/>
          <w:sz w:val="24"/>
          <w:szCs w:val="24"/>
          <w:u w:val="single"/>
        </w:rPr>
        <w:t>（姓名）</w:t>
      </w:r>
      <w:r>
        <w:rPr>
          <w:rFonts w:hint="eastAsia"/>
          <w:color w:val="auto"/>
          <w:sz w:val="24"/>
          <w:szCs w:val="24"/>
        </w:rPr>
        <w:t>为我方代理人。代理人根据授权，以我方名义签署、澄清、说明、补正、递交、撤回、修改</w:t>
      </w:r>
      <w:r>
        <w:rPr>
          <w:rFonts w:hint="eastAsia"/>
          <w:color w:val="auto"/>
          <w:sz w:val="24"/>
          <w:szCs w:val="24"/>
          <w:u w:val="single"/>
        </w:rPr>
        <w:t>（项目名称</w:t>
      </w:r>
      <w:r>
        <w:rPr>
          <w:rFonts w:hint="eastAsia"/>
          <w:color w:val="auto"/>
          <w:sz w:val="24"/>
          <w:szCs w:val="24"/>
          <w:u w:val="single"/>
          <w:lang w:eastAsia="zh-CN"/>
        </w:rPr>
        <w:t>）</w:t>
      </w:r>
      <w:r>
        <w:rPr>
          <w:rFonts w:hint="eastAsia"/>
          <w:color w:val="auto"/>
          <w:sz w:val="24"/>
          <w:szCs w:val="24"/>
        </w:rPr>
        <w:t>的响应文件、签订合同和处理有关事宜，其法律后果由我方承担。</w:t>
      </w:r>
    </w:p>
    <w:p w14:paraId="5500B97A">
      <w:pPr>
        <w:spacing w:line="600" w:lineRule="auto"/>
        <w:ind w:firstLine="480" w:firstLineChars="200"/>
        <w:rPr>
          <w:color w:val="auto"/>
          <w:sz w:val="24"/>
          <w:szCs w:val="24"/>
        </w:rPr>
      </w:pPr>
      <w:r>
        <w:rPr>
          <w:rFonts w:hint="eastAsia"/>
          <w:color w:val="auto"/>
          <w:sz w:val="24"/>
          <w:szCs w:val="24"/>
        </w:rPr>
        <w:t>本授权书于</w:t>
      </w:r>
      <w:r>
        <w:rPr>
          <w:rFonts w:hint="eastAsia"/>
          <w:color w:val="auto"/>
          <w:sz w:val="24"/>
          <w:szCs w:val="24"/>
          <w:lang w:val="en-US" w:eastAsia="zh-CN"/>
        </w:rPr>
        <w:t xml:space="preserve">  </w:t>
      </w:r>
      <w:r>
        <w:rPr>
          <w:rFonts w:hint="eastAsia"/>
          <w:color w:val="auto"/>
          <w:sz w:val="24"/>
          <w:szCs w:val="24"/>
        </w:rPr>
        <w:t>年</w:t>
      </w:r>
      <w:r>
        <w:rPr>
          <w:rFonts w:hint="eastAsia"/>
          <w:color w:val="auto"/>
          <w:sz w:val="24"/>
          <w:szCs w:val="24"/>
          <w:lang w:val="en-US" w:eastAsia="zh-CN"/>
        </w:rPr>
        <w:t xml:space="preserve">  </w:t>
      </w:r>
      <w:r>
        <w:rPr>
          <w:rFonts w:hint="eastAsia"/>
          <w:color w:val="auto"/>
          <w:sz w:val="24"/>
          <w:szCs w:val="24"/>
        </w:rPr>
        <w:t>月</w:t>
      </w:r>
      <w:r>
        <w:rPr>
          <w:rFonts w:hint="eastAsia"/>
          <w:color w:val="auto"/>
          <w:sz w:val="24"/>
          <w:szCs w:val="24"/>
          <w:lang w:val="en-US" w:eastAsia="zh-CN"/>
        </w:rPr>
        <w:t xml:space="preserve"> </w:t>
      </w:r>
      <w:r>
        <w:rPr>
          <w:rFonts w:hint="eastAsia"/>
          <w:color w:val="auto"/>
          <w:sz w:val="24"/>
          <w:szCs w:val="24"/>
        </w:rPr>
        <w:t>日签字生效， 特此声明。</w:t>
      </w:r>
    </w:p>
    <w:p w14:paraId="7A5235AF">
      <w:pPr>
        <w:ind w:firstLine="480" w:firstLineChars="200"/>
        <w:rPr>
          <w:color w:val="auto"/>
          <w:sz w:val="24"/>
          <w:szCs w:val="24"/>
        </w:rPr>
      </w:pPr>
      <w:r>
        <w:rPr>
          <w:rFonts w:hint="eastAsia"/>
          <w:color w:val="auto"/>
          <w:sz w:val="24"/>
          <w:szCs w:val="24"/>
        </w:rPr>
        <w:t>附：法定代表人身份证和委托人身份证扫描件</w:t>
      </w:r>
    </w:p>
    <w:p w14:paraId="19C4E3CE">
      <w:pPr>
        <w:spacing w:line="740" w:lineRule="exact"/>
        <w:ind w:firstLine="480" w:firstLineChars="200"/>
        <w:rPr>
          <w:color w:val="auto"/>
          <w:sz w:val="24"/>
        </w:rPr>
      </w:pPr>
    </w:p>
    <w:p w14:paraId="3A1FAA15">
      <w:pPr>
        <w:spacing w:line="740" w:lineRule="exact"/>
        <w:rPr>
          <w:color w:val="auto"/>
          <w:sz w:val="24"/>
        </w:rPr>
      </w:pPr>
      <w:r>
        <w:rPr>
          <w:rFonts w:hint="eastAsia"/>
          <w:color w:val="auto"/>
          <w:sz w:val="24"/>
        </w:rPr>
        <w:t>投标单位： （公章签章）</w:t>
      </w:r>
    </w:p>
    <w:p w14:paraId="36B991A8">
      <w:pPr>
        <w:spacing w:line="740" w:lineRule="exact"/>
        <w:rPr>
          <w:color w:val="auto"/>
          <w:sz w:val="24"/>
          <w:u w:val="single"/>
        </w:rPr>
      </w:pPr>
      <w:r>
        <w:rPr>
          <w:rFonts w:hint="eastAsia"/>
          <w:color w:val="auto"/>
          <w:sz w:val="24"/>
        </w:rPr>
        <w:t>法定代表人：</w:t>
      </w:r>
      <w:r>
        <w:rPr>
          <w:rFonts w:hint="eastAsia"/>
          <w:color w:val="auto"/>
          <w:sz w:val="24"/>
          <w:u w:val="single"/>
        </w:rPr>
        <w:t xml:space="preserve">        　　　　</w:t>
      </w:r>
      <w:r>
        <w:rPr>
          <w:rFonts w:hint="eastAsia"/>
          <w:color w:val="auto"/>
          <w:sz w:val="24"/>
        </w:rPr>
        <w:t>（法人签章）</w:t>
      </w:r>
    </w:p>
    <w:p w14:paraId="151BB1D3">
      <w:pPr>
        <w:spacing w:line="740" w:lineRule="exact"/>
        <w:rPr>
          <w:color w:val="auto"/>
          <w:sz w:val="24"/>
        </w:rPr>
      </w:pPr>
      <w:r>
        <w:rPr>
          <w:rFonts w:hint="eastAsia"/>
          <w:color w:val="auto"/>
          <w:sz w:val="24"/>
        </w:rPr>
        <w:t>委托代理人：</w:t>
      </w:r>
      <w:r>
        <w:rPr>
          <w:rFonts w:hint="eastAsia"/>
          <w:color w:val="auto"/>
          <w:sz w:val="24"/>
          <w:u w:val="single"/>
        </w:rPr>
        <w:t xml:space="preserve">  　　　　      </w:t>
      </w:r>
    </w:p>
    <w:p w14:paraId="33C89D1A">
      <w:pPr>
        <w:pStyle w:val="4"/>
        <w:ind w:left="892" w:right="909"/>
        <w:jc w:val="center"/>
        <w:outlineLvl w:val="9"/>
        <w:rPr>
          <w:color w:val="auto"/>
        </w:rPr>
      </w:pPr>
    </w:p>
    <w:p w14:paraId="1245BE7B">
      <w:pPr>
        <w:jc w:val="center"/>
        <w:rPr>
          <w:color w:val="auto"/>
        </w:rPr>
      </w:pPr>
      <w:r>
        <w:rPr>
          <w:color w:val="auto"/>
        </w:rPr>
        <w:br w:type="page"/>
      </w:r>
    </w:p>
    <w:p w14:paraId="1652C0FF">
      <w:pPr>
        <w:spacing w:line="400" w:lineRule="exact"/>
        <w:ind w:firstLine="562" w:firstLineChars="200"/>
        <w:jc w:val="center"/>
        <w:outlineLvl w:val="0"/>
        <w:rPr>
          <w:b/>
          <w:bCs/>
          <w:color w:val="auto"/>
          <w:sz w:val="28"/>
          <w:szCs w:val="20"/>
        </w:rPr>
      </w:pPr>
      <w:bookmarkStart w:id="346" w:name="_Toc27582"/>
      <w:bookmarkStart w:id="347" w:name="_Toc25188"/>
      <w:bookmarkStart w:id="348" w:name="_Toc31152"/>
      <w:bookmarkStart w:id="349" w:name="_Toc23548"/>
      <w:r>
        <w:rPr>
          <w:rFonts w:hint="eastAsia"/>
          <w:b/>
          <w:bCs/>
          <w:color w:val="auto"/>
          <w:sz w:val="28"/>
          <w:szCs w:val="20"/>
        </w:rPr>
        <w:t>四、投标承诺书</w:t>
      </w:r>
      <w:bookmarkEnd w:id="346"/>
      <w:bookmarkEnd w:id="347"/>
      <w:bookmarkEnd w:id="348"/>
      <w:bookmarkEnd w:id="349"/>
    </w:p>
    <w:p w14:paraId="6BB3BD6B">
      <w:pPr>
        <w:pStyle w:val="36"/>
        <w:outlineLvl w:val="9"/>
        <w:rPr>
          <w:rFonts w:cs="Times New Roman"/>
          <w:color w:val="auto"/>
          <w:sz w:val="21"/>
          <w:szCs w:val="21"/>
        </w:rPr>
      </w:pPr>
    </w:p>
    <w:p w14:paraId="1B352991">
      <w:pPr>
        <w:spacing w:line="360" w:lineRule="auto"/>
        <w:rPr>
          <w:rFonts w:hint="eastAsia" w:eastAsia="宋体"/>
          <w:b w:val="0"/>
          <w:bCs w:val="0"/>
          <w:color w:val="auto"/>
          <w:sz w:val="24"/>
          <w:szCs w:val="28"/>
          <w:u w:val="single"/>
          <w:lang w:eastAsia="zh-CN"/>
        </w:rPr>
      </w:pPr>
      <w:r>
        <w:rPr>
          <w:rFonts w:hint="eastAsia"/>
          <w:b w:val="0"/>
          <w:bCs w:val="0"/>
          <w:color w:val="auto"/>
          <w:sz w:val="24"/>
          <w:szCs w:val="28"/>
        </w:rPr>
        <w:t>致：</w:t>
      </w:r>
      <w:r>
        <w:rPr>
          <w:rFonts w:hint="eastAsia"/>
          <w:b w:val="0"/>
          <w:bCs w:val="0"/>
          <w:color w:val="auto"/>
          <w:sz w:val="24"/>
          <w:szCs w:val="28"/>
          <w:u w:val="single"/>
          <w:lang w:eastAsia="zh-CN"/>
        </w:rPr>
        <w:t>（采购人）</w:t>
      </w:r>
    </w:p>
    <w:p w14:paraId="13574097">
      <w:pPr>
        <w:pStyle w:val="38"/>
        <w:spacing w:line="500" w:lineRule="exact"/>
        <w:ind w:firstLine="564" w:firstLineChars="235"/>
        <w:rPr>
          <w:rFonts w:hAnsi="宋体"/>
          <w:b w:val="0"/>
          <w:bCs w:val="0"/>
          <w:color w:val="auto"/>
        </w:rPr>
      </w:pPr>
      <w:r>
        <w:rPr>
          <w:rFonts w:hint="eastAsia" w:hAnsi="宋体"/>
          <w:b w:val="0"/>
          <w:bCs w:val="0"/>
          <w:color w:val="auto"/>
        </w:rPr>
        <w:t>我方已充分了解了</w:t>
      </w:r>
      <w:r>
        <w:rPr>
          <w:rFonts w:hint="eastAsia" w:hAnsi="宋体"/>
          <w:b w:val="0"/>
          <w:bCs w:val="0"/>
          <w:color w:val="auto"/>
          <w:u w:val="single"/>
        </w:rPr>
        <w:t>（项目名称）（项目编号）</w:t>
      </w:r>
      <w:r>
        <w:rPr>
          <w:rFonts w:hint="eastAsia" w:hAnsi="宋体"/>
          <w:b w:val="0"/>
          <w:bCs w:val="0"/>
          <w:color w:val="auto"/>
        </w:rPr>
        <w:t>的竞争性磋商文件，愿意遵照本项目磋商文件、《中华人民共和国政府采购法》等有关规定参与竞标，并承诺如下：</w:t>
      </w:r>
    </w:p>
    <w:p w14:paraId="26CAB7FA">
      <w:pPr>
        <w:pStyle w:val="38"/>
        <w:spacing w:line="500" w:lineRule="exact"/>
        <w:ind w:firstLine="564" w:firstLineChars="235"/>
        <w:jc w:val="both"/>
        <w:rPr>
          <w:rFonts w:hAnsi="宋体"/>
          <w:b w:val="0"/>
          <w:bCs w:val="0"/>
          <w:color w:val="auto"/>
        </w:rPr>
      </w:pPr>
      <w:r>
        <w:rPr>
          <w:rFonts w:hint="eastAsia" w:hAnsi="宋体"/>
          <w:b w:val="0"/>
          <w:bCs w:val="0"/>
          <w:color w:val="auto"/>
        </w:rPr>
        <w:t>1、我方承诺将严格按照“公开、公平、公正和诚实信用原则”参与本项目竞标活动。</w:t>
      </w:r>
    </w:p>
    <w:p w14:paraId="07D4A185">
      <w:pPr>
        <w:pStyle w:val="38"/>
        <w:spacing w:line="500" w:lineRule="exact"/>
        <w:ind w:firstLine="564" w:firstLineChars="235"/>
        <w:jc w:val="both"/>
        <w:rPr>
          <w:rFonts w:hAnsi="宋体"/>
          <w:b w:val="0"/>
          <w:bCs w:val="0"/>
          <w:color w:val="auto"/>
        </w:rPr>
      </w:pPr>
      <w:r>
        <w:rPr>
          <w:rFonts w:hint="eastAsia" w:hAnsi="宋体"/>
          <w:b w:val="0"/>
          <w:bCs w:val="0"/>
          <w:color w:val="auto"/>
        </w:rPr>
        <w:t>2、我方承诺在投标有效期内不撤销响应文件；</w:t>
      </w:r>
    </w:p>
    <w:p w14:paraId="4CEEDB17">
      <w:pPr>
        <w:pStyle w:val="38"/>
        <w:spacing w:line="500" w:lineRule="exact"/>
        <w:ind w:firstLine="564" w:firstLineChars="235"/>
        <w:jc w:val="left"/>
        <w:rPr>
          <w:rFonts w:hAnsi="宋体"/>
          <w:b w:val="0"/>
          <w:bCs w:val="0"/>
          <w:color w:val="auto"/>
        </w:rPr>
      </w:pPr>
      <w:r>
        <w:rPr>
          <w:rFonts w:hint="eastAsia" w:hAnsi="宋体"/>
          <w:b w:val="0"/>
          <w:bCs w:val="0"/>
          <w:color w:val="auto"/>
        </w:rPr>
        <w:t>3、我方承诺在响应文件中及三门峡市公共资源交易供应商市场主体信息库中提供的材</w:t>
      </w:r>
      <w:r>
        <w:rPr>
          <w:rFonts w:hint="eastAsia"/>
          <w:b w:val="0"/>
          <w:bCs w:val="0"/>
          <w:color w:val="auto"/>
          <w:lang w:val="en-US" w:eastAsia="zh-CN"/>
        </w:rPr>
        <w:t>真</w:t>
      </w:r>
      <w:r>
        <w:rPr>
          <w:rFonts w:hint="eastAsia" w:hAnsi="宋体"/>
          <w:b w:val="0"/>
          <w:bCs w:val="0"/>
          <w:color w:val="auto"/>
        </w:rPr>
        <w:t>实有效；</w:t>
      </w:r>
    </w:p>
    <w:p w14:paraId="703C7A95">
      <w:pPr>
        <w:pStyle w:val="38"/>
        <w:spacing w:line="500" w:lineRule="exact"/>
        <w:ind w:firstLine="564" w:firstLineChars="235"/>
        <w:jc w:val="both"/>
        <w:rPr>
          <w:rFonts w:hAnsi="宋体"/>
          <w:b w:val="0"/>
          <w:bCs w:val="0"/>
          <w:color w:val="auto"/>
        </w:rPr>
      </w:pPr>
      <w:r>
        <w:rPr>
          <w:rFonts w:hint="eastAsia" w:hAnsi="宋体"/>
          <w:b w:val="0"/>
          <w:bCs w:val="0"/>
          <w:color w:val="auto"/>
        </w:rPr>
        <w:t>4、我方承诺绝不采取不正当手段谋取中标；</w:t>
      </w:r>
    </w:p>
    <w:p w14:paraId="712878AF">
      <w:pPr>
        <w:pStyle w:val="38"/>
        <w:spacing w:line="500" w:lineRule="exact"/>
        <w:ind w:firstLine="564" w:firstLineChars="235"/>
        <w:jc w:val="left"/>
        <w:rPr>
          <w:rFonts w:hAnsi="宋体"/>
          <w:b w:val="0"/>
          <w:bCs w:val="0"/>
          <w:color w:val="auto"/>
        </w:rPr>
      </w:pPr>
      <w:r>
        <w:rPr>
          <w:rFonts w:hint="eastAsia" w:hAnsi="宋体"/>
          <w:b w:val="0"/>
          <w:bCs w:val="0"/>
          <w:color w:val="auto"/>
        </w:rPr>
        <w:t>5、如我方中标，我方承诺在收到成交通知书后，在成交通知书规定的期限内，根据</w:t>
      </w:r>
      <w:r>
        <w:rPr>
          <w:rFonts w:hint="eastAsia" w:hAnsi="宋体"/>
          <w:b w:val="0"/>
          <w:bCs w:val="0"/>
          <w:color w:val="auto"/>
          <w:lang w:eastAsia="zh-CN"/>
        </w:rPr>
        <w:t>磋商</w:t>
      </w:r>
      <w:r>
        <w:rPr>
          <w:rFonts w:hint="eastAsia" w:hAnsi="宋体"/>
          <w:b w:val="0"/>
          <w:bCs w:val="0"/>
          <w:color w:val="auto"/>
        </w:rPr>
        <w:t>文件、我方的响应文件及有关澄清承诺书的要求，与采购人订立书面合同，并按照合同约定承担完成合同的责任和义务.</w:t>
      </w:r>
    </w:p>
    <w:p w14:paraId="6560942D">
      <w:pPr>
        <w:pStyle w:val="38"/>
        <w:spacing w:line="500" w:lineRule="exact"/>
        <w:ind w:firstLine="564" w:firstLineChars="235"/>
        <w:jc w:val="left"/>
        <w:rPr>
          <w:rFonts w:hAnsi="宋体"/>
          <w:b w:val="0"/>
          <w:bCs w:val="0"/>
          <w:color w:val="auto"/>
        </w:rPr>
      </w:pPr>
      <w:r>
        <w:rPr>
          <w:rFonts w:hint="eastAsia" w:hAnsi="宋体"/>
          <w:b w:val="0"/>
          <w:bCs w:val="0"/>
          <w:color w:val="auto"/>
        </w:rPr>
        <w:t>6、如我方违反以上承诺，愿意接受本项目预算金额10%的处罚，同时依法承担相应法律责任。</w:t>
      </w:r>
    </w:p>
    <w:p w14:paraId="232D4A07">
      <w:pPr>
        <w:pStyle w:val="38"/>
        <w:spacing w:line="500" w:lineRule="exact"/>
        <w:ind w:firstLine="564" w:firstLineChars="235"/>
        <w:rPr>
          <w:rFonts w:hAnsi="宋体"/>
          <w:b w:val="0"/>
          <w:bCs w:val="0"/>
          <w:color w:val="auto"/>
        </w:rPr>
      </w:pPr>
    </w:p>
    <w:p w14:paraId="5255DAE7">
      <w:pPr>
        <w:pStyle w:val="38"/>
        <w:spacing w:line="500" w:lineRule="exact"/>
        <w:ind w:firstLine="566" w:firstLineChars="235"/>
        <w:rPr>
          <w:rFonts w:hAnsi="宋体"/>
          <w:color w:val="auto"/>
        </w:rPr>
      </w:pPr>
    </w:p>
    <w:p w14:paraId="33E29794">
      <w:pPr>
        <w:spacing w:line="500" w:lineRule="exact"/>
        <w:ind w:firstLine="4252" w:firstLineChars="1772"/>
        <w:rPr>
          <w:bCs/>
          <w:color w:val="auto"/>
          <w:sz w:val="24"/>
        </w:rPr>
      </w:pPr>
      <w:r>
        <w:rPr>
          <w:rFonts w:hint="eastAsia"/>
          <w:bCs/>
          <w:color w:val="auto"/>
          <w:sz w:val="24"/>
        </w:rPr>
        <w:t>供应商：（公章签章）</w:t>
      </w:r>
    </w:p>
    <w:p w14:paraId="3970D5B7">
      <w:pPr>
        <w:spacing w:line="500" w:lineRule="exact"/>
        <w:ind w:firstLine="4252" w:firstLineChars="1772"/>
        <w:rPr>
          <w:bCs/>
          <w:color w:val="auto"/>
          <w:sz w:val="24"/>
        </w:rPr>
      </w:pPr>
      <w:r>
        <w:rPr>
          <w:rFonts w:hint="eastAsia"/>
          <w:bCs/>
          <w:color w:val="auto"/>
          <w:sz w:val="24"/>
        </w:rPr>
        <w:t>法定代表人：（签章）</w:t>
      </w:r>
    </w:p>
    <w:p w14:paraId="1BBDB785">
      <w:pPr>
        <w:spacing w:line="500" w:lineRule="exact"/>
        <w:ind w:firstLine="4252" w:firstLineChars="1772"/>
        <w:rPr>
          <w:bCs/>
          <w:color w:val="auto"/>
          <w:sz w:val="24"/>
        </w:rPr>
      </w:pPr>
      <w:r>
        <w:rPr>
          <w:rFonts w:hint="eastAsia"/>
          <w:bCs/>
          <w:color w:val="auto"/>
          <w:sz w:val="24"/>
        </w:rPr>
        <w:t>日期：</w:t>
      </w:r>
    </w:p>
    <w:p w14:paraId="574F17DF">
      <w:pPr>
        <w:pStyle w:val="8"/>
        <w:rPr>
          <w:color w:val="auto"/>
        </w:rPr>
      </w:pPr>
      <w:r>
        <w:rPr>
          <w:color w:val="auto"/>
        </w:rPr>
        <w:br w:type="page"/>
      </w:r>
    </w:p>
    <w:p w14:paraId="6ABA69C3">
      <w:pPr>
        <w:pStyle w:val="36"/>
        <w:numPr>
          <w:ilvl w:val="0"/>
          <w:numId w:val="17"/>
        </w:numPr>
        <w:ind w:left="0"/>
        <w:jc w:val="center"/>
        <w:outlineLvl w:val="0"/>
        <w:rPr>
          <w:rFonts w:hint="eastAsia" w:ascii="宋体" w:hAnsi="宋体"/>
          <w:color w:val="auto"/>
          <w:lang w:eastAsia="zh-CN"/>
        </w:rPr>
      </w:pPr>
      <w:bookmarkStart w:id="350" w:name="_Toc30303"/>
      <w:bookmarkStart w:id="351" w:name="_Toc25743"/>
      <w:bookmarkStart w:id="352" w:name="_Toc4328_WPSOffice_Level1"/>
      <w:bookmarkStart w:id="353" w:name="_Toc6163"/>
      <w:r>
        <w:rPr>
          <w:rFonts w:hint="eastAsia" w:ascii="宋体" w:hAnsi="宋体"/>
          <w:color w:val="auto"/>
        </w:rPr>
        <w:t>资格审查资料</w:t>
      </w:r>
      <w:bookmarkEnd w:id="350"/>
      <w:bookmarkEnd w:id="351"/>
      <w:bookmarkEnd w:id="352"/>
      <w:bookmarkEnd w:id="353"/>
    </w:p>
    <w:p w14:paraId="0668605E">
      <w:pPr>
        <w:jc w:val="center"/>
        <w:rPr>
          <w:rFonts w:hint="eastAsia"/>
          <w:color w:val="auto"/>
          <w:sz w:val="24"/>
          <w:szCs w:val="32"/>
        </w:rPr>
      </w:pPr>
      <w:bookmarkStart w:id="354" w:name="_Toc10295_WPSOffice_Level2"/>
      <w:r>
        <w:rPr>
          <w:rFonts w:hint="eastAsia"/>
          <w:color w:val="auto"/>
          <w:sz w:val="24"/>
          <w:szCs w:val="32"/>
        </w:rPr>
        <w:t>（</w:t>
      </w:r>
      <w:r>
        <w:rPr>
          <w:rFonts w:hint="eastAsia"/>
          <w:color w:val="auto"/>
          <w:sz w:val="24"/>
          <w:szCs w:val="32"/>
          <w:lang w:eastAsia="zh-CN"/>
        </w:rPr>
        <w:t>一</w:t>
      </w:r>
      <w:r>
        <w:rPr>
          <w:rFonts w:hint="eastAsia"/>
          <w:color w:val="auto"/>
          <w:sz w:val="24"/>
          <w:szCs w:val="32"/>
        </w:rPr>
        <w:t>）供应商基本情况表</w:t>
      </w:r>
      <w:bookmarkEnd w:id="354"/>
    </w:p>
    <w:tbl>
      <w:tblPr>
        <w:tblStyle w:val="19"/>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0B33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4E019F5A">
            <w:pPr>
              <w:spacing w:line="360" w:lineRule="auto"/>
              <w:rPr>
                <w:color w:val="auto"/>
                <w:sz w:val="24"/>
              </w:rPr>
            </w:pPr>
            <w:r>
              <w:rPr>
                <w:rFonts w:hint="eastAsia"/>
                <w:color w:val="auto"/>
                <w:sz w:val="24"/>
              </w:rPr>
              <w:t>供应商名称</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2FB20A14">
            <w:pPr>
              <w:spacing w:line="360" w:lineRule="auto"/>
              <w:rPr>
                <w:color w:val="auto"/>
                <w:sz w:val="24"/>
              </w:rPr>
            </w:pPr>
          </w:p>
        </w:tc>
      </w:tr>
      <w:tr w14:paraId="4A82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12C4DF0C">
            <w:pPr>
              <w:spacing w:line="360" w:lineRule="auto"/>
              <w:rPr>
                <w:color w:val="auto"/>
                <w:sz w:val="24"/>
              </w:rPr>
            </w:pPr>
            <w:r>
              <w:rPr>
                <w:rFonts w:hint="eastAsia"/>
                <w:color w:val="auto"/>
                <w:sz w:val="24"/>
              </w:rPr>
              <w:t>注册地址</w:t>
            </w:r>
          </w:p>
        </w:tc>
        <w:tc>
          <w:tcPr>
            <w:tcW w:w="3643" w:type="dxa"/>
            <w:gridSpan w:val="3"/>
            <w:tcBorders>
              <w:top w:val="single" w:color="auto" w:sz="4" w:space="0"/>
              <w:left w:val="single" w:color="auto" w:sz="4" w:space="0"/>
              <w:bottom w:val="single" w:color="auto" w:sz="4" w:space="0"/>
              <w:right w:val="single" w:color="auto" w:sz="4" w:space="0"/>
            </w:tcBorders>
            <w:vAlign w:val="center"/>
          </w:tcPr>
          <w:p w14:paraId="3F508159">
            <w:pPr>
              <w:spacing w:line="360" w:lineRule="auto"/>
              <w:rPr>
                <w:color w:val="auto"/>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6E853EE0">
            <w:pPr>
              <w:spacing w:line="360" w:lineRule="auto"/>
              <w:rPr>
                <w:color w:val="auto"/>
                <w:sz w:val="24"/>
              </w:rPr>
            </w:pPr>
            <w:r>
              <w:rPr>
                <w:rFonts w:hint="eastAsia"/>
                <w:color w:val="auto"/>
                <w:sz w:val="24"/>
              </w:rPr>
              <w:t>邮政编码</w:t>
            </w:r>
          </w:p>
        </w:tc>
        <w:tc>
          <w:tcPr>
            <w:tcW w:w="1679" w:type="dxa"/>
            <w:tcBorders>
              <w:top w:val="single" w:color="auto" w:sz="4" w:space="0"/>
              <w:left w:val="single" w:color="auto" w:sz="4" w:space="0"/>
              <w:bottom w:val="single" w:color="auto" w:sz="4" w:space="0"/>
              <w:right w:val="single" w:color="auto" w:sz="4" w:space="0"/>
            </w:tcBorders>
            <w:vAlign w:val="center"/>
          </w:tcPr>
          <w:p w14:paraId="1AA8D6AA">
            <w:pPr>
              <w:spacing w:line="360" w:lineRule="auto"/>
              <w:rPr>
                <w:color w:val="auto"/>
                <w:sz w:val="24"/>
              </w:rPr>
            </w:pPr>
          </w:p>
        </w:tc>
      </w:tr>
      <w:tr w14:paraId="1CEC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vAlign w:val="center"/>
          </w:tcPr>
          <w:p w14:paraId="51045703">
            <w:pPr>
              <w:spacing w:line="360" w:lineRule="auto"/>
              <w:rPr>
                <w:color w:val="auto"/>
                <w:sz w:val="24"/>
              </w:rPr>
            </w:pPr>
            <w:r>
              <w:rPr>
                <w:rFonts w:hint="eastAsia"/>
                <w:color w:val="auto"/>
                <w:sz w:val="24"/>
              </w:rPr>
              <w:t>联系方式</w:t>
            </w:r>
          </w:p>
        </w:tc>
        <w:tc>
          <w:tcPr>
            <w:tcW w:w="973" w:type="dxa"/>
            <w:tcBorders>
              <w:top w:val="single" w:color="auto" w:sz="4" w:space="0"/>
              <w:left w:val="single" w:color="auto" w:sz="4" w:space="0"/>
              <w:bottom w:val="single" w:color="auto" w:sz="4" w:space="0"/>
              <w:right w:val="single" w:color="auto" w:sz="4" w:space="0"/>
            </w:tcBorders>
            <w:vAlign w:val="center"/>
          </w:tcPr>
          <w:p w14:paraId="464082D0">
            <w:pPr>
              <w:spacing w:line="360" w:lineRule="auto"/>
              <w:rPr>
                <w:color w:val="auto"/>
                <w:sz w:val="24"/>
              </w:rPr>
            </w:pPr>
            <w:r>
              <w:rPr>
                <w:rFonts w:hint="eastAsia"/>
                <w:color w:val="auto"/>
                <w:sz w:val="24"/>
              </w:rPr>
              <w:t>联系人</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2E088B0C">
            <w:pPr>
              <w:spacing w:line="360" w:lineRule="auto"/>
              <w:rPr>
                <w:color w:val="auto"/>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60FFFFA9">
            <w:pPr>
              <w:spacing w:line="360" w:lineRule="auto"/>
              <w:rPr>
                <w:color w:val="auto"/>
                <w:sz w:val="24"/>
              </w:rPr>
            </w:pPr>
            <w:r>
              <w:rPr>
                <w:rFonts w:hint="eastAsia"/>
                <w:color w:val="auto"/>
                <w:sz w:val="24"/>
              </w:rPr>
              <w:t>电话</w:t>
            </w:r>
          </w:p>
        </w:tc>
        <w:tc>
          <w:tcPr>
            <w:tcW w:w="1679" w:type="dxa"/>
            <w:tcBorders>
              <w:top w:val="single" w:color="auto" w:sz="4" w:space="0"/>
              <w:left w:val="single" w:color="auto" w:sz="4" w:space="0"/>
              <w:bottom w:val="single" w:color="auto" w:sz="4" w:space="0"/>
              <w:right w:val="single" w:color="auto" w:sz="4" w:space="0"/>
            </w:tcBorders>
            <w:vAlign w:val="center"/>
          </w:tcPr>
          <w:p w14:paraId="3BF3EDA6">
            <w:pPr>
              <w:spacing w:line="360" w:lineRule="auto"/>
              <w:rPr>
                <w:color w:val="auto"/>
                <w:sz w:val="24"/>
              </w:rPr>
            </w:pPr>
          </w:p>
        </w:tc>
      </w:tr>
      <w:tr w14:paraId="5B85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vAlign w:val="center"/>
          </w:tcPr>
          <w:p w14:paraId="00E08CB3">
            <w:pPr>
              <w:rPr>
                <w:color w:val="auto"/>
                <w:sz w:val="20"/>
                <w:szCs w:val="20"/>
              </w:rPr>
            </w:pPr>
          </w:p>
        </w:tc>
        <w:tc>
          <w:tcPr>
            <w:tcW w:w="973" w:type="dxa"/>
            <w:tcBorders>
              <w:top w:val="single" w:color="auto" w:sz="4" w:space="0"/>
              <w:left w:val="single" w:color="auto" w:sz="4" w:space="0"/>
              <w:bottom w:val="single" w:color="auto" w:sz="4" w:space="0"/>
              <w:right w:val="single" w:color="auto" w:sz="4" w:space="0"/>
            </w:tcBorders>
            <w:vAlign w:val="center"/>
          </w:tcPr>
          <w:p w14:paraId="1E4E0698">
            <w:pPr>
              <w:spacing w:line="360" w:lineRule="auto"/>
              <w:rPr>
                <w:color w:val="auto"/>
                <w:sz w:val="24"/>
              </w:rPr>
            </w:pPr>
            <w:r>
              <w:rPr>
                <w:rFonts w:hint="eastAsia"/>
                <w:color w:val="auto"/>
                <w:sz w:val="24"/>
              </w:rPr>
              <w:t>传真</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6924E1F7">
            <w:pPr>
              <w:spacing w:line="360" w:lineRule="auto"/>
              <w:rPr>
                <w:color w:val="auto"/>
                <w:sz w:val="24"/>
              </w:rPr>
            </w:pPr>
          </w:p>
        </w:tc>
        <w:tc>
          <w:tcPr>
            <w:tcW w:w="1367" w:type="dxa"/>
            <w:gridSpan w:val="2"/>
            <w:tcBorders>
              <w:top w:val="single" w:color="auto" w:sz="4" w:space="0"/>
              <w:left w:val="single" w:color="auto" w:sz="4" w:space="0"/>
              <w:bottom w:val="single" w:color="auto" w:sz="4" w:space="0"/>
              <w:right w:val="single" w:color="auto" w:sz="4" w:space="0"/>
            </w:tcBorders>
            <w:vAlign w:val="center"/>
          </w:tcPr>
          <w:p w14:paraId="316D558B">
            <w:pPr>
              <w:spacing w:line="360" w:lineRule="auto"/>
              <w:rPr>
                <w:color w:val="auto"/>
                <w:sz w:val="24"/>
              </w:rPr>
            </w:pPr>
            <w:r>
              <w:rPr>
                <w:rFonts w:hint="eastAsia"/>
                <w:color w:val="auto"/>
                <w:sz w:val="24"/>
              </w:rPr>
              <w:t>网址</w:t>
            </w:r>
          </w:p>
        </w:tc>
        <w:tc>
          <w:tcPr>
            <w:tcW w:w="1679" w:type="dxa"/>
            <w:tcBorders>
              <w:top w:val="single" w:color="auto" w:sz="4" w:space="0"/>
              <w:left w:val="single" w:color="auto" w:sz="4" w:space="0"/>
              <w:bottom w:val="single" w:color="auto" w:sz="4" w:space="0"/>
              <w:right w:val="single" w:color="auto" w:sz="4" w:space="0"/>
            </w:tcBorders>
            <w:vAlign w:val="center"/>
          </w:tcPr>
          <w:p w14:paraId="7DCA3F0E">
            <w:pPr>
              <w:spacing w:line="360" w:lineRule="auto"/>
              <w:rPr>
                <w:color w:val="auto"/>
                <w:sz w:val="24"/>
              </w:rPr>
            </w:pPr>
          </w:p>
        </w:tc>
      </w:tr>
      <w:tr w14:paraId="0B64C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3BF6AC38">
            <w:pPr>
              <w:spacing w:line="360" w:lineRule="auto"/>
              <w:rPr>
                <w:color w:val="auto"/>
                <w:sz w:val="24"/>
              </w:rPr>
            </w:pPr>
            <w:r>
              <w:rPr>
                <w:rFonts w:hint="eastAsia"/>
                <w:color w:val="auto"/>
                <w:sz w:val="24"/>
              </w:rPr>
              <w:t>组织结构</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5E4B2D34">
            <w:pPr>
              <w:tabs>
                <w:tab w:val="left" w:pos="4776"/>
              </w:tabs>
              <w:spacing w:line="360" w:lineRule="auto"/>
              <w:rPr>
                <w:color w:val="auto"/>
                <w:sz w:val="24"/>
              </w:rPr>
            </w:pPr>
          </w:p>
        </w:tc>
      </w:tr>
      <w:tr w14:paraId="4283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5E428816">
            <w:pPr>
              <w:spacing w:line="360" w:lineRule="auto"/>
              <w:rPr>
                <w:color w:val="auto"/>
                <w:sz w:val="24"/>
              </w:rPr>
            </w:pPr>
            <w:r>
              <w:rPr>
                <w:rFonts w:hint="eastAsia"/>
                <w:color w:val="auto"/>
                <w:sz w:val="24"/>
              </w:rPr>
              <w:t>法定代表人</w:t>
            </w:r>
          </w:p>
        </w:tc>
        <w:tc>
          <w:tcPr>
            <w:tcW w:w="973" w:type="dxa"/>
            <w:tcBorders>
              <w:top w:val="single" w:color="auto" w:sz="4" w:space="0"/>
              <w:left w:val="single" w:color="auto" w:sz="4" w:space="0"/>
              <w:bottom w:val="single" w:color="auto" w:sz="4" w:space="0"/>
              <w:right w:val="single" w:color="auto" w:sz="4" w:space="0"/>
            </w:tcBorders>
            <w:vAlign w:val="center"/>
          </w:tcPr>
          <w:p w14:paraId="2427B8BB">
            <w:pPr>
              <w:spacing w:line="360" w:lineRule="auto"/>
              <w:rPr>
                <w:color w:val="auto"/>
                <w:sz w:val="24"/>
              </w:rPr>
            </w:pPr>
            <w:r>
              <w:rPr>
                <w:rFonts w:hint="eastAsia"/>
                <w:color w:val="auto"/>
                <w:sz w:val="24"/>
              </w:rPr>
              <w:t>姓名</w:t>
            </w:r>
          </w:p>
        </w:tc>
        <w:tc>
          <w:tcPr>
            <w:tcW w:w="2670" w:type="dxa"/>
            <w:gridSpan w:val="2"/>
            <w:tcBorders>
              <w:top w:val="single" w:color="auto" w:sz="4" w:space="0"/>
              <w:left w:val="single" w:color="auto" w:sz="4" w:space="0"/>
              <w:bottom w:val="single" w:color="auto" w:sz="4" w:space="0"/>
              <w:right w:val="single" w:color="auto" w:sz="4" w:space="0"/>
            </w:tcBorders>
            <w:vAlign w:val="center"/>
          </w:tcPr>
          <w:p w14:paraId="4A5166CE">
            <w:pPr>
              <w:spacing w:line="360" w:lineRule="auto"/>
              <w:rPr>
                <w:color w:val="auto"/>
                <w:sz w:val="24"/>
              </w:rPr>
            </w:pPr>
          </w:p>
        </w:tc>
        <w:tc>
          <w:tcPr>
            <w:tcW w:w="1132" w:type="dxa"/>
            <w:tcBorders>
              <w:top w:val="single" w:color="auto" w:sz="4" w:space="0"/>
              <w:left w:val="single" w:color="auto" w:sz="4" w:space="0"/>
              <w:bottom w:val="single" w:color="auto" w:sz="4" w:space="0"/>
              <w:right w:val="single" w:color="auto" w:sz="4" w:space="0"/>
            </w:tcBorders>
            <w:vAlign w:val="center"/>
          </w:tcPr>
          <w:p w14:paraId="1096217A">
            <w:pPr>
              <w:spacing w:line="360" w:lineRule="auto"/>
              <w:rPr>
                <w:color w:val="auto"/>
                <w:sz w:val="24"/>
              </w:rPr>
            </w:pPr>
            <w:r>
              <w:rPr>
                <w:rFonts w:hint="eastAsia"/>
                <w:color w:val="auto"/>
                <w:sz w:val="24"/>
              </w:rPr>
              <w:t>电话</w:t>
            </w:r>
          </w:p>
        </w:tc>
        <w:tc>
          <w:tcPr>
            <w:tcW w:w="1914" w:type="dxa"/>
            <w:gridSpan w:val="2"/>
            <w:tcBorders>
              <w:top w:val="single" w:color="auto" w:sz="4" w:space="0"/>
              <w:left w:val="single" w:color="auto" w:sz="4" w:space="0"/>
              <w:bottom w:val="single" w:color="auto" w:sz="4" w:space="0"/>
              <w:right w:val="single" w:color="auto" w:sz="4" w:space="0"/>
            </w:tcBorders>
            <w:vAlign w:val="center"/>
          </w:tcPr>
          <w:p w14:paraId="720DCBEE">
            <w:pPr>
              <w:spacing w:line="360" w:lineRule="auto"/>
              <w:rPr>
                <w:color w:val="auto"/>
                <w:sz w:val="24"/>
              </w:rPr>
            </w:pPr>
          </w:p>
        </w:tc>
      </w:tr>
      <w:tr w14:paraId="12E2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70F29CD0">
            <w:pPr>
              <w:spacing w:line="360" w:lineRule="auto"/>
              <w:rPr>
                <w:color w:val="auto"/>
                <w:sz w:val="24"/>
              </w:rPr>
            </w:pPr>
            <w:r>
              <w:rPr>
                <w:rFonts w:hint="eastAsia"/>
                <w:color w:val="auto"/>
                <w:sz w:val="24"/>
              </w:rPr>
              <w:t>成立时间</w:t>
            </w:r>
          </w:p>
        </w:tc>
        <w:tc>
          <w:tcPr>
            <w:tcW w:w="2524" w:type="dxa"/>
            <w:gridSpan w:val="2"/>
            <w:tcBorders>
              <w:top w:val="single" w:color="auto" w:sz="4" w:space="0"/>
              <w:left w:val="single" w:color="auto" w:sz="4" w:space="0"/>
              <w:bottom w:val="single" w:color="auto" w:sz="4" w:space="0"/>
              <w:right w:val="single" w:color="auto" w:sz="4" w:space="0"/>
            </w:tcBorders>
            <w:vAlign w:val="center"/>
          </w:tcPr>
          <w:p w14:paraId="45DA3ACE">
            <w:pPr>
              <w:spacing w:line="360" w:lineRule="auto"/>
              <w:rPr>
                <w:color w:val="auto"/>
                <w:sz w:val="24"/>
              </w:rPr>
            </w:pPr>
          </w:p>
        </w:tc>
        <w:tc>
          <w:tcPr>
            <w:tcW w:w="4165" w:type="dxa"/>
            <w:gridSpan w:val="4"/>
            <w:tcBorders>
              <w:top w:val="single" w:color="auto" w:sz="4" w:space="0"/>
              <w:left w:val="single" w:color="auto" w:sz="4" w:space="0"/>
              <w:bottom w:val="single" w:color="auto" w:sz="4" w:space="0"/>
              <w:right w:val="single" w:color="auto" w:sz="4" w:space="0"/>
            </w:tcBorders>
            <w:vAlign w:val="center"/>
          </w:tcPr>
          <w:p w14:paraId="49732B4E">
            <w:pPr>
              <w:spacing w:line="360" w:lineRule="auto"/>
              <w:rPr>
                <w:color w:val="auto"/>
                <w:sz w:val="24"/>
              </w:rPr>
            </w:pPr>
            <w:r>
              <w:rPr>
                <w:rFonts w:hint="eastAsia"/>
                <w:color w:val="auto"/>
                <w:sz w:val="24"/>
              </w:rPr>
              <w:t>员工总人数：</w:t>
            </w:r>
          </w:p>
        </w:tc>
      </w:tr>
      <w:tr w14:paraId="03441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0D6D522A">
            <w:pPr>
              <w:spacing w:line="360" w:lineRule="auto"/>
              <w:rPr>
                <w:color w:val="auto"/>
                <w:sz w:val="24"/>
              </w:rPr>
            </w:pPr>
            <w:r>
              <w:rPr>
                <w:rFonts w:hint="eastAsia"/>
                <w:color w:val="auto"/>
                <w:sz w:val="24"/>
              </w:rPr>
              <w:t>营业执照号</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017F575E">
            <w:pPr>
              <w:spacing w:line="360" w:lineRule="auto"/>
              <w:rPr>
                <w:color w:val="auto"/>
                <w:sz w:val="24"/>
              </w:rPr>
            </w:pPr>
          </w:p>
        </w:tc>
      </w:tr>
      <w:tr w14:paraId="27952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34831733">
            <w:pPr>
              <w:spacing w:line="360" w:lineRule="auto"/>
              <w:rPr>
                <w:color w:val="auto"/>
                <w:sz w:val="24"/>
              </w:rPr>
            </w:pPr>
            <w:r>
              <w:rPr>
                <w:rFonts w:hint="eastAsia"/>
                <w:color w:val="auto"/>
                <w:sz w:val="24"/>
              </w:rPr>
              <w:t>注册资金</w:t>
            </w:r>
          </w:p>
        </w:tc>
        <w:tc>
          <w:tcPr>
            <w:tcW w:w="2524" w:type="dxa"/>
            <w:gridSpan w:val="2"/>
            <w:tcBorders>
              <w:top w:val="single" w:color="auto" w:sz="4" w:space="0"/>
              <w:left w:val="single" w:color="auto" w:sz="4" w:space="0"/>
              <w:bottom w:val="single" w:color="auto" w:sz="4" w:space="0"/>
              <w:right w:val="single" w:color="auto" w:sz="4" w:space="0"/>
            </w:tcBorders>
            <w:vAlign w:val="center"/>
          </w:tcPr>
          <w:p w14:paraId="093C5737">
            <w:pPr>
              <w:spacing w:line="360" w:lineRule="auto"/>
              <w:rPr>
                <w:color w:val="auto"/>
                <w:sz w:val="24"/>
              </w:rPr>
            </w:pPr>
          </w:p>
        </w:tc>
        <w:tc>
          <w:tcPr>
            <w:tcW w:w="2251" w:type="dxa"/>
            <w:gridSpan w:val="2"/>
            <w:tcBorders>
              <w:top w:val="single" w:color="auto" w:sz="4" w:space="0"/>
              <w:left w:val="single" w:color="auto" w:sz="4" w:space="0"/>
              <w:bottom w:val="single" w:color="auto" w:sz="4" w:space="0"/>
              <w:right w:val="single" w:color="auto" w:sz="4" w:space="0"/>
            </w:tcBorders>
            <w:vAlign w:val="center"/>
          </w:tcPr>
          <w:p w14:paraId="5B01E148">
            <w:pPr>
              <w:spacing w:line="360" w:lineRule="auto"/>
              <w:rPr>
                <w:color w:val="auto"/>
                <w:sz w:val="24"/>
              </w:rPr>
            </w:pPr>
            <w:r>
              <w:rPr>
                <w:rFonts w:hint="eastAsia"/>
                <w:color w:val="auto"/>
                <w:sz w:val="24"/>
              </w:rPr>
              <w:t>开户银行</w:t>
            </w:r>
          </w:p>
        </w:tc>
        <w:tc>
          <w:tcPr>
            <w:tcW w:w="1914" w:type="dxa"/>
            <w:gridSpan w:val="2"/>
            <w:tcBorders>
              <w:top w:val="single" w:color="auto" w:sz="4" w:space="0"/>
              <w:left w:val="single" w:color="auto" w:sz="4" w:space="0"/>
              <w:bottom w:val="single" w:color="auto" w:sz="4" w:space="0"/>
              <w:right w:val="single" w:color="auto" w:sz="4" w:space="0"/>
            </w:tcBorders>
            <w:vAlign w:val="center"/>
          </w:tcPr>
          <w:p w14:paraId="08BAA4B7">
            <w:pPr>
              <w:spacing w:line="360" w:lineRule="auto"/>
              <w:rPr>
                <w:color w:val="auto"/>
                <w:sz w:val="24"/>
              </w:rPr>
            </w:pPr>
          </w:p>
        </w:tc>
      </w:tr>
      <w:tr w14:paraId="58CF2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5EF56276">
            <w:pPr>
              <w:spacing w:line="360" w:lineRule="auto"/>
              <w:rPr>
                <w:color w:val="auto"/>
                <w:sz w:val="24"/>
              </w:rPr>
            </w:pPr>
            <w:r>
              <w:rPr>
                <w:rFonts w:hint="eastAsia"/>
                <w:color w:val="auto"/>
                <w:sz w:val="24"/>
              </w:rPr>
              <w:t>账号</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0437E82F">
            <w:pPr>
              <w:spacing w:line="360" w:lineRule="auto"/>
              <w:rPr>
                <w:color w:val="auto"/>
                <w:sz w:val="24"/>
              </w:rPr>
            </w:pPr>
          </w:p>
        </w:tc>
      </w:tr>
      <w:tr w14:paraId="540E9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vAlign w:val="center"/>
          </w:tcPr>
          <w:p w14:paraId="4F8844DE">
            <w:pPr>
              <w:spacing w:line="360" w:lineRule="auto"/>
              <w:rPr>
                <w:color w:val="auto"/>
                <w:sz w:val="24"/>
              </w:rPr>
            </w:pPr>
            <w:r>
              <w:rPr>
                <w:rFonts w:hint="eastAsia"/>
                <w:color w:val="auto"/>
                <w:sz w:val="24"/>
              </w:rPr>
              <w:t>经营范围备注</w:t>
            </w:r>
          </w:p>
        </w:tc>
        <w:tc>
          <w:tcPr>
            <w:tcW w:w="6689" w:type="dxa"/>
            <w:gridSpan w:val="6"/>
            <w:tcBorders>
              <w:top w:val="single" w:color="auto" w:sz="4" w:space="0"/>
              <w:left w:val="single" w:color="auto" w:sz="4" w:space="0"/>
              <w:bottom w:val="single" w:color="auto" w:sz="4" w:space="0"/>
              <w:right w:val="single" w:color="auto" w:sz="4" w:space="0"/>
            </w:tcBorders>
            <w:vAlign w:val="center"/>
          </w:tcPr>
          <w:p w14:paraId="2B2AB778">
            <w:pPr>
              <w:spacing w:line="360" w:lineRule="auto"/>
              <w:rPr>
                <w:color w:val="auto"/>
                <w:sz w:val="24"/>
              </w:rPr>
            </w:pPr>
          </w:p>
        </w:tc>
      </w:tr>
    </w:tbl>
    <w:p w14:paraId="576D5004">
      <w:pPr>
        <w:spacing w:line="360" w:lineRule="auto"/>
        <w:rPr>
          <w:color w:val="auto"/>
          <w:sz w:val="24"/>
        </w:rPr>
      </w:pPr>
      <w:bookmarkStart w:id="355" w:name="_Toc15473_WPSOffice_Level3"/>
      <w:r>
        <w:rPr>
          <w:rFonts w:hint="eastAsia"/>
          <w:color w:val="auto"/>
          <w:sz w:val="24"/>
        </w:rPr>
        <w:t>附：1、营业执照、税务登记证、组织机构代码证等相关证件的扫描件</w:t>
      </w:r>
      <w:bookmarkEnd w:id="355"/>
    </w:p>
    <w:p w14:paraId="32D29588">
      <w:pPr>
        <w:spacing w:line="360" w:lineRule="auto"/>
        <w:rPr>
          <w:color w:val="auto"/>
          <w:sz w:val="24"/>
        </w:rPr>
      </w:pPr>
    </w:p>
    <w:p w14:paraId="1977B6AA">
      <w:pPr>
        <w:spacing w:line="360" w:lineRule="auto"/>
        <w:rPr>
          <w:color w:val="auto"/>
          <w:sz w:val="24"/>
        </w:rPr>
      </w:pPr>
    </w:p>
    <w:p w14:paraId="1F607147">
      <w:pPr>
        <w:spacing w:line="360" w:lineRule="auto"/>
        <w:rPr>
          <w:color w:val="auto"/>
          <w:sz w:val="24"/>
        </w:rPr>
      </w:pPr>
    </w:p>
    <w:p w14:paraId="17D5664D">
      <w:pPr>
        <w:spacing w:line="360" w:lineRule="auto"/>
        <w:rPr>
          <w:color w:val="auto"/>
          <w:sz w:val="24"/>
        </w:rPr>
      </w:pPr>
    </w:p>
    <w:p w14:paraId="42E119A5">
      <w:pPr>
        <w:spacing w:line="360" w:lineRule="auto"/>
        <w:rPr>
          <w:color w:val="auto"/>
          <w:sz w:val="24"/>
        </w:rPr>
      </w:pPr>
    </w:p>
    <w:p w14:paraId="5773DA75">
      <w:pPr>
        <w:spacing w:line="360" w:lineRule="auto"/>
        <w:rPr>
          <w:color w:val="auto"/>
          <w:sz w:val="24"/>
        </w:rPr>
      </w:pPr>
    </w:p>
    <w:p w14:paraId="1939CA96">
      <w:pPr>
        <w:spacing w:line="360" w:lineRule="auto"/>
        <w:rPr>
          <w:color w:val="auto"/>
          <w:sz w:val="24"/>
        </w:rPr>
      </w:pPr>
    </w:p>
    <w:p w14:paraId="1E41E257">
      <w:pPr>
        <w:spacing w:line="360" w:lineRule="auto"/>
        <w:rPr>
          <w:color w:val="auto"/>
          <w:sz w:val="24"/>
        </w:rPr>
      </w:pPr>
    </w:p>
    <w:p w14:paraId="397C0AA2">
      <w:pPr>
        <w:widowControl/>
        <w:jc w:val="left"/>
        <w:rPr>
          <w:rFonts w:ascii="宋体" w:hAnsi="宋体" w:cs="宋体"/>
          <w:b/>
          <w:bCs/>
          <w:color w:val="auto"/>
          <w:kern w:val="0"/>
          <w:sz w:val="24"/>
        </w:rPr>
      </w:pPr>
      <w:bookmarkStart w:id="356" w:name="_Toc13068_WPSOffice_Level2"/>
    </w:p>
    <w:p w14:paraId="037AADF7">
      <w:pPr>
        <w:widowControl/>
        <w:rPr>
          <w:rFonts w:ascii="宋体" w:hAnsi="宋体" w:cs="宋体"/>
          <w:b/>
          <w:bCs/>
          <w:color w:val="auto"/>
          <w:kern w:val="0"/>
          <w:sz w:val="24"/>
        </w:rPr>
      </w:pPr>
    </w:p>
    <w:p w14:paraId="0AB599FF">
      <w:pPr>
        <w:rPr>
          <w:rFonts w:hint="eastAsia"/>
          <w:color w:val="auto"/>
          <w:sz w:val="24"/>
          <w:szCs w:val="32"/>
        </w:rPr>
      </w:pPr>
      <w:r>
        <w:rPr>
          <w:rFonts w:hint="eastAsia"/>
          <w:color w:val="auto"/>
          <w:sz w:val="24"/>
          <w:szCs w:val="32"/>
        </w:rPr>
        <w:br w:type="page"/>
      </w:r>
    </w:p>
    <w:p w14:paraId="5B082126">
      <w:pPr>
        <w:jc w:val="center"/>
        <w:rPr>
          <w:color w:val="auto"/>
          <w:sz w:val="24"/>
          <w:szCs w:val="32"/>
        </w:rPr>
      </w:pPr>
      <w:r>
        <w:rPr>
          <w:rFonts w:hint="eastAsia"/>
          <w:color w:val="auto"/>
          <w:sz w:val="24"/>
          <w:szCs w:val="32"/>
        </w:rPr>
        <w:t>（二）近三年来完成</w:t>
      </w:r>
      <w:r>
        <w:rPr>
          <w:rFonts w:hint="eastAsia"/>
          <w:color w:val="auto"/>
          <w:sz w:val="24"/>
          <w:szCs w:val="32"/>
          <w:lang w:eastAsia="zh-CN"/>
        </w:rPr>
        <w:t>类似</w:t>
      </w:r>
      <w:r>
        <w:rPr>
          <w:rFonts w:hint="eastAsia"/>
          <w:color w:val="auto"/>
          <w:sz w:val="24"/>
          <w:szCs w:val="32"/>
        </w:rPr>
        <w:t>项目情况表</w:t>
      </w:r>
    </w:p>
    <w:tbl>
      <w:tblPr>
        <w:tblStyle w:val="19"/>
        <w:tblpPr w:leftFromText="180" w:rightFromText="180" w:vertAnchor="text" w:horzAnchor="page" w:tblpX="2102" w:tblpY="786"/>
        <w:tblOverlap w:val="never"/>
        <w:tblW w:w="8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5795"/>
      </w:tblGrid>
      <w:tr w14:paraId="6B82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746511BF">
            <w:pPr>
              <w:adjustRightInd w:val="0"/>
              <w:snapToGrid w:val="0"/>
              <w:spacing w:line="480" w:lineRule="exact"/>
              <w:jc w:val="center"/>
              <w:rPr>
                <w:rFonts w:ascii="宋体" w:cs="宋体"/>
                <w:color w:val="auto"/>
              </w:rPr>
            </w:pPr>
            <w:r>
              <w:rPr>
                <w:rFonts w:hint="eastAsia" w:ascii="宋体" w:hAnsi="宋体" w:cs="宋体"/>
                <w:color w:val="auto"/>
              </w:rPr>
              <w:t>建设单位</w:t>
            </w:r>
          </w:p>
          <w:p w14:paraId="13E8FE95">
            <w:pPr>
              <w:adjustRightInd w:val="0"/>
              <w:snapToGrid w:val="0"/>
              <w:spacing w:line="480" w:lineRule="exact"/>
              <w:jc w:val="center"/>
              <w:rPr>
                <w:rFonts w:ascii="宋体" w:cs="宋体"/>
                <w:color w:val="auto"/>
              </w:rPr>
            </w:pPr>
            <w:r>
              <w:rPr>
                <w:rFonts w:hint="eastAsia" w:ascii="宋体" w:hAnsi="宋体" w:cs="宋体"/>
                <w:color w:val="auto"/>
              </w:rPr>
              <w:t>（业主）</w:t>
            </w:r>
          </w:p>
        </w:tc>
        <w:tc>
          <w:tcPr>
            <w:tcW w:w="5795" w:type="dxa"/>
            <w:vAlign w:val="center"/>
          </w:tcPr>
          <w:p w14:paraId="6923A359">
            <w:pPr>
              <w:adjustRightInd w:val="0"/>
              <w:snapToGrid w:val="0"/>
              <w:spacing w:line="480" w:lineRule="exact"/>
              <w:jc w:val="center"/>
              <w:rPr>
                <w:rFonts w:ascii="宋体" w:cs="宋体"/>
                <w:color w:val="auto"/>
              </w:rPr>
            </w:pPr>
          </w:p>
        </w:tc>
      </w:tr>
      <w:tr w14:paraId="7A188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56DE6AE6">
            <w:pPr>
              <w:adjustRightInd w:val="0"/>
              <w:snapToGrid w:val="0"/>
              <w:spacing w:line="480" w:lineRule="exact"/>
              <w:jc w:val="center"/>
              <w:rPr>
                <w:rFonts w:ascii="宋体" w:cs="宋体"/>
                <w:color w:val="auto"/>
              </w:rPr>
            </w:pPr>
            <w:r>
              <w:rPr>
                <w:rFonts w:hint="eastAsia" w:ascii="宋体" w:hAnsi="宋体" w:cs="宋体"/>
                <w:color w:val="auto"/>
              </w:rPr>
              <w:t>工程名称</w:t>
            </w:r>
          </w:p>
        </w:tc>
        <w:tc>
          <w:tcPr>
            <w:tcW w:w="5795" w:type="dxa"/>
            <w:vAlign w:val="center"/>
          </w:tcPr>
          <w:p w14:paraId="7AEC4AB3">
            <w:pPr>
              <w:adjustRightInd w:val="0"/>
              <w:snapToGrid w:val="0"/>
              <w:spacing w:line="480" w:lineRule="exact"/>
              <w:jc w:val="center"/>
              <w:rPr>
                <w:rFonts w:ascii="宋体" w:cs="宋体"/>
                <w:color w:val="auto"/>
              </w:rPr>
            </w:pPr>
          </w:p>
        </w:tc>
      </w:tr>
      <w:tr w14:paraId="064CF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2596380F">
            <w:pPr>
              <w:adjustRightInd w:val="0"/>
              <w:snapToGrid w:val="0"/>
              <w:spacing w:line="480" w:lineRule="exact"/>
              <w:jc w:val="center"/>
              <w:rPr>
                <w:rFonts w:ascii="宋体" w:cs="宋体"/>
                <w:color w:val="auto"/>
              </w:rPr>
            </w:pPr>
            <w:r>
              <w:rPr>
                <w:rFonts w:hint="eastAsia" w:ascii="宋体" w:hAnsi="宋体" w:cs="宋体"/>
                <w:color w:val="auto"/>
              </w:rPr>
              <w:t>建设规模</w:t>
            </w:r>
          </w:p>
        </w:tc>
        <w:tc>
          <w:tcPr>
            <w:tcW w:w="5795" w:type="dxa"/>
            <w:vAlign w:val="center"/>
          </w:tcPr>
          <w:p w14:paraId="3EB277B7">
            <w:pPr>
              <w:adjustRightInd w:val="0"/>
              <w:snapToGrid w:val="0"/>
              <w:spacing w:line="480" w:lineRule="exact"/>
              <w:jc w:val="center"/>
              <w:rPr>
                <w:rFonts w:ascii="宋体" w:cs="宋体"/>
                <w:color w:val="auto"/>
              </w:rPr>
            </w:pPr>
          </w:p>
        </w:tc>
      </w:tr>
      <w:tr w14:paraId="77AAF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3AE3FA92">
            <w:pPr>
              <w:adjustRightInd w:val="0"/>
              <w:snapToGrid w:val="0"/>
              <w:spacing w:line="480" w:lineRule="exact"/>
              <w:jc w:val="center"/>
              <w:rPr>
                <w:rFonts w:ascii="宋体" w:cs="宋体"/>
                <w:color w:val="auto"/>
              </w:rPr>
            </w:pPr>
            <w:r>
              <w:rPr>
                <w:rFonts w:hint="eastAsia" w:ascii="宋体" w:hAnsi="宋体" w:cs="宋体"/>
                <w:color w:val="auto"/>
              </w:rPr>
              <w:t>完成日期</w:t>
            </w:r>
          </w:p>
          <w:p w14:paraId="7D48F889">
            <w:pPr>
              <w:adjustRightInd w:val="0"/>
              <w:snapToGrid w:val="0"/>
              <w:spacing w:line="480" w:lineRule="exact"/>
              <w:jc w:val="center"/>
              <w:rPr>
                <w:rFonts w:ascii="宋体" w:cs="宋体"/>
                <w:color w:val="auto"/>
              </w:rPr>
            </w:pPr>
            <w:r>
              <w:rPr>
                <w:rFonts w:hint="eastAsia" w:ascii="宋体" w:hAnsi="宋体" w:cs="宋体"/>
                <w:color w:val="auto"/>
              </w:rPr>
              <w:t>（年</w:t>
            </w:r>
            <w:r>
              <w:rPr>
                <w:rFonts w:ascii="宋体" w:hAnsi="宋体" w:cs="宋体"/>
                <w:color w:val="auto"/>
              </w:rPr>
              <w:t>/</w:t>
            </w:r>
            <w:r>
              <w:rPr>
                <w:rFonts w:hint="eastAsia" w:ascii="宋体" w:hAnsi="宋体" w:cs="宋体"/>
                <w:color w:val="auto"/>
              </w:rPr>
              <w:t>月</w:t>
            </w:r>
            <w:r>
              <w:rPr>
                <w:rFonts w:ascii="宋体" w:hAnsi="宋体" w:cs="宋体"/>
                <w:color w:val="auto"/>
              </w:rPr>
              <w:t>/</w:t>
            </w:r>
            <w:r>
              <w:rPr>
                <w:rFonts w:hint="eastAsia" w:ascii="宋体" w:hAnsi="宋体" w:cs="宋体"/>
                <w:color w:val="auto"/>
              </w:rPr>
              <w:t>日）</w:t>
            </w:r>
          </w:p>
        </w:tc>
        <w:tc>
          <w:tcPr>
            <w:tcW w:w="5795" w:type="dxa"/>
            <w:vAlign w:val="center"/>
          </w:tcPr>
          <w:p w14:paraId="501D49C0">
            <w:pPr>
              <w:adjustRightInd w:val="0"/>
              <w:snapToGrid w:val="0"/>
              <w:spacing w:line="480" w:lineRule="exact"/>
              <w:jc w:val="center"/>
              <w:rPr>
                <w:rFonts w:ascii="宋体" w:cs="宋体"/>
                <w:color w:val="auto"/>
              </w:rPr>
            </w:pPr>
          </w:p>
        </w:tc>
      </w:tr>
      <w:tr w14:paraId="0277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49FB8353">
            <w:pPr>
              <w:adjustRightInd w:val="0"/>
              <w:snapToGrid w:val="0"/>
              <w:spacing w:line="480" w:lineRule="exact"/>
              <w:jc w:val="center"/>
              <w:rPr>
                <w:rFonts w:ascii="宋体" w:cs="宋体"/>
                <w:color w:val="auto"/>
              </w:rPr>
            </w:pPr>
            <w:r>
              <w:rPr>
                <w:rFonts w:hint="eastAsia" w:ascii="宋体" w:hAnsi="宋体" w:cs="宋体"/>
                <w:color w:val="auto"/>
              </w:rPr>
              <w:t>主要设计人员情况</w:t>
            </w:r>
          </w:p>
        </w:tc>
        <w:tc>
          <w:tcPr>
            <w:tcW w:w="5795" w:type="dxa"/>
            <w:vAlign w:val="center"/>
          </w:tcPr>
          <w:p w14:paraId="1EAA9574">
            <w:pPr>
              <w:adjustRightInd w:val="0"/>
              <w:snapToGrid w:val="0"/>
              <w:spacing w:line="480" w:lineRule="exact"/>
              <w:jc w:val="center"/>
              <w:rPr>
                <w:rFonts w:ascii="宋体" w:cs="宋体"/>
                <w:color w:val="auto"/>
              </w:rPr>
            </w:pPr>
          </w:p>
        </w:tc>
      </w:tr>
      <w:tr w14:paraId="6AEFC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385" w:type="dxa"/>
            <w:vAlign w:val="center"/>
          </w:tcPr>
          <w:p w14:paraId="31D5A25F">
            <w:pPr>
              <w:adjustRightInd w:val="0"/>
              <w:snapToGrid w:val="0"/>
              <w:spacing w:line="480" w:lineRule="exact"/>
              <w:jc w:val="center"/>
              <w:rPr>
                <w:rFonts w:ascii="宋体" w:cs="宋体"/>
                <w:color w:val="auto"/>
              </w:rPr>
            </w:pPr>
            <w:r>
              <w:rPr>
                <w:rFonts w:hint="eastAsia" w:ascii="宋体" w:hAnsi="宋体" w:cs="宋体"/>
                <w:color w:val="auto"/>
              </w:rPr>
              <w:t>……</w:t>
            </w:r>
          </w:p>
        </w:tc>
        <w:tc>
          <w:tcPr>
            <w:tcW w:w="5795" w:type="dxa"/>
            <w:vAlign w:val="center"/>
          </w:tcPr>
          <w:p w14:paraId="43C110B2">
            <w:pPr>
              <w:adjustRightInd w:val="0"/>
              <w:snapToGrid w:val="0"/>
              <w:spacing w:line="480" w:lineRule="exact"/>
              <w:jc w:val="center"/>
              <w:rPr>
                <w:rFonts w:ascii="宋体" w:cs="宋体"/>
                <w:color w:val="auto"/>
              </w:rPr>
            </w:pPr>
          </w:p>
        </w:tc>
      </w:tr>
    </w:tbl>
    <w:p w14:paraId="5F4B0818">
      <w:pPr>
        <w:autoSpaceDE w:val="0"/>
        <w:autoSpaceDN w:val="0"/>
        <w:adjustRightInd w:val="0"/>
        <w:snapToGrid w:val="0"/>
        <w:spacing w:line="480" w:lineRule="exact"/>
        <w:rPr>
          <w:rFonts w:ascii="宋体" w:cs="宋体"/>
          <w:b/>
          <w:color w:val="auto"/>
        </w:rPr>
      </w:pPr>
    </w:p>
    <w:p w14:paraId="76C1C21A">
      <w:pPr>
        <w:spacing w:line="480" w:lineRule="exact"/>
        <w:ind w:left="2750" w:leftChars="1250"/>
        <w:rPr>
          <w:rFonts w:ascii="宋体" w:hAnsi="宋体" w:cs="宋体"/>
          <w:color w:val="auto"/>
        </w:rPr>
      </w:pPr>
    </w:p>
    <w:p w14:paraId="54B37C23">
      <w:pPr>
        <w:spacing w:line="480" w:lineRule="exact"/>
        <w:ind w:left="2750" w:leftChars="1250"/>
        <w:rPr>
          <w:rFonts w:ascii="宋体" w:hAnsi="宋体" w:cs="宋体"/>
          <w:color w:val="auto"/>
        </w:rPr>
      </w:pPr>
    </w:p>
    <w:p w14:paraId="31F73578">
      <w:pPr>
        <w:spacing w:line="480" w:lineRule="exact"/>
        <w:ind w:left="2750" w:leftChars="1250"/>
        <w:rPr>
          <w:rFonts w:ascii="宋体" w:hAnsi="宋体" w:cs="宋体"/>
          <w:color w:val="auto"/>
        </w:rPr>
      </w:pPr>
    </w:p>
    <w:p w14:paraId="1B918A77">
      <w:pPr>
        <w:spacing w:line="480" w:lineRule="exact"/>
        <w:ind w:left="2750" w:leftChars="1250"/>
        <w:rPr>
          <w:rFonts w:ascii="宋体" w:hAnsi="宋体" w:cs="宋体"/>
          <w:color w:val="auto"/>
        </w:rPr>
      </w:pPr>
    </w:p>
    <w:p w14:paraId="50D9EB23">
      <w:pPr>
        <w:spacing w:line="480" w:lineRule="exact"/>
        <w:ind w:left="2750" w:leftChars="1250"/>
        <w:rPr>
          <w:rFonts w:ascii="宋体" w:hAnsi="宋体" w:cs="宋体"/>
          <w:color w:val="auto"/>
        </w:rPr>
      </w:pPr>
    </w:p>
    <w:p w14:paraId="718F12C7">
      <w:pPr>
        <w:spacing w:line="480" w:lineRule="exact"/>
        <w:ind w:left="2750" w:leftChars="1250"/>
        <w:rPr>
          <w:rFonts w:ascii="宋体" w:hAnsi="宋体" w:cs="宋体"/>
          <w:color w:val="auto"/>
        </w:rPr>
      </w:pPr>
    </w:p>
    <w:p w14:paraId="6A6A55E1">
      <w:pPr>
        <w:spacing w:line="480" w:lineRule="exact"/>
        <w:ind w:left="2750" w:leftChars="1250"/>
        <w:rPr>
          <w:rFonts w:ascii="宋体" w:hAnsi="宋体" w:cs="宋体"/>
          <w:color w:val="auto"/>
        </w:rPr>
      </w:pPr>
    </w:p>
    <w:p w14:paraId="22A1B39E">
      <w:pPr>
        <w:spacing w:line="480" w:lineRule="exact"/>
        <w:ind w:left="2750" w:leftChars="1250"/>
        <w:rPr>
          <w:rFonts w:ascii="宋体" w:hAnsi="宋体" w:cs="宋体"/>
          <w:color w:val="auto"/>
        </w:rPr>
      </w:pPr>
    </w:p>
    <w:p w14:paraId="64223194">
      <w:pPr>
        <w:spacing w:line="480" w:lineRule="exact"/>
        <w:ind w:left="2750" w:leftChars="1250"/>
        <w:rPr>
          <w:rFonts w:ascii="宋体" w:hAnsi="宋体" w:cs="宋体"/>
          <w:color w:val="auto"/>
        </w:rPr>
      </w:pPr>
    </w:p>
    <w:p w14:paraId="24CAE9CF">
      <w:pPr>
        <w:spacing w:line="480" w:lineRule="exact"/>
        <w:ind w:left="2750" w:leftChars="1250"/>
        <w:rPr>
          <w:rFonts w:ascii="宋体" w:hAnsi="宋体" w:cs="宋体"/>
          <w:color w:val="auto"/>
        </w:rPr>
      </w:pPr>
    </w:p>
    <w:p w14:paraId="5DB31240">
      <w:pPr>
        <w:spacing w:line="480" w:lineRule="exact"/>
        <w:ind w:left="2750" w:leftChars="1250"/>
        <w:rPr>
          <w:rFonts w:ascii="宋体" w:hAnsi="宋体" w:cs="宋体"/>
          <w:color w:val="auto"/>
        </w:rPr>
      </w:pPr>
    </w:p>
    <w:p w14:paraId="0BB1252E">
      <w:pPr>
        <w:spacing w:line="480" w:lineRule="exact"/>
        <w:ind w:left="2750" w:leftChars="1250"/>
        <w:rPr>
          <w:rFonts w:ascii="宋体" w:hAnsi="宋体" w:cs="宋体"/>
          <w:color w:val="auto"/>
        </w:rPr>
      </w:pPr>
    </w:p>
    <w:p w14:paraId="5821954C">
      <w:pPr>
        <w:spacing w:line="480" w:lineRule="exact"/>
        <w:ind w:left="2750" w:leftChars="1250"/>
        <w:rPr>
          <w:rFonts w:ascii="宋体" w:hAnsi="宋体" w:cs="宋体"/>
          <w:color w:val="auto"/>
        </w:rPr>
      </w:pPr>
    </w:p>
    <w:p w14:paraId="54E97F7E">
      <w:pPr>
        <w:spacing w:line="480" w:lineRule="exact"/>
        <w:ind w:left="2750" w:leftChars="1250"/>
        <w:rPr>
          <w:rFonts w:ascii="宋体" w:hAnsi="宋体" w:cs="宋体"/>
          <w:color w:val="auto"/>
        </w:rPr>
      </w:pPr>
    </w:p>
    <w:p w14:paraId="14F3ED35">
      <w:pPr>
        <w:spacing w:line="480" w:lineRule="exact"/>
        <w:ind w:left="2750" w:leftChars="1250"/>
        <w:rPr>
          <w:rFonts w:ascii="宋体" w:hAnsi="宋体" w:cs="宋体"/>
          <w:color w:val="auto"/>
        </w:rPr>
      </w:pPr>
    </w:p>
    <w:p w14:paraId="32F47B4B">
      <w:pPr>
        <w:spacing w:line="480" w:lineRule="exact"/>
        <w:ind w:left="2750" w:leftChars="1250"/>
        <w:rPr>
          <w:rFonts w:ascii="宋体" w:hAnsi="宋体" w:cs="宋体"/>
          <w:color w:val="auto"/>
        </w:rPr>
      </w:pPr>
    </w:p>
    <w:p w14:paraId="072E37CD">
      <w:pPr>
        <w:spacing w:line="500" w:lineRule="exact"/>
        <w:ind w:firstLine="4252" w:firstLineChars="1772"/>
        <w:rPr>
          <w:bCs/>
          <w:color w:val="auto"/>
          <w:sz w:val="24"/>
        </w:rPr>
      </w:pPr>
      <w:r>
        <w:rPr>
          <w:rFonts w:hint="eastAsia"/>
          <w:bCs/>
          <w:color w:val="auto"/>
          <w:sz w:val="24"/>
        </w:rPr>
        <w:t>供应商：（公章签章）</w:t>
      </w:r>
    </w:p>
    <w:p w14:paraId="10BEAF4F">
      <w:pPr>
        <w:spacing w:line="500" w:lineRule="exact"/>
        <w:ind w:firstLine="4252" w:firstLineChars="1772"/>
        <w:rPr>
          <w:bCs/>
          <w:color w:val="auto"/>
          <w:sz w:val="24"/>
        </w:rPr>
      </w:pPr>
      <w:r>
        <w:rPr>
          <w:rFonts w:hint="eastAsia"/>
          <w:bCs/>
          <w:color w:val="auto"/>
          <w:sz w:val="24"/>
        </w:rPr>
        <w:t>法定代表人：（签章）</w:t>
      </w:r>
    </w:p>
    <w:p w14:paraId="2D8A67FD">
      <w:pPr>
        <w:spacing w:line="500" w:lineRule="exact"/>
        <w:ind w:firstLine="4252" w:firstLineChars="1772"/>
        <w:rPr>
          <w:bCs/>
          <w:color w:val="auto"/>
          <w:sz w:val="24"/>
        </w:rPr>
      </w:pPr>
      <w:r>
        <w:rPr>
          <w:rFonts w:hint="eastAsia"/>
          <w:bCs/>
          <w:color w:val="auto"/>
          <w:sz w:val="24"/>
        </w:rPr>
        <w:t>日期：</w:t>
      </w:r>
    </w:p>
    <w:p w14:paraId="6A206F93">
      <w:pPr>
        <w:widowControl/>
        <w:spacing w:line="700" w:lineRule="exact"/>
        <w:jc w:val="center"/>
        <w:rPr>
          <w:rFonts w:ascii="宋体" w:hAnsi="宋体" w:cs="宋体"/>
          <w:b/>
          <w:bCs/>
          <w:color w:val="auto"/>
          <w:kern w:val="0"/>
          <w:sz w:val="24"/>
        </w:rPr>
      </w:pPr>
    </w:p>
    <w:p w14:paraId="650604A5">
      <w:pPr>
        <w:adjustRightInd w:val="0"/>
        <w:snapToGrid w:val="0"/>
        <w:spacing w:line="480" w:lineRule="exact"/>
        <w:ind w:left="826" w:hanging="866" w:hangingChars="392"/>
        <w:rPr>
          <w:rFonts w:ascii="宋体" w:cs="宋体"/>
          <w:b/>
          <w:color w:val="auto"/>
        </w:rPr>
      </w:pPr>
    </w:p>
    <w:p w14:paraId="1D96FFD2">
      <w:pPr>
        <w:adjustRightInd w:val="0"/>
        <w:snapToGrid w:val="0"/>
        <w:spacing w:line="480" w:lineRule="exact"/>
        <w:ind w:left="826" w:hanging="866" w:hangingChars="392"/>
        <w:rPr>
          <w:rFonts w:ascii="宋体" w:cs="宋体"/>
          <w:b/>
          <w:color w:val="auto"/>
        </w:rPr>
      </w:pPr>
      <w:r>
        <w:rPr>
          <w:rFonts w:hint="eastAsia" w:ascii="宋体" w:hAnsi="宋体" w:cs="宋体"/>
          <w:b/>
          <w:color w:val="auto"/>
        </w:rPr>
        <w:t>注：</w:t>
      </w:r>
      <w:r>
        <w:rPr>
          <w:rFonts w:ascii="宋体" w:hAnsi="宋体" w:cs="宋体"/>
          <w:b/>
          <w:color w:val="auto"/>
        </w:rPr>
        <w:t>1</w:t>
      </w:r>
      <w:r>
        <w:rPr>
          <w:rFonts w:hint="eastAsia" w:ascii="宋体" w:hAnsi="宋体" w:cs="宋体"/>
          <w:b/>
          <w:color w:val="auto"/>
        </w:rPr>
        <w:t>、</w:t>
      </w:r>
      <w:r>
        <w:rPr>
          <w:rFonts w:hint="eastAsia" w:ascii="宋体" w:hAnsi="宋体" w:cs="宋体"/>
          <w:b/>
          <w:color w:val="auto"/>
          <w:lang w:eastAsia="zh-CN"/>
        </w:rPr>
        <w:t>供应商</w:t>
      </w:r>
      <w:r>
        <w:rPr>
          <w:rFonts w:hint="eastAsia" w:ascii="宋体" w:hAnsi="宋体" w:cs="宋体"/>
          <w:b/>
          <w:color w:val="auto"/>
        </w:rPr>
        <w:t>应随此表附上相关的业绩证明（合同</w:t>
      </w:r>
      <w:r>
        <w:rPr>
          <w:rFonts w:hint="eastAsia" w:cs="宋体"/>
          <w:b/>
          <w:color w:val="auto"/>
          <w:lang w:eastAsia="zh-CN"/>
        </w:rPr>
        <w:t>或</w:t>
      </w:r>
      <w:r>
        <w:rPr>
          <w:rFonts w:hint="eastAsia" w:ascii="宋体" w:hAnsi="宋体" w:cs="宋体"/>
          <w:b/>
          <w:color w:val="auto"/>
          <w:lang w:eastAsia="zh-CN"/>
        </w:rPr>
        <w:t>中标通知书</w:t>
      </w:r>
      <w:r>
        <w:rPr>
          <w:rFonts w:hint="eastAsia" w:ascii="宋体" w:hAnsi="宋体" w:cs="宋体"/>
          <w:b/>
          <w:color w:val="auto"/>
        </w:rPr>
        <w:t>的</w:t>
      </w:r>
      <w:r>
        <w:rPr>
          <w:rFonts w:hint="eastAsia" w:ascii="宋体" w:hAnsi="宋体" w:cs="宋体"/>
          <w:b/>
          <w:color w:val="auto"/>
          <w:lang w:val="en-US" w:eastAsia="zh-CN"/>
        </w:rPr>
        <w:t>扫描</w:t>
      </w:r>
      <w:r>
        <w:rPr>
          <w:rFonts w:hint="eastAsia" w:ascii="宋体" w:hAnsi="宋体" w:cs="宋体"/>
          <w:b/>
          <w:color w:val="auto"/>
        </w:rPr>
        <w:t>件）。</w:t>
      </w:r>
    </w:p>
    <w:p w14:paraId="7C27C7CA">
      <w:pPr>
        <w:adjustRightInd w:val="0"/>
        <w:snapToGrid w:val="0"/>
        <w:spacing w:line="480" w:lineRule="exact"/>
        <w:rPr>
          <w:rFonts w:ascii="宋体" w:cs="宋体"/>
          <w:b/>
          <w:color w:val="auto"/>
        </w:rPr>
      </w:pPr>
      <w:r>
        <w:rPr>
          <w:rFonts w:ascii="宋体" w:hAnsi="宋体" w:cs="宋体"/>
          <w:b/>
          <w:color w:val="auto"/>
        </w:rPr>
        <w:t xml:space="preserve">    2</w:t>
      </w:r>
      <w:r>
        <w:rPr>
          <w:rFonts w:hint="eastAsia" w:ascii="宋体" w:hAnsi="宋体" w:cs="宋体"/>
          <w:b/>
          <w:color w:val="auto"/>
        </w:rPr>
        <w:t>、如有多个已完成项目，每个项目填一张此表，附后。</w:t>
      </w:r>
    </w:p>
    <w:p w14:paraId="7572C456">
      <w:pPr>
        <w:adjustRightInd w:val="0"/>
        <w:snapToGrid w:val="0"/>
        <w:spacing w:line="480" w:lineRule="exact"/>
        <w:rPr>
          <w:rFonts w:ascii="宋体" w:cs="宋体"/>
          <w:b/>
          <w:color w:val="auto"/>
        </w:rPr>
      </w:pPr>
    </w:p>
    <w:p w14:paraId="3418E686">
      <w:pPr>
        <w:adjustRightInd w:val="0"/>
        <w:snapToGrid w:val="0"/>
        <w:spacing w:line="480" w:lineRule="exact"/>
        <w:rPr>
          <w:rFonts w:ascii="宋体" w:cs="宋体"/>
          <w:b/>
          <w:color w:val="auto"/>
        </w:rPr>
      </w:pPr>
    </w:p>
    <w:p w14:paraId="68C3C080">
      <w:pPr>
        <w:adjustRightInd w:val="0"/>
        <w:snapToGrid w:val="0"/>
        <w:spacing w:after="100" w:afterAutospacing="1" w:line="480" w:lineRule="exact"/>
        <w:jc w:val="both"/>
        <w:rPr>
          <w:rFonts w:hint="eastAsia" w:ascii="宋体" w:hAnsi="宋体" w:cs="宋体"/>
          <w:bCs/>
          <w:color w:val="auto"/>
          <w:sz w:val="24"/>
        </w:rPr>
      </w:pPr>
    </w:p>
    <w:p w14:paraId="66DA03EF">
      <w:pPr>
        <w:rPr>
          <w:rFonts w:hint="eastAsia" w:ascii="宋体" w:hAnsi="宋体" w:cs="宋体"/>
          <w:bCs/>
          <w:color w:val="auto"/>
          <w:sz w:val="24"/>
        </w:rPr>
      </w:pPr>
      <w:r>
        <w:rPr>
          <w:rFonts w:hint="eastAsia" w:ascii="宋体" w:hAnsi="宋体" w:cs="宋体"/>
          <w:bCs/>
          <w:color w:val="auto"/>
          <w:sz w:val="24"/>
        </w:rPr>
        <w:br w:type="page"/>
      </w:r>
    </w:p>
    <w:p w14:paraId="1B259FD5">
      <w:pPr>
        <w:adjustRightInd w:val="0"/>
        <w:snapToGrid w:val="0"/>
        <w:spacing w:after="100" w:afterAutospacing="1" w:line="480" w:lineRule="exact"/>
        <w:jc w:val="center"/>
        <w:rPr>
          <w:rFonts w:ascii="宋体" w:cs="宋体"/>
          <w:bCs/>
          <w:color w:val="auto"/>
          <w:sz w:val="24"/>
        </w:rPr>
      </w:pPr>
      <w:r>
        <w:rPr>
          <w:rFonts w:hint="eastAsia" w:ascii="宋体" w:hAnsi="宋体" w:cs="宋体"/>
          <w:bCs/>
          <w:color w:val="auto"/>
          <w:sz w:val="24"/>
        </w:rPr>
        <w:t>（三）拟投入项目人员汇总表</w:t>
      </w:r>
    </w:p>
    <w:tbl>
      <w:tblPr>
        <w:tblStyle w:val="19"/>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972"/>
        <w:gridCol w:w="1339"/>
        <w:gridCol w:w="1036"/>
        <w:gridCol w:w="1721"/>
        <w:gridCol w:w="3188"/>
      </w:tblGrid>
      <w:tr w14:paraId="487CA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tcBorders>
              <w:top w:val="single" w:color="auto" w:sz="4" w:space="0"/>
              <w:left w:val="single" w:color="auto" w:sz="4" w:space="0"/>
              <w:bottom w:val="single" w:color="auto" w:sz="4" w:space="0"/>
              <w:right w:val="single" w:color="auto" w:sz="4" w:space="0"/>
            </w:tcBorders>
            <w:vAlign w:val="center"/>
          </w:tcPr>
          <w:p w14:paraId="24A33406">
            <w:pPr>
              <w:jc w:val="center"/>
              <w:outlineLvl w:val="2"/>
              <w:rPr>
                <w:rFonts w:ascii="宋体" w:hAnsi="宋体" w:cs="宋体"/>
                <w:color w:val="auto"/>
                <w:kern w:val="0"/>
                <w:sz w:val="22"/>
                <w:szCs w:val="22"/>
              </w:rPr>
            </w:pPr>
            <w:bookmarkStart w:id="357" w:name="_Toc18603"/>
            <w:r>
              <w:rPr>
                <w:rFonts w:hint="eastAsia" w:ascii="宋体" w:hAnsi="宋体" w:cs="仿宋_GB2312"/>
                <w:color w:val="auto"/>
                <w:kern w:val="0"/>
                <w:sz w:val="22"/>
                <w:szCs w:val="22"/>
              </w:rPr>
              <w:t>人员类别</w:t>
            </w:r>
            <w:bookmarkEnd w:id="357"/>
          </w:p>
        </w:tc>
        <w:tc>
          <w:tcPr>
            <w:tcW w:w="972" w:type="dxa"/>
            <w:tcBorders>
              <w:top w:val="single" w:color="auto" w:sz="4" w:space="0"/>
              <w:left w:val="single" w:color="auto" w:sz="4" w:space="0"/>
              <w:bottom w:val="single" w:color="auto" w:sz="4" w:space="0"/>
              <w:right w:val="single" w:color="auto" w:sz="4" w:space="0"/>
            </w:tcBorders>
            <w:vAlign w:val="center"/>
          </w:tcPr>
          <w:p w14:paraId="7955017F">
            <w:pPr>
              <w:jc w:val="center"/>
              <w:outlineLvl w:val="2"/>
              <w:rPr>
                <w:rFonts w:ascii="宋体" w:hAnsi="宋体" w:cs="宋体"/>
                <w:color w:val="auto"/>
                <w:kern w:val="0"/>
                <w:sz w:val="22"/>
                <w:szCs w:val="22"/>
              </w:rPr>
            </w:pPr>
            <w:bookmarkStart w:id="358" w:name="_Toc30313"/>
            <w:r>
              <w:rPr>
                <w:rFonts w:hint="eastAsia" w:ascii="宋体" w:hAnsi="宋体" w:cs="仿宋_GB2312"/>
                <w:color w:val="auto"/>
                <w:kern w:val="0"/>
                <w:sz w:val="22"/>
                <w:szCs w:val="22"/>
              </w:rPr>
              <w:t>姓名</w:t>
            </w:r>
            <w:bookmarkEnd w:id="358"/>
          </w:p>
        </w:tc>
        <w:tc>
          <w:tcPr>
            <w:tcW w:w="1339" w:type="dxa"/>
            <w:tcBorders>
              <w:top w:val="single" w:color="auto" w:sz="4" w:space="0"/>
              <w:left w:val="single" w:color="auto" w:sz="4" w:space="0"/>
              <w:bottom w:val="single" w:color="auto" w:sz="4" w:space="0"/>
              <w:right w:val="single" w:color="auto" w:sz="4" w:space="0"/>
            </w:tcBorders>
            <w:vAlign w:val="center"/>
          </w:tcPr>
          <w:p w14:paraId="12BEB269">
            <w:pPr>
              <w:jc w:val="center"/>
              <w:outlineLvl w:val="2"/>
              <w:rPr>
                <w:rFonts w:ascii="宋体" w:hAnsi="宋体" w:cs="宋体"/>
                <w:color w:val="auto"/>
                <w:kern w:val="0"/>
                <w:sz w:val="22"/>
                <w:szCs w:val="22"/>
              </w:rPr>
            </w:pPr>
            <w:bookmarkStart w:id="359" w:name="_Toc15828"/>
            <w:r>
              <w:rPr>
                <w:rFonts w:hint="eastAsia" w:ascii="宋体" w:hAnsi="宋体" w:cs="仿宋_GB2312"/>
                <w:color w:val="auto"/>
                <w:kern w:val="0"/>
                <w:sz w:val="22"/>
                <w:szCs w:val="22"/>
              </w:rPr>
              <w:t>年龄</w:t>
            </w:r>
            <w:bookmarkEnd w:id="359"/>
          </w:p>
        </w:tc>
        <w:tc>
          <w:tcPr>
            <w:tcW w:w="1036" w:type="dxa"/>
            <w:tcBorders>
              <w:top w:val="single" w:color="auto" w:sz="4" w:space="0"/>
              <w:left w:val="single" w:color="auto" w:sz="4" w:space="0"/>
              <w:bottom w:val="single" w:color="auto" w:sz="4" w:space="0"/>
              <w:right w:val="single" w:color="auto" w:sz="4" w:space="0"/>
            </w:tcBorders>
            <w:vAlign w:val="center"/>
          </w:tcPr>
          <w:p w14:paraId="4387A0F9">
            <w:pPr>
              <w:jc w:val="center"/>
              <w:outlineLvl w:val="2"/>
              <w:rPr>
                <w:rFonts w:ascii="宋体" w:hAnsi="宋体" w:cs="宋体"/>
                <w:color w:val="auto"/>
                <w:kern w:val="0"/>
                <w:sz w:val="22"/>
                <w:szCs w:val="22"/>
              </w:rPr>
            </w:pPr>
            <w:bookmarkStart w:id="360" w:name="_Toc4817"/>
            <w:r>
              <w:rPr>
                <w:rFonts w:hint="eastAsia" w:ascii="宋体" w:hAnsi="宋体" w:cs="仿宋_GB2312"/>
                <w:color w:val="auto"/>
                <w:kern w:val="0"/>
                <w:sz w:val="22"/>
                <w:szCs w:val="22"/>
              </w:rPr>
              <w:t>性别</w:t>
            </w:r>
            <w:bookmarkEnd w:id="360"/>
          </w:p>
        </w:tc>
        <w:tc>
          <w:tcPr>
            <w:tcW w:w="1721" w:type="dxa"/>
            <w:tcBorders>
              <w:top w:val="single" w:color="auto" w:sz="4" w:space="0"/>
              <w:left w:val="single" w:color="auto" w:sz="4" w:space="0"/>
              <w:bottom w:val="single" w:color="auto" w:sz="4" w:space="0"/>
              <w:right w:val="single" w:color="auto" w:sz="4" w:space="0"/>
            </w:tcBorders>
            <w:vAlign w:val="center"/>
          </w:tcPr>
          <w:p w14:paraId="354DC09D">
            <w:pPr>
              <w:jc w:val="center"/>
              <w:outlineLvl w:val="2"/>
              <w:rPr>
                <w:rFonts w:ascii="宋体" w:hAnsi="宋体" w:cs="宋体"/>
                <w:color w:val="auto"/>
                <w:kern w:val="0"/>
                <w:sz w:val="22"/>
                <w:szCs w:val="22"/>
              </w:rPr>
            </w:pPr>
            <w:bookmarkStart w:id="361" w:name="_Toc31374"/>
            <w:r>
              <w:rPr>
                <w:rFonts w:hint="eastAsia" w:ascii="宋体" w:hAnsi="宋体" w:cs="仿宋_GB2312"/>
                <w:color w:val="auto"/>
                <w:kern w:val="0"/>
                <w:sz w:val="22"/>
                <w:szCs w:val="22"/>
              </w:rPr>
              <w:t>职务</w:t>
            </w:r>
            <w:bookmarkEnd w:id="361"/>
          </w:p>
          <w:p w14:paraId="4928EED1">
            <w:pPr>
              <w:jc w:val="center"/>
              <w:outlineLvl w:val="2"/>
              <w:rPr>
                <w:rFonts w:ascii="宋体" w:hAnsi="宋体" w:cs="宋体"/>
                <w:color w:val="auto"/>
                <w:kern w:val="0"/>
                <w:sz w:val="22"/>
                <w:szCs w:val="22"/>
              </w:rPr>
            </w:pPr>
            <w:bookmarkStart w:id="362" w:name="_Toc5617"/>
            <w:r>
              <w:rPr>
                <w:rFonts w:hint="eastAsia" w:ascii="宋体" w:hAnsi="宋体" w:cs="仿宋_GB2312"/>
                <w:color w:val="auto"/>
                <w:kern w:val="0"/>
                <w:sz w:val="22"/>
                <w:szCs w:val="22"/>
              </w:rPr>
              <w:t>或职称</w:t>
            </w:r>
            <w:bookmarkEnd w:id="362"/>
          </w:p>
        </w:tc>
        <w:tc>
          <w:tcPr>
            <w:tcW w:w="3188" w:type="dxa"/>
            <w:tcBorders>
              <w:top w:val="single" w:color="auto" w:sz="4" w:space="0"/>
              <w:left w:val="single" w:color="auto" w:sz="4" w:space="0"/>
              <w:bottom w:val="single" w:color="auto" w:sz="4" w:space="0"/>
              <w:right w:val="single" w:color="auto" w:sz="4" w:space="0"/>
            </w:tcBorders>
            <w:vAlign w:val="center"/>
          </w:tcPr>
          <w:p w14:paraId="7FE2E7BF">
            <w:pPr>
              <w:jc w:val="center"/>
              <w:outlineLvl w:val="2"/>
              <w:rPr>
                <w:rFonts w:ascii="宋体" w:hAnsi="宋体" w:cs="宋体"/>
                <w:color w:val="auto"/>
                <w:kern w:val="0"/>
                <w:sz w:val="22"/>
                <w:szCs w:val="22"/>
              </w:rPr>
            </w:pPr>
            <w:bookmarkStart w:id="363" w:name="_Toc30697"/>
            <w:r>
              <w:rPr>
                <w:rFonts w:hint="eastAsia" w:ascii="宋体" w:hAnsi="宋体" w:cs="仿宋_GB2312"/>
                <w:color w:val="auto"/>
                <w:kern w:val="0"/>
                <w:sz w:val="22"/>
                <w:szCs w:val="22"/>
              </w:rPr>
              <w:t>专业经验、相关业绩及</w:t>
            </w:r>
            <w:bookmarkEnd w:id="363"/>
          </w:p>
          <w:p w14:paraId="06D409D4">
            <w:pPr>
              <w:jc w:val="center"/>
              <w:outlineLvl w:val="2"/>
              <w:rPr>
                <w:rFonts w:ascii="宋体" w:hAnsi="宋体" w:cs="宋体"/>
                <w:color w:val="auto"/>
                <w:kern w:val="0"/>
                <w:sz w:val="22"/>
                <w:szCs w:val="22"/>
              </w:rPr>
            </w:pPr>
            <w:bookmarkStart w:id="364" w:name="_Toc29133"/>
            <w:r>
              <w:rPr>
                <w:rFonts w:hint="eastAsia" w:ascii="宋体" w:hAnsi="宋体" w:cs="仿宋_GB2312"/>
                <w:color w:val="auto"/>
                <w:kern w:val="0"/>
                <w:sz w:val="22"/>
                <w:szCs w:val="22"/>
              </w:rPr>
              <w:t>拟在本项目中承担分工</w:t>
            </w:r>
            <w:bookmarkEnd w:id="364"/>
          </w:p>
        </w:tc>
      </w:tr>
      <w:tr w14:paraId="39F6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restart"/>
            <w:tcBorders>
              <w:top w:val="single" w:color="auto" w:sz="4" w:space="0"/>
              <w:left w:val="single" w:color="auto" w:sz="4" w:space="0"/>
              <w:bottom w:val="single" w:color="auto" w:sz="4" w:space="0"/>
              <w:right w:val="single" w:color="auto" w:sz="4" w:space="0"/>
            </w:tcBorders>
            <w:vAlign w:val="center"/>
          </w:tcPr>
          <w:p w14:paraId="3AF7D277">
            <w:pPr>
              <w:jc w:val="center"/>
              <w:outlineLvl w:val="2"/>
              <w:rPr>
                <w:rFonts w:ascii="宋体" w:hAnsi="宋体" w:cs="宋体"/>
                <w:color w:val="auto"/>
                <w:kern w:val="0"/>
                <w:sz w:val="22"/>
                <w:szCs w:val="22"/>
              </w:rPr>
            </w:pPr>
            <w:bookmarkStart w:id="365" w:name="_Toc12332"/>
            <w:r>
              <w:rPr>
                <w:rFonts w:hint="eastAsia" w:ascii="宋体" w:hAnsi="宋体" w:cs="仿宋_GB2312"/>
                <w:color w:val="auto"/>
                <w:kern w:val="0"/>
                <w:sz w:val="22"/>
                <w:szCs w:val="22"/>
              </w:rPr>
              <w:t>项目</w:t>
            </w:r>
            <w:bookmarkEnd w:id="365"/>
          </w:p>
          <w:p w14:paraId="5A050E91">
            <w:pPr>
              <w:jc w:val="center"/>
              <w:outlineLvl w:val="2"/>
              <w:rPr>
                <w:rFonts w:ascii="宋体" w:hAnsi="宋体" w:cs="宋体"/>
                <w:color w:val="auto"/>
                <w:kern w:val="0"/>
                <w:sz w:val="22"/>
                <w:szCs w:val="22"/>
              </w:rPr>
            </w:pPr>
            <w:bookmarkStart w:id="366" w:name="_Toc3741"/>
            <w:r>
              <w:rPr>
                <w:rFonts w:hint="eastAsia" w:ascii="宋体" w:hAnsi="宋体" w:cs="仿宋_GB2312"/>
                <w:color w:val="auto"/>
                <w:kern w:val="0"/>
                <w:sz w:val="22"/>
                <w:szCs w:val="22"/>
              </w:rPr>
              <w:t>负责人</w:t>
            </w:r>
            <w:bookmarkEnd w:id="366"/>
          </w:p>
        </w:tc>
        <w:tc>
          <w:tcPr>
            <w:tcW w:w="972" w:type="dxa"/>
            <w:tcBorders>
              <w:top w:val="single" w:color="auto" w:sz="4" w:space="0"/>
              <w:left w:val="single" w:color="auto" w:sz="4" w:space="0"/>
              <w:bottom w:val="single" w:color="auto" w:sz="4" w:space="0"/>
              <w:right w:val="single" w:color="auto" w:sz="4" w:space="0"/>
            </w:tcBorders>
            <w:vAlign w:val="center"/>
          </w:tcPr>
          <w:p w14:paraId="34DDD136">
            <w:pPr>
              <w:jc w:val="center"/>
              <w:outlineLvl w:val="9"/>
              <w:rPr>
                <w:rFonts w:ascii="宋体" w:hAnsi="宋体" w:cs="宋体"/>
                <w:color w:val="auto"/>
                <w:kern w:val="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48E04B11">
            <w:pPr>
              <w:jc w:val="center"/>
              <w:outlineLvl w:val="9"/>
              <w:rPr>
                <w:rFonts w:ascii="宋体" w:hAnsi="宋体" w:cs="宋体"/>
                <w:color w:val="auto"/>
                <w:kern w:val="0"/>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789E4775">
            <w:pPr>
              <w:jc w:val="center"/>
              <w:outlineLvl w:val="9"/>
              <w:rPr>
                <w:rFonts w:ascii="宋体" w:hAnsi="宋体" w:cs="宋体"/>
                <w:color w:val="auto"/>
                <w:kern w:val="0"/>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69C3A9FF">
            <w:pPr>
              <w:jc w:val="center"/>
              <w:outlineLvl w:val="9"/>
              <w:rPr>
                <w:rFonts w:ascii="宋体" w:hAnsi="宋体" w:cs="宋体"/>
                <w:color w:val="auto"/>
                <w:kern w:val="0"/>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69219887">
            <w:pPr>
              <w:jc w:val="center"/>
              <w:outlineLvl w:val="9"/>
              <w:rPr>
                <w:rFonts w:ascii="宋体" w:hAnsi="宋体" w:cs="宋体"/>
                <w:color w:val="auto"/>
                <w:kern w:val="0"/>
                <w:sz w:val="22"/>
                <w:szCs w:val="22"/>
              </w:rPr>
            </w:pPr>
          </w:p>
        </w:tc>
      </w:tr>
      <w:tr w14:paraId="6A96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3A5106E0">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5D27DFEC">
            <w:pPr>
              <w:jc w:val="center"/>
              <w:outlineLvl w:val="9"/>
              <w:rPr>
                <w:rFonts w:ascii="宋体" w:hAnsi="宋体" w:cs="宋体"/>
                <w:color w:val="auto"/>
                <w:kern w:val="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73F89A3A">
            <w:pPr>
              <w:jc w:val="center"/>
              <w:outlineLvl w:val="9"/>
              <w:rPr>
                <w:rFonts w:ascii="宋体" w:hAnsi="宋体" w:cs="宋体"/>
                <w:color w:val="auto"/>
                <w:kern w:val="0"/>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485B65B8">
            <w:pPr>
              <w:jc w:val="center"/>
              <w:outlineLvl w:val="9"/>
              <w:rPr>
                <w:rFonts w:ascii="宋体" w:hAnsi="宋体" w:cs="宋体"/>
                <w:color w:val="auto"/>
                <w:kern w:val="0"/>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13F04C71">
            <w:pPr>
              <w:jc w:val="center"/>
              <w:outlineLvl w:val="9"/>
              <w:rPr>
                <w:rFonts w:ascii="宋体" w:hAnsi="宋体" w:cs="宋体"/>
                <w:color w:val="auto"/>
                <w:kern w:val="0"/>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5A531F05">
            <w:pPr>
              <w:jc w:val="center"/>
              <w:outlineLvl w:val="9"/>
              <w:rPr>
                <w:rFonts w:ascii="宋体" w:hAnsi="宋体" w:cs="宋体"/>
                <w:color w:val="auto"/>
                <w:kern w:val="0"/>
                <w:sz w:val="22"/>
                <w:szCs w:val="22"/>
              </w:rPr>
            </w:pPr>
          </w:p>
        </w:tc>
      </w:tr>
      <w:tr w14:paraId="52BF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restart"/>
            <w:tcBorders>
              <w:top w:val="single" w:color="auto" w:sz="4" w:space="0"/>
              <w:left w:val="single" w:color="auto" w:sz="4" w:space="0"/>
              <w:bottom w:val="single" w:color="auto" w:sz="4" w:space="0"/>
              <w:right w:val="single" w:color="auto" w:sz="4" w:space="0"/>
            </w:tcBorders>
            <w:vAlign w:val="center"/>
          </w:tcPr>
          <w:p w14:paraId="410A737B">
            <w:pPr>
              <w:jc w:val="center"/>
              <w:outlineLvl w:val="2"/>
              <w:rPr>
                <w:rFonts w:ascii="宋体" w:hAnsi="宋体" w:cs="宋体"/>
                <w:color w:val="auto"/>
                <w:kern w:val="0"/>
                <w:sz w:val="22"/>
                <w:szCs w:val="22"/>
              </w:rPr>
            </w:pPr>
            <w:bookmarkStart w:id="367" w:name="_Toc3475"/>
            <w:r>
              <w:rPr>
                <w:rFonts w:hint="eastAsia" w:ascii="宋体" w:hAnsi="宋体" w:cs="仿宋_GB2312"/>
                <w:color w:val="auto"/>
                <w:kern w:val="0"/>
                <w:sz w:val="22"/>
                <w:szCs w:val="22"/>
              </w:rPr>
              <w:t>其 他</w:t>
            </w:r>
            <w:bookmarkEnd w:id="367"/>
          </w:p>
          <w:p w14:paraId="54CD0FD7">
            <w:pPr>
              <w:jc w:val="center"/>
              <w:outlineLvl w:val="2"/>
              <w:rPr>
                <w:rFonts w:ascii="宋体" w:hAnsi="宋体" w:cs="宋体"/>
                <w:color w:val="auto"/>
                <w:kern w:val="0"/>
                <w:sz w:val="22"/>
                <w:szCs w:val="22"/>
              </w:rPr>
            </w:pPr>
            <w:bookmarkStart w:id="368" w:name="_Toc19718"/>
            <w:r>
              <w:rPr>
                <w:rFonts w:hint="eastAsia" w:ascii="宋体" w:hAnsi="宋体" w:cs="仿宋_GB2312"/>
                <w:color w:val="auto"/>
                <w:kern w:val="0"/>
                <w:sz w:val="22"/>
                <w:szCs w:val="22"/>
              </w:rPr>
              <w:t>人 员</w:t>
            </w:r>
            <w:bookmarkEnd w:id="368"/>
          </w:p>
        </w:tc>
        <w:tc>
          <w:tcPr>
            <w:tcW w:w="972" w:type="dxa"/>
            <w:tcBorders>
              <w:top w:val="single" w:color="auto" w:sz="4" w:space="0"/>
              <w:left w:val="single" w:color="auto" w:sz="4" w:space="0"/>
              <w:bottom w:val="single" w:color="auto" w:sz="4" w:space="0"/>
              <w:right w:val="single" w:color="auto" w:sz="4" w:space="0"/>
            </w:tcBorders>
            <w:vAlign w:val="center"/>
          </w:tcPr>
          <w:p w14:paraId="4EC8FDDC">
            <w:pPr>
              <w:jc w:val="center"/>
              <w:outlineLvl w:val="9"/>
              <w:rPr>
                <w:rFonts w:ascii="宋体" w:hAnsi="宋体" w:cs="宋体"/>
                <w:color w:val="auto"/>
                <w:kern w:val="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50B77D2F">
            <w:pPr>
              <w:jc w:val="center"/>
              <w:outlineLvl w:val="9"/>
              <w:rPr>
                <w:rFonts w:ascii="宋体" w:hAnsi="宋体" w:cs="宋体"/>
                <w:color w:val="auto"/>
                <w:kern w:val="0"/>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296391C3">
            <w:pPr>
              <w:jc w:val="center"/>
              <w:outlineLvl w:val="9"/>
              <w:rPr>
                <w:rFonts w:ascii="宋体" w:hAnsi="宋体" w:cs="宋体"/>
                <w:color w:val="auto"/>
                <w:kern w:val="0"/>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68702B47">
            <w:pPr>
              <w:jc w:val="center"/>
              <w:outlineLvl w:val="9"/>
              <w:rPr>
                <w:rFonts w:ascii="宋体" w:hAnsi="宋体" w:cs="宋体"/>
                <w:color w:val="auto"/>
                <w:kern w:val="0"/>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33BDAB0C">
            <w:pPr>
              <w:jc w:val="center"/>
              <w:outlineLvl w:val="9"/>
              <w:rPr>
                <w:rFonts w:ascii="宋体" w:hAnsi="宋体" w:cs="宋体"/>
                <w:color w:val="auto"/>
                <w:kern w:val="0"/>
                <w:sz w:val="22"/>
                <w:szCs w:val="22"/>
              </w:rPr>
            </w:pPr>
          </w:p>
        </w:tc>
      </w:tr>
      <w:tr w14:paraId="32D2C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208C4FF6">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4856D0B5">
            <w:pPr>
              <w:jc w:val="center"/>
              <w:outlineLvl w:val="9"/>
              <w:rPr>
                <w:rFonts w:ascii="宋体" w:hAnsi="宋体" w:cs="宋体"/>
                <w:color w:val="auto"/>
                <w:kern w:val="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618EEB92">
            <w:pPr>
              <w:jc w:val="center"/>
              <w:outlineLvl w:val="9"/>
              <w:rPr>
                <w:rFonts w:ascii="宋体" w:hAnsi="宋体" w:cs="宋体"/>
                <w:color w:val="auto"/>
                <w:kern w:val="0"/>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4FF0DCD4">
            <w:pPr>
              <w:jc w:val="center"/>
              <w:outlineLvl w:val="9"/>
              <w:rPr>
                <w:rFonts w:ascii="宋体" w:hAnsi="宋体" w:cs="宋体"/>
                <w:color w:val="auto"/>
                <w:kern w:val="0"/>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077F639D">
            <w:pPr>
              <w:jc w:val="center"/>
              <w:outlineLvl w:val="9"/>
              <w:rPr>
                <w:rFonts w:ascii="宋体" w:hAnsi="宋体" w:cs="宋体"/>
                <w:color w:val="auto"/>
                <w:kern w:val="0"/>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29B91B4C">
            <w:pPr>
              <w:jc w:val="center"/>
              <w:outlineLvl w:val="9"/>
              <w:rPr>
                <w:rFonts w:ascii="宋体" w:hAnsi="宋体" w:cs="宋体"/>
                <w:color w:val="auto"/>
                <w:kern w:val="0"/>
                <w:sz w:val="22"/>
                <w:szCs w:val="22"/>
              </w:rPr>
            </w:pPr>
          </w:p>
        </w:tc>
      </w:tr>
      <w:tr w14:paraId="4232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2979BDE7">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53426546">
            <w:pPr>
              <w:jc w:val="center"/>
              <w:outlineLvl w:val="9"/>
              <w:rPr>
                <w:rFonts w:ascii="宋体" w:hAnsi="宋体" w:cs="宋体"/>
                <w:color w:val="auto"/>
                <w:kern w:val="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3FDF8E76">
            <w:pPr>
              <w:jc w:val="center"/>
              <w:outlineLvl w:val="9"/>
              <w:rPr>
                <w:rFonts w:ascii="宋体" w:hAnsi="宋体" w:cs="宋体"/>
                <w:color w:val="auto"/>
                <w:kern w:val="0"/>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7013BD07">
            <w:pPr>
              <w:jc w:val="center"/>
              <w:outlineLvl w:val="9"/>
              <w:rPr>
                <w:rFonts w:ascii="宋体" w:hAnsi="宋体" w:cs="宋体"/>
                <w:color w:val="auto"/>
                <w:kern w:val="0"/>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6C9AEB70">
            <w:pPr>
              <w:jc w:val="center"/>
              <w:outlineLvl w:val="9"/>
              <w:rPr>
                <w:rFonts w:ascii="宋体" w:hAnsi="宋体" w:cs="宋体"/>
                <w:color w:val="auto"/>
                <w:kern w:val="0"/>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05B8F109">
            <w:pPr>
              <w:jc w:val="center"/>
              <w:outlineLvl w:val="9"/>
              <w:rPr>
                <w:rFonts w:ascii="宋体" w:hAnsi="宋体" w:cs="宋体"/>
                <w:color w:val="auto"/>
                <w:kern w:val="0"/>
                <w:sz w:val="22"/>
                <w:szCs w:val="22"/>
              </w:rPr>
            </w:pPr>
          </w:p>
        </w:tc>
      </w:tr>
      <w:tr w14:paraId="1168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467C2D4F">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3549226F">
            <w:pPr>
              <w:jc w:val="center"/>
              <w:outlineLvl w:val="9"/>
              <w:rPr>
                <w:rFonts w:ascii="宋体" w:hAnsi="宋体" w:cs="宋体"/>
                <w:color w:val="auto"/>
                <w:kern w:val="0"/>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0124AB8D">
            <w:pPr>
              <w:jc w:val="center"/>
              <w:outlineLvl w:val="9"/>
              <w:rPr>
                <w:rFonts w:ascii="宋体" w:hAnsi="宋体" w:cs="宋体"/>
                <w:color w:val="auto"/>
                <w:kern w:val="0"/>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45216644">
            <w:pPr>
              <w:jc w:val="center"/>
              <w:outlineLvl w:val="9"/>
              <w:rPr>
                <w:rFonts w:ascii="宋体" w:hAnsi="宋体" w:cs="宋体"/>
                <w:color w:val="auto"/>
                <w:kern w:val="0"/>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24AB21F9">
            <w:pPr>
              <w:jc w:val="center"/>
              <w:outlineLvl w:val="9"/>
              <w:rPr>
                <w:rFonts w:ascii="宋体" w:hAnsi="宋体" w:cs="宋体"/>
                <w:color w:val="auto"/>
                <w:kern w:val="0"/>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386ABF0B">
            <w:pPr>
              <w:jc w:val="center"/>
              <w:outlineLvl w:val="9"/>
              <w:rPr>
                <w:rFonts w:ascii="宋体" w:hAnsi="宋体" w:cs="宋体"/>
                <w:color w:val="auto"/>
                <w:kern w:val="0"/>
                <w:sz w:val="22"/>
                <w:szCs w:val="22"/>
              </w:rPr>
            </w:pPr>
          </w:p>
        </w:tc>
      </w:tr>
      <w:tr w14:paraId="6B473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22D08705">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343504FD">
            <w:pPr>
              <w:spacing w:beforeLines="50"/>
              <w:jc w:val="center"/>
              <w:rPr>
                <w:rFonts w:ascii="宋体" w:hAnsi="宋体" w:cs="宋体"/>
                <w:color w:val="auto"/>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4C104FC4">
            <w:pPr>
              <w:spacing w:beforeLines="50"/>
              <w:jc w:val="center"/>
              <w:rPr>
                <w:rFonts w:ascii="宋体" w:hAnsi="宋体" w:cs="宋体"/>
                <w:color w:val="auto"/>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1C915295">
            <w:pPr>
              <w:spacing w:beforeLines="50"/>
              <w:jc w:val="center"/>
              <w:rPr>
                <w:rFonts w:ascii="宋体" w:hAnsi="宋体" w:cs="宋体"/>
                <w:color w:val="auto"/>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7EBF0F2D">
            <w:pPr>
              <w:spacing w:beforeLines="50"/>
              <w:jc w:val="center"/>
              <w:rPr>
                <w:rFonts w:ascii="宋体" w:hAnsi="宋体" w:cs="宋体"/>
                <w:color w:val="auto"/>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57F1FFA8">
            <w:pPr>
              <w:spacing w:beforeLines="50"/>
              <w:jc w:val="center"/>
              <w:rPr>
                <w:rFonts w:ascii="宋体" w:hAnsi="宋体" w:cs="宋体"/>
                <w:color w:val="auto"/>
                <w:sz w:val="22"/>
                <w:szCs w:val="22"/>
              </w:rPr>
            </w:pPr>
          </w:p>
        </w:tc>
      </w:tr>
      <w:tr w14:paraId="1517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161A1C54">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5290A295">
            <w:pPr>
              <w:spacing w:beforeLines="50"/>
              <w:jc w:val="center"/>
              <w:rPr>
                <w:rFonts w:ascii="宋体" w:hAnsi="宋体" w:cs="宋体"/>
                <w:color w:val="auto"/>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6FEABD5F">
            <w:pPr>
              <w:spacing w:beforeLines="50"/>
              <w:jc w:val="center"/>
              <w:rPr>
                <w:rFonts w:ascii="宋体" w:hAnsi="宋体" w:cs="宋体"/>
                <w:color w:val="auto"/>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46CE2B8C">
            <w:pPr>
              <w:spacing w:beforeLines="50"/>
              <w:jc w:val="center"/>
              <w:rPr>
                <w:rFonts w:ascii="宋体" w:hAnsi="宋体" w:cs="宋体"/>
                <w:color w:val="auto"/>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28B77B33">
            <w:pPr>
              <w:spacing w:beforeLines="50"/>
              <w:jc w:val="center"/>
              <w:rPr>
                <w:rFonts w:ascii="宋体" w:hAnsi="宋体" w:cs="宋体"/>
                <w:color w:val="auto"/>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143C2613">
            <w:pPr>
              <w:spacing w:beforeLines="50"/>
              <w:jc w:val="center"/>
              <w:rPr>
                <w:rFonts w:ascii="宋体" w:hAnsi="宋体" w:cs="宋体"/>
                <w:color w:val="auto"/>
                <w:sz w:val="22"/>
                <w:szCs w:val="22"/>
              </w:rPr>
            </w:pPr>
          </w:p>
        </w:tc>
      </w:tr>
      <w:tr w14:paraId="7A66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34CBAA74">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00D930F1">
            <w:pPr>
              <w:spacing w:beforeLines="50"/>
              <w:jc w:val="center"/>
              <w:rPr>
                <w:rFonts w:ascii="宋体" w:hAnsi="宋体" w:cs="宋体"/>
                <w:color w:val="auto"/>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469794E1">
            <w:pPr>
              <w:spacing w:beforeLines="50"/>
              <w:jc w:val="center"/>
              <w:rPr>
                <w:rFonts w:ascii="宋体" w:hAnsi="宋体" w:cs="宋体"/>
                <w:color w:val="auto"/>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119E19B4">
            <w:pPr>
              <w:spacing w:beforeLines="50"/>
              <w:jc w:val="center"/>
              <w:rPr>
                <w:rFonts w:ascii="宋体" w:hAnsi="宋体" w:cs="宋体"/>
                <w:color w:val="auto"/>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2D4D81AD">
            <w:pPr>
              <w:spacing w:beforeLines="50"/>
              <w:jc w:val="center"/>
              <w:rPr>
                <w:rFonts w:ascii="宋体" w:hAnsi="宋体" w:cs="宋体"/>
                <w:color w:val="auto"/>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06318B40">
            <w:pPr>
              <w:spacing w:beforeLines="50"/>
              <w:jc w:val="center"/>
              <w:rPr>
                <w:rFonts w:ascii="宋体" w:hAnsi="宋体" w:cs="宋体"/>
                <w:color w:val="auto"/>
                <w:sz w:val="22"/>
                <w:szCs w:val="22"/>
              </w:rPr>
            </w:pPr>
          </w:p>
        </w:tc>
      </w:tr>
      <w:tr w14:paraId="3ECC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1263" w:type="dxa"/>
            <w:vMerge w:val="continue"/>
            <w:tcBorders>
              <w:top w:val="single" w:color="auto" w:sz="4" w:space="0"/>
              <w:left w:val="single" w:color="auto" w:sz="4" w:space="0"/>
              <w:bottom w:val="single" w:color="auto" w:sz="4" w:space="0"/>
              <w:right w:val="single" w:color="auto" w:sz="4" w:space="0"/>
            </w:tcBorders>
            <w:vAlign w:val="center"/>
          </w:tcPr>
          <w:p w14:paraId="243FF7FD">
            <w:pPr>
              <w:rPr>
                <w:rFonts w:ascii="Calibri" w:hAnsi="Calibri"/>
                <w:color w:val="auto"/>
                <w:sz w:val="20"/>
                <w:szCs w:val="21"/>
              </w:rPr>
            </w:pPr>
          </w:p>
        </w:tc>
        <w:tc>
          <w:tcPr>
            <w:tcW w:w="972" w:type="dxa"/>
            <w:tcBorders>
              <w:top w:val="single" w:color="auto" w:sz="4" w:space="0"/>
              <w:left w:val="single" w:color="auto" w:sz="4" w:space="0"/>
              <w:bottom w:val="single" w:color="auto" w:sz="4" w:space="0"/>
              <w:right w:val="single" w:color="auto" w:sz="4" w:space="0"/>
            </w:tcBorders>
            <w:vAlign w:val="center"/>
          </w:tcPr>
          <w:p w14:paraId="5C783421">
            <w:pPr>
              <w:spacing w:beforeLines="50"/>
              <w:jc w:val="center"/>
              <w:rPr>
                <w:rFonts w:ascii="宋体" w:hAnsi="宋体" w:cs="宋体"/>
                <w:color w:val="auto"/>
                <w:sz w:val="22"/>
                <w:szCs w:val="22"/>
              </w:rPr>
            </w:pPr>
          </w:p>
        </w:tc>
        <w:tc>
          <w:tcPr>
            <w:tcW w:w="1339" w:type="dxa"/>
            <w:tcBorders>
              <w:top w:val="single" w:color="auto" w:sz="4" w:space="0"/>
              <w:left w:val="single" w:color="auto" w:sz="4" w:space="0"/>
              <w:bottom w:val="single" w:color="auto" w:sz="4" w:space="0"/>
              <w:right w:val="single" w:color="auto" w:sz="4" w:space="0"/>
            </w:tcBorders>
            <w:vAlign w:val="center"/>
          </w:tcPr>
          <w:p w14:paraId="270ED39E">
            <w:pPr>
              <w:spacing w:beforeLines="50"/>
              <w:jc w:val="center"/>
              <w:rPr>
                <w:rFonts w:ascii="宋体" w:hAnsi="宋体" w:cs="宋体"/>
                <w:color w:val="auto"/>
                <w:sz w:val="22"/>
                <w:szCs w:val="22"/>
              </w:rPr>
            </w:pPr>
          </w:p>
        </w:tc>
        <w:tc>
          <w:tcPr>
            <w:tcW w:w="1036" w:type="dxa"/>
            <w:tcBorders>
              <w:top w:val="single" w:color="auto" w:sz="4" w:space="0"/>
              <w:left w:val="single" w:color="auto" w:sz="4" w:space="0"/>
              <w:bottom w:val="single" w:color="auto" w:sz="4" w:space="0"/>
              <w:right w:val="single" w:color="auto" w:sz="4" w:space="0"/>
            </w:tcBorders>
            <w:vAlign w:val="center"/>
          </w:tcPr>
          <w:p w14:paraId="00102E19">
            <w:pPr>
              <w:spacing w:beforeLines="50"/>
              <w:jc w:val="center"/>
              <w:rPr>
                <w:rFonts w:ascii="宋体" w:hAnsi="宋体" w:cs="宋体"/>
                <w:color w:val="auto"/>
                <w:sz w:val="22"/>
                <w:szCs w:val="22"/>
              </w:rPr>
            </w:pPr>
          </w:p>
        </w:tc>
        <w:tc>
          <w:tcPr>
            <w:tcW w:w="1721" w:type="dxa"/>
            <w:tcBorders>
              <w:top w:val="single" w:color="auto" w:sz="4" w:space="0"/>
              <w:left w:val="single" w:color="auto" w:sz="4" w:space="0"/>
              <w:bottom w:val="single" w:color="auto" w:sz="4" w:space="0"/>
              <w:right w:val="single" w:color="auto" w:sz="4" w:space="0"/>
            </w:tcBorders>
            <w:vAlign w:val="center"/>
          </w:tcPr>
          <w:p w14:paraId="40945AAC">
            <w:pPr>
              <w:spacing w:beforeLines="50"/>
              <w:jc w:val="center"/>
              <w:rPr>
                <w:rFonts w:ascii="宋体" w:hAnsi="宋体" w:cs="宋体"/>
                <w:color w:val="auto"/>
                <w:sz w:val="22"/>
                <w:szCs w:val="22"/>
              </w:rPr>
            </w:pPr>
          </w:p>
        </w:tc>
        <w:tc>
          <w:tcPr>
            <w:tcW w:w="3188" w:type="dxa"/>
            <w:tcBorders>
              <w:top w:val="single" w:color="auto" w:sz="4" w:space="0"/>
              <w:left w:val="single" w:color="auto" w:sz="4" w:space="0"/>
              <w:bottom w:val="single" w:color="auto" w:sz="4" w:space="0"/>
              <w:right w:val="single" w:color="auto" w:sz="4" w:space="0"/>
            </w:tcBorders>
            <w:vAlign w:val="center"/>
          </w:tcPr>
          <w:p w14:paraId="727435AF">
            <w:pPr>
              <w:spacing w:beforeLines="50"/>
              <w:jc w:val="center"/>
              <w:rPr>
                <w:rFonts w:ascii="宋体" w:hAnsi="宋体" w:cs="宋体"/>
                <w:color w:val="auto"/>
                <w:sz w:val="22"/>
                <w:szCs w:val="22"/>
              </w:rPr>
            </w:pPr>
          </w:p>
        </w:tc>
      </w:tr>
    </w:tbl>
    <w:p w14:paraId="69013D96">
      <w:pPr>
        <w:pageBreakBefore/>
        <w:spacing w:line="480" w:lineRule="exact"/>
        <w:jc w:val="center"/>
        <w:rPr>
          <w:rFonts w:ascii="宋体" w:cs="宋体"/>
          <w:b/>
          <w:color w:val="auto"/>
          <w:sz w:val="24"/>
        </w:rPr>
      </w:pPr>
      <w:r>
        <w:rPr>
          <w:rFonts w:hint="eastAsia" w:ascii="宋体" w:hAnsi="宋体" w:cs="宋体"/>
          <w:color w:val="auto"/>
          <w:kern w:val="1"/>
          <w:sz w:val="24"/>
        </w:rPr>
        <w:t>（四）主要人员简历表</w:t>
      </w:r>
    </w:p>
    <w:p w14:paraId="5EB2F87A">
      <w:pPr>
        <w:adjustRightInd w:val="0"/>
        <w:snapToGrid w:val="0"/>
        <w:spacing w:after="100" w:afterAutospacing="1" w:line="480" w:lineRule="exact"/>
        <w:jc w:val="center"/>
        <w:rPr>
          <w:rFonts w:ascii="宋体" w:cs="宋体"/>
          <w:b/>
          <w:color w:val="auto"/>
        </w:rPr>
      </w:pPr>
      <w:r>
        <w:rPr>
          <w:rFonts w:ascii="宋体" w:hAnsi="宋体" w:cs="宋体"/>
          <w:b/>
          <w:color w:val="auto"/>
        </w:rPr>
        <w:t>1</w:t>
      </w:r>
      <w:r>
        <w:rPr>
          <w:rFonts w:hint="eastAsia" w:ascii="宋体" w:hAnsi="宋体" w:cs="宋体"/>
          <w:b/>
          <w:color w:val="auto"/>
        </w:rPr>
        <w:t>、项目负责人基本情况表</w:t>
      </w:r>
    </w:p>
    <w:tbl>
      <w:tblPr>
        <w:tblStyle w:val="19"/>
        <w:tblW w:w="8380" w:type="dxa"/>
        <w:jc w:val="center"/>
        <w:tblLayout w:type="fixed"/>
        <w:tblCellMar>
          <w:top w:w="0" w:type="dxa"/>
          <w:left w:w="0" w:type="dxa"/>
          <w:bottom w:w="0" w:type="dxa"/>
          <w:right w:w="0" w:type="dxa"/>
        </w:tblCellMar>
      </w:tblPr>
      <w:tblGrid>
        <w:gridCol w:w="720"/>
        <w:gridCol w:w="811"/>
        <w:gridCol w:w="556"/>
        <w:gridCol w:w="1063"/>
        <w:gridCol w:w="730"/>
        <w:gridCol w:w="746"/>
        <w:gridCol w:w="1833"/>
        <w:gridCol w:w="1921"/>
      </w:tblGrid>
      <w:tr w14:paraId="13FF046C">
        <w:tblPrEx>
          <w:tblCellMar>
            <w:top w:w="0" w:type="dxa"/>
            <w:left w:w="0" w:type="dxa"/>
            <w:bottom w:w="0" w:type="dxa"/>
            <w:right w:w="0" w:type="dxa"/>
          </w:tblCellMar>
        </w:tblPrEx>
        <w:trPr>
          <w:trHeight w:val="680"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5CA11329">
            <w:pPr>
              <w:adjustRightInd w:val="0"/>
              <w:snapToGrid w:val="0"/>
              <w:spacing w:line="480" w:lineRule="exact"/>
              <w:jc w:val="center"/>
              <w:rPr>
                <w:rFonts w:ascii="宋体" w:cs="宋体"/>
                <w:color w:val="auto"/>
              </w:rPr>
            </w:pPr>
            <w:r>
              <w:rPr>
                <w:rFonts w:hint="eastAsia" w:ascii="宋体" w:hAnsi="宋体" w:cs="宋体"/>
                <w:color w:val="auto"/>
              </w:rPr>
              <w:t>姓名</w:t>
            </w:r>
          </w:p>
        </w:tc>
        <w:tc>
          <w:tcPr>
            <w:tcW w:w="1619" w:type="dxa"/>
            <w:gridSpan w:val="2"/>
            <w:tcBorders>
              <w:top w:val="single" w:color="auto" w:sz="8" w:space="0"/>
              <w:left w:val="single" w:color="auto" w:sz="8" w:space="0"/>
              <w:bottom w:val="single" w:color="auto" w:sz="8" w:space="0"/>
              <w:right w:val="single" w:color="auto" w:sz="8" w:space="0"/>
            </w:tcBorders>
            <w:vAlign w:val="center"/>
          </w:tcPr>
          <w:p w14:paraId="78965BD2">
            <w:pPr>
              <w:adjustRightInd w:val="0"/>
              <w:snapToGrid w:val="0"/>
              <w:spacing w:line="480" w:lineRule="exact"/>
              <w:jc w:val="center"/>
              <w:rPr>
                <w:rFonts w:ascii="宋体" w:cs="宋体"/>
                <w:color w:val="auto"/>
              </w:rPr>
            </w:pPr>
          </w:p>
        </w:tc>
        <w:tc>
          <w:tcPr>
            <w:tcW w:w="730" w:type="dxa"/>
            <w:tcBorders>
              <w:top w:val="single" w:color="auto" w:sz="8" w:space="0"/>
              <w:left w:val="single" w:color="auto" w:sz="8" w:space="0"/>
              <w:bottom w:val="single" w:color="auto" w:sz="8" w:space="0"/>
              <w:right w:val="single" w:color="auto" w:sz="8" w:space="0"/>
            </w:tcBorders>
            <w:vAlign w:val="center"/>
          </w:tcPr>
          <w:p w14:paraId="717A0893">
            <w:pPr>
              <w:adjustRightInd w:val="0"/>
              <w:snapToGrid w:val="0"/>
              <w:spacing w:line="480" w:lineRule="exact"/>
              <w:jc w:val="center"/>
              <w:rPr>
                <w:rFonts w:ascii="宋体" w:cs="宋体"/>
                <w:color w:val="auto"/>
              </w:rPr>
            </w:pPr>
            <w:r>
              <w:rPr>
                <w:rFonts w:hint="eastAsia" w:ascii="宋体" w:hAnsi="宋体" w:cs="宋体"/>
                <w:color w:val="auto"/>
              </w:rPr>
              <w:t>性别</w:t>
            </w:r>
          </w:p>
        </w:tc>
        <w:tc>
          <w:tcPr>
            <w:tcW w:w="746" w:type="dxa"/>
            <w:tcBorders>
              <w:top w:val="single" w:color="auto" w:sz="8" w:space="0"/>
              <w:left w:val="single" w:color="auto" w:sz="8" w:space="0"/>
              <w:bottom w:val="single" w:color="auto" w:sz="8" w:space="0"/>
              <w:right w:val="single" w:color="auto" w:sz="8" w:space="0"/>
            </w:tcBorders>
            <w:vAlign w:val="center"/>
          </w:tcPr>
          <w:p w14:paraId="00819C05">
            <w:pPr>
              <w:adjustRightInd w:val="0"/>
              <w:snapToGrid w:val="0"/>
              <w:spacing w:line="480" w:lineRule="exact"/>
              <w:jc w:val="center"/>
              <w:rPr>
                <w:rFonts w:asci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1BF26BBE">
            <w:pPr>
              <w:adjustRightInd w:val="0"/>
              <w:snapToGrid w:val="0"/>
              <w:spacing w:line="480" w:lineRule="exact"/>
              <w:jc w:val="center"/>
              <w:rPr>
                <w:rFonts w:ascii="宋体" w:cs="宋体"/>
                <w:color w:val="auto"/>
              </w:rPr>
            </w:pPr>
            <w:r>
              <w:rPr>
                <w:rFonts w:hint="eastAsia" w:ascii="宋体" w:hAnsi="宋体" w:cs="宋体"/>
                <w:color w:val="auto"/>
              </w:rPr>
              <w:t>出生</w:t>
            </w:r>
          </w:p>
          <w:p w14:paraId="341656AE">
            <w:pPr>
              <w:adjustRightInd w:val="0"/>
              <w:snapToGrid w:val="0"/>
              <w:spacing w:line="480" w:lineRule="exact"/>
              <w:jc w:val="center"/>
              <w:rPr>
                <w:rFonts w:ascii="宋体" w:cs="宋体"/>
                <w:color w:val="auto"/>
              </w:rPr>
            </w:pPr>
            <w:r>
              <w:rPr>
                <w:rFonts w:hint="eastAsia" w:ascii="宋体" w:hAnsi="宋体" w:cs="宋体"/>
                <w:color w:val="auto"/>
              </w:rPr>
              <w:t>日期</w:t>
            </w:r>
          </w:p>
        </w:tc>
        <w:tc>
          <w:tcPr>
            <w:tcW w:w="1921" w:type="dxa"/>
            <w:tcBorders>
              <w:top w:val="single" w:color="auto" w:sz="8" w:space="0"/>
              <w:left w:val="single" w:color="auto" w:sz="8" w:space="0"/>
              <w:bottom w:val="single" w:color="auto" w:sz="8" w:space="0"/>
              <w:right w:val="single" w:color="auto" w:sz="8" w:space="0"/>
            </w:tcBorders>
            <w:vAlign w:val="center"/>
          </w:tcPr>
          <w:p w14:paraId="472B3D6C">
            <w:pPr>
              <w:adjustRightInd w:val="0"/>
              <w:snapToGrid w:val="0"/>
              <w:spacing w:line="480" w:lineRule="exact"/>
              <w:jc w:val="center"/>
              <w:rPr>
                <w:rFonts w:ascii="宋体" w:cs="宋体"/>
                <w:color w:val="auto"/>
              </w:rPr>
            </w:pPr>
            <w:r>
              <w:rPr>
                <w:rFonts w:hint="eastAsia" w:ascii="宋体" w:hAnsi="宋体" w:cs="宋体"/>
                <w:color w:val="auto"/>
              </w:rPr>
              <w:t>年月日</w:t>
            </w:r>
          </w:p>
        </w:tc>
      </w:tr>
      <w:tr w14:paraId="5A382ED9">
        <w:tblPrEx>
          <w:tblCellMar>
            <w:top w:w="0" w:type="dxa"/>
            <w:left w:w="0" w:type="dxa"/>
            <w:bottom w:w="0" w:type="dxa"/>
            <w:right w:w="0" w:type="dxa"/>
          </w:tblCellMar>
        </w:tblPrEx>
        <w:trPr>
          <w:trHeight w:val="1085"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5FC47C4A">
            <w:pPr>
              <w:adjustRightInd w:val="0"/>
              <w:snapToGrid w:val="0"/>
              <w:spacing w:line="480" w:lineRule="exact"/>
              <w:jc w:val="center"/>
              <w:rPr>
                <w:rFonts w:ascii="宋体" w:cs="宋体"/>
                <w:color w:val="auto"/>
              </w:rPr>
            </w:pPr>
            <w:r>
              <w:rPr>
                <w:rFonts w:hint="eastAsia" w:ascii="宋体" w:hAnsi="宋体" w:cs="宋体"/>
                <w:color w:val="auto"/>
              </w:rPr>
              <w:t>毕业院校专业</w:t>
            </w:r>
          </w:p>
        </w:tc>
        <w:tc>
          <w:tcPr>
            <w:tcW w:w="3095" w:type="dxa"/>
            <w:gridSpan w:val="4"/>
            <w:tcBorders>
              <w:top w:val="single" w:color="auto" w:sz="8" w:space="0"/>
              <w:left w:val="single" w:color="auto" w:sz="8" w:space="0"/>
              <w:bottom w:val="single" w:color="auto" w:sz="8" w:space="0"/>
              <w:right w:val="single" w:color="auto" w:sz="8" w:space="0"/>
            </w:tcBorders>
            <w:vAlign w:val="center"/>
          </w:tcPr>
          <w:p w14:paraId="38A30240">
            <w:pPr>
              <w:adjustRightInd w:val="0"/>
              <w:snapToGrid w:val="0"/>
              <w:spacing w:line="480" w:lineRule="exact"/>
              <w:jc w:val="center"/>
              <w:rPr>
                <w:rFonts w:asci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77928264">
            <w:pPr>
              <w:adjustRightInd w:val="0"/>
              <w:snapToGrid w:val="0"/>
              <w:spacing w:line="480" w:lineRule="exact"/>
              <w:jc w:val="center"/>
              <w:rPr>
                <w:rFonts w:ascii="宋体" w:cs="宋体"/>
                <w:color w:val="auto"/>
              </w:rPr>
            </w:pPr>
            <w:r>
              <w:rPr>
                <w:rFonts w:hint="eastAsia" w:ascii="宋体" w:hAnsi="宋体" w:cs="宋体"/>
                <w:color w:val="auto"/>
              </w:rPr>
              <w:t>毕业时间</w:t>
            </w:r>
          </w:p>
        </w:tc>
        <w:tc>
          <w:tcPr>
            <w:tcW w:w="1921" w:type="dxa"/>
            <w:tcBorders>
              <w:top w:val="single" w:color="auto" w:sz="8" w:space="0"/>
              <w:left w:val="single" w:color="auto" w:sz="8" w:space="0"/>
              <w:bottom w:val="single" w:color="auto" w:sz="8" w:space="0"/>
              <w:right w:val="single" w:color="auto" w:sz="8" w:space="0"/>
            </w:tcBorders>
            <w:vAlign w:val="center"/>
          </w:tcPr>
          <w:p w14:paraId="247C41A3">
            <w:pPr>
              <w:adjustRightInd w:val="0"/>
              <w:snapToGrid w:val="0"/>
              <w:spacing w:line="480" w:lineRule="exact"/>
              <w:jc w:val="center"/>
              <w:rPr>
                <w:rFonts w:ascii="宋体" w:cs="宋体"/>
                <w:color w:val="auto"/>
              </w:rPr>
            </w:pPr>
            <w:r>
              <w:rPr>
                <w:rFonts w:hint="eastAsia" w:ascii="宋体" w:hAnsi="宋体" w:cs="宋体"/>
                <w:color w:val="auto"/>
              </w:rPr>
              <w:t>年月日</w:t>
            </w:r>
          </w:p>
        </w:tc>
      </w:tr>
      <w:tr w14:paraId="7FB277E0">
        <w:tblPrEx>
          <w:tblCellMar>
            <w:top w:w="0" w:type="dxa"/>
            <w:left w:w="0" w:type="dxa"/>
            <w:bottom w:w="0" w:type="dxa"/>
            <w:right w:w="0" w:type="dxa"/>
          </w:tblCellMar>
        </w:tblPrEx>
        <w:trPr>
          <w:trHeight w:val="1068"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16AB1954">
            <w:pPr>
              <w:adjustRightInd w:val="0"/>
              <w:snapToGrid w:val="0"/>
              <w:spacing w:line="480" w:lineRule="exact"/>
              <w:jc w:val="center"/>
              <w:rPr>
                <w:rFonts w:ascii="宋体" w:hAnsi="宋体" w:cs="宋体"/>
                <w:color w:val="auto"/>
              </w:rPr>
            </w:pPr>
            <w:r>
              <w:rPr>
                <w:rFonts w:hint="eastAsia" w:ascii="宋体" w:hAnsi="宋体" w:cs="宋体"/>
                <w:color w:val="auto"/>
              </w:rPr>
              <w:t>参加工作时间</w:t>
            </w:r>
          </w:p>
        </w:tc>
        <w:tc>
          <w:tcPr>
            <w:tcW w:w="3095" w:type="dxa"/>
            <w:gridSpan w:val="4"/>
            <w:tcBorders>
              <w:top w:val="single" w:color="auto" w:sz="8" w:space="0"/>
              <w:left w:val="single" w:color="auto" w:sz="8" w:space="0"/>
              <w:bottom w:val="single" w:color="auto" w:sz="8" w:space="0"/>
              <w:right w:val="single" w:color="auto" w:sz="8" w:space="0"/>
            </w:tcBorders>
            <w:vAlign w:val="center"/>
          </w:tcPr>
          <w:p w14:paraId="2ADBFB87">
            <w:pPr>
              <w:adjustRightInd w:val="0"/>
              <w:snapToGrid w:val="0"/>
              <w:spacing w:line="480" w:lineRule="exact"/>
              <w:jc w:val="center"/>
              <w:rPr>
                <w:rFonts w:ascii="宋体" w:hAns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1BCC394D">
            <w:pPr>
              <w:adjustRightInd w:val="0"/>
              <w:snapToGrid w:val="0"/>
              <w:spacing w:line="480" w:lineRule="exact"/>
              <w:jc w:val="center"/>
              <w:rPr>
                <w:rFonts w:ascii="宋体" w:hAnsi="宋体" w:cs="宋体"/>
                <w:color w:val="auto"/>
              </w:rPr>
            </w:pPr>
            <w:r>
              <w:rPr>
                <w:rFonts w:hint="eastAsia" w:ascii="宋体" w:hAnsi="宋体" w:cs="宋体"/>
                <w:color w:val="auto"/>
              </w:rPr>
              <w:t>从事本专业年限</w:t>
            </w:r>
          </w:p>
        </w:tc>
        <w:tc>
          <w:tcPr>
            <w:tcW w:w="1921" w:type="dxa"/>
            <w:tcBorders>
              <w:top w:val="single" w:color="auto" w:sz="8" w:space="0"/>
              <w:left w:val="single" w:color="auto" w:sz="8" w:space="0"/>
              <w:bottom w:val="single" w:color="auto" w:sz="8" w:space="0"/>
              <w:right w:val="single" w:color="auto" w:sz="8" w:space="0"/>
            </w:tcBorders>
            <w:vAlign w:val="center"/>
          </w:tcPr>
          <w:p w14:paraId="3B136B11">
            <w:pPr>
              <w:adjustRightInd w:val="0"/>
              <w:snapToGrid w:val="0"/>
              <w:spacing w:line="480" w:lineRule="exact"/>
              <w:jc w:val="center"/>
              <w:rPr>
                <w:rFonts w:ascii="宋体" w:hAnsi="宋体" w:cs="宋体"/>
                <w:color w:val="auto"/>
              </w:rPr>
            </w:pPr>
          </w:p>
        </w:tc>
      </w:tr>
      <w:tr w14:paraId="78EDD4C0">
        <w:tblPrEx>
          <w:tblCellMar>
            <w:top w:w="0" w:type="dxa"/>
            <w:left w:w="0" w:type="dxa"/>
            <w:bottom w:w="0" w:type="dxa"/>
            <w:right w:w="0" w:type="dxa"/>
          </w:tblCellMar>
        </w:tblPrEx>
        <w:trPr>
          <w:trHeight w:val="1636"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11FCDD8C">
            <w:pPr>
              <w:adjustRightInd w:val="0"/>
              <w:snapToGrid w:val="0"/>
              <w:spacing w:line="480" w:lineRule="exact"/>
              <w:jc w:val="center"/>
              <w:rPr>
                <w:rFonts w:ascii="宋体" w:cs="宋体"/>
                <w:color w:val="auto"/>
              </w:rPr>
            </w:pPr>
            <w:r>
              <w:rPr>
                <w:rFonts w:hint="eastAsia" w:ascii="宋体" w:hAnsi="宋体" w:cs="宋体"/>
                <w:color w:val="auto"/>
              </w:rPr>
              <w:t>执业注册资格职称（须提供复印件）</w:t>
            </w:r>
          </w:p>
        </w:tc>
        <w:tc>
          <w:tcPr>
            <w:tcW w:w="3095" w:type="dxa"/>
            <w:gridSpan w:val="4"/>
            <w:tcBorders>
              <w:top w:val="single" w:color="auto" w:sz="8" w:space="0"/>
              <w:left w:val="single" w:color="auto" w:sz="8" w:space="0"/>
              <w:bottom w:val="single" w:color="auto" w:sz="8" w:space="0"/>
              <w:right w:val="single" w:color="auto" w:sz="8" w:space="0"/>
            </w:tcBorders>
            <w:vAlign w:val="center"/>
          </w:tcPr>
          <w:p w14:paraId="01353641">
            <w:pPr>
              <w:adjustRightInd w:val="0"/>
              <w:snapToGrid w:val="0"/>
              <w:spacing w:line="480" w:lineRule="exact"/>
              <w:jc w:val="center"/>
              <w:rPr>
                <w:rFonts w:ascii="宋体" w:cs="宋体"/>
                <w:color w:val="auto"/>
              </w:rPr>
            </w:pPr>
          </w:p>
        </w:tc>
        <w:tc>
          <w:tcPr>
            <w:tcW w:w="1833" w:type="dxa"/>
            <w:tcBorders>
              <w:top w:val="single" w:color="auto" w:sz="8" w:space="0"/>
              <w:left w:val="single" w:color="auto" w:sz="8" w:space="0"/>
              <w:bottom w:val="single" w:color="auto" w:sz="8" w:space="0"/>
              <w:right w:val="single" w:color="auto" w:sz="8" w:space="0"/>
            </w:tcBorders>
            <w:vAlign w:val="center"/>
          </w:tcPr>
          <w:p w14:paraId="1408DE40">
            <w:pPr>
              <w:adjustRightInd w:val="0"/>
              <w:snapToGrid w:val="0"/>
              <w:spacing w:line="480" w:lineRule="exact"/>
              <w:jc w:val="center"/>
              <w:rPr>
                <w:rFonts w:ascii="宋体" w:cs="宋体"/>
                <w:color w:val="auto"/>
              </w:rPr>
            </w:pPr>
            <w:r>
              <w:rPr>
                <w:rFonts w:hint="eastAsia" w:ascii="宋体" w:hAnsi="宋体" w:cs="宋体"/>
                <w:color w:val="auto"/>
              </w:rPr>
              <w:t>是否本单位</w:t>
            </w:r>
          </w:p>
          <w:p w14:paraId="4FE49CF7">
            <w:pPr>
              <w:adjustRightInd w:val="0"/>
              <w:snapToGrid w:val="0"/>
              <w:spacing w:line="480" w:lineRule="exact"/>
              <w:jc w:val="center"/>
              <w:rPr>
                <w:rFonts w:ascii="宋体" w:cs="宋体"/>
                <w:color w:val="auto"/>
              </w:rPr>
            </w:pPr>
            <w:r>
              <w:rPr>
                <w:rFonts w:hint="eastAsia" w:ascii="宋体" w:hAnsi="宋体" w:cs="宋体"/>
                <w:color w:val="auto"/>
              </w:rPr>
              <w:t>长期雇员</w:t>
            </w:r>
          </w:p>
        </w:tc>
        <w:tc>
          <w:tcPr>
            <w:tcW w:w="1921" w:type="dxa"/>
            <w:tcBorders>
              <w:top w:val="single" w:color="auto" w:sz="8" w:space="0"/>
              <w:left w:val="single" w:color="auto" w:sz="8" w:space="0"/>
              <w:bottom w:val="single" w:color="auto" w:sz="8" w:space="0"/>
              <w:right w:val="single" w:color="auto" w:sz="8" w:space="0"/>
            </w:tcBorders>
            <w:vAlign w:val="center"/>
          </w:tcPr>
          <w:p w14:paraId="6F8A891E">
            <w:pPr>
              <w:adjustRightInd w:val="0"/>
              <w:snapToGrid w:val="0"/>
              <w:spacing w:line="480" w:lineRule="exact"/>
              <w:jc w:val="center"/>
              <w:rPr>
                <w:rFonts w:ascii="宋体" w:cs="宋体"/>
                <w:color w:val="auto"/>
              </w:rPr>
            </w:pPr>
          </w:p>
        </w:tc>
      </w:tr>
      <w:tr w14:paraId="7F7B4927">
        <w:tblPrEx>
          <w:tblCellMar>
            <w:top w:w="0" w:type="dxa"/>
            <w:left w:w="0" w:type="dxa"/>
            <w:bottom w:w="0" w:type="dxa"/>
            <w:right w:w="0" w:type="dxa"/>
          </w:tblCellMar>
        </w:tblPrEx>
        <w:trPr>
          <w:trHeight w:val="1290" w:hRule="exact"/>
          <w:jc w:val="center"/>
        </w:trPr>
        <w:tc>
          <w:tcPr>
            <w:tcW w:w="1531" w:type="dxa"/>
            <w:gridSpan w:val="2"/>
            <w:tcBorders>
              <w:top w:val="single" w:color="auto" w:sz="8" w:space="0"/>
              <w:left w:val="single" w:color="auto" w:sz="8" w:space="0"/>
              <w:bottom w:val="single" w:color="auto" w:sz="8" w:space="0"/>
              <w:right w:val="single" w:color="auto" w:sz="8" w:space="0"/>
            </w:tcBorders>
            <w:vAlign w:val="center"/>
          </w:tcPr>
          <w:p w14:paraId="5BA496F5">
            <w:pPr>
              <w:adjustRightInd w:val="0"/>
              <w:snapToGrid w:val="0"/>
              <w:spacing w:line="480" w:lineRule="exact"/>
              <w:jc w:val="center"/>
              <w:rPr>
                <w:rFonts w:ascii="宋体" w:cs="宋体"/>
                <w:color w:val="auto"/>
              </w:rPr>
            </w:pPr>
            <w:r>
              <w:rPr>
                <w:rFonts w:hint="eastAsia" w:ascii="宋体" w:hAnsi="宋体" w:cs="宋体"/>
                <w:color w:val="auto"/>
              </w:rPr>
              <w:t>在本项目中担任任务</w:t>
            </w:r>
          </w:p>
        </w:tc>
        <w:tc>
          <w:tcPr>
            <w:tcW w:w="6849" w:type="dxa"/>
            <w:gridSpan w:val="6"/>
            <w:tcBorders>
              <w:top w:val="single" w:color="auto" w:sz="8" w:space="0"/>
              <w:left w:val="single" w:color="auto" w:sz="8" w:space="0"/>
              <w:bottom w:val="single" w:color="auto" w:sz="8" w:space="0"/>
              <w:right w:val="single" w:color="auto" w:sz="8" w:space="0"/>
            </w:tcBorders>
            <w:vAlign w:val="center"/>
          </w:tcPr>
          <w:p w14:paraId="3871C598">
            <w:pPr>
              <w:adjustRightInd w:val="0"/>
              <w:snapToGrid w:val="0"/>
              <w:spacing w:line="480" w:lineRule="exact"/>
              <w:jc w:val="center"/>
              <w:rPr>
                <w:rFonts w:ascii="宋体" w:cs="宋体"/>
                <w:color w:val="auto"/>
              </w:rPr>
            </w:pPr>
          </w:p>
        </w:tc>
      </w:tr>
      <w:tr w14:paraId="1ED3A245">
        <w:tblPrEx>
          <w:tblCellMar>
            <w:top w:w="0" w:type="dxa"/>
            <w:left w:w="0" w:type="dxa"/>
            <w:bottom w:w="0" w:type="dxa"/>
            <w:right w:w="0" w:type="dxa"/>
          </w:tblCellMar>
        </w:tblPrEx>
        <w:trPr>
          <w:cantSplit/>
          <w:trHeight w:val="516" w:hRule="exact"/>
          <w:jc w:val="center"/>
        </w:trPr>
        <w:tc>
          <w:tcPr>
            <w:tcW w:w="8380" w:type="dxa"/>
            <w:gridSpan w:val="8"/>
            <w:tcBorders>
              <w:top w:val="single" w:color="auto" w:sz="8" w:space="0"/>
              <w:left w:val="single" w:color="auto" w:sz="8" w:space="0"/>
              <w:bottom w:val="single" w:color="auto" w:sz="4" w:space="0"/>
              <w:right w:val="single" w:color="auto" w:sz="8" w:space="0"/>
            </w:tcBorders>
            <w:vAlign w:val="center"/>
          </w:tcPr>
          <w:p w14:paraId="087A341C">
            <w:pPr>
              <w:adjustRightInd w:val="0"/>
              <w:snapToGrid w:val="0"/>
              <w:spacing w:line="480" w:lineRule="exact"/>
              <w:jc w:val="center"/>
              <w:rPr>
                <w:rFonts w:ascii="宋体" w:cs="宋体"/>
                <w:color w:val="auto"/>
              </w:rPr>
            </w:pPr>
            <w:r>
              <w:rPr>
                <w:rFonts w:hint="eastAsia" w:ascii="宋体" w:hAnsi="宋体" w:cs="宋体"/>
                <w:color w:val="auto"/>
              </w:rPr>
              <w:t>主要经历</w:t>
            </w:r>
          </w:p>
          <w:p w14:paraId="4D122019">
            <w:pPr>
              <w:adjustRightInd w:val="0"/>
              <w:snapToGrid w:val="0"/>
              <w:spacing w:line="480" w:lineRule="exact"/>
              <w:jc w:val="center"/>
              <w:rPr>
                <w:rFonts w:ascii="宋体" w:cs="宋体"/>
                <w:color w:val="auto"/>
              </w:rPr>
            </w:pPr>
          </w:p>
          <w:p w14:paraId="5CCF3514">
            <w:pPr>
              <w:adjustRightInd w:val="0"/>
              <w:snapToGrid w:val="0"/>
              <w:spacing w:line="480" w:lineRule="exact"/>
              <w:jc w:val="center"/>
              <w:rPr>
                <w:rFonts w:ascii="宋体" w:cs="宋体"/>
                <w:color w:val="auto"/>
              </w:rPr>
            </w:pPr>
            <w:r>
              <w:rPr>
                <w:rFonts w:hint="eastAsia" w:ascii="宋体" w:hAnsi="宋体" w:cs="宋体"/>
                <w:color w:val="auto"/>
              </w:rPr>
              <w:t>本人主要设计成果</w:t>
            </w:r>
          </w:p>
        </w:tc>
      </w:tr>
      <w:tr w14:paraId="64081B31">
        <w:tblPrEx>
          <w:tblCellMar>
            <w:top w:w="0" w:type="dxa"/>
            <w:left w:w="0" w:type="dxa"/>
            <w:bottom w:w="0" w:type="dxa"/>
            <w:right w:w="0" w:type="dxa"/>
          </w:tblCellMar>
        </w:tblPrEx>
        <w:trPr>
          <w:cantSplit/>
          <w:trHeight w:val="742" w:hRule="exact"/>
          <w:jc w:val="center"/>
        </w:trPr>
        <w:tc>
          <w:tcPr>
            <w:tcW w:w="720" w:type="dxa"/>
            <w:tcBorders>
              <w:top w:val="single" w:color="auto" w:sz="4" w:space="0"/>
              <w:left w:val="single" w:color="auto" w:sz="8" w:space="0"/>
              <w:bottom w:val="single" w:color="auto" w:sz="4" w:space="0"/>
              <w:right w:val="single" w:color="auto" w:sz="4" w:space="0"/>
            </w:tcBorders>
            <w:vAlign w:val="center"/>
          </w:tcPr>
          <w:p w14:paraId="6FAA0441">
            <w:pPr>
              <w:adjustRightInd w:val="0"/>
              <w:snapToGrid w:val="0"/>
              <w:spacing w:line="480" w:lineRule="exact"/>
              <w:jc w:val="center"/>
              <w:rPr>
                <w:rFonts w:ascii="宋体" w:cs="宋体"/>
                <w:color w:val="auto"/>
              </w:rPr>
            </w:pPr>
            <w:r>
              <w:rPr>
                <w:rFonts w:hint="eastAsia" w:ascii="宋体" w:hAnsi="宋体" w:cs="宋体"/>
                <w:color w:val="auto"/>
              </w:rPr>
              <w:t>序号</w:t>
            </w:r>
          </w:p>
        </w:tc>
        <w:tc>
          <w:tcPr>
            <w:tcW w:w="1367" w:type="dxa"/>
            <w:gridSpan w:val="2"/>
            <w:tcBorders>
              <w:top w:val="single" w:color="auto" w:sz="4" w:space="0"/>
              <w:left w:val="single" w:color="auto" w:sz="4" w:space="0"/>
              <w:bottom w:val="single" w:color="auto" w:sz="4" w:space="0"/>
              <w:right w:val="single" w:color="auto" w:sz="8" w:space="0"/>
            </w:tcBorders>
            <w:vAlign w:val="center"/>
          </w:tcPr>
          <w:p w14:paraId="40852EEA">
            <w:pPr>
              <w:adjustRightInd w:val="0"/>
              <w:snapToGrid w:val="0"/>
              <w:spacing w:line="480" w:lineRule="exact"/>
              <w:jc w:val="center"/>
              <w:rPr>
                <w:rFonts w:ascii="宋体" w:cs="宋体"/>
                <w:color w:val="auto"/>
              </w:rPr>
            </w:pPr>
            <w:r>
              <w:rPr>
                <w:rFonts w:hint="eastAsia" w:ascii="宋体" w:hAnsi="宋体" w:cs="宋体"/>
                <w:color w:val="auto"/>
              </w:rPr>
              <w:t>时间</w:t>
            </w: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4476602D">
            <w:pPr>
              <w:adjustRightInd w:val="0"/>
              <w:snapToGrid w:val="0"/>
              <w:spacing w:line="480" w:lineRule="exact"/>
              <w:jc w:val="center"/>
              <w:rPr>
                <w:rFonts w:ascii="宋体" w:cs="宋体"/>
                <w:color w:val="auto"/>
              </w:rPr>
            </w:pPr>
            <w:r>
              <w:rPr>
                <w:rFonts w:hint="eastAsia" w:ascii="宋体" w:hAnsi="宋体" w:cs="宋体"/>
                <w:color w:val="auto"/>
              </w:rPr>
              <w:t>参加过的工程项目名称及规模</w:t>
            </w:r>
          </w:p>
        </w:tc>
        <w:tc>
          <w:tcPr>
            <w:tcW w:w="1921" w:type="dxa"/>
            <w:tcBorders>
              <w:top w:val="single" w:color="auto" w:sz="8" w:space="0"/>
              <w:left w:val="single" w:color="auto" w:sz="8" w:space="0"/>
              <w:bottom w:val="single" w:color="auto" w:sz="8" w:space="0"/>
              <w:right w:val="single" w:color="auto" w:sz="8" w:space="0"/>
            </w:tcBorders>
            <w:vAlign w:val="center"/>
          </w:tcPr>
          <w:p w14:paraId="11CC5F87">
            <w:pPr>
              <w:adjustRightInd w:val="0"/>
              <w:snapToGrid w:val="0"/>
              <w:spacing w:line="480" w:lineRule="exact"/>
              <w:jc w:val="center"/>
              <w:rPr>
                <w:rFonts w:ascii="宋体" w:cs="宋体"/>
                <w:color w:val="auto"/>
              </w:rPr>
            </w:pPr>
            <w:r>
              <w:rPr>
                <w:rFonts w:hint="eastAsia" w:ascii="宋体" w:hAnsi="宋体" w:cs="宋体"/>
                <w:color w:val="auto"/>
              </w:rPr>
              <w:t>该项目中任职</w:t>
            </w:r>
          </w:p>
        </w:tc>
      </w:tr>
      <w:tr w14:paraId="0C910F8C">
        <w:tblPrEx>
          <w:tblCellMar>
            <w:top w:w="0" w:type="dxa"/>
            <w:left w:w="0" w:type="dxa"/>
            <w:bottom w:w="0" w:type="dxa"/>
            <w:right w:w="0" w:type="dxa"/>
          </w:tblCellMar>
        </w:tblPrEx>
        <w:trPr>
          <w:cantSplit/>
          <w:trHeight w:val="487" w:hRule="exact"/>
          <w:jc w:val="center"/>
        </w:trPr>
        <w:tc>
          <w:tcPr>
            <w:tcW w:w="720" w:type="dxa"/>
            <w:tcBorders>
              <w:top w:val="single" w:color="auto" w:sz="4" w:space="0"/>
              <w:left w:val="single" w:color="auto" w:sz="8" w:space="0"/>
              <w:bottom w:val="single" w:color="auto" w:sz="4" w:space="0"/>
              <w:right w:val="single" w:color="auto" w:sz="4" w:space="0"/>
            </w:tcBorders>
            <w:vAlign w:val="center"/>
          </w:tcPr>
          <w:p w14:paraId="28AA6594">
            <w:pPr>
              <w:spacing w:line="480" w:lineRule="exact"/>
              <w:jc w:val="center"/>
              <w:rPr>
                <w:rFonts w:ascii="宋体" w:hAnsi="宋体" w:cs="宋体"/>
                <w:color w:val="auto"/>
              </w:rPr>
            </w:pPr>
            <w:r>
              <w:rPr>
                <w:rFonts w:ascii="宋体" w:hAnsi="宋体" w:cs="宋体"/>
                <w:color w:val="auto"/>
              </w:rPr>
              <w:t>1</w:t>
            </w:r>
          </w:p>
        </w:tc>
        <w:tc>
          <w:tcPr>
            <w:tcW w:w="1367" w:type="dxa"/>
            <w:gridSpan w:val="2"/>
            <w:tcBorders>
              <w:top w:val="single" w:color="auto" w:sz="4" w:space="0"/>
              <w:left w:val="single" w:color="auto" w:sz="4" w:space="0"/>
              <w:bottom w:val="single" w:color="auto" w:sz="8" w:space="0"/>
              <w:right w:val="single" w:color="auto" w:sz="8" w:space="0"/>
            </w:tcBorders>
            <w:vAlign w:val="center"/>
          </w:tcPr>
          <w:p w14:paraId="6DF0C61D">
            <w:pPr>
              <w:adjustRightInd w:val="0"/>
              <w:snapToGrid w:val="0"/>
              <w:spacing w:line="480" w:lineRule="exact"/>
              <w:jc w:val="center"/>
              <w:rPr>
                <w:rFonts w:ascii="宋体" w:cs="宋体"/>
                <w:color w:val="auto"/>
              </w:rPr>
            </w:pP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72F678AA">
            <w:pPr>
              <w:adjustRightInd w:val="0"/>
              <w:snapToGrid w:val="0"/>
              <w:spacing w:line="480" w:lineRule="exact"/>
              <w:jc w:val="center"/>
              <w:rPr>
                <w:rFonts w:ascii="宋体" w:cs="宋体"/>
                <w:color w:val="auto"/>
              </w:rPr>
            </w:pPr>
          </w:p>
        </w:tc>
        <w:tc>
          <w:tcPr>
            <w:tcW w:w="1921" w:type="dxa"/>
            <w:tcBorders>
              <w:top w:val="single" w:color="auto" w:sz="8" w:space="0"/>
              <w:left w:val="single" w:color="auto" w:sz="8" w:space="0"/>
              <w:bottom w:val="single" w:color="auto" w:sz="8" w:space="0"/>
              <w:right w:val="single" w:color="auto" w:sz="8" w:space="0"/>
            </w:tcBorders>
            <w:vAlign w:val="center"/>
          </w:tcPr>
          <w:p w14:paraId="587000BA">
            <w:pPr>
              <w:adjustRightInd w:val="0"/>
              <w:snapToGrid w:val="0"/>
              <w:spacing w:line="480" w:lineRule="exact"/>
              <w:jc w:val="center"/>
              <w:rPr>
                <w:rFonts w:ascii="宋体" w:cs="宋体"/>
                <w:color w:val="auto"/>
              </w:rPr>
            </w:pPr>
          </w:p>
        </w:tc>
      </w:tr>
      <w:tr w14:paraId="2D14B31D">
        <w:tblPrEx>
          <w:tblCellMar>
            <w:top w:w="0" w:type="dxa"/>
            <w:left w:w="0" w:type="dxa"/>
            <w:bottom w:w="0" w:type="dxa"/>
            <w:right w:w="0" w:type="dxa"/>
          </w:tblCellMar>
        </w:tblPrEx>
        <w:trPr>
          <w:cantSplit/>
          <w:trHeight w:val="504" w:hRule="exact"/>
          <w:jc w:val="center"/>
        </w:trPr>
        <w:tc>
          <w:tcPr>
            <w:tcW w:w="720" w:type="dxa"/>
            <w:tcBorders>
              <w:top w:val="single" w:color="auto" w:sz="4" w:space="0"/>
              <w:left w:val="single" w:color="auto" w:sz="8" w:space="0"/>
              <w:bottom w:val="single" w:color="auto" w:sz="4" w:space="0"/>
              <w:right w:val="single" w:color="auto" w:sz="8" w:space="0"/>
            </w:tcBorders>
            <w:vAlign w:val="center"/>
          </w:tcPr>
          <w:p w14:paraId="14053BB3">
            <w:pPr>
              <w:spacing w:line="480" w:lineRule="exact"/>
              <w:jc w:val="center"/>
              <w:rPr>
                <w:rFonts w:ascii="宋体" w:hAnsi="宋体" w:cs="宋体"/>
                <w:color w:val="auto"/>
              </w:rPr>
            </w:pPr>
            <w:r>
              <w:rPr>
                <w:rFonts w:ascii="宋体" w:hAnsi="宋体" w:cs="宋体"/>
                <w:color w:val="auto"/>
              </w:rPr>
              <w:t>2</w:t>
            </w:r>
          </w:p>
        </w:tc>
        <w:tc>
          <w:tcPr>
            <w:tcW w:w="1367" w:type="dxa"/>
            <w:gridSpan w:val="2"/>
            <w:tcBorders>
              <w:top w:val="single" w:color="auto" w:sz="8" w:space="0"/>
              <w:left w:val="single" w:color="auto" w:sz="8" w:space="0"/>
              <w:bottom w:val="single" w:color="auto" w:sz="4" w:space="0"/>
              <w:right w:val="single" w:color="auto" w:sz="8" w:space="0"/>
            </w:tcBorders>
            <w:vAlign w:val="center"/>
          </w:tcPr>
          <w:p w14:paraId="492A50C8">
            <w:pPr>
              <w:adjustRightInd w:val="0"/>
              <w:snapToGrid w:val="0"/>
              <w:spacing w:line="480" w:lineRule="exact"/>
              <w:jc w:val="center"/>
              <w:rPr>
                <w:rFonts w:ascii="宋体" w:cs="宋体"/>
                <w:color w:val="auto"/>
              </w:rPr>
            </w:pPr>
          </w:p>
          <w:p w14:paraId="46F8F47E">
            <w:pPr>
              <w:adjustRightInd w:val="0"/>
              <w:snapToGrid w:val="0"/>
              <w:spacing w:line="480" w:lineRule="exact"/>
              <w:jc w:val="center"/>
              <w:rPr>
                <w:rFonts w:ascii="宋体" w:cs="宋体"/>
                <w:color w:val="auto"/>
              </w:rPr>
            </w:pP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532C1D4C">
            <w:pPr>
              <w:adjustRightInd w:val="0"/>
              <w:snapToGrid w:val="0"/>
              <w:spacing w:line="480" w:lineRule="exact"/>
              <w:jc w:val="center"/>
              <w:rPr>
                <w:rFonts w:ascii="宋体" w:cs="宋体"/>
                <w:color w:val="auto"/>
              </w:rPr>
            </w:pPr>
          </w:p>
        </w:tc>
        <w:tc>
          <w:tcPr>
            <w:tcW w:w="1921" w:type="dxa"/>
            <w:tcBorders>
              <w:top w:val="single" w:color="auto" w:sz="8" w:space="0"/>
              <w:left w:val="single" w:color="auto" w:sz="8" w:space="0"/>
              <w:bottom w:val="single" w:color="auto" w:sz="8" w:space="0"/>
              <w:right w:val="single" w:color="auto" w:sz="8" w:space="0"/>
            </w:tcBorders>
            <w:vAlign w:val="center"/>
          </w:tcPr>
          <w:p w14:paraId="0C8D9126">
            <w:pPr>
              <w:adjustRightInd w:val="0"/>
              <w:snapToGrid w:val="0"/>
              <w:spacing w:line="480" w:lineRule="exact"/>
              <w:jc w:val="center"/>
              <w:rPr>
                <w:rFonts w:ascii="宋体" w:cs="宋体"/>
                <w:color w:val="auto"/>
              </w:rPr>
            </w:pPr>
          </w:p>
        </w:tc>
      </w:tr>
      <w:tr w14:paraId="4664A7AD">
        <w:tblPrEx>
          <w:tblCellMar>
            <w:top w:w="0" w:type="dxa"/>
            <w:left w:w="0" w:type="dxa"/>
            <w:bottom w:w="0" w:type="dxa"/>
            <w:right w:w="0" w:type="dxa"/>
          </w:tblCellMar>
        </w:tblPrEx>
        <w:trPr>
          <w:cantSplit/>
          <w:trHeight w:val="482" w:hRule="exact"/>
          <w:jc w:val="center"/>
        </w:trPr>
        <w:tc>
          <w:tcPr>
            <w:tcW w:w="720" w:type="dxa"/>
            <w:tcBorders>
              <w:top w:val="single" w:color="auto" w:sz="4" w:space="0"/>
              <w:left w:val="single" w:color="auto" w:sz="8" w:space="0"/>
              <w:bottom w:val="single" w:color="auto" w:sz="8" w:space="0"/>
              <w:right w:val="single" w:color="auto" w:sz="8" w:space="0"/>
            </w:tcBorders>
            <w:vAlign w:val="center"/>
          </w:tcPr>
          <w:p w14:paraId="06BED617">
            <w:pPr>
              <w:spacing w:line="480" w:lineRule="exact"/>
              <w:jc w:val="center"/>
              <w:rPr>
                <w:rFonts w:ascii="宋体" w:hAnsi="宋体" w:cs="宋体"/>
                <w:color w:val="auto"/>
              </w:rPr>
            </w:pPr>
            <w:r>
              <w:rPr>
                <w:rFonts w:ascii="宋体" w:hAnsi="宋体" w:cs="宋体"/>
                <w:color w:val="auto"/>
              </w:rPr>
              <w:t>3</w:t>
            </w:r>
          </w:p>
        </w:tc>
        <w:tc>
          <w:tcPr>
            <w:tcW w:w="1367" w:type="dxa"/>
            <w:gridSpan w:val="2"/>
            <w:tcBorders>
              <w:top w:val="single" w:color="auto" w:sz="4" w:space="0"/>
              <w:left w:val="single" w:color="auto" w:sz="8" w:space="0"/>
              <w:bottom w:val="single" w:color="auto" w:sz="8" w:space="0"/>
              <w:right w:val="single" w:color="auto" w:sz="8" w:space="0"/>
            </w:tcBorders>
            <w:vAlign w:val="center"/>
          </w:tcPr>
          <w:p w14:paraId="5F62349A">
            <w:pPr>
              <w:adjustRightInd w:val="0"/>
              <w:snapToGrid w:val="0"/>
              <w:spacing w:line="480" w:lineRule="exact"/>
              <w:jc w:val="center"/>
              <w:rPr>
                <w:rFonts w:ascii="宋体" w:cs="宋体"/>
                <w:color w:val="auto"/>
              </w:rPr>
            </w:pPr>
          </w:p>
          <w:p w14:paraId="76B37B15">
            <w:pPr>
              <w:adjustRightInd w:val="0"/>
              <w:snapToGrid w:val="0"/>
              <w:spacing w:line="480" w:lineRule="exact"/>
              <w:jc w:val="center"/>
              <w:rPr>
                <w:rFonts w:ascii="宋体" w:cs="宋体"/>
                <w:color w:val="auto"/>
              </w:rPr>
            </w:pPr>
          </w:p>
        </w:tc>
        <w:tc>
          <w:tcPr>
            <w:tcW w:w="4372" w:type="dxa"/>
            <w:gridSpan w:val="4"/>
            <w:tcBorders>
              <w:top w:val="single" w:color="auto" w:sz="8" w:space="0"/>
              <w:left w:val="single" w:color="auto" w:sz="8" w:space="0"/>
              <w:bottom w:val="single" w:color="auto" w:sz="8" w:space="0"/>
              <w:right w:val="single" w:color="auto" w:sz="8" w:space="0"/>
            </w:tcBorders>
            <w:vAlign w:val="center"/>
          </w:tcPr>
          <w:p w14:paraId="2106BDF7">
            <w:pPr>
              <w:adjustRightInd w:val="0"/>
              <w:snapToGrid w:val="0"/>
              <w:spacing w:line="480" w:lineRule="exact"/>
              <w:jc w:val="center"/>
              <w:rPr>
                <w:rFonts w:ascii="宋体" w:cs="宋体"/>
                <w:color w:val="auto"/>
              </w:rPr>
            </w:pPr>
          </w:p>
        </w:tc>
        <w:tc>
          <w:tcPr>
            <w:tcW w:w="1921" w:type="dxa"/>
            <w:tcBorders>
              <w:top w:val="single" w:color="auto" w:sz="8" w:space="0"/>
              <w:left w:val="single" w:color="auto" w:sz="8" w:space="0"/>
              <w:bottom w:val="single" w:color="auto" w:sz="8" w:space="0"/>
              <w:right w:val="single" w:color="auto" w:sz="8" w:space="0"/>
            </w:tcBorders>
            <w:vAlign w:val="center"/>
          </w:tcPr>
          <w:p w14:paraId="3B29B970">
            <w:pPr>
              <w:adjustRightInd w:val="0"/>
              <w:snapToGrid w:val="0"/>
              <w:spacing w:line="480" w:lineRule="exact"/>
              <w:jc w:val="center"/>
              <w:rPr>
                <w:rFonts w:ascii="宋体" w:cs="宋体"/>
                <w:color w:val="auto"/>
              </w:rPr>
            </w:pPr>
          </w:p>
        </w:tc>
      </w:tr>
    </w:tbl>
    <w:p w14:paraId="1F7CCA2B">
      <w:pPr>
        <w:spacing w:line="480" w:lineRule="exact"/>
        <w:ind w:left="2750" w:leftChars="1250"/>
        <w:rPr>
          <w:rFonts w:ascii="宋体" w:hAnsi="宋体" w:cs="宋体"/>
          <w:color w:val="auto"/>
        </w:rPr>
      </w:pPr>
    </w:p>
    <w:p w14:paraId="02601B85">
      <w:pPr>
        <w:spacing w:line="500" w:lineRule="exact"/>
        <w:ind w:firstLine="4252" w:firstLineChars="1772"/>
        <w:rPr>
          <w:bCs/>
          <w:color w:val="auto"/>
          <w:sz w:val="24"/>
        </w:rPr>
      </w:pPr>
      <w:r>
        <w:rPr>
          <w:rFonts w:hint="eastAsia"/>
          <w:bCs/>
          <w:color w:val="auto"/>
          <w:sz w:val="24"/>
        </w:rPr>
        <w:t>供应商：（公章签章）</w:t>
      </w:r>
    </w:p>
    <w:p w14:paraId="1602712B">
      <w:pPr>
        <w:spacing w:line="500" w:lineRule="exact"/>
        <w:ind w:firstLine="4252" w:firstLineChars="1772"/>
        <w:rPr>
          <w:bCs/>
          <w:color w:val="auto"/>
          <w:sz w:val="24"/>
        </w:rPr>
      </w:pPr>
      <w:r>
        <w:rPr>
          <w:rFonts w:hint="eastAsia"/>
          <w:bCs/>
          <w:color w:val="auto"/>
          <w:sz w:val="24"/>
        </w:rPr>
        <w:t>法定代表人：（签章）</w:t>
      </w:r>
    </w:p>
    <w:p w14:paraId="24A2A694">
      <w:pPr>
        <w:spacing w:line="500" w:lineRule="exact"/>
        <w:ind w:firstLine="4252" w:firstLineChars="1772"/>
        <w:rPr>
          <w:bCs/>
          <w:color w:val="auto"/>
          <w:sz w:val="24"/>
        </w:rPr>
      </w:pPr>
      <w:r>
        <w:rPr>
          <w:rFonts w:hint="eastAsia"/>
          <w:bCs/>
          <w:color w:val="auto"/>
          <w:sz w:val="24"/>
        </w:rPr>
        <w:t>日期：</w:t>
      </w:r>
    </w:p>
    <w:p w14:paraId="10354B99">
      <w:pPr>
        <w:widowControl/>
        <w:spacing w:line="700" w:lineRule="exact"/>
        <w:jc w:val="center"/>
        <w:rPr>
          <w:rFonts w:ascii="宋体" w:hAnsi="宋体" w:cs="宋体"/>
          <w:color w:val="auto"/>
          <w:kern w:val="0"/>
          <w:sz w:val="24"/>
        </w:rPr>
      </w:pPr>
    </w:p>
    <w:p w14:paraId="1A0FBF9B">
      <w:pPr>
        <w:widowControl/>
        <w:spacing w:line="700" w:lineRule="exact"/>
        <w:jc w:val="center"/>
        <w:rPr>
          <w:rFonts w:ascii="宋体" w:hAnsi="宋体" w:cs="宋体"/>
          <w:color w:val="auto"/>
          <w:kern w:val="0"/>
          <w:sz w:val="24"/>
        </w:rPr>
      </w:pPr>
    </w:p>
    <w:p w14:paraId="3C4C0811">
      <w:pPr>
        <w:widowControl/>
        <w:spacing w:line="700" w:lineRule="exact"/>
        <w:jc w:val="center"/>
        <w:rPr>
          <w:rFonts w:ascii="宋体" w:hAnsi="宋体" w:cs="宋体"/>
          <w:color w:val="auto"/>
          <w:kern w:val="0"/>
          <w:sz w:val="24"/>
        </w:rPr>
      </w:pPr>
    </w:p>
    <w:p w14:paraId="2182163D">
      <w:pPr>
        <w:widowControl/>
        <w:spacing w:line="700" w:lineRule="exact"/>
        <w:jc w:val="center"/>
        <w:rPr>
          <w:rFonts w:ascii="宋体" w:hAnsi="宋体" w:cs="宋体"/>
          <w:b/>
          <w:color w:val="auto"/>
        </w:rPr>
      </w:pPr>
    </w:p>
    <w:p w14:paraId="50D3343A">
      <w:pPr>
        <w:widowControl/>
        <w:spacing w:line="700" w:lineRule="exact"/>
        <w:jc w:val="center"/>
        <w:rPr>
          <w:rFonts w:ascii="宋体" w:cs="宋体"/>
          <w:b/>
          <w:color w:val="auto"/>
        </w:rPr>
      </w:pPr>
      <w:r>
        <w:rPr>
          <w:rFonts w:ascii="宋体" w:hAnsi="宋体" w:cs="宋体"/>
          <w:b/>
          <w:color w:val="auto"/>
        </w:rPr>
        <w:t>2</w:t>
      </w:r>
      <w:r>
        <w:rPr>
          <w:rFonts w:hint="eastAsia" w:ascii="宋体" w:hAnsi="宋体" w:cs="宋体"/>
          <w:b/>
          <w:color w:val="auto"/>
        </w:rPr>
        <w:t>、拟投入主要人员简历表</w:t>
      </w:r>
    </w:p>
    <w:tbl>
      <w:tblPr>
        <w:tblStyle w:val="19"/>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1305"/>
        <w:gridCol w:w="1177"/>
        <w:gridCol w:w="942"/>
        <w:gridCol w:w="404"/>
        <w:gridCol w:w="1454"/>
        <w:gridCol w:w="2062"/>
      </w:tblGrid>
      <w:tr w14:paraId="5CA80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5797895E">
            <w:pPr>
              <w:adjustRightInd w:val="0"/>
              <w:snapToGrid w:val="0"/>
              <w:spacing w:line="480" w:lineRule="exact"/>
              <w:jc w:val="center"/>
              <w:rPr>
                <w:rFonts w:ascii="宋体" w:cs="宋体"/>
                <w:color w:val="auto"/>
              </w:rPr>
            </w:pPr>
            <w:r>
              <w:rPr>
                <w:rFonts w:hint="eastAsia" w:ascii="宋体" w:hAnsi="宋体" w:cs="宋体"/>
                <w:color w:val="auto"/>
              </w:rPr>
              <w:t>姓名</w:t>
            </w:r>
          </w:p>
        </w:tc>
        <w:tc>
          <w:tcPr>
            <w:tcW w:w="1305" w:type="dxa"/>
            <w:vAlign w:val="center"/>
          </w:tcPr>
          <w:p w14:paraId="4412A771">
            <w:pPr>
              <w:adjustRightInd w:val="0"/>
              <w:snapToGrid w:val="0"/>
              <w:spacing w:line="480" w:lineRule="exact"/>
              <w:jc w:val="center"/>
              <w:rPr>
                <w:rFonts w:ascii="宋体" w:cs="宋体"/>
                <w:color w:val="auto"/>
              </w:rPr>
            </w:pPr>
          </w:p>
        </w:tc>
        <w:tc>
          <w:tcPr>
            <w:tcW w:w="1177" w:type="dxa"/>
            <w:vAlign w:val="center"/>
          </w:tcPr>
          <w:p w14:paraId="57F205D0">
            <w:pPr>
              <w:adjustRightInd w:val="0"/>
              <w:snapToGrid w:val="0"/>
              <w:spacing w:line="480" w:lineRule="exact"/>
              <w:jc w:val="center"/>
              <w:rPr>
                <w:rFonts w:ascii="宋体" w:cs="宋体"/>
                <w:color w:val="auto"/>
              </w:rPr>
            </w:pPr>
            <w:r>
              <w:rPr>
                <w:rFonts w:hint="eastAsia" w:ascii="宋体" w:hAnsi="宋体" w:cs="宋体"/>
                <w:color w:val="auto"/>
              </w:rPr>
              <w:t>性别</w:t>
            </w:r>
          </w:p>
        </w:tc>
        <w:tc>
          <w:tcPr>
            <w:tcW w:w="942" w:type="dxa"/>
            <w:vAlign w:val="center"/>
          </w:tcPr>
          <w:p w14:paraId="3AB68FF6">
            <w:pPr>
              <w:adjustRightInd w:val="0"/>
              <w:snapToGrid w:val="0"/>
              <w:spacing w:line="480" w:lineRule="exact"/>
              <w:jc w:val="center"/>
              <w:rPr>
                <w:rFonts w:ascii="宋体" w:cs="宋体"/>
                <w:color w:val="auto"/>
              </w:rPr>
            </w:pPr>
          </w:p>
        </w:tc>
        <w:tc>
          <w:tcPr>
            <w:tcW w:w="1858" w:type="dxa"/>
            <w:gridSpan w:val="2"/>
            <w:vAlign w:val="center"/>
          </w:tcPr>
          <w:p w14:paraId="3A62F6BD">
            <w:pPr>
              <w:adjustRightInd w:val="0"/>
              <w:snapToGrid w:val="0"/>
              <w:spacing w:line="480" w:lineRule="exact"/>
              <w:jc w:val="center"/>
              <w:rPr>
                <w:rFonts w:ascii="宋体" w:cs="宋体"/>
                <w:color w:val="auto"/>
              </w:rPr>
            </w:pPr>
            <w:r>
              <w:rPr>
                <w:rFonts w:hint="eastAsia" w:ascii="宋体" w:hAnsi="宋体" w:cs="宋体"/>
                <w:color w:val="auto"/>
              </w:rPr>
              <w:t>出生日期</w:t>
            </w:r>
          </w:p>
        </w:tc>
        <w:tc>
          <w:tcPr>
            <w:tcW w:w="2062" w:type="dxa"/>
            <w:vAlign w:val="center"/>
          </w:tcPr>
          <w:p w14:paraId="29F10BB4">
            <w:pPr>
              <w:adjustRightInd w:val="0"/>
              <w:snapToGrid w:val="0"/>
              <w:spacing w:line="480" w:lineRule="exact"/>
              <w:jc w:val="center"/>
              <w:rPr>
                <w:rFonts w:ascii="宋体" w:cs="宋体"/>
                <w:color w:val="auto"/>
              </w:rPr>
            </w:pPr>
            <w:r>
              <w:rPr>
                <w:rFonts w:hint="eastAsia" w:ascii="宋体" w:hAnsi="宋体" w:cs="宋体"/>
                <w:color w:val="auto"/>
              </w:rPr>
              <w:t>年月日</w:t>
            </w:r>
          </w:p>
        </w:tc>
      </w:tr>
      <w:tr w14:paraId="08FD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4BC9E5D7">
            <w:pPr>
              <w:adjustRightInd w:val="0"/>
              <w:snapToGrid w:val="0"/>
              <w:spacing w:line="480" w:lineRule="exact"/>
              <w:jc w:val="center"/>
              <w:rPr>
                <w:rFonts w:ascii="宋体" w:cs="宋体"/>
                <w:color w:val="auto"/>
              </w:rPr>
            </w:pPr>
            <w:r>
              <w:rPr>
                <w:rFonts w:hint="eastAsia" w:ascii="宋体" w:hAnsi="宋体" w:cs="宋体"/>
                <w:color w:val="auto"/>
              </w:rPr>
              <w:t>毕业院校专业</w:t>
            </w:r>
          </w:p>
        </w:tc>
        <w:tc>
          <w:tcPr>
            <w:tcW w:w="3424" w:type="dxa"/>
            <w:gridSpan w:val="3"/>
            <w:vAlign w:val="center"/>
          </w:tcPr>
          <w:p w14:paraId="0FD0AD73">
            <w:pPr>
              <w:adjustRightInd w:val="0"/>
              <w:snapToGrid w:val="0"/>
              <w:spacing w:line="480" w:lineRule="exact"/>
              <w:jc w:val="center"/>
              <w:rPr>
                <w:rFonts w:ascii="宋体" w:cs="宋体"/>
                <w:color w:val="auto"/>
              </w:rPr>
            </w:pPr>
          </w:p>
        </w:tc>
        <w:tc>
          <w:tcPr>
            <w:tcW w:w="1858" w:type="dxa"/>
            <w:gridSpan w:val="2"/>
            <w:vAlign w:val="center"/>
          </w:tcPr>
          <w:p w14:paraId="43A8A208">
            <w:pPr>
              <w:adjustRightInd w:val="0"/>
              <w:snapToGrid w:val="0"/>
              <w:spacing w:line="480" w:lineRule="exact"/>
              <w:jc w:val="center"/>
              <w:rPr>
                <w:rFonts w:ascii="宋体" w:cs="宋体"/>
                <w:color w:val="auto"/>
              </w:rPr>
            </w:pPr>
            <w:r>
              <w:rPr>
                <w:rFonts w:hint="eastAsia" w:ascii="宋体" w:hAnsi="宋体" w:cs="宋体"/>
                <w:color w:val="auto"/>
              </w:rPr>
              <w:t>毕业时间</w:t>
            </w:r>
          </w:p>
        </w:tc>
        <w:tc>
          <w:tcPr>
            <w:tcW w:w="2062" w:type="dxa"/>
            <w:vAlign w:val="center"/>
          </w:tcPr>
          <w:p w14:paraId="41595068">
            <w:pPr>
              <w:adjustRightInd w:val="0"/>
              <w:snapToGrid w:val="0"/>
              <w:spacing w:line="480" w:lineRule="exact"/>
              <w:ind w:firstLine="220" w:firstLineChars="100"/>
              <w:rPr>
                <w:rFonts w:ascii="宋体" w:cs="宋体"/>
                <w:color w:val="auto"/>
              </w:rPr>
            </w:pPr>
            <w:r>
              <w:rPr>
                <w:rFonts w:hint="eastAsia" w:ascii="宋体" w:hAnsi="宋体" w:cs="宋体"/>
                <w:color w:val="auto"/>
              </w:rPr>
              <w:t>年月日</w:t>
            </w:r>
          </w:p>
        </w:tc>
      </w:tr>
      <w:tr w14:paraId="37EA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564E1C11">
            <w:pPr>
              <w:adjustRightInd w:val="0"/>
              <w:snapToGrid w:val="0"/>
              <w:spacing w:line="480" w:lineRule="exact"/>
              <w:jc w:val="center"/>
              <w:rPr>
                <w:rFonts w:ascii="宋体" w:cs="宋体"/>
                <w:color w:val="auto"/>
              </w:rPr>
            </w:pPr>
            <w:r>
              <w:rPr>
                <w:rFonts w:hint="eastAsia" w:ascii="宋体" w:hAnsi="宋体" w:cs="宋体"/>
                <w:color w:val="auto"/>
              </w:rPr>
              <w:t>参加工作时间</w:t>
            </w:r>
          </w:p>
        </w:tc>
        <w:tc>
          <w:tcPr>
            <w:tcW w:w="2482" w:type="dxa"/>
            <w:gridSpan w:val="2"/>
            <w:vAlign w:val="center"/>
          </w:tcPr>
          <w:p w14:paraId="37F44730">
            <w:pPr>
              <w:adjustRightInd w:val="0"/>
              <w:snapToGrid w:val="0"/>
              <w:spacing w:line="480" w:lineRule="exact"/>
              <w:jc w:val="center"/>
              <w:rPr>
                <w:rFonts w:ascii="宋体" w:cs="宋体"/>
                <w:color w:val="auto"/>
              </w:rPr>
            </w:pPr>
          </w:p>
        </w:tc>
        <w:tc>
          <w:tcPr>
            <w:tcW w:w="2800" w:type="dxa"/>
            <w:gridSpan w:val="3"/>
            <w:vAlign w:val="center"/>
          </w:tcPr>
          <w:p w14:paraId="6290510B">
            <w:pPr>
              <w:adjustRightInd w:val="0"/>
              <w:snapToGrid w:val="0"/>
              <w:spacing w:line="480" w:lineRule="exact"/>
              <w:jc w:val="center"/>
              <w:rPr>
                <w:rFonts w:ascii="宋体" w:cs="宋体"/>
                <w:color w:val="auto"/>
              </w:rPr>
            </w:pPr>
            <w:r>
              <w:rPr>
                <w:rFonts w:hint="eastAsia" w:ascii="宋体" w:hAnsi="宋体" w:cs="宋体"/>
                <w:color w:val="auto"/>
              </w:rPr>
              <w:t>从事本专业年限</w:t>
            </w:r>
          </w:p>
        </w:tc>
        <w:tc>
          <w:tcPr>
            <w:tcW w:w="2062" w:type="dxa"/>
            <w:vAlign w:val="center"/>
          </w:tcPr>
          <w:p w14:paraId="2C893340">
            <w:pPr>
              <w:adjustRightInd w:val="0"/>
              <w:snapToGrid w:val="0"/>
              <w:spacing w:line="480" w:lineRule="exact"/>
              <w:jc w:val="center"/>
              <w:rPr>
                <w:rFonts w:ascii="宋体" w:cs="宋体"/>
                <w:color w:val="auto"/>
              </w:rPr>
            </w:pPr>
          </w:p>
        </w:tc>
      </w:tr>
      <w:tr w14:paraId="5FEA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1DFCBCE4">
            <w:pPr>
              <w:adjustRightInd w:val="0"/>
              <w:snapToGrid w:val="0"/>
              <w:spacing w:line="480" w:lineRule="exact"/>
              <w:jc w:val="center"/>
              <w:rPr>
                <w:rFonts w:ascii="宋体" w:cs="宋体"/>
                <w:color w:val="auto"/>
              </w:rPr>
            </w:pPr>
            <w:r>
              <w:rPr>
                <w:rFonts w:hint="eastAsia" w:ascii="宋体" w:hAnsi="宋体" w:cs="宋体"/>
                <w:color w:val="auto"/>
              </w:rPr>
              <w:t>执业注册</w:t>
            </w:r>
          </w:p>
        </w:tc>
        <w:tc>
          <w:tcPr>
            <w:tcW w:w="2482" w:type="dxa"/>
            <w:gridSpan w:val="2"/>
            <w:vAlign w:val="center"/>
          </w:tcPr>
          <w:p w14:paraId="540472A9">
            <w:pPr>
              <w:adjustRightInd w:val="0"/>
              <w:snapToGrid w:val="0"/>
              <w:spacing w:line="480" w:lineRule="exact"/>
              <w:jc w:val="center"/>
              <w:rPr>
                <w:rFonts w:ascii="宋体" w:cs="宋体"/>
                <w:color w:val="auto"/>
              </w:rPr>
            </w:pPr>
          </w:p>
        </w:tc>
        <w:tc>
          <w:tcPr>
            <w:tcW w:w="2800" w:type="dxa"/>
            <w:gridSpan w:val="3"/>
            <w:vAlign w:val="center"/>
          </w:tcPr>
          <w:p w14:paraId="665316FC">
            <w:pPr>
              <w:adjustRightInd w:val="0"/>
              <w:snapToGrid w:val="0"/>
              <w:spacing w:line="480" w:lineRule="exact"/>
              <w:jc w:val="center"/>
              <w:rPr>
                <w:rFonts w:ascii="宋体" w:cs="宋体"/>
                <w:color w:val="auto"/>
              </w:rPr>
            </w:pPr>
            <w:r>
              <w:rPr>
                <w:rFonts w:hint="eastAsia" w:ascii="宋体" w:hAnsi="宋体" w:cs="宋体"/>
                <w:color w:val="auto"/>
              </w:rPr>
              <w:t>职称</w:t>
            </w:r>
          </w:p>
        </w:tc>
        <w:tc>
          <w:tcPr>
            <w:tcW w:w="2062" w:type="dxa"/>
            <w:vAlign w:val="center"/>
          </w:tcPr>
          <w:p w14:paraId="22EC22FF">
            <w:pPr>
              <w:adjustRightInd w:val="0"/>
              <w:snapToGrid w:val="0"/>
              <w:spacing w:line="480" w:lineRule="exact"/>
              <w:jc w:val="center"/>
              <w:rPr>
                <w:rFonts w:ascii="宋体" w:cs="宋体"/>
                <w:color w:val="auto"/>
              </w:rPr>
            </w:pPr>
          </w:p>
        </w:tc>
      </w:tr>
      <w:tr w14:paraId="09B3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4615" w:type="dxa"/>
            <w:gridSpan w:val="3"/>
            <w:vAlign w:val="center"/>
          </w:tcPr>
          <w:p w14:paraId="55CF675B">
            <w:pPr>
              <w:adjustRightInd w:val="0"/>
              <w:snapToGrid w:val="0"/>
              <w:spacing w:line="480" w:lineRule="exact"/>
              <w:jc w:val="center"/>
              <w:rPr>
                <w:rFonts w:ascii="宋体" w:cs="宋体"/>
                <w:color w:val="auto"/>
              </w:rPr>
            </w:pPr>
            <w:r>
              <w:rPr>
                <w:rFonts w:hint="eastAsia" w:ascii="宋体" w:hAnsi="宋体" w:cs="宋体"/>
                <w:color w:val="auto"/>
              </w:rPr>
              <w:t>在本项目拟任职务</w:t>
            </w:r>
          </w:p>
        </w:tc>
        <w:tc>
          <w:tcPr>
            <w:tcW w:w="4862" w:type="dxa"/>
            <w:gridSpan w:val="4"/>
            <w:vAlign w:val="center"/>
          </w:tcPr>
          <w:p w14:paraId="4504DE2D">
            <w:pPr>
              <w:adjustRightInd w:val="0"/>
              <w:snapToGrid w:val="0"/>
              <w:spacing w:line="480" w:lineRule="exact"/>
              <w:jc w:val="center"/>
              <w:rPr>
                <w:rFonts w:ascii="宋体" w:cs="宋体"/>
                <w:color w:val="auto"/>
              </w:rPr>
            </w:pPr>
          </w:p>
        </w:tc>
      </w:tr>
      <w:tr w14:paraId="1E6F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477" w:type="dxa"/>
            <w:gridSpan w:val="7"/>
            <w:vAlign w:val="center"/>
          </w:tcPr>
          <w:p w14:paraId="6143330B">
            <w:pPr>
              <w:adjustRightInd w:val="0"/>
              <w:snapToGrid w:val="0"/>
              <w:spacing w:line="480" w:lineRule="exact"/>
              <w:jc w:val="center"/>
              <w:rPr>
                <w:rFonts w:ascii="宋体" w:cs="宋体"/>
                <w:color w:val="auto"/>
              </w:rPr>
            </w:pPr>
            <w:r>
              <w:rPr>
                <w:rFonts w:hint="eastAsia" w:ascii="宋体" w:hAnsi="宋体" w:cs="宋体"/>
                <w:color w:val="auto"/>
              </w:rPr>
              <w:t>主要经历</w:t>
            </w:r>
          </w:p>
        </w:tc>
      </w:tr>
      <w:tr w14:paraId="6BDA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2133" w:type="dxa"/>
            <w:vAlign w:val="center"/>
          </w:tcPr>
          <w:p w14:paraId="1DC33E7B">
            <w:pPr>
              <w:adjustRightInd w:val="0"/>
              <w:snapToGrid w:val="0"/>
              <w:spacing w:line="480" w:lineRule="exact"/>
              <w:jc w:val="center"/>
              <w:rPr>
                <w:rFonts w:ascii="宋体" w:cs="宋体"/>
                <w:color w:val="auto"/>
              </w:rPr>
            </w:pPr>
            <w:r>
              <w:rPr>
                <w:rFonts w:hint="eastAsia" w:ascii="宋体" w:hAnsi="宋体" w:cs="宋体"/>
                <w:color w:val="auto"/>
              </w:rPr>
              <w:t>时间</w:t>
            </w:r>
          </w:p>
        </w:tc>
        <w:tc>
          <w:tcPr>
            <w:tcW w:w="3828" w:type="dxa"/>
            <w:gridSpan w:val="4"/>
            <w:vAlign w:val="center"/>
          </w:tcPr>
          <w:p w14:paraId="658E90BE">
            <w:pPr>
              <w:adjustRightInd w:val="0"/>
              <w:snapToGrid w:val="0"/>
              <w:spacing w:line="480" w:lineRule="exact"/>
              <w:jc w:val="center"/>
              <w:rPr>
                <w:rFonts w:ascii="宋体" w:cs="宋体"/>
                <w:color w:val="auto"/>
              </w:rPr>
            </w:pPr>
            <w:r>
              <w:rPr>
                <w:rFonts w:hint="eastAsia" w:ascii="宋体" w:hAnsi="宋体" w:cs="宋体"/>
                <w:color w:val="auto"/>
              </w:rPr>
              <w:t>参加过的工程项目名称及规模</w:t>
            </w:r>
          </w:p>
        </w:tc>
        <w:tc>
          <w:tcPr>
            <w:tcW w:w="3516" w:type="dxa"/>
            <w:gridSpan w:val="2"/>
            <w:vAlign w:val="center"/>
          </w:tcPr>
          <w:p w14:paraId="50314277">
            <w:pPr>
              <w:adjustRightInd w:val="0"/>
              <w:snapToGrid w:val="0"/>
              <w:spacing w:line="480" w:lineRule="exact"/>
              <w:jc w:val="center"/>
              <w:rPr>
                <w:rFonts w:ascii="宋体" w:cs="宋体"/>
                <w:color w:val="auto"/>
              </w:rPr>
            </w:pPr>
            <w:r>
              <w:rPr>
                <w:rFonts w:hint="eastAsia" w:ascii="宋体" w:hAnsi="宋体" w:cs="宋体"/>
                <w:color w:val="auto"/>
              </w:rPr>
              <w:t>该项目中任职</w:t>
            </w:r>
          </w:p>
        </w:tc>
      </w:tr>
      <w:tr w14:paraId="0141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2133" w:type="dxa"/>
            <w:vAlign w:val="center"/>
          </w:tcPr>
          <w:p w14:paraId="07306D8A">
            <w:pPr>
              <w:adjustRightInd w:val="0"/>
              <w:snapToGrid w:val="0"/>
              <w:spacing w:line="480" w:lineRule="exact"/>
              <w:jc w:val="center"/>
              <w:rPr>
                <w:rFonts w:ascii="宋体" w:cs="宋体"/>
                <w:color w:val="auto"/>
              </w:rPr>
            </w:pPr>
          </w:p>
        </w:tc>
        <w:tc>
          <w:tcPr>
            <w:tcW w:w="3828" w:type="dxa"/>
            <w:gridSpan w:val="4"/>
            <w:vAlign w:val="center"/>
          </w:tcPr>
          <w:p w14:paraId="443649DA">
            <w:pPr>
              <w:adjustRightInd w:val="0"/>
              <w:snapToGrid w:val="0"/>
              <w:spacing w:line="480" w:lineRule="exact"/>
              <w:jc w:val="center"/>
              <w:rPr>
                <w:rFonts w:ascii="宋体" w:cs="宋体"/>
                <w:color w:val="auto"/>
              </w:rPr>
            </w:pPr>
          </w:p>
        </w:tc>
        <w:tc>
          <w:tcPr>
            <w:tcW w:w="3516" w:type="dxa"/>
            <w:gridSpan w:val="2"/>
            <w:vAlign w:val="center"/>
          </w:tcPr>
          <w:p w14:paraId="23C02462">
            <w:pPr>
              <w:adjustRightInd w:val="0"/>
              <w:snapToGrid w:val="0"/>
              <w:spacing w:line="480" w:lineRule="exact"/>
              <w:jc w:val="center"/>
              <w:rPr>
                <w:rFonts w:ascii="宋体" w:cs="宋体"/>
                <w:color w:val="auto"/>
              </w:rPr>
            </w:pPr>
          </w:p>
        </w:tc>
      </w:tr>
    </w:tbl>
    <w:p w14:paraId="748C1B65">
      <w:pPr>
        <w:adjustRightInd w:val="0"/>
        <w:snapToGrid w:val="0"/>
        <w:spacing w:line="480" w:lineRule="exact"/>
        <w:rPr>
          <w:rFonts w:ascii="宋体" w:cs="宋体"/>
          <w:b/>
          <w:color w:val="auto"/>
        </w:rPr>
      </w:pPr>
    </w:p>
    <w:p w14:paraId="447152EF">
      <w:pPr>
        <w:adjustRightInd w:val="0"/>
        <w:snapToGrid w:val="0"/>
        <w:spacing w:line="480" w:lineRule="exact"/>
        <w:ind w:firstLine="440" w:firstLineChars="200"/>
        <w:rPr>
          <w:rFonts w:ascii="宋体" w:cs="宋体"/>
          <w:color w:val="auto"/>
        </w:rPr>
      </w:pPr>
    </w:p>
    <w:p w14:paraId="2589C4D1">
      <w:pPr>
        <w:adjustRightInd w:val="0"/>
        <w:snapToGrid w:val="0"/>
        <w:spacing w:line="480" w:lineRule="exact"/>
        <w:ind w:firstLine="440" w:firstLineChars="200"/>
        <w:rPr>
          <w:rFonts w:ascii="宋体" w:cs="宋体"/>
          <w:color w:val="auto"/>
        </w:rPr>
      </w:pPr>
    </w:p>
    <w:p w14:paraId="6C293112">
      <w:pPr>
        <w:spacing w:line="500" w:lineRule="exact"/>
        <w:jc w:val="center"/>
        <w:rPr>
          <w:bCs/>
          <w:color w:val="auto"/>
          <w:sz w:val="24"/>
        </w:rPr>
      </w:pPr>
      <w:r>
        <w:rPr>
          <w:rFonts w:hint="eastAsia"/>
          <w:bCs/>
          <w:color w:val="auto"/>
          <w:sz w:val="24"/>
        </w:rPr>
        <w:t>供应商：（公章签章）</w:t>
      </w:r>
    </w:p>
    <w:p w14:paraId="7FD87EE7">
      <w:pPr>
        <w:spacing w:line="500" w:lineRule="exact"/>
        <w:jc w:val="center"/>
        <w:rPr>
          <w:bCs/>
          <w:color w:val="auto"/>
          <w:sz w:val="24"/>
        </w:rPr>
      </w:pPr>
      <w:r>
        <w:rPr>
          <w:rFonts w:hint="eastAsia"/>
          <w:bCs/>
          <w:color w:val="auto"/>
          <w:sz w:val="24"/>
        </w:rPr>
        <w:t>法定代表人：（签章）</w:t>
      </w:r>
    </w:p>
    <w:p w14:paraId="552EFEE8">
      <w:pPr>
        <w:spacing w:line="500" w:lineRule="exact"/>
        <w:jc w:val="center"/>
        <w:rPr>
          <w:bCs/>
          <w:color w:val="auto"/>
          <w:sz w:val="24"/>
        </w:rPr>
      </w:pPr>
      <w:r>
        <w:rPr>
          <w:rFonts w:hint="eastAsia"/>
          <w:bCs/>
          <w:color w:val="auto"/>
          <w:sz w:val="24"/>
        </w:rPr>
        <w:t>日期：</w:t>
      </w:r>
    </w:p>
    <w:p w14:paraId="2F9DB2D5">
      <w:pPr>
        <w:widowControl/>
        <w:spacing w:line="700" w:lineRule="exact"/>
        <w:jc w:val="center"/>
        <w:rPr>
          <w:rFonts w:ascii="宋体" w:hAnsi="宋体" w:cs="宋体"/>
          <w:color w:val="auto"/>
          <w:kern w:val="0"/>
          <w:sz w:val="24"/>
        </w:rPr>
      </w:pPr>
    </w:p>
    <w:p w14:paraId="0721037E">
      <w:pPr>
        <w:spacing w:line="360" w:lineRule="auto"/>
        <w:jc w:val="center"/>
        <w:rPr>
          <w:rFonts w:hint="eastAsia"/>
          <w:color w:val="auto"/>
          <w:sz w:val="28"/>
          <w:szCs w:val="20"/>
        </w:rPr>
      </w:pPr>
    </w:p>
    <w:p w14:paraId="1249D320">
      <w:pPr>
        <w:spacing w:line="360" w:lineRule="auto"/>
        <w:jc w:val="center"/>
        <w:rPr>
          <w:rFonts w:hint="eastAsia"/>
          <w:color w:val="auto"/>
          <w:sz w:val="28"/>
          <w:szCs w:val="20"/>
        </w:rPr>
      </w:pPr>
    </w:p>
    <w:p w14:paraId="6153545F">
      <w:pPr>
        <w:spacing w:line="360" w:lineRule="auto"/>
        <w:jc w:val="center"/>
        <w:rPr>
          <w:rFonts w:hint="eastAsia"/>
          <w:color w:val="auto"/>
          <w:sz w:val="28"/>
          <w:szCs w:val="20"/>
        </w:rPr>
      </w:pPr>
    </w:p>
    <w:p w14:paraId="23BF6B6E">
      <w:pPr>
        <w:spacing w:line="360" w:lineRule="auto"/>
        <w:jc w:val="center"/>
        <w:rPr>
          <w:rFonts w:hint="eastAsia"/>
          <w:color w:val="auto"/>
          <w:sz w:val="28"/>
          <w:szCs w:val="20"/>
        </w:rPr>
      </w:pPr>
    </w:p>
    <w:p w14:paraId="2D46DDC6">
      <w:pPr>
        <w:spacing w:line="360" w:lineRule="auto"/>
        <w:jc w:val="center"/>
        <w:rPr>
          <w:rFonts w:hint="eastAsia"/>
          <w:color w:val="auto"/>
          <w:sz w:val="28"/>
          <w:szCs w:val="20"/>
        </w:rPr>
      </w:pPr>
    </w:p>
    <w:bookmarkEnd w:id="356"/>
    <w:p w14:paraId="38634347">
      <w:pPr>
        <w:spacing w:line="360" w:lineRule="auto"/>
        <w:rPr>
          <w:color w:val="auto"/>
          <w:sz w:val="24"/>
        </w:rPr>
      </w:pPr>
    </w:p>
    <w:p w14:paraId="1939AF2C">
      <w:pPr>
        <w:pStyle w:val="7"/>
        <w:rPr>
          <w:color w:val="auto"/>
        </w:rPr>
      </w:pPr>
    </w:p>
    <w:p w14:paraId="29F013EC">
      <w:pPr>
        <w:pStyle w:val="36"/>
        <w:ind w:left="0"/>
        <w:jc w:val="center"/>
        <w:outlineLvl w:val="0"/>
        <w:rPr>
          <w:rFonts w:hint="eastAsia" w:ascii="宋体" w:hAnsi="宋体"/>
          <w:color w:val="auto"/>
        </w:rPr>
      </w:pPr>
      <w:bookmarkStart w:id="369" w:name="_Toc5151"/>
      <w:bookmarkStart w:id="370" w:name="_Toc13086"/>
      <w:r>
        <w:rPr>
          <w:rFonts w:hint="eastAsia" w:ascii="宋体" w:hAnsi="宋体"/>
          <w:color w:val="auto"/>
        </w:rPr>
        <w:t>六、资格审查资料</w:t>
      </w:r>
      <w:bookmarkEnd w:id="369"/>
      <w:bookmarkEnd w:id="370"/>
    </w:p>
    <w:p w14:paraId="7CE3CC70">
      <w:pPr>
        <w:pStyle w:val="36"/>
        <w:ind w:left="0"/>
        <w:jc w:val="center"/>
        <w:outlineLvl w:val="9"/>
        <w:rPr>
          <w:color w:val="auto"/>
        </w:rPr>
        <w:sectPr>
          <w:pgSz w:w="11910" w:h="16840"/>
          <w:pgMar w:top="1400" w:right="1020" w:bottom="900" w:left="1040" w:header="0" w:footer="720" w:gutter="0"/>
          <w:pgNumType w:fmt="decimal"/>
          <w:cols w:space="720" w:num="1"/>
        </w:sectPr>
      </w:pPr>
    </w:p>
    <w:p w14:paraId="369A7ABD">
      <w:pPr>
        <w:jc w:val="center"/>
        <w:outlineLvl w:val="0"/>
        <w:rPr>
          <w:rFonts w:hint="eastAsia" w:ascii="宋体" w:hAnsi="宋体" w:eastAsia="宋体" w:cs="宋体"/>
          <w:b/>
          <w:bCs/>
          <w:color w:val="auto"/>
          <w:sz w:val="28"/>
          <w:szCs w:val="20"/>
          <w:lang w:val="zh-CN" w:eastAsia="zh-CN" w:bidi="zh-CN"/>
        </w:rPr>
      </w:pPr>
      <w:bookmarkStart w:id="371" w:name="5、资格审查资料"/>
      <w:bookmarkEnd w:id="371"/>
      <w:bookmarkStart w:id="372" w:name="_Toc877"/>
      <w:bookmarkStart w:id="373" w:name="_Toc318"/>
      <w:bookmarkStart w:id="374" w:name="_Toc9365"/>
      <w:bookmarkStart w:id="375" w:name="_Toc29623"/>
      <w:bookmarkStart w:id="376" w:name="_Toc14427"/>
      <w:r>
        <w:rPr>
          <w:rFonts w:hint="eastAsia" w:ascii="宋体" w:hAnsi="宋体" w:eastAsia="宋体" w:cs="宋体"/>
          <w:b/>
          <w:bCs/>
          <w:color w:val="auto"/>
          <w:sz w:val="28"/>
          <w:szCs w:val="20"/>
          <w:lang w:val="zh-CN" w:eastAsia="zh-CN" w:bidi="zh-CN"/>
        </w:rPr>
        <w:t>七、</w:t>
      </w:r>
      <w:bookmarkEnd w:id="372"/>
      <w:bookmarkEnd w:id="373"/>
      <w:bookmarkEnd w:id="374"/>
      <w:r>
        <w:rPr>
          <w:rFonts w:hint="eastAsia" w:ascii="宋体" w:hAnsi="宋体" w:eastAsia="宋体" w:cs="宋体"/>
          <w:b/>
          <w:bCs/>
          <w:color w:val="auto"/>
          <w:sz w:val="28"/>
          <w:szCs w:val="20"/>
          <w:lang w:val="zh-CN" w:eastAsia="zh-CN" w:bidi="zh-CN"/>
        </w:rPr>
        <w:t>技术标</w:t>
      </w:r>
      <w:bookmarkEnd w:id="375"/>
      <w:bookmarkEnd w:id="376"/>
    </w:p>
    <w:p w14:paraId="650B5EB4">
      <w:pPr>
        <w:widowControl/>
        <w:ind w:firstLine="4180" w:firstLineChars="1900"/>
        <w:rPr>
          <w:rFonts w:hint="eastAsia" w:ascii="宋体" w:hAnsi="宋体" w:cs="宋体"/>
          <w:iCs/>
          <w:color w:val="auto"/>
          <w:sz w:val="22"/>
          <w:szCs w:val="21"/>
        </w:rPr>
      </w:pPr>
      <w:r>
        <w:rPr>
          <w:rFonts w:hint="eastAsia" w:ascii="宋体" w:hAnsi="宋体" w:cs="宋体"/>
          <w:iCs/>
          <w:color w:val="auto"/>
          <w:sz w:val="22"/>
          <w:szCs w:val="21"/>
        </w:rPr>
        <w:t>（格式自拟）</w:t>
      </w:r>
    </w:p>
    <w:p w14:paraId="7A5202D8">
      <w:pPr>
        <w:pStyle w:val="7"/>
        <w:rPr>
          <w:color w:val="auto"/>
        </w:rPr>
      </w:pPr>
      <w:r>
        <w:rPr>
          <w:rFonts w:hint="eastAsia"/>
          <w:color w:val="auto"/>
          <w:lang w:eastAsia="zh-CN"/>
        </w:rPr>
        <w:t>供应商</w:t>
      </w:r>
      <w:r>
        <w:rPr>
          <w:rFonts w:hint="eastAsia"/>
          <w:color w:val="auto"/>
        </w:rPr>
        <w:t>应在充分理解</w:t>
      </w:r>
      <w:r>
        <w:rPr>
          <w:rFonts w:hint="eastAsia"/>
          <w:color w:val="auto"/>
          <w:lang w:eastAsia="zh-CN"/>
        </w:rPr>
        <w:t>竞争性磋商</w:t>
      </w:r>
      <w:r>
        <w:rPr>
          <w:rFonts w:hint="eastAsia"/>
          <w:color w:val="auto"/>
        </w:rPr>
        <w:t>文件第</w:t>
      </w:r>
      <w:r>
        <w:rPr>
          <w:rFonts w:hint="eastAsia"/>
          <w:color w:val="auto"/>
          <w:lang w:eastAsia="zh-CN"/>
        </w:rPr>
        <w:t>三</w:t>
      </w:r>
      <w:r>
        <w:rPr>
          <w:rFonts w:hint="eastAsia"/>
          <w:color w:val="auto"/>
        </w:rPr>
        <w:t>章《</w:t>
      </w:r>
      <w:r>
        <w:rPr>
          <w:rFonts w:hint="eastAsia"/>
          <w:color w:val="auto"/>
          <w:lang w:eastAsia="zh-CN"/>
        </w:rPr>
        <w:t>服务需求</w:t>
      </w:r>
      <w:r>
        <w:rPr>
          <w:rFonts w:hint="eastAsia"/>
          <w:color w:val="auto"/>
        </w:rPr>
        <w:t>》的基础上，编制本项目技术服务方案</w:t>
      </w:r>
    </w:p>
    <w:p w14:paraId="71817F58">
      <w:pPr>
        <w:pStyle w:val="7"/>
        <w:rPr>
          <w:color w:val="auto"/>
        </w:rPr>
      </w:pPr>
    </w:p>
    <w:p w14:paraId="6B8A760E">
      <w:pPr>
        <w:pStyle w:val="36"/>
        <w:widowControl/>
        <w:spacing w:before="156"/>
        <w:jc w:val="center"/>
        <w:outlineLvl w:val="9"/>
        <w:rPr>
          <w:rFonts w:ascii="宋体" w:hAnsi="宋体" w:eastAsia="宋体" w:cs="宋体"/>
          <w:iCs/>
          <w:color w:val="auto"/>
        </w:rPr>
      </w:pPr>
    </w:p>
    <w:p w14:paraId="2BE2F491">
      <w:pPr>
        <w:pStyle w:val="36"/>
        <w:widowControl/>
        <w:spacing w:before="156"/>
        <w:ind w:left="0" w:leftChars="0" w:firstLine="0" w:firstLineChars="0"/>
        <w:jc w:val="center"/>
        <w:outlineLvl w:val="0"/>
        <w:rPr>
          <w:rFonts w:ascii="宋体" w:hAnsi="宋体" w:eastAsia="宋体" w:cs="宋体"/>
          <w:iCs/>
          <w:color w:val="auto"/>
        </w:rPr>
      </w:pPr>
      <w:bookmarkStart w:id="377" w:name="_Toc20376"/>
      <w:bookmarkStart w:id="378" w:name="_Toc9311"/>
      <w:r>
        <w:rPr>
          <w:rFonts w:hint="eastAsia" w:ascii="宋体" w:hAnsi="宋体" w:eastAsia="宋体" w:cs="宋体"/>
          <w:iCs/>
          <w:color w:val="auto"/>
        </w:rPr>
        <w:br w:type="page"/>
      </w:r>
      <w:bookmarkStart w:id="379" w:name="_Toc27563"/>
      <w:bookmarkStart w:id="380" w:name="_Toc30750"/>
      <w:bookmarkStart w:id="381" w:name="_Toc16588"/>
      <w:bookmarkStart w:id="382" w:name="_Toc6757"/>
      <w:r>
        <w:rPr>
          <w:rFonts w:hint="eastAsia" w:ascii="宋体" w:hAnsi="宋体" w:eastAsia="宋体" w:cs="宋体"/>
          <w:iCs/>
          <w:color w:val="auto"/>
        </w:rPr>
        <w:t>八、</w:t>
      </w:r>
      <w:r>
        <w:rPr>
          <w:rFonts w:hint="eastAsia" w:ascii="宋体" w:hAnsi="宋体" w:eastAsia="宋体" w:cs="宋体"/>
          <w:iCs/>
          <w:color w:val="auto"/>
          <w:lang w:val="en-US"/>
        </w:rPr>
        <w:t>商务标</w:t>
      </w:r>
      <w:bookmarkEnd w:id="379"/>
      <w:bookmarkEnd w:id="380"/>
      <w:bookmarkEnd w:id="381"/>
    </w:p>
    <w:p w14:paraId="71E4D060">
      <w:pPr>
        <w:widowControl/>
        <w:jc w:val="center"/>
        <w:rPr>
          <w:rFonts w:ascii="宋体" w:hAnsi="宋体" w:cs="宋体"/>
          <w:iCs/>
          <w:color w:val="auto"/>
          <w:sz w:val="22"/>
          <w:szCs w:val="21"/>
        </w:rPr>
      </w:pPr>
      <w:r>
        <w:rPr>
          <w:rFonts w:hint="eastAsia" w:ascii="宋体" w:hAnsi="宋体" w:cs="宋体"/>
          <w:iCs/>
          <w:color w:val="auto"/>
          <w:sz w:val="22"/>
          <w:szCs w:val="21"/>
        </w:rPr>
        <w:t>（格式自拟）</w:t>
      </w:r>
    </w:p>
    <w:p w14:paraId="2777BC66">
      <w:pPr>
        <w:pStyle w:val="36"/>
        <w:widowControl/>
        <w:spacing w:before="156"/>
        <w:jc w:val="center"/>
        <w:outlineLvl w:val="9"/>
        <w:rPr>
          <w:rFonts w:ascii="宋体" w:hAnsi="宋体" w:eastAsia="宋体" w:cs="宋体"/>
          <w:iCs/>
          <w:color w:val="auto"/>
        </w:rPr>
      </w:pPr>
    </w:p>
    <w:bookmarkEnd w:id="377"/>
    <w:bookmarkEnd w:id="378"/>
    <w:bookmarkEnd w:id="382"/>
    <w:p w14:paraId="21736F5D">
      <w:pPr>
        <w:pStyle w:val="36"/>
        <w:widowControl/>
        <w:numPr>
          <w:ilvl w:val="0"/>
          <w:numId w:val="18"/>
        </w:numPr>
        <w:spacing w:before="156"/>
        <w:ind w:left="0" w:leftChars="0" w:firstLine="0" w:firstLineChars="0"/>
        <w:jc w:val="center"/>
        <w:outlineLvl w:val="0"/>
        <w:rPr>
          <w:rFonts w:hint="eastAsia" w:ascii="宋体" w:hAnsi="宋体" w:eastAsia="宋体" w:cs="宋体"/>
          <w:iCs/>
          <w:color w:val="auto"/>
        </w:rPr>
      </w:pPr>
      <w:r>
        <w:rPr>
          <w:rFonts w:hint="eastAsia"/>
          <w:color w:val="auto"/>
          <w:lang w:val="en-US"/>
        </w:rPr>
        <w:br w:type="page"/>
      </w:r>
      <w:bookmarkStart w:id="383" w:name="_Toc7984"/>
      <w:bookmarkStart w:id="384" w:name="_Toc2416"/>
      <w:bookmarkStart w:id="385" w:name="_Toc18887"/>
      <w:r>
        <w:rPr>
          <w:rFonts w:hint="eastAsia" w:ascii="宋体" w:hAnsi="宋体" w:eastAsia="宋体" w:cs="宋体"/>
          <w:iCs/>
          <w:color w:val="auto"/>
        </w:rPr>
        <w:t>其他材料</w:t>
      </w:r>
      <w:bookmarkEnd w:id="383"/>
      <w:bookmarkEnd w:id="384"/>
      <w:bookmarkEnd w:id="385"/>
    </w:p>
    <w:p w14:paraId="7AE0BC1A">
      <w:pPr>
        <w:numPr>
          <w:ilvl w:val="0"/>
          <w:numId w:val="0"/>
        </w:numPr>
        <w:rPr>
          <w:color w:val="auto"/>
        </w:rPr>
      </w:pPr>
    </w:p>
    <w:p w14:paraId="3570E7DC">
      <w:pPr>
        <w:spacing w:line="360" w:lineRule="auto"/>
        <w:rPr>
          <w:color w:val="auto"/>
        </w:rPr>
      </w:pPr>
      <w:r>
        <w:rPr>
          <w:rFonts w:hint="eastAsia"/>
          <w:color w:val="auto"/>
        </w:rPr>
        <w:t xml:space="preserve"> 一、响应文件的组成中要求的其他内容；</w:t>
      </w:r>
    </w:p>
    <w:p w14:paraId="4E0E08A2">
      <w:pPr>
        <w:spacing w:line="360" w:lineRule="auto"/>
        <w:rPr>
          <w:rFonts w:hint="eastAsia"/>
          <w:color w:val="auto"/>
        </w:rPr>
      </w:pPr>
      <w:r>
        <w:rPr>
          <w:rFonts w:hint="eastAsia"/>
          <w:color w:val="auto"/>
        </w:rPr>
        <w:t xml:space="preserve"> 二、供应商认为有必要提供的、有利于其成交的其他文件材料。</w:t>
      </w:r>
    </w:p>
    <w:p w14:paraId="525D8540">
      <w:pPr>
        <w:pStyle w:val="36"/>
        <w:ind w:left="0"/>
        <w:jc w:val="both"/>
        <w:outlineLvl w:val="0"/>
        <w:rPr>
          <w:rFonts w:hint="eastAsia" w:ascii="宋体" w:hAnsi="宋体" w:eastAsia="宋体"/>
          <w:color w:val="auto"/>
          <w:highlight w:val="none"/>
          <w:lang w:val="en-US" w:eastAsia="zh-CN"/>
        </w:rPr>
      </w:pPr>
      <w:r>
        <w:rPr>
          <w:rFonts w:hint="eastAsia"/>
          <w:color w:val="auto"/>
        </w:rPr>
        <w:br w:type="page"/>
      </w:r>
      <w:bookmarkStart w:id="386" w:name="_Toc32503"/>
      <w:r>
        <w:rPr>
          <w:rFonts w:hint="eastAsia" w:ascii="宋体" w:hAnsi="宋体"/>
          <w:color w:val="auto"/>
          <w:highlight w:val="none"/>
          <w:lang w:val="en-US" w:eastAsia="zh-CN"/>
        </w:rPr>
        <w:t>附件：</w:t>
      </w:r>
      <w:bookmarkEnd w:id="386"/>
    </w:p>
    <w:p w14:paraId="65CDD3D9">
      <w:pPr>
        <w:rPr>
          <w:color w:val="auto"/>
          <w:highlight w:val="none"/>
        </w:rPr>
      </w:pPr>
    </w:p>
    <w:p w14:paraId="04CE8F45">
      <w:pPr>
        <w:autoSpaceDE w:val="0"/>
        <w:autoSpaceDN w:val="0"/>
        <w:adjustRightInd w:val="0"/>
        <w:spacing w:line="440" w:lineRule="exact"/>
        <w:jc w:val="center"/>
        <w:rPr>
          <w:rFonts w:hint="eastAsia" w:ascii="宋体" w:eastAsia="宋体" w:cs="宋体"/>
          <w:b/>
          <w:bCs/>
          <w:color w:val="auto"/>
          <w:sz w:val="24"/>
          <w:szCs w:val="24"/>
          <w:lang w:eastAsia="zh-CN"/>
        </w:rPr>
      </w:pPr>
      <w:r>
        <w:rPr>
          <w:rFonts w:hint="eastAsia" w:ascii="宋体" w:cs="宋体"/>
          <w:b/>
          <w:bCs/>
          <w:color w:val="auto"/>
          <w:sz w:val="24"/>
          <w:szCs w:val="24"/>
        </w:rPr>
        <w:t>中小企业声明函</w:t>
      </w:r>
      <w:r>
        <w:rPr>
          <w:rFonts w:hint="eastAsia" w:ascii="宋体" w:cs="宋体"/>
          <w:b/>
          <w:bCs/>
          <w:color w:val="auto"/>
          <w:sz w:val="24"/>
          <w:szCs w:val="24"/>
          <w:lang w:eastAsia="zh-CN"/>
        </w:rPr>
        <w:t>（服务）</w:t>
      </w:r>
    </w:p>
    <w:p w14:paraId="7F1B3BEE">
      <w:pPr>
        <w:autoSpaceDE w:val="0"/>
        <w:autoSpaceDN w:val="0"/>
        <w:adjustRightInd w:val="0"/>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本公司（联合体）郑重声明，根据《政府采购促进中小企业发展管理办法》（财库</w:t>
      </w:r>
      <w:r>
        <w:rPr>
          <w:rFonts w:hint="eastAsia" w:ascii="宋体" w:hAnsi="宋体" w:cs="宋体"/>
          <w:color w:val="auto"/>
          <w:sz w:val="24"/>
          <w:szCs w:val="24"/>
        </w:rPr>
        <w:t>﹝</w:t>
      </w:r>
      <w:r>
        <w:rPr>
          <w:rFonts w:ascii="宋体" w:hAnsi="宋体" w:cs="仿宋"/>
          <w:color w:val="auto"/>
          <w:sz w:val="24"/>
          <w:szCs w:val="24"/>
        </w:rPr>
        <w:t>2020</w:t>
      </w:r>
      <w:r>
        <w:rPr>
          <w:rFonts w:hint="eastAsia" w:ascii="宋体" w:hAnsi="宋体" w:cs="宋体"/>
          <w:color w:val="auto"/>
          <w:sz w:val="24"/>
          <w:szCs w:val="24"/>
        </w:rPr>
        <w:t>﹞</w:t>
      </w:r>
      <w:r>
        <w:rPr>
          <w:rFonts w:ascii="宋体" w:hAnsi="宋体" w:cs="仿宋"/>
          <w:color w:val="auto"/>
          <w:sz w:val="24"/>
          <w:szCs w:val="24"/>
        </w:rPr>
        <w:t xml:space="preserve">46 </w:t>
      </w:r>
      <w:r>
        <w:rPr>
          <w:rFonts w:hint="eastAsia" w:ascii="宋体" w:hAnsi="宋体" w:cs="仿宋"/>
          <w:color w:val="auto"/>
          <w:sz w:val="24"/>
          <w:szCs w:val="24"/>
        </w:rPr>
        <w:t>号）的规定，本公司（联合体）参加</w:t>
      </w:r>
      <w:r>
        <w:rPr>
          <w:rFonts w:hint="eastAsia" w:ascii="宋体" w:hAnsi="宋体" w:cs="仿宋"/>
          <w:color w:val="auto"/>
          <w:sz w:val="24"/>
          <w:szCs w:val="24"/>
          <w:u w:val="single"/>
        </w:rPr>
        <w:t>（单位名称）</w:t>
      </w:r>
      <w:r>
        <w:rPr>
          <w:rFonts w:hint="eastAsia" w:ascii="宋体" w:hAnsi="宋体" w:cs="仿宋"/>
          <w:color w:val="auto"/>
          <w:sz w:val="24"/>
          <w:szCs w:val="24"/>
        </w:rPr>
        <w:t>的</w:t>
      </w:r>
      <w:r>
        <w:rPr>
          <w:rFonts w:hint="eastAsia" w:ascii="宋体" w:hAnsi="宋体" w:cs="仿宋"/>
          <w:color w:val="auto"/>
          <w:sz w:val="24"/>
          <w:szCs w:val="24"/>
          <w:u w:val="single"/>
        </w:rPr>
        <w:t>（项目名称）</w:t>
      </w:r>
      <w:r>
        <w:rPr>
          <w:rFonts w:hint="eastAsia" w:ascii="宋体" w:hAnsi="宋体" w:cs="仿宋"/>
          <w:color w:val="auto"/>
          <w:sz w:val="24"/>
          <w:szCs w:val="24"/>
          <w:u w:val="single"/>
          <w:lang w:eastAsia="zh-CN"/>
        </w:rPr>
        <w:t>（标段）</w:t>
      </w:r>
      <w:r>
        <w:rPr>
          <w:rFonts w:hint="eastAsia" w:ascii="宋体" w:hAnsi="宋体" w:cs="仿宋"/>
          <w:color w:val="auto"/>
          <w:sz w:val="24"/>
          <w:szCs w:val="24"/>
        </w:rPr>
        <w:t>采购活动，工程的施工单位全部为符合政策要求的中小企业（或者：货物全部由符合政策要求的中小企业承接）。相关企业（含联合体中的中小企业、签订分包意向协议的中小企业）的具体情况如下：</w:t>
      </w:r>
    </w:p>
    <w:p w14:paraId="4B9A59F8">
      <w:pPr>
        <w:autoSpaceDE w:val="0"/>
        <w:autoSpaceDN w:val="0"/>
        <w:adjustRightInd w:val="0"/>
        <w:spacing w:line="440" w:lineRule="exact"/>
        <w:ind w:firstLine="480" w:firstLineChars="200"/>
        <w:rPr>
          <w:rFonts w:ascii="宋体" w:hAnsi="宋体" w:cs="仿宋"/>
          <w:color w:val="auto"/>
          <w:sz w:val="24"/>
          <w:szCs w:val="24"/>
        </w:rPr>
      </w:pPr>
      <w:r>
        <w:rPr>
          <w:rFonts w:ascii="宋体" w:hAnsi="宋体" w:cs="仿宋"/>
          <w:color w:val="auto"/>
          <w:sz w:val="24"/>
          <w:szCs w:val="24"/>
        </w:rPr>
        <w:t xml:space="preserve">1. </w:t>
      </w:r>
      <w:r>
        <w:rPr>
          <w:rFonts w:hint="eastAsia" w:ascii="宋体" w:hAnsi="宋体" w:cs="仿宋"/>
          <w:color w:val="auto"/>
          <w:sz w:val="24"/>
          <w:szCs w:val="24"/>
          <w:u w:val="single"/>
        </w:rPr>
        <w:t>（标的名称）</w:t>
      </w:r>
      <w:r>
        <w:rPr>
          <w:rFonts w:ascii="宋体" w:hAnsi="宋体" w:cs="仿宋"/>
          <w:color w:val="auto"/>
          <w:sz w:val="24"/>
          <w:szCs w:val="24"/>
        </w:rPr>
        <w:t xml:space="preserve"> </w:t>
      </w:r>
      <w:r>
        <w:rPr>
          <w:rFonts w:hint="eastAsia" w:ascii="宋体" w:hAnsi="宋体" w:cs="仿宋"/>
          <w:color w:val="auto"/>
          <w:sz w:val="24"/>
          <w:szCs w:val="24"/>
        </w:rPr>
        <w:t>，属于</w:t>
      </w:r>
      <w:r>
        <w:rPr>
          <w:rFonts w:hint="eastAsia" w:ascii="宋体" w:hAnsi="宋体" w:cs="仿宋"/>
          <w:color w:val="auto"/>
          <w:sz w:val="24"/>
          <w:szCs w:val="24"/>
          <w:u w:val="single"/>
          <w:lang w:val="en-US" w:eastAsia="zh-CN"/>
        </w:rPr>
        <w:t xml:space="preserve">   </w:t>
      </w:r>
      <w:r>
        <w:rPr>
          <w:rFonts w:hint="eastAsia" w:ascii="宋体" w:hAnsi="宋体" w:cs="仿宋"/>
          <w:color w:val="auto"/>
          <w:sz w:val="24"/>
          <w:szCs w:val="24"/>
          <w:u w:val="single"/>
        </w:rPr>
        <w:t>（采购文件中明确的所属行业）</w:t>
      </w:r>
      <w:r>
        <w:rPr>
          <w:rFonts w:hint="eastAsia" w:ascii="宋体" w:hAnsi="宋体" w:cs="仿宋"/>
          <w:color w:val="auto"/>
          <w:sz w:val="24"/>
          <w:szCs w:val="24"/>
        </w:rPr>
        <w:t>；承建（承接）企业为</w:t>
      </w:r>
      <w:r>
        <w:rPr>
          <w:rFonts w:hint="eastAsia" w:ascii="宋体" w:hAnsi="宋体" w:cs="仿宋"/>
          <w:color w:val="auto"/>
          <w:sz w:val="24"/>
          <w:szCs w:val="24"/>
          <w:u w:val="single"/>
        </w:rPr>
        <w:t>（企业名称）</w:t>
      </w:r>
      <w:r>
        <w:rPr>
          <w:rFonts w:hint="eastAsia" w:ascii="宋体" w:hAnsi="宋体" w:cs="仿宋"/>
          <w:color w:val="auto"/>
          <w:sz w:val="24"/>
          <w:szCs w:val="24"/>
        </w:rPr>
        <w:t>，从业人员</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人，营业收入为</w:t>
      </w:r>
      <w:r>
        <w:rPr>
          <w:rFonts w:hint="eastAsia" w:ascii="宋体" w:hAnsi="宋体" w:cs="仿宋"/>
          <w:color w:val="auto"/>
          <w:sz w:val="24"/>
          <w:szCs w:val="24"/>
          <w:u w:val="single"/>
        </w:rPr>
        <w:t xml:space="preserve">     </w:t>
      </w:r>
      <w:r>
        <w:rPr>
          <w:rFonts w:hint="eastAsia" w:ascii="宋体" w:hAnsi="宋体" w:cs="仿宋"/>
          <w:color w:val="auto"/>
          <w:sz w:val="24"/>
          <w:szCs w:val="24"/>
        </w:rPr>
        <w:t>万元，资产总额为</w:t>
      </w:r>
      <w:r>
        <w:rPr>
          <w:rFonts w:hint="eastAsia" w:ascii="宋体" w:hAnsi="宋体" w:cs="仿宋"/>
          <w:color w:val="auto"/>
          <w:sz w:val="24"/>
          <w:szCs w:val="24"/>
          <w:u w:val="single"/>
        </w:rPr>
        <w:t xml:space="preserve">   </w:t>
      </w:r>
      <w:r>
        <w:rPr>
          <w:rFonts w:hint="eastAsia" w:ascii="宋体" w:hAnsi="宋体" w:cs="仿宋"/>
          <w:color w:val="auto"/>
          <w:sz w:val="24"/>
          <w:szCs w:val="24"/>
        </w:rPr>
        <w:t>万元，属于</w:t>
      </w:r>
      <w:r>
        <w:rPr>
          <w:rFonts w:hint="eastAsia" w:ascii="宋体" w:hAnsi="宋体" w:cs="仿宋"/>
          <w:color w:val="auto"/>
          <w:sz w:val="24"/>
          <w:szCs w:val="24"/>
          <w:u w:val="single"/>
        </w:rPr>
        <w:t>（中型企业、小型企业、微型企业）</w:t>
      </w:r>
      <w:r>
        <w:rPr>
          <w:rFonts w:hint="eastAsia" w:ascii="宋体" w:hAnsi="宋体" w:cs="仿宋"/>
          <w:color w:val="auto"/>
          <w:sz w:val="24"/>
          <w:szCs w:val="24"/>
        </w:rPr>
        <w:t>；</w:t>
      </w:r>
    </w:p>
    <w:p w14:paraId="3126106B">
      <w:pPr>
        <w:autoSpaceDE w:val="0"/>
        <w:autoSpaceDN w:val="0"/>
        <w:adjustRightInd w:val="0"/>
        <w:spacing w:line="440" w:lineRule="exact"/>
        <w:ind w:firstLine="480" w:firstLineChars="200"/>
        <w:rPr>
          <w:rFonts w:ascii="宋体" w:hAnsi="宋体" w:cs="仿宋"/>
          <w:color w:val="auto"/>
          <w:sz w:val="24"/>
          <w:szCs w:val="24"/>
        </w:rPr>
      </w:pPr>
      <w:r>
        <w:rPr>
          <w:rFonts w:ascii="宋体" w:hAnsi="宋体" w:cs="仿宋"/>
          <w:color w:val="auto"/>
          <w:sz w:val="24"/>
          <w:szCs w:val="24"/>
        </w:rPr>
        <w:t xml:space="preserve">2. </w:t>
      </w:r>
      <w:r>
        <w:rPr>
          <w:rFonts w:hint="eastAsia" w:ascii="宋体" w:hAnsi="宋体" w:cs="仿宋"/>
          <w:color w:val="auto"/>
          <w:sz w:val="24"/>
          <w:szCs w:val="24"/>
          <w:u w:val="single"/>
        </w:rPr>
        <w:t>（标的名称</w:t>
      </w:r>
      <w:r>
        <w:rPr>
          <w:rFonts w:hint="eastAsia" w:ascii="宋体" w:hAnsi="宋体" w:cs="仿宋"/>
          <w:color w:val="auto"/>
          <w:sz w:val="24"/>
          <w:szCs w:val="24"/>
        </w:rPr>
        <w:t>）</w:t>
      </w:r>
      <w:r>
        <w:rPr>
          <w:rFonts w:ascii="宋体" w:hAnsi="宋体" w:cs="仿宋"/>
          <w:color w:val="auto"/>
          <w:sz w:val="24"/>
          <w:szCs w:val="24"/>
        </w:rPr>
        <w:t xml:space="preserve"> </w:t>
      </w:r>
      <w:r>
        <w:rPr>
          <w:rFonts w:hint="eastAsia" w:ascii="宋体" w:hAnsi="宋体" w:cs="仿宋"/>
          <w:color w:val="auto"/>
          <w:sz w:val="24"/>
          <w:szCs w:val="24"/>
        </w:rPr>
        <w:t>，属于</w:t>
      </w:r>
      <w:r>
        <w:rPr>
          <w:rFonts w:hint="eastAsia" w:ascii="宋体" w:hAnsi="宋体" w:cs="仿宋"/>
          <w:color w:val="auto"/>
          <w:sz w:val="24"/>
          <w:szCs w:val="24"/>
          <w:u w:val="single"/>
        </w:rPr>
        <w:t>（采购文件中明确的所属行业）</w:t>
      </w:r>
      <w:r>
        <w:rPr>
          <w:rFonts w:hint="eastAsia" w:ascii="宋体" w:hAnsi="宋体" w:cs="仿宋"/>
          <w:color w:val="auto"/>
          <w:sz w:val="24"/>
          <w:szCs w:val="24"/>
        </w:rPr>
        <w:t>；承建（承接）企业为（</w:t>
      </w:r>
      <w:r>
        <w:rPr>
          <w:rFonts w:hint="eastAsia" w:ascii="宋体" w:hAnsi="宋体" w:cs="仿宋"/>
          <w:color w:val="auto"/>
          <w:sz w:val="24"/>
          <w:szCs w:val="24"/>
          <w:u w:val="single"/>
        </w:rPr>
        <w:t>企业名称</w:t>
      </w:r>
      <w:r>
        <w:rPr>
          <w:rFonts w:hint="eastAsia" w:ascii="宋体" w:hAnsi="宋体" w:cs="仿宋"/>
          <w:color w:val="auto"/>
          <w:sz w:val="24"/>
          <w:szCs w:val="24"/>
        </w:rPr>
        <w:t>），从业人员</w:t>
      </w:r>
      <w:r>
        <w:rPr>
          <w:rFonts w:hint="eastAsia" w:ascii="宋体" w:hAnsi="宋体" w:cs="仿宋"/>
          <w:color w:val="auto"/>
          <w:sz w:val="24"/>
          <w:szCs w:val="24"/>
          <w:u w:val="single"/>
        </w:rPr>
        <w:t xml:space="preserve">    </w:t>
      </w:r>
      <w:r>
        <w:rPr>
          <w:rFonts w:hint="eastAsia" w:ascii="宋体" w:hAnsi="宋体" w:cs="仿宋"/>
          <w:color w:val="auto"/>
          <w:sz w:val="24"/>
          <w:szCs w:val="24"/>
        </w:rPr>
        <w:t xml:space="preserve"> 人，营业收入为</w:t>
      </w:r>
      <w:r>
        <w:rPr>
          <w:rFonts w:hint="eastAsia" w:ascii="宋体" w:hAnsi="宋体" w:cs="仿宋"/>
          <w:color w:val="auto"/>
          <w:sz w:val="24"/>
          <w:szCs w:val="24"/>
          <w:u w:val="single"/>
        </w:rPr>
        <w:t xml:space="preserve">     </w:t>
      </w:r>
      <w:r>
        <w:rPr>
          <w:rFonts w:hint="eastAsia" w:ascii="宋体" w:hAnsi="宋体" w:cs="仿宋"/>
          <w:color w:val="auto"/>
          <w:sz w:val="24"/>
          <w:szCs w:val="24"/>
        </w:rPr>
        <w:t>万元，资产总额为</w:t>
      </w:r>
      <w:r>
        <w:rPr>
          <w:rFonts w:hint="eastAsia" w:ascii="宋体" w:hAnsi="宋体" w:cs="仿宋"/>
          <w:color w:val="auto"/>
          <w:sz w:val="24"/>
          <w:szCs w:val="24"/>
          <w:u w:val="single"/>
        </w:rPr>
        <w:t xml:space="preserve">   </w:t>
      </w:r>
      <w:r>
        <w:rPr>
          <w:rFonts w:hint="eastAsia" w:ascii="宋体" w:hAnsi="宋体" w:cs="仿宋"/>
          <w:color w:val="auto"/>
          <w:sz w:val="24"/>
          <w:szCs w:val="24"/>
        </w:rPr>
        <w:t>万元，属于</w:t>
      </w:r>
      <w:r>
        <w:rPr>
          <w:rFonts w:hint="eastAsia" w:ascii="宋体" w:hAnsi="宋体" w:cs="仿宋"/>
          <w:color w:val="auto"/>
          <w:sz w:val="24"/>
          <w:szCs w:val="24"/>
          <w:u w:val="single"/>
        </w:rPr>
        <w:t>（中型企业、小型企业、微型企业）</w:t>
      </w:r>
      <w:r>
        <w:rPr>
          <w:rFonts w:hint="eastAsia" w:ascii="宋体" w:hAnsi="宋体" w:cs="仿宋"/>
          <w:color w:val="auto"/>
          <w:sz w:val="24"/>
          <w:szCs w:val="24"/>
        </w:rPr>
        <w:t>；</w:t>
      </w:r>
    </w:p>
    <w:p w14:paraId="74BB9D8D">
      <w:pPr>
        <w:autoSpaceDE w:val="0"/>
        <w:autoSpaceDN w:val="0"/>
        <w:adjustRightInd w:val="0"/>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w:t>
      </w:r>
    </w:p>
    <w:p w14:paraId="28F48B0B">
      <w:pPr>
        <w:autoSpaceDE w:val="0"/>
        <w:autoSpaceDN w:val="0"/>
        <w:adjustRightInd w:val="0"/>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以上企业，不属于大企业的分支机构，不存在控股股东为大企业的情形，也不存在与大企业的负责人为同一人的情形。</w:t>
      </w:r>
    </w:p>
    <w:p w14:paraId="612FEBE2">
      <w:pPr>
        <w:autoSpaceDE w:val="0"/>
        <w:autoSpaceDN w:val="0"/>
        <w:adjustRightInd w:val="0"/>
        <w:spacing w:line="440" w:lineRule="exact"/>
        <w:ind w:firstLine="480" w:firstLineChars="200"/>
        <w:rPr>
          <w:rFonts w:ascii="宋体" w:hAnsi="宋体" w:cs="仿宋"/>
          <w:color w:val="auto"/>
          <w:sz w:val="24"/>
          <w:szCs w:val="24"/>
        </w:rPr>
      </w:pPr>
      <w:r>
        <w:rPr>
          <w:rFonts w:hint="eastAsia" w:ascii="宋体" w:hAnsi="宋体" w:cs="仿宋"/>
          <w:color w:val="auto"/>
          <w:sz w:val="24"/>
          <w:szCs w:val="24"/>
        </w:rPr>
        <w:t>本企业对上述声明内容的真实性负责。如有虚假，将依法承担相应责任。</w:t>
      </w:r>
    </w:p>
    <w:p w14:paraId="69BF6D0E">
      <w:pPr>
        <w:autoSpaceDE w:val="0"/>
        <w:autoSpaceDN w:val="0"/>
        <w:adjustRightInd w:val="0"/>
        <w:spacing w:line="440" w:lineRule="exact"/>
        <w:jc w:val="right"/>
        <w:rPr>
          <w:rFonts w:ascii="宋体" w:hAnsi="宋体" w:cs="仿宋"/>
          <w:color w:val="auto"/>
          <w:sz w:val="24"/>
          <w:szCs w:val="24"/>
        </w:rPr>
      </w:pPr>
    </w:p>
    <w:p w14:paraId="72E435B3">
      <w:pPr>
        <w:spacing w:line="400" w:lineRule="exact"/>
        <w:ind w:firstLine="504" w:firstLineChars="200"/>
        <w:rPr>
          <w:rFonts w:ascii="宋体" w:hAnsi="宋体" w:cs="宋体"/>
          <w:color w:val="auto"/>
          <w:spacing w:val="6"/>
          <w:sz w:val="24"/>
          <w:szCs w:val="24"/>
        </w:rPr>
      </w:pPr>
    </w:p>
    <w:p w14:paraId="7C57B76E">
      <w:pPr>
        <w:snapToGrid w:val="0"/>
        <w:spacing w:line="480" w:lineRule="exact"/>
        <w:ind w:right="-856" w:rightChars="-389" w:firstLine="3600" w:firstLineChars="1500"/>
        <w:rPr>
          <w:rFonts w:ascii="宋体" w:hAnsi="宋体" w:cs="宋体"/>
          <w:color w:val="auto"/>
          <w:sz w:val="24"/>
          <w:szCs w:val="24"/>
        </w:rPr>
      </w:pPr>
      <w:r>
        <w:rPr>
          <w:rFonts w:hint="eastAsia" w:ascii="宋体" w:hAnsi="宋体" w:cs="宋体"/>
          <w:color w:val="auto"/>
          <w:sz w:val="24"/>
          <w:szCs w:val="24"/>
        </w:rPr>
        <w:t>供应商：</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（电子签章） </w:t>
      </w:r>
    </w:p>
    <w:p w14:paraId="4296CCCF">
      <w:pPr>
        <w:spacing w:line="400" w:lineRule="exact"/>
        <w:ind w:firstLine="2640" w:firstLineChars="1100"/>
        <w:rPr>
          <w:rFonts w:ascii="宋体" w:hAnsi="宋体" w:cs="宋体"/>
          <w:color w:val="auto"/>
          <w:sz w:val="24"/>
          <w:szCs w:val="24"/>
        </w:rPr>
      </w:pPr>
      <w:r>
        <w:rPr>
          <w:rFonts w:hint="eastAsia" w:ascii="宋体" w:hAnsi="宋体" w:cs="宋体"/>
          <w:color w:val="auto"/>
          <w:sz w:val="24"/>
          <w:szCs w:val="24"/>
        </w:rPr>
        <w:t>法定代表人或委托代理人：</w:t>
      </w:r>
      <w:r>
        <w:rPr>
          <w:rFonts w:hint="eastAsia" w:ascii="宋体" w:hAnsi="宋体" w:cs="宋体"/>
          <w:color w:val="auto"/>
          <w:sz w:val="24"/>
          <w:szCs w:val="24"/>
          <w:u w:val="single"/>
        </w:rPr>
        <w:t xml:space="preserve">        </w:t>
      </w:r>
      <w:r>
        <w:rPr>
          <w:rFonts w:hint="eastAsia" w:ascii="宋体" w:hAnsi="宋体" w:cs="宋体"/>
          <w:color w:val="auto"/>
          <w:sz w:val="24"/>
          <w:szCs w:val="24"/>
        </w:rPr>
        <w:t xml:space="preserve">（签章） </w:t>
      </w:r>
    </w:p>
    <w:p w14:paraId="5423B303">
      <w:pPr>
        <w:ind w:firstLine="3600" w:firstLineChars="1500"/>
        <w:rPr>
          <w:rFonts w:ascii="宋体" w:hAnsi="宋体" w:cs="宋体"/>
          <w:color w:val="auto"/>
          <w:sz w:val="24"/>
          <w:szCs w:val="24"/>
        </w:rPr>
      </w:pPr>
      <w:r>
        <w:rPr>
          <w:rFonts w:hint="eastAsia" w:ascii="宋体" w:hAnsi="宋体" w:cs="宋体"/>
          <w:color w:val="auto"/>
          <w:sz w:val="24"/>
          <w:szCs w:val="24"/>
        </w:rPr>
        <w:t>日期：   年    月    日</w:t>
      </w:r>
    </w:p>
    <w:p w14:paraId="7D78E16E">
      <w:pPr>
        <w:spacing w:line="400" w:lineRule="exact"/>
        <w:ind w:firstLine="506" w:firstLineChars="200"/>
        <w:rPr>
          <w:rFonts w:ascii="宋体" w:hAnsi="宋体" w:cs="宋体"/>
          <w:b/>
          <w:color w:val="auto"/>
          <w:spacing w:val="6"/>
          <w:sz w:val="24"/>
          <w:szCs w:val="24"/>
        </w:rPr>
      </w:pPr>
      <w:r>
        <w:rPr>
          <w:rFonts w:hint="eastAsia" w:ascii="宋体" w:hAnsi="宋体" w:cs="宋体"/>
          <w:b/>
          <w:color w:val="auto"/>
          <w:spacing w:val="6"/>
          <w:sz w:val="24"/>
          <w:szCs w:val="24"/>
        </w:rPr>
        <w:t>从业人员、营业收入、资产总额填报上一年度数据，无上一年度数据的新成立企业可不填报</w:t>
      </w:r>
    </w:p>
    <w:p w14:paraId="23E90ED7">
      <w:pPr>
        <w:rPr>
          <w:color w:val="auto"/>
        </w:rPr>
      </w:pPr>
    </w:p>
    <w:p w14:paraId="038AE246">
      <w:pPr>
        <w:rPr>
          <w:color w:val="auto"/>
        </w:rPr>
      </w:pPr>
    </w:p>
    <w:p w14:paraId="23277A1B">
      <w:pPr>
        <w:rPr>
          <w:color w:val="auto"/>
        </w:rPr>
      </w:pPr>
    </w:p>
    <w:p w14:paraId="429BA16D">
      <w:pPr>
        <w:rPr>
          <w:color w:val="auto"/>
        </w:rPr>
      </w:pPr>
    </w:p>
    <w:p w14:paraId="156C224C">
      <w:pPr>
        <w:rPr>
          <w:color w:val="auto"/>
        </w:rPr>
      </w:pPr>
    </w:p>
    <w:p w14:paraId="3DB5E729"/>
    <w:sectPr>
      <w:headerReference r:id="rId8" w:type="default"/>
      <w:footerReference r:id="rId9" w:type="default"/>
      <w:pgSz w:w="11910" w:h="16840"/>
      <w:pgMar w:top="1400" w:right="1020" w:bottom="1180" w:left="1040" w:header="0" w:footer="993" w:gutter="0"/>
      <w:pgNumType w:fmt="decimal"/>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0738">
    <w:pPr>
      <w:pStyle w:val="8"/>
      <w:spacing w:line="14" w:lineRule="auto"/>
      <w:ind w:left="0"/>
      <w:rPr>
        <w:sz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835C">
    <w:pPr>
      <w:pStyle w:val="8"/>
      <w:spacing w:line="14" w:lineRule="auto"/>
      <w:ind w:left="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12B5B">
    <w:pPr>
      <w:pStyle w:val="8"/>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EA6BC">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2EA6BC">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91D60">
    <w:pPr>
      <w:pStyle w:val="8"/>
      <w:spacing w:line="14" w:lineRule="auto"/>
      <w:ind w:left="0"/>
      <w:rPr>
        <w:sz w:val="12"/>
      </w:rPr>
    </w:pPr>
    <w:r>
      <w:rPr>
        <w:sz w:val="1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4F6">
                          <w:pPr>
                            <w:pStyle w:val="12"/>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44C4F6">
                    <w:pPr>
                      <w:pStyle w:val="12"/>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59E55">
    <w:pPr>
      <w:pStyle w:val="8"/>
      <w:spacing w:line="14" w:lineRule="auto"/>
      <w:ind w:left="0"/>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0A543">
                          <w:pPr>
                            <w:pStyle w:val="12"/>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4B0A543">
                    <w:pPr>
                      <w:pStyle w:val="12"/>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583CA">
    <w:pPr>
      <w:pStyle w:val="8"/>
      <w:spacing w:line="14" w:lineRule="auto"/>
      <w:ind w:left="0"/>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B99F3">
                          <w:pPr>
                            <w:pStyle w:val="1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8DB99F3">
                    <w:pPr>
                      <w:pStyle w:val="1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7012F">
    <w:pPr>
      <w:spacing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84CEA"/>
    <w:multiLevelType w:val="singleLevel"/>
    <w:tmpl w:val="83584CEA"/>
    <w:lvl w:ilvl="0" w:tentative="0">
      <w:start w:val="1"/>
      <w:numFmt w:val="decimal"/>
      <w:suff w:val="nothing"/>
      <w:lvlText w:val="%1、"/>
      <w:lvlJc w:val="left"/>
    </w:lvl>
  </w:abstractNum>
  <w:abstractNum w:abstractNumId="1">
    <w:nsid w:val="9C8AC8EF"/>
    <w:multiLevelType w:val="multilevel"/>
    <w:tmpl w:val="9C8AC8EF"/>
    <w:lvl w:ilvl="0" w:tentative="0">
      <w:start w:val="21"/>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2">
    <w:nsid w:val="B0F1ACD9"/>
    <w:multiLevelType w:val="multilevel"/>
    <w:tmpl w:val="B0F1ACD9"/>
    <w:lvl w:ilvl="0" w:tentative="0">
      <w:start w:val="28"/>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3">
    <w:nsid w:val="B78700D7"/>
    <w:multiLevelType w:val="singleLevel"/>
    <w:tmpl w:val="B78700D7"/>
    <w:lvl w:ilvl="0" w:tentative="0">
      <w:start w:val="5"/>
      <w:numFmt w:val="chineseCounting"/>
      <w:suff w:val="nothing"/>
      <w:lvlText w:val="%1、"/>
      <w:lvlJc w:val="left"/>
      <w:rPr>
        <w:rFonts w:hint="eastAsia"/>
      </w:rPr>
    </w:lvl>
  </w:abstractNum>
  <w:abstractNum w:abstractNumId="4">
    <w:nsid w:val="BE923771"/>
    <w:multiLevelType w:val="multilevel"/>
    <w:tmpl w:val="BE923771"/>
    <w:lvl w:ilvl="0" w:tentative="0">
      <w:start w:val="1"/>
      <w:numFmt w:val="decimal"/>
      <w:lvlText w:val="(%1)"/>
      <w:lvlJc w:val="left"/>
      <w:pPr>
        <w:ind w:left="1220" w:hanging="480"/>
      </w:pPr>
      <w:rPr>
        <w:rFonts w:hint="default" w:ascii="宋体" w:hAnsi="宋体" w:eastAsia="宋体" w:cs="宋体"/>
        <w:w w:val="100"/>
        <w:sz w:val="24"/>
        <w:szCs w:val="24"/>
        <w:lang w:val="zh-CN" w:eastAsia="zh-CN" w:bidi="zh-CN"/>
      </w:rPr>
    </w:lvl>
    <w:lvl w:ilvl="1" w:tentative="0">
      <w:start w:val="0"/>
      <w:numFmt w:val="bullet"/>
      <w:lvlText w:val="•"/>
      <w:lvlJc w:val="left"/>
      <w:pPr>
        <w:ind w:left="2082" w:hanging="480"/>
      </w:pPr>
      <w:rPr>
        <w:rFonts w:hint="default"/>
        <w:lang w:val="zh-CN" w:eastAsia="zh-CN" w:bidi="zh-CN"/>
      </w:rPr>
    </w:lvl>
    <w:lvl w:ilvl="2" w:tentative="0">
      <w:start w:val="0"/>
      <w:numFmt w:val="bullet"/>
      <w:lvlText w:val="•"/>
      <w:lvlJc w:val="left"/>
      <w:pPr>
        <w:ind w:left="2945" w:hanging="480"/>
      </w:pPr>
      <w:rPr>
        <w:rFonts w:hint="default"/>
        <w:lang w:val="zh-CN" w:eastAsia="zh-CN" w:bidi="zh-CN"/>
      </w:rPr>
    </w:lvl>
    <w:lvl w:ilvl="3" w:tentative="0">
      <w:start w:val="0"/>
      <w:numFmt w:val="bullet"/>
      <w:lvlText w:val="•"/>
      <w:lvlJc w:val="left"/>
      <w:pPr>
        <w:ind w:left="3807" w:hanging="480"/>
      </w:pPr>
      <w:rPr>
        <w:rFonts w:hint="default"/>
        <w:lang w:val="zh-CN" w:eastAsia="zh-CN" w:bidi="zh-CN"/>
      </w:rPr>
    </w:lvl>
    <w:lvl w:ilvl="4" w:tentative="0">
      <w:start w:val="0"/>
      <w:numFmt w:val="bullet"/>
      <w:lvlText w:val="•"/>
      <w:lvlJc w:val="left"/>
      <w:pPr>
        <w:ind w:left="4670" w:hanging="480"/>
      </w:pPr>
      <w:rPr>
        <w:rFonts w:hint="default"/>
        <w:lang w:val="zh-CN" w:eastAsia="zh-CN" w:bidi="zh-CN"/>
      </w:rPr>
    </w:lvl>
    <w:lvl w:ilvl="5" w:tentative="0">
      <w:start w:val="0"/>
      <w:numFmt w:val="bullet"/>
      <w:lvlText w:val="•"/>
      <w:lvlJc w:val="left"/>
      <w:pPr>
        <w:ind w:left="5533" w:hanging="480"/>
      </w:pPr>
      <w:rPr>
        <w:rFonts w:hint="default"/>
        <w:lang w:val="zh-CN" w:eastAsia="zh-CN" w:bidi="zh-CN"/>
      </w:rPr>
    </w:lvl>
    <w:lvl w:ilvl="6" w:tentative="0">
      <w:start w:val="0"/>
      <w:numFmt w:val="bullet"/>
      <w:lvlText w:val="•"/>
      <w:lvlJc w:val="left"/>
      <w:pPr>
        <w:ind w:left="6395" w:hanging="480"/>
      </w:pPr>
      <w:rPr>
        <w:rFonts w:hint="default"/>
        <w:lang w:val="zh-CN" w:eastAsia="zh-CN" w:bidi="zh-CN"/>
      </w:rPr>
    </w:lvl>
    <w:lvl w:ilvl="7" w:tentative="0">
      <w:start w:val="0"/>
      <w:numFmt w:val="bullet"/>
      <w:lvlText w:val="•"/>
      <w:lvlJc w:val="left"/>
      <w:pPr>
        <w:ind w:left="7258" w:hanging="480"/>
      </w:pPr>
      <w:rPr>
        <w:rFonts w:hint="default"/>
        <w:lang w:val="zh-CN" w:eastAsia="zh-CN" w:bidi="zh-CN"/>
      </w:rPr>
    </w:lvl>
    <w:lvl w:ilvl="8" w:tentative="0">
      <w:start w:val="0"/>
      <w:numFmt w:val="bullet"/>
      <w:lvlText w:val="•"/>
      <w:lvlJc w:val="left"/>
      <w:pPr>
        <w:ind w:left="8120" w:hanging="480"/>
      </w:pPr>
      <w:rPr>
        <w:rFonts w:hint="default"/>
        <w:lang w:val="zh-CN" w:eastAsia="zh-CN" w:bidi="zh-CN"/>
      </w:rPr>
    </w:lvl>
  </w:abstractNum>
  <w:abstractNum w:abstractNumId="5">
    <w:nsid w:val="DCBA6B53"/>
    <w:multiLevelType w:val="multilevel"/>
    <w:tmpl w:val="DCBA6B53"/>
    <w:lvl w:ilvl="0" w:tentative="0">
      <w:start w:val="20"/>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3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177" w:hanging="780"/>
      </w:pPr>
      <w:rPr>
        <w:rFonts w:hint="default"/>
        <w:lang w:val="zh-CN" w:eastAsia="zh-CN" w:bidi="zh-CN"/>
      </w:rPr>
    </w:lvl>
    <w:lvl w:ilvl="4" w:tentative="0">
      <w:start w:val="0"/>
      <w:numFmt w:val="bullet"/>
      <w:lvlText w:val="•"/>
      <w:lvlJc w:val="left"/>
      <w:pPr>
        <w:ind w:left="4130" w:hanging="780"/>
      </w:pPr>
      <w:rPr>
        <w:rFonts w:hint="default"/>
        <w:lang w:val="zh-CN" w:eastAsia="zh-CN" w:bidi="zh-CN"/>
      </w:rPr>
    </w:lvl>
    <w:lvl w:ilvl="5" w:tentative="0">
      <w:start w:val="0"/>
      <w:numFmt w:val="bullet"/>
      <w:lvlText w:val="•"/>
      <w:lvlJc w:val="left"/>
      <w:pPr>
        <w:ind w:left="5083" w:hanging="780"/>
      </w:pPr>
      <w:rPr>
        <w:rFonts w:hint="default"/>
        <w:lang w:val="zh-CN" w:eastAsia="zh-CN" w:bidi="zh-CN"/>
      </w:rPr>
    </w:lvl>
    <w:lvl w:ilvl="6" w:tentative="0">
      <w:start w:val="0"/>
      <w:numFmt w:val="bullet"/>
      <w:lvlText w:val="•"/>
      <w:lvlJc w:val="left"/>
      <w:pPr>
        <w:ind w:left="6035" w:hanging="780"/>
      </w:pPr>
      <w:rPr>
        <w:rFonts w:hint="default"/>
        <w:lang w:val="zh-CN" w:eastAsia="zh-CN" w:bidi="zh-CN"/>
      </w:rPr>
    </w:lvl>
    <w:lvl w:ilvl="7" w:tentative="0">
      <w:start w:val="0"/>
      <w:numFmt w:val="bullet"/>
      <w:lvlText w:val="•"/>
      <w:lvlJc w:val="left"/>
      <w:pPr>
        <w:ind w:left="6988" w:hanging="780"/>
      </w:pPr>
      <w:rPr>
        <w:rFonts w:hint="default"/>
        <w:lang w:val="zh-CN" w:eastAsia="zh-CN" w:bidi="zh-CN"/>
      </w:rPr>
    </w:lvl>
    <w:lvl w:ilvl="8" w:tentative="0">
      <w:start w:val="0"/>
      <w:numFmt w:val="bullet"/>
      <w:lvlText w:val="•"/>
      <w:lvlJc w:val="left"/>
      <w:pPr>
        <w:ind w:left="7940" w:hanging="780"/>
      </w:pPr>
      <w:rPr>
        <w:rFonts w:hint="default"/>
        <w:lang w:val="zh-CN" w:eastAsia="zh-CN" w:bidi="zh-CN"/>
      </w:rPr>
    </w:lvl>
  </w:abstractNum>
  <w:abstractNum w:abstractNumId="6">
    <w:nsid w:val="F4B5D9F5"/>
    <w:multiLevelType w:val="multilevel"/>
    <w:tmpl w:val="F4B5D9F5"/>
    <w:lvl w:ilvl="0" w:tentative="0">
      <w:start w:val="18"/>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31" w:hanging="540"/>
      </w:pPr>
      <w:rPr>
        <w:rFonts w:hint="default"/>
        <w:lang w:val="zh-CN" w:eastAsia="zh-CN" w:bidi="zh-CN"/>
      </w:rPr>
    </w:lvl>
    <w:lvl w:ilvl="3" w:tentative="0">
      <w:start w:val="0"/>
      <w:numFmt w:val="bullet"/>
      <w:lvlText w:val="•"/>
      <w:lvlJc w:val="left"/>
      <w:pPr>
        <w:ind w:left="3183" w:hanging="540"/>
      </w:pPr>
      <w:rPr>
        <w:rFonts w:hint="default"/>
        <w:lang w:val="zh-CN" w:eastAsia="zh-CN" w:bidi="zh-CN"/>
      </w:rPr>
    </w:lvl>
    <w:lvl w:ilvl="4" w:tentative="0">
      <w:start w:val="0"/>
      <w:numFmt w:val="bullet"/>
      <w:lvlText w:val="•"/>
      <w:lvlJc w:val="left"/>
      <w:pPr>
        <w:ind w:left="4135" w:hanging="540"/>
      </w:pPr>
      <w:rPr>
        <w:rFonts w:hint="default"/>
        <w:lang w:val="zh-CN" w:eastAsia="zh-CN" w:bidi="zh-CN"/>
      </w:rPr>
    </w:lvl>
    <w:lvl w:ilvl="5" w:tentative="0">
      <w:start w:val="0"/>
      <w:numFmt w:val="bullet"/>
      <w:lvlText w:val="•"/>
      <w:lvlJc w:val="left"/>
      <w:pPr>
        <w:ind w:left="5087" w:hanging="540"/>
      </w:pPr>
      <w:rPr>
        <w:rFonts w:hint="default"/>
        <w:lang w:val="zh-CN" w:eastAsia="zh-CN" w:bidi="zh-CN"/>
      </w:rPr>
    </w:lvl>
    <w:lvl w:ilvl="6" w:tentative="0">
      <w:start w:val="0"/>
      <w:numFmt w:val="bullet"/>
      <w:lvlText w:val="•"/>
      <w:lvlJc w:val="left"/>
      <w:pPr>
        <w:ind w:left="6038" w:hanging="540"/>
      </w:pPr>
      <w:rPr>
        <w:rFonts w:hint="default"/>
        <w:lang w:val="zh-CN" w:eastAsia="zh-CN" w:bidi="zh-CN"/>
      </w:rPr>
    </w:lvl>
    <w:lvl w:ilvl="7" w:tentative="0">
      <w:start w:val="0"/>
      <w:numFmt w:val="bullet"/>
      <w:lvlText w:val="•"/>
      <w:lvlJc w:val="left"/>
      <w:pPr>
        <w:ind w:left="6990" w:hanging="540"/>
      </w:pPr>
      <w:rPr>
        <w:rFonts w:hint="default"/>
        <w:lang w:val="zh-CN" w:eastAsia="zh-CN" w:bidi="zh-CN"/>
      </w:rPr>
    </w:lvl>
    <w:lvl w:ilvl="8" w:tentative="0">
      <w:start w:val="0"/>
      <w:numFmt w:val="bullet"/>
      <w:lvlText w:val="•"/>
      <w:lvlJc w:val="left"/>
      <w:pPr>
        <w:ind w:left="7942" w:hanging="540"/>
      </w:pPr>
      <w:rPr>
        <w:rFonts w:hint="default"/>
        <w:lang w:val="zh-CN" w:eastAsia="zh-CN" w:bidi="zh-CN"/>
      </w:rPr>
    </w:lvl>
  </w:abstractNum>
  <w:abstractNum w:abstractNumId="7">
    <w:nsid w:val="F572E1FF"/>
    <w:multiLevelType w:val="singleLevel"/>
    <w:tmpl w:val="F572E1FF"/>
    <w:lvl w:ilvl="0" w:tentative="0">
      <w:start w:val="1"/>
      <w:numFmt w:val="decimal"/>
      <w:suff w:val="nothing"/>
      <w:lvlText w:val="%1、"/>
      <w:lvlJc w:val="left"/>
    </w:lvl>
  </w:abstractNum>
  <w:abstractNum w:abstractNumId="8">
    <w:nsid w:val="FDE3F33A"/>
    <w:multiLevelType w:val="singleLevel"/>
    <w:tmpl w:val="FDE3F33A"/>
    <w:lvl w:ilvl="0" w:tentative="0">
      <w:start w:val="9"/>
      <w:numFmt w:val="chineseCounting"/>
      <w:suff w:val="nothing"/>
      <w:lvlText w:val="%1、"/>
      <w:lvlJc w:val="left"/>
      <w:rPr>
        <w:rFonts w:hint="eastAsia"/>
      </w:rPr>
    </w:lvl>
  </w:abstractNum>
  <w:abstractNum w:abstractNumId="9">
    <w:nsid w:val="0E640482"/>
    <w:multiLevelType w:val="multilevel"/>
    <w:tmpl w:val="0E640482"/>
    <w:lvl w:ilvl="0" w:tentative="0">
      <w:start w:val="25"/>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993" w:hanging="540"/>
      </w:pPr>
      <w:rPr>
        <w:rFonts w:hint="default"/>
        <w:lang w:val="zh-CN" w:eastAsia="zh-CN" w:bidi="zh-CN"/>
      </w:rPr>
    </w:lvl>
    <w:lvl w:ilvl="3" w:tentative="0">
      <w:start w:val="0"/>
      <w:numFmt w:val="bullet"/>
      <w:lvlText w:val="•"/>
      <w:lvlJc w:val="left"/>
      <w:pPr>
        <w:ind w:left="3849" w:hanging="540"/>
      </w:pPr>
      <w:rPr>
        <w:rFonts w:hint="default"/>
        <w:lang w:val="zh-CN" w:eastAsia="zh-CN" w:bidi="zh-CN"/>
      </w:rPr>
    </w:lvl>
    <w:lvl w:ilvl="4" w:tentative="0">
      <w:start w:val="0"/>
      <w:numFmt w:val="bullet"/>
      <w:lvlText w:val="•"/>
      <w:lvlJc w:val="left"/>
      <w:pPr>
        <w:ind w:left="4706" w:hanging="540"/>
      </w:pPr>
      <w:rPr>
        <w:rFonts w:hint="default"/>
        <w:lang w:val="zh-CN" w:eastAsia="zh-CN" w:bidi="zh-CN"/>
      </w:rPr>
    </w:lvl>
    <w:lvl w:ilvl="5" w:tentative="0">
      <w:start w:val="0"/>
      <w:numFmt w:val="bullet"/>
      <w:lvlText w:val="•"/>
      <w:lvlJc w:val="left"/>
      <w:pPr>
        <w:ind w:left="5563" w:hanging="540"/>
      </w:pPr>
      <w:rPr>
        <w:rFonts w:hint="default"/>
        <w:lang w:val="zh-CN" w:eastAsia="zh-CN" w:bidi="zh-CN"/>
      </w:rPr>
    </w:lvl>
    <w:lvl w:ilvl="6" w:tentative="0">
      <w:start w:val="0"/>
      <w:numFmt w:val="bullet"/>
      <w:lvlText w:val="•"/>
      <w:lvlJc w:val="left"/>
      <w:pPr>
        <w:ind w:left="6419" w:hanging="540"/>
      </w:pPr>
      <w:rPr>
        <w:rFonts w:hint="default"/>
        <w:lang w:val="zh-CN" w:eastAsia="zh-CN" w:bidi="zh-CN"/>
      </w:rPr>
    </w:lvl>
    <w:lvl w:ilvl="7" w:tentative="0">
      <w:start w:val="0"/>
      <w:numFmt w:val="bullet"/>
      <w:lvlText w:val="•"/>
      <w:lvlJc w:val="left"/>
      <w:pPr>
        <w:ind w:left="7276" w:hanging="540"/>
      </w:pPr>
      <w:rPr>
        <w:rFonts w:hint="default"/>
        <w:lang w:val="zh-CN" w:eastAsia="zh-CN" w:bidi="zh-CN"/>
      </w:rPr>
    </w:lvl>
    <w:lvl w:ilvl="8" w:tentative="0">
      <w:start w:val="0"/>
      <w:numFmt w:val="bullet"/>
      <w:lvlText w:val="•"/>
      <w:lvlJc w:val="left"/>
      <w:pPr>
        <w:ind w:left="8132" w:hanging="540"/>
      </w:pPr>
      <w:rPr>
        <w:rFonts w:hint="default"/>
        <w:lang w:val="zh-CN" w:eastAsia="zh-CN" w:bidi="zh-CN"/>
      </w:rPr>
    </w:lvl>
  </w:abstractNum>
  <w:abstractNum w:abstractNumId="10">
    <w:nsid w:val="2470EC97"/>
    <w:multiLevelType w:val="multilevel"/>
    <w:tmpl w:val="2470EC97"/>
    <w:lvl w:ilvl="0" w:tentative="0">
      <w:start w:val="19"/>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1">
    <w:nsid w:val="25B654F3"/>
    <w:multiLevelType w:val="multilevel"/>
    <w:tmpl w:val="25B654F3"/>
    <w:lvl w:ilvl="0" w:tentative="0">
      <w:start w:val="5"/>
      <w:numFmt w:val="decimal"/>
      <w:lvlText w:val="%1"/>
      <w:lvlJc w:val="left"/>
      <w:pPr>
        <w:ind w:left="320" w:hanging="420"/>
      </w:pPr>
      <w:rPr>
        <w:rFonts w:hint="default"/>
        <w:lang w:val="zh-CN" w:eastAsia="zh-CN" w:bidi="zh-CN"/>
      </w:rPr>
    </w:lvl>
    <w:lvl w:ilvl="1" w:tentative="0">
      <w:start w:val="1"/>
      <w:numFmt w:val="decimal"/>
      <w:lvlText w:val="%1.%2"/>
      <w:lvlJc w:val="left"/>
      <w:pPr>
        <w:ind w:left="32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420"/>
      </w:pPr>
      <w:rPr>
        <w:rFonts w:hint="default"/>
        <w:lang w:val="zh-CN" w:eastAsia="zh-CN" w:bidi="zh-CN"/>
      </w:rPr>
    </w:lvl>
    <w:lvl w:ilvl="3" w:tentative="0">
      <w:start w:val="0"/>
      <w:numFmt w:val="bullet"/>
      <w:lvlText w:val="•"/>
      <w:lvlJc w:val="left"/>
      <w:pPr>
        <w:ind w:left="3177" w:hanging="420"/>
      </w:pPr>
      <w:rPr>
        <w:rFonts w:hint="default"/>
        <w:lang w:val="zh-CN" w:eastAsia="zh-CN" w:bidi="zh-CN"/>
      </w:rPr>
    </w:lvl>
    <w:lvl w:ilvl="4" w:tentative="0">
      <w:start w:val="0"/>
      <w:numFmt w:val="bullet"/>
      <w:lvlText w:val="•"/>
      <w:lvlJc w:val="left"/>
      <w:pPr>
        <w:ind w:left="4130" w:hanging="420"/>
      </w:pPr>
      <w:rPr>
        <w:rFonts w:hint="default"/>
        <w:lang w:val="zh-CN" w:eastAsia="zh-CN" w:bidi="zh-CN"/>
      </w:rPr>
    </w:lvl>
    <w:lvl w:ilvl="5" w:tentative="0">
      <w:start w:val="0"/>
      <w:numFmt w:val="bullet"/>
      <w:lvlText w:val="•"/>
      <w:lvlJc w:val="left"/>
      <w:pPr>
        <w:ind w:left="5083" w:hanging="420"/>
      </w:pPr>
      <w:rPr>
        <w:rFonts w:hint="default"/>
        <w:lang w:val="zh-CN" w:eastAsia="zh-CN" w:bidi="zh-CN"/>
      </w:rPr>
    </w:lvl>
    <w:lvl w:ilvl="6" w:tentative="0">
      <w:start w:val="0"/>
      <w:numFmt w:val="bullet"/>
      <w:lvlText w:val="•"/>
      <w:lvlJc w:val="left"/>
      <w:pPr>
        <w:ind w:left="6035" w:hanging="420"/>
      </w:pPr>
      <w:rPr>
        <w:rFonts w:hint="default"/>
        <w:lang w:val="zh-CN" w:eastAsia="zh-CN" w:bidi="zh-CN"/>
      </w:rPr>
    </w:lvl>
    <w:lvl w:ilvl="7" w:tentative="0">
      <w:start w:val="0"/>
      <w:numFmt w:val="bullet"/>
      <w:lvlText w:val="•"/>
      <w:lvlJc w:val="left"/>
      <w:pPr>
        <w:ind w:left="6988" w:hanging="420"/>
      </w:pPr>
      <w:rPr>
        <w:rFonts w:hint="default"/>
        <w:lang w:val="zh-CN" w:eastAsia="zh-CN" w:bidi="zh-CN"/>
      </w:rPr>
    </w:lvl>
    <w:lvl w:ilvl="8" w:tentative="0">
      <w:start w:val="0"/>
      <w:numFmt w:val="bullet"/>
      <w:lvlText w:val="•"/>
      <w:lvlJc w:val="left"/>
      <w:pPr>
        <w:ind w:left="7940" w:hanging="420"/>
      </w:pPr>
      <w:rPr>
        <w:rFonts w:hint="default"/>
        <w:lang w:val="zh-CN" w:eastAsia="zh-CN" w:bidi="zh-CN"/>
      </w:rPr>
    </w:lvl>
  </w:abstractNum>
  <w:abstractNum w:abstractNumId="12">
    <w:nsid w:val="4C1BAE26"/>
    <w:multiLevelType w:val="multilevel"/>
    <w:tmpl w:val="4C1BAE26"/>
    <w:lvl w:ilvl="0" w:tentative="0">
      <w:start w:val="22"/>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3">
    <w:nsid w:val="4D4DC07F"/>
    <w:multiLevelType w:val="multilevel"/>
    <w:tmpl w:val="4D4DC07F"/>
    <w:lvl w:ilvl="0" w:tentative="0">
      <w:start w:val="17"/>
      <w:numFmt w:val="decimal"/>
      <w:lvlText w:val="%1"/>
      <w:lvlJc w:val="left"/>
      <w:pPr>
        <w:ind w:left="320" w:hanging="540"/>
      </w:pPr>
      <w:rPr>
        <w:rFonts w:hint="default"/>
        <w:lang w:val="zh-CN" w:eastAsia="zh-CN" w:bidi="zh-CN"/>
      </w:rPr>
    </w:lvl>
    <w:lvl w:ilvl="1" w:tentative="0">
      <w:start w:val="1"/>
      <w:numFmt w:val="decimal"/>
      <w:lvlText w:val="%1.%2"/>
      <w:lvlJc w:val="left"/>
      <w:pPr>
        <w:ind w:left="320" w:hanging="540"/>
      </w:pPr>
      <w:rPr>
        <w:rFonts w:hint="default" w:ascii="宋体" w:hAnsi="宋体" w:eastAsia="宋体" w:cs="宋体"/>
        <w:w w:val="100"/>
        <w:sz w:val="24"/>
        <w:szCs w:val="24"/>
        <w:lang w:val="zh-CN" w:eastAsia="zh-CN" w:bidi="zh-CN"/>
      </w:rPr>
    </w:lvl>
    <w:lvl w:ilvl="2" w:tentative="0">
      <w:start w:val="0"/>
      <w:numFmt w:val="bullet"/>
      <w:lvlText w:val="•"/>
      <w:lvlJc w:val="left"/>
      <w:pPr>
        <w:ind w:left="2225" w:hanging="540"/>
      </w:pPr>
      <w:rPr>
        <w:rFonts w:hint="default"/>
        <w:lang w:val="zh-CN" w:eastAsia="zh-CN" w:bidi="zh-CN"/>
      </w:rPr>
    </w:lvl>
    <w:lvl w:ilvl="3" w:tentative="0">
      <w:start w:val="0"/>
      <w:numFmt w:val="bullet"/>
      <w:lvlText w:val="•"/>
      <w:lvlJc w:val="left"/>
      <w:pPr>
        <w:ind w:left="3177" w:hanging="540"/>
      </w:pPr>
      <w:rPr>
        <w:rFonts w:hint="default"/>
        <w:lang w:val="zh-CN" w:eastAsia="zh-CN" w:bidi="zh-CN"/>
      </w:rPr>
    </w:lvl>
    <w:lvl w:ilvl="4" w:tentative="0">
      <w:start w:val="0"/>
      <w:numFmt w:val="bullet"/>
      <w:lvlText w:val="•"/>
      <w:lvlJc w:val="left"/>
      <w:pPr>
        <w:ind w:left="4130" w:hanging="540"/>
      </w:pPr>
      <w:rPr>
        <w:rFonts w:hint="default"/>
        <w:lang w:val="zh-CN" w:eastAsia="zh-CN" w:bidi="zh-CN"/>
      </w:rPr>
    </w:lvl>
    <w:lvl w:ilvl="5" w:tentative="0">
      <w:start w:val="0"/>
      <w:numFmt w:val="bullet"/>
      <w:lvlText w:val="•"/>
      <w:lvlJc w:val="left"/>
      <w:pPr>
        <w:ind w:left="5083" w:hanging="540"/>
      </w:pPr>
      <w:rPr>
        <w:rFonts w:hint="default"/>
        <w:lang w:val="zh-CN" w:eastAsia="zh-CN" w:bidi="zh-CN"/>
      </w:rPr>
    </w:lvl>
    <w:lvl w:ilvl="6" w:tentative="0">
      <w:start w:val="0"/>
      <w:numFmt w:val="bullet"/>
      <w:lvlText w:val="•"/>
      <w:lvlJc w:val="left"/>
      <w:pPr>
        <w:ind w:left="6035" w:hanging="540"/>
      </w:pPr>
      <w:rPr>
        <w:rFonts w:hint="default"/>
        <w:lang w:val="zh-CN" w:eastAsia="zh-CN" w:bidi="zh-CN"/>
      </w:rPr>
    </w:lvl>
    <w:lvl w:ilvl="7" w:tentative="0">
      <w:start w:val="0"/>
      <w:numFmt w:val="bullet"/>
      <w:lvlText w:val="•"/>
      <w:lvlJc w:val="left"/>
      <w:pPr>
        <w:ind w:left="6988" w:hanging="540"/>
      </w:pPr>
      <w:rPr>
        <w:rFonts w:hint="default"/>
        <w:lang w:val="zh-CN" w:eastAsia="zh-CN" w:bidi="zh-CN"/>
      </w:rPr>
    </w:lvl>
    <w:lvl w:ilvl="8" w:tentative="0">
      <w:start w:val="0"/>
      <w:numFmt w:val="bullet"/>
      <w:lvlText w:val="•"/>
      <w:lvlJc w:val="left"/>
      <w:pPr>
        <w:ind w:left="7940" w:hanging="540"/>
      </w:pPr>
      <w:rPr>
        <w:rFonts w:hint="default"/>
        <w:lang w:val="zh-CN" w:eastAsia="zh-CN" w:bidi="zh-CN"/>
      </w:rPr>
    </w:lvl>
  </w:abstractNum>
  <w:abstractNum w:abstractNumId="14">
    <w:nsid w:val="60382F6E"/>
    <w:multiLevelType w:val="multilevel"/>
    <w:tmpl w:val="60382F6E"/>
    <w:lvl w:ilvl="0" w:tentative="0">
      <w:start w:val="23"/>
      <w:numFmt w:val="decimal"/>
      <w:lvlText w:val="%1"/>
      <w:lvlJc w:val="left"/>
      <w:pPr>
        <w:ind w:left="1280" w:hanging="540"/>
      </w:pPr>
      <w:rPr>
        <w:rFonts w:hint="default"/>
        <w:lang w:val="zh-CN" w:eastAsia="zh-CN" w:bidi="zh-CN"/>
      </w:rPr>
    </w:lvl>
    <w:lvl w:ilvl="1" w:tentative="0">
      <w:start w:val="1"/>
      <w:numFmt w:val="decimal"/>
      <w:lvlText w:val="%1.%2"/>
      <w:lvlJc w:val="left"/>
      <w:pPr>
        <w:ind w:left="1280" w:hanging="540"/>
      </w:pPr>
      <w:rPr>
        <w:rFonts w:hint="default" w:ascii="宋体" w:hAnsi="宋体" w:eastAsia="宋体" w:cs="宋体"/>
        <w:w w:val="100"/>
        <w:sz w:val="24"/>
        <w:szCs w:val="24"/>
        <w:lang w:val="zh-CN" w:eastAsia="zh-CN" w:bidi="zh-CN"/>
      </w:rPr>
    </w:lvl>
    <w:lvl w:ilvl="2" w:tentative="0">
      <w:start w:val="1"/>
      <w:numFmt w:val="decimal"/>
      <w:lvlText w:val="%1.%2.%3"/>
      <w:lvlJc w:val="left"/>
      <w:pPr>
        <w:ind w:left="1520" w:hanging="780"/>
      </w:pPr>
      <w:rPr>
        <w:rFonts w:hint="default" w:ascii="宋体" w:hAnsi="宋体" w:eastAsia="宋体" w:cs="宋体"/>
        <w:w w:val="100"/>
        <w:sz w:val="24"/>
        <w:szCs w:val="24"/>
        <w:lang w:val="zh-CN" w:eastAsia="zh-CN" w:bidi="zh-CN"/>
      </w:rPr>
    </w:lvl>
    <w:lvl w:ilvl="3" w:tentative="0">
      <w:start w:val="0"/>
      <w:numFmt w:val="bullet"/>
      <w:lvlText w:val="•"/>
      <w:lvlJc w:val="left"/>
      <w:pPr>
        <w:ind w:left="3370" w:hanging="780"/>
      </w:pPr>
      <w:rPr>
        <w:rFonts w:hint="default"/>
        <w:lang w:val="zh-CN" w:eastAsia="zh-CN" w:bidi="zh-CN"/>
      </w:rPr>
    </w:lvl>
    <w:lvl w:ilvl="4" w:tentative="0">
      <w:start w:val="0"/>
      <w:numFmt w:val="bullet"/>
      <w:lvlText w:val="•"/>
      <w:lvlJc w:val="left"/>
      <w:pPr>
        <w:ind w:left="4295" w:hanging="780"/>
      </w:pPr>
      <w:rPr>
        <w:rFonts w:hint="default"/>
        <w:lang w:val="zh-CN" w:eastAsia="zh-CN" w:bidi="zh-CN"/>
      </w:rPr>
    </w:lvl>
    <w:lvl w:ilvl="5" w:tentative="0">
      <w:start w:val="0"/>
      <w:numFmt w:val="bullet"/>
      <w:lvlText w:val="•"/>
      <w:lvlJc w:val="left"/>
      <w:pPr>
        <w:ind w:left="5220" w:hanging="780"/>
      </w:pPr>
      <w:rPr>
        <w:rFonts w:hint="default"/>
        <w:lang w:val="zh-CN" w:eastAsia="zh-CN" w:bidi="zh-CN"/>
      </w:rPr>
    </w:lvl>
    <w:lvl w:ilvl="6" w:tentative="0">
      <w:start w:val="0"/>
      <w:numFmt w:val="bullet"/>
      <w:lvlText w:val="•"/>
      <w:lvlJc w:val="left"/>
      <w:pPr>
        <w:ind w:left="6145" w:hanging="780"/>
      </w:pPr>
      <w:rPr>
        <w:rFonts w:hint="default"/>
        <w:lang w:val="zh-CN" w:eastAsia="zh-CN" w:bidi="zh-CN"/>
      </w:rPr>
    </w:lvl>
    <w:lvl w:ilvl="7" w:tentative="0">
      <w:start w:val="0"/>
      <w:numFmt w:val="bullet"/>
      <w:lvlText w:val="•"/>
      <w:lvlJc w:val="left"/>
      <w:pPr>
        <w:ind w:left="7070" w:hanging="780"/>
      </w:pPr>
      <w:rPr>
        <w:rFonts w:hint="default"/>
        <w:lang w:val="zh-CN" w:eastAsia="zh-CN" w:bidi="zh-CN"/>
      </w:rPr>
    </w:lvl>
    <w:lvl w:ilvl="8" w:tentative="0">
      <w:start w:val="0"/>
      <w:numFmt w:val="bullet"/>
      <w:lvlText w:val="•"/>
      <w:lvlJc w:val="left"/>
      <w:pPr>
        <w:ind w:left="7995" w:hanging="780"/>
      </w:pPr>
      <w:rPr>
        <w:rFonts w:hint="default"/>
        <w:lang w:val="zh-CN" w:eastAsia="zh-CN" w:bidi="zh-CN"/>
      </w:rPr>
    </w:lvl>
  </w:abstractNum>
  <w:abstractNum w:abstractNumId="15">
    <w:nsid w:val="71D1AEF7"/>
    <w:multiLevelType w:val="singleLevel"/>
    <w:tmpl w:val="71D1AEF7"/>
    <w:lvl w:ilvl="0" w:tentative="0">
      <w:start w:val="1"/>
      <w:numFmt w:val="decimal"/>
      <w:lvlText w:val="%1."/>
      <w:lvlJc w:val="left"/>
      <w:pPr>
        <w:tabs>
          <w:tab w:val="left" w:pos="312"/>
        </w:tabs>
      </w:pPr>
    </w:lvl>
  </w:abstractNum>
  <w:abstractNum w:abstractNumId="16">
    <w:nsid w:val="77ECEA79"/>
    <w:multiLevelType w:val="multilevel"/>
    <w:tmpl w:val="77ECEA79"/>
    <w:lvl w:ilvl="0" w:tentative="0">
      <w:start w:val="1"/>
      <w:numFmt w:val="decimal"/>
      <w:lvlText w:val="（%1）"/>
      <w:lvlJc w:val="left"/>
      <w:pPr>
        <w:ind w:left="1341"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190" w:hanging="601"/>
      </w:pPr>
      <w:rPr>
        <w:rFonts w:hint="default"/>
        <w:lang w:val="zh-CN" w:eastAsia="zh-CN" w:bidi="zh-CN"/>
      </w:rPr>
    </w:lvl>
    <w:lvl w:ilvl="2" w:tentative="0">
      <w:start w:val="0"/>
      <w:numFmt w:val="bullet"/>
      <w:lvlText w:val="•"/>
      <w:lvlJc w:val="left"/>
      <w:pPr>
        <w:ind w:left="3041" w:hanging="601"/>
      </w:pPr>
      <w:rPr>
        <w:rFonts w:hint="default"/>
        <w:lang w:val="zh-CN" w:eastAsia="zh-CN" w:bidi="zh-CN"/>
      </w:rPr>
    </w:lvl>
    <w:lvl w:ilvl="3" w:tentative="0">
      <w:start w:val="0"/>
      <w:numFmt w:val="bullet"/>
      <w:lvlText w:val="•"/>
      <w:lvlJc w:val="left"/>
      <w:pPr>
        <w:ind w:left="3891" w:hanging="601"/>
      </w:pPr>
      <w:rPr>
        <w:rFonts w:hint="default"/>
        <w:lang w:val="zh-CN" w:eastAsia="zh-CN" w:bidi="zh-CN"/>
      </w:rPr>
    </w:lvl>
    <w:lvl w:ilvl="4" w:tentative="0">
      <w:start w:val="0"/>
      <w:numFmt w:val="bullet"/>
      <w:lvlText w:val="•"/>
      <w:lvlJc w:val="left"/>
      <w:pPr>
        <w:ind w:left="4742" w:hanging="601"/>
      </w:pPr>
      <w:rPr>
        <w:rFonts w:hint="default"/>
        <w:lang w:val="zh-CN" w:eastAsia="zh-CN" w:bidi="zh-CN"/>
      </w:rPr>
    </w:lvl>
    <w:lvl w:ilvl="5" w:tentative="0">
      <w:start w:val="0"/>
      <w:numFmt w:val="bullet"/>
      <w:lvlText w:val="•"/>
      <w:lvlJc w:val="left"/>
      <w:pPr>
        <w:ind w:left="5593" w:hanging="601"/>
      </w:pPr>
      <w:rPr>
        <w:rFonts w:hint="default"/>
        <w:lang w:val="zh-CN" w:eastAsia="zh-CN" w:bidi="zh-CN"/>
      </w:rPr>
    </w:lvl>
    <w:lvl w:ilvl="6" w:tentative="0">
      <w:start w:val="0"/>
      <w:numFmt w:val="bullet"/>
      <w:lvlText w:val="•"/>
      <w:lvlJc w:val="left"/>
      <w:pPr>
        <w:ind w:left="6443" w:hanging="601"/>
      </w:pPr>
      <w:rPr>
        <w:rFonts w:hint="default"/>
        <w:lang w:val="zh-CN" w:eastAsia="zh-CN" w:bidi="zh-CN"/>
      </w:rPr>
    </w:lvl>
    <w:lvl w:ilvl="7" w:tentative="0">
      <w:start w:val="0"/>
      <w:numFmt w:val="bullet"/>
      <w:lvlText w:val="•"/>
      <w:lvlJc w:val="left"/>
      <w:pPr>
        <w:ind w:left="7294" w:hanging="601"/>
      </w:pPr>
      <w:rPr>
        <w:rFonts w:hint="default"/>
        <w:lang w:val="zh-CN" w:eastAsia="zh-CN" w:bidi="zh-CN"/>
      </w:rPr>
    </w:lvl>
    <w:lvl w:ilvl="8" w:tentative="0">
      <w:start w:val="0"/>
      <w:numFmt w:val="bullet"/>
      <w:lvlText w:val="•"/>
      <w:lvlJc w:val="left"/>
      <w:pPr>
        <w:ind w:left="8144" w:hanging="601"/>
      </w:pPr>
      <w:rPr>
        <w:rFonts w:hint="default"/>
        <w:lang w:val="zh-CN" w:eastAsia="zh-CN" w:bidi="zh-CN"/>
      </w:rPr>
    </w:lvl>
  </w:abstractNum>
  <w:abstractNum w:abstractNumId="17">
    <w:nsid w:val="7C246926"/>
    <w:multiLevelType w:val="multilevel"/>
    <w:tmpl w:val="7C246926"/>
    <w:lvl w:ilvl="0" w:tentative="0">
      <w:start w:val="29"/>
      <w:numFmt w:val="decimal"/>
      <w:lvlText w:val="%1."/>
      <w:lvlJc w:val="left"/>
      <w:pPr>
        <w:ind w:left="1221" w:hanging="481"/>
      </w:pPr>
      <w:rPr>
        <w:rFonts w:hint="default"/>
        <w:w w:val="100"/>
        <w:lang w:val="zh-CN" w:eastAsia="zh-CN" w:bidi="zh-CN"/>
      </w:rPr>
    </w:lvl>
    <w:lvl w:ilvl="1" w:tentative="0">
      <w:start w:val="1"/>
      <w:numFmt w:val="decimal"/>
      <w:lvlText w:val="%1.%2"/>
      <w:lvlJc w:val="left"/>
      <w:pPr>
        <w:ind w:left="1340" w:hanging="600"/>
      </w:pPr>
      <w:rPr>
        <w:rFonts w:hint="default" w:ascii="宋体" w:hAnsi="宋体" w:eastAsia="宋体" w:cs="宋体"/>
        <w:w w:val="100"/>
        <w:sz w:val="24"/>
        <w:szCs w:val="24"/>
        <w:lang w:val="zh-CN" w:eastAsia="zh-CN" w:bidi="zh-CN"/>
      </w:rPr>
    </w:lvl>
    <w:lvl w:ilvl="2" w:tentative="0">
      <w:start w:val="0"/>
      <w:numFmt w:val="bullet"/>
      <w:lvlText w:val="•"/>
      <w:lvlJc w:val="left"/>
      <w:pPr>
        <w:ind w:left="1340" w:hanging="600"/>
      </w:pPr>
      <w:rPr>
        <w:rFonts w:hint="default"/>
        <w:lang w:val="zh-CN" w:eastAsia="zh-CN" w:bidi="zh-CN"/>
      </w:rPr>
    </w:lvl>
    <w:lvl w:ilvl="3" w:tentative="0">
      <w:start w:val="0"/>
      <w:numFmt w:val="bullet"/>
      <w:lvlText w:val="•"/>
      <w:lvlJc w:val="left"/>
      <w:pPr>
        <w:ind w:left="2403" w:hanging="600"/>
      </w:pPr>
      <w:rPr>
        <w:rFonts w:hint="default"/>
        <w:lang w:val="zh-CN" w:eastAsia="zh-CN" w:bidi="zh-CN"/>
      </w:rPr>
    </w:lvl>
    <w:lvl w:ilvl="4" w:tentative="0">
      <w:start w:val="0"/>
      <w:numFmt w:val="bullet"/>
      <w:lvlText w:val="•"/>
      <w:lvlJc w:val="left"/>
      <w:pPr>
        <w:ind w:left="3466" w:hanging="600"/>
      </w:pPr>
      <w:rPr>
        <w:rFonts w:hint="default"/>
        <w:lang w:val="zh-CN" w:eastAsia="zh-CN" w:bidi="zh-CN"/>
      </w:rPr>
    </w:lvl>
    <w:lvl w:ilvl="5" w:tentative="0">
      <w:start w:val="0"/>
      <w:numFmt w:val="bullet"/>
      <w:lvlText w:val="•"/>
      <w:lvlJc w:val="left"/>
      <w:pPr>
        <w:ind w:left="4529" w:hanging="600"/>
      </w:pPr>
      <w:rPr>
        <w:rFonts w:hint="default"/>
        <w:lang w:val="zh-CN" w:eastAsia="zh-CN" w:bidi="zh-CN"/>
      </w:rPr>
    </w:lvl>
    <w:lvl w:ilvl="6" w:tentative="0">
      <w:start w:val="0"/>
      <w:numFmt w:val="bullet"/>
      <w:lvlText w:val="•"/>
      <w:lvlJc w:val="left"/>
      <w:pPr>
        <w:ind w:left="5593" w:hanging="600"/>
      </w:pPr>
      <w:rPr>
        <w:rFonts w:hint="default"/>
        <w:lang w:val="zh-CN" w:eastAsia="zh-CN" w:bidi="zh-CN"/>
      </w:rPr>
    </w:lvl>
    <w:lvl w:ilvl="7" w:tentative="0">
      <w:start w:val="0"/>
      <w:numFmt w:val="bullet"/>
      <w:lvlText w:val="•"/>
      <w:lvlJc w:val="left"/>
      <w:pPr>
        <w:ind w:left="6656" w:hanging="600"/>
      </w:pPr>
      <w:rPr>
        <w:rFonts w:hint="default"/>
        <w:lang w:val="zh-CN" w:eastAsia="zh-CN" w:bidi="zh-CN"/>
      </w:rPr>
    </w:lvl>
    <w:lvl w:ilvl="8" w:tentative="0">
      <w:start w:val="0"/>
      <w:numFmt w:val="bullet"/>
      <w:lvlText w:val="•"/>
      <w:lvlJc w:val="left"/>
      <w:pPr>
        <w:ind w:left="7719" w:hanging="600"/>
      </w:pPr>
      <w:rPr>
        <w:rFonts w:hint="default"/>
        <w:lang w:val="zh-CN" w:eastAsia="zh-CN" w:bidi="zh-CN"/>
      </w:rPr>
    </w:lvl>
  </w:abstractNum>
  <w:num w:numId="1">
    <w:abstractNumId w:val="0"/>
  </w:num>
  <w:num w:numId="2">
    <w:abstractNumId w:val="11"/>
  </w:num>
  <w:num w:numId="3">
    <w:abstractNumId w:val="13"/>
  </w:num>
  <w:num w:numId="4">
    <w:abstractNumId w:val="6"/>
  </w:num>
  <w:num w:numId="5">
    <w:abstractNumId w:val="10"/>
  </w:num>
  <w:num w:numId="6">
    <w:abstractNumId w:val="5"/>
  </w:num>
  <w:num w:numId="7">
    <w:abstractNumId w:val="1"/>
  </w:num>
  <w:num w:numId="8">
    <w:abstractNumId w:val="12"/>
  </w:num>
  <w:num w:numId="9">
    <w:abstractNumId w:val="14"/>
  </w:num>
  <w:num w:numId="10">
    <w:abstractNumId w:val="9"/>
  </w:num>
  <w:num w:numId="11">
    <w:abstractNumId w:val="2"/>
  </w:num>
  <w:num w:numId="12">
    <w:abstractNumId w:val="17"/>
  </w:num>
  <w:num w:numId="13">
    <w:abstractNumId w:val="16"/>
  </w:num>
  <w:num w:numId="14">
    <w:abstractNumId w:val="4"/>
  </w:num>
  <w:num w:numId="15">
    <w:abstractNumId w:val="7"/>
  </w:num>
  <w:num w:numId="16">
    <w:abstractNumId w:val="15"/>
  </w:num>
  <w:num w:numId="17">
    <w:abstractNumId w:val="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C3382"/>
    <w:rsid w:val="082271FE"/>
    <w:rsid w:val="09A022EA"/>
    <w:rsid w:val="0A5D6A03"/>
    <w:rsid w:val="106A3130"/>
    <w:rsid w:val="1E56729F"/>
    <w:rsid w:val="20070C6A"/>
    <w:rsid w:val="34FF38FF"/>
    <w:rsid w:val="36002A02"/>
    <w:rsid w:val="375251C0"/>
    <w:rsid w:val="42CB25B2"/>
    <w:rsid w:val="458D2638"/>
    <w:rsid w:val="48B50EE8"/>
    <w:rsid w:val="67FF3670"/>
    <w:rsid w:val="6CFE6AA4"/>
    <w:rsid w:val="7253748E"/>
    <w:rsid w:val="7A8A0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spacing w:before="38"/>
      <w:ind w:left="892"/>
      <w:jc w:val="center"/>
      <w:outlineLvl w:val="0"/>
    </w:pPr>
    <w:rPr>
      <w:sz w:val="32"/>
      <w:szCs w:val="32"/>
    </w:rPr>
  </w:style>
  <w:style w:type="paragraph" w:styleId="3">
    <w:name w:val="heading 2"/>
    <w:basedOn w:val="1"/>
    <w:next w:val="1"/>
    <w:qFormat/>
    <w:uiPriority w:val="0"/>
    <w:pPr>
      <w:spacing w:before="1"/>
      <w:ind w:left="1600"/>
      <w:outlineLvl w:val="1"/>
    </w:pPr>
    <w:rPr>
      <w:sz w:val="30"/>
      <w:szCs w:val="30"/>
    </w:rPr>
  </w:style>
  <w:style w:type="paragraph" w:styleId="4">
    <w:name w:val="heading 3"/>
    <w:basedOn w:val="1"/>
    <w:next w:val="1"/>
    <w:qFormat/>
    <w:uiPriority w:val="0"/>
    <w:pPr>
      <w:ind w:left="2015"/>
      <w:outlineLvl w:val="2"/>
    </w:pPr>
    <w:rPr>
      <w:b/>
      <w:bCs/>
      <w:sz w:val="28"/>
      <w:szCs w:val="28"/>
    </w:rPr>
  </w:style>
  <w:style w:type="paragraph" w:styleId="5">
    <w:name w:val="heading 4"/>
    <w:basedOn w:val="1"/>
    <w:next w:val="1"/>
    <w:qFormat/>
    <w:uiPriority w:val="0"/>
    <w:pPr>
      <w:ind w:left="740"/>
      <w:outlineLvl w:val="3"/>
    </w:pPr>
    <w:rPr>
      <w:b/>
      <w:bCs/>
      <w:sz w:val="24"/>
      <w:szCs w:val="24"/>
    </w:rPr>
  </w:style>
  <w:style w:type="character" w:default="1" w:styleId="21">
    <w:name w:val="Default Paragraph Font"/>
    <w:semiHidden/>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widowControl w:val="0"/>
      <w:ind w:firstLine="420" w:firstLineChars="200"/>
      <w:jc w:val="both"/>
    </w:pPr>
    <w:rPr>
      <w:rFonts w:ascii="Calibri" w:hAnsi="Calibri" w:eastAsia="仿宋" w:cs="宋体"/>
      <w:kern w:val="2"/>
      <w:sz w:val="32"/>
      <w:lang w:eastAsia="zh-CN"/>
    </w:rPr>
  </w:style>
  <w:style w:type="paragraph" w:styleId="7">
    <w:name w:val="toa heading"/>
    <w:basedOn w:val="1"/>
    <w:next w:val="1"/>
    <w:unhideWhenUsed/>
    <w:qFormat/>
    <w:uiPriority w:val="99"/>
    <w:pPr>
      <w:spacing w:before="120"/>
    </w:pPr>
    <w:rPr>
      <w:rFonts w:ascii="Arial" w:hAnsi="Arial" w:cs="Arial"/>
      <w:sz w:val="24"/>
    </w:rPr>
  </w:style>
  <w:style w:type="paragraph" w:styleId="8">
    <w:name w:val="Body Text"/>
    <w:basedOn w:val="1"/>
    <w:next w:val="1"/>
    <w:qFormat/>
    <w:uiPriority w:val="0"/>
    <w:pPr>
      <w:ind w:left="320"/>
    </w:pPr>
    <w:rPr>
      <w:rFonts w:ascii="Times New Roman" w:hAnsi="Times New Roman" w:cs="Times New Roman"/>
      <w:sz w:val="24"/>
      <w:szCs w:val="24"/>
      <w:lang w:bidi="ar-SA"/>
    </w:rPr>
  </w:style>
  <w:style w:type="paragraph" w:styleId="9">
    <w:name w:val="Body Text Indent"/>
    <w:basedOn w:val="1"/>
    <w:next w:val="6"/>
    <w:qFormat/>
    <w:uiPriority w:val="0"/>
    <w:pPr>
      <w:spacing w:after="120"/>
      <w:ind w:left="200" w:leftChars="200"/>
      <w:jc w:val="both"/>
    </w:pPr>
    <w:rPr>
      <w:kern w:val="2"/>
      <w:sz w:val="21"/>
    </w:rPr>
  </w:style>
  <w:style w:type="paragraph" w:styleId="10">
    <w:name w:val="Plain Text"/>
    <w:basedOn w:val="1"/>
    <w:next w:val="11"/>
    <w:qFormat/>
    <w:uiPriority w:val="0"/>
    <w:pPr>
      <w:adjustRightInd w:val="0"/>
      <w:textAlignment w:val="baseline"/>
    </w:pPr>
    <w:rPr>
      <w:rFonts w:ascii="宋体" w:hAnsi="Courier New" w:eastAsia="宋体" w:cs="Times New Roman"/>
      <w:kern w:val="0"/>
      <w:sz w:val="20"/>
      <w:szCs w:val="20"/>
    </w:rPr>
  </w:style>
  <w:style w:type="paragraph" w:styleId="11">
    <w:name w:val="index 7"/>
    <w:basedOn w:val="1"/>
    <w:next w:val="1"/>
    <w:unhideWhenUsed/>
    <w:qFormat/>
    <w:uiPriority w:val="99"/>
    <w:pPr>
      <w:ind w:left="1200" w:leftChars="1200"/>
    </w:pPr>
  </w:style>
  <w:style w:type="paragraph" w:styleId="12">
    <w:name w:val="footer"/>
    <w:basedOn w:val="1"/>
    <w:qFormat/>
    <w:uiPriority w:val="0"/>
    <w:pPr>
      <w:tabs>
        <w:tab w:val="center" w:pos="4153"/>
        <w:tab w:val="right" w:pos="8306"/>
      </w:tabs>
      <w:snapToGrid w:val="0"/>
    </w:pPr>
    <w:rPr>
      <w:sz w:val="18"/>
      <w:szCs w:val="18"/>
    </w:rPr>
  </w:style>
  <w:style w:type="paragraph" w:styleId="13">
    <w:name w:val="toc 2"/>
    <w:basedOn w:val="1"/>
    <w:next w:val="1"/>
    <w:qFormat/>
    <w:uiPriority w:val="0"/>
    <w:pPr>
      <w:spacing w:line="440" w:lineRule="exact"/>
      <w:ind w:firstLine="300"/>
    </w:pPr>
    <w:rPr>
      <w:rFonts w:ascii="Calibri" w:hAnsi="Calibri" w:eastAsia="宋体" w:cs="Calibri"/>
      <w:smallCaps/>
      <w:sz w:val="20"/>
      <w:szCs w:val="20"/>
    </w:rPr>
  </w:style>
  <w:style w:type="paragraph" w:styleId="14">
    <w:name w:val="Body Text 2"/>
    <w:basedOn w:val="1"/>
    <w:next w:val="8"/>
    <w:qFormat/>
    <w:uiPriority w:val="0"/>
    <w:rPr>
      <w:rFonts w:ascii="宋体" w:hAnsi="宋体" w:eastAsia="宋体" w:cs="Arial"/>
      <w:b/>
      <w:kern w:val="0"/>
      <w:sz w:val="28"/>
      <w:szCs w:val="20"/>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Title"/>
    <w:basedOn w:val="13"/>
    <w:next w:val="1"/>
    <w:qFormat/>
    <w:uiPriority w:val="0"/>
    <w:pPr>
      <w:spacing w:before="240" w:after="60"/>
      <w:jc w:val="center"/>
      <w:outlineLvl w:val="0"/>
    </w:pPr>
    <w:rPr>
      <w:rFonts w:ascii="Cambria" w:hAnsi="Cambria" w:eastAsia="宋体" w:cs="Times New Roman"/>
      <w:b/>
      <w:bCs/>
      <w:kern w:val="2"/>
      <w:sz w:val="32"/>
      <w:szCs w:val="32"/>
    </w:rPr>
  </w:style>
  <w:style w:type="paragraph" w:styleId="17">
    <w:name w:val="Body Text First Indent"/>
    <w:basedOn w:val="8"/>
    <w:next w:val="1"/>
    <w:unhideWhenUsed/>
    <w:qFormat/>
    <w:uiPriority w:val="99"/>
    <w:pPr>
      <w:ind w:firstLine="420" w:firstLineChars="100"/>
    </w:pPr>
  </w:style>
  <w:style w:type="paragraph" w:styleId="18">
    <w:name w:val="Body Text First Indent 2"/>
    <w:basedOn w:val="9"/>
    <w:next w:val="17"/>
    <w:qFormat/>
    <w:uiPriority w:val="0"/>
    <w:pPr>
      <w:ind w:firstLine="200" w:firstLineChars="200"/>
    </w:pPr>
  </w:style>
  <w:style w:type="table" w:styleId="20">
    <w:name w:val="Table Grid"/>
    <w:basedOn w:val="19"/>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FollowedHyperlink"/>
    <w:basedOn w:val="21"/>
    <w:qFormat/>
    <w:uiPriority w:val="0"/>
    <w:rPr>
      <w:color w:val="800080"/>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hint="default"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none"/>
    </w:rPr>
  </w:style>
  <w:style w:type="character" w:styleId="30">
    <w:name w:val="HTML Code"/>
    <w:basedOn w:val="21"/>
    <w:qFormat/>
    <w:uiPriority w:val="0"/>
    <w:rPr>
      <w:rFonts w:hint="default" w:ascii="monospace" w:hAnsi="monospace" w:eastAsia="monospace" w:cs="monospace"/>
      <w:sz w:val="20"/>
    </w:rPr>
  </w:style>
  <w:style w:type="character" w:styleId="31">
    <w:name w:val="HTML Cite"/>
    <w:basedOn w:val="21"/>
    <w:qFormat/>
    <w:uiPriority w:val="0"/>
  </w:style>
  <w:style w:type="character" w:styleId="32">
    <w:name w:val="HTML Keyboard"/>
    <w:basedOn w:val="21"/>
    <w:qFormat/>
    <w:uiPriority w:val="0"/>
    <w:rPr>
      <w:rFonts w:hint="default" w:ascii="monospace" w:hAnsi="monospace" w:eastAsia="monospace" w:cs="monospace"/>
      <w:sz w:val="20"/>
    </w:rPr>
  </w:style>
  <w:style w:type="character" w:styleId="33">
    <w:name w:val="HTML Sample"/>
    <w:basedOn w:val="21"/>
    <w:qFormat/>
    <w:uiPriority w:val="0"/>
    <w:rPr>
      <w:rFonts w:ascii="monospace" w:hAnsi="monospace" w:eastAsia="monospace" w:cs="monospace"/>
    </w:rPr>
  </w:style>
  <w:style w:type="paragraph" w:customStyle="1" w:styleId="34">
    <w:name w:val="WPSOffice手动目录 1"/>
    <w:qFormat/>
    <w:uiPriority w:val="0"/>
    <w:pPr>
      <w:ind w:leftChars="0"/>
    </w:pPr>
    <w:rPr>
      <w:rFonts w:asciiTheme="minorHAnsi" w:hAnsiTheme="minorHAnsi" w:eastAsiaTheme="minorEastAsia" w:cstheme="minorBidi"/>
      <w:sz w:val="20"/>
      <w:szCs w:val="20"/>
    </w:rPr>
  </w:style>
  <w:style w:type="paragraph" w:customStyle="1" w:styleId="35">
    <w:name w:val="Table Paragraph"/>
    <w:basedOn w:val="1"/>
    <w:qFormat/>
    <w:uiPriority w:val="0"/>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b/>
      <w:bCs/>
      <w:sz w:val="28"/>
      <w:szCs w:val="20"/>
    </w:rPr>
  </w:style>
  <w:style w:type="paragraph" w:styleId="37">
    <w:name w:val="List Paragraph"/>
    <w:basedOn w:val="1"/>
    <w:qFormat/>
    <w:uiPriority w:val="0"/>
    <w:pPr>
      <w:ind w:left="320" w:firstLine="420"/>
    </w:pPr>
  </w:style>
  <w:style w:type="paragraph" w:customStyle="1" w:styleId="38">
    <w:name w:val="Default"/>
    <w:basedOn w:val="16"/>
    <w:next w:val="39"/>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9">
    <w:name w:val="正文 A"/>
    <w:next w:val="38"/>
    <w:qFormat/>
    <w:uiPriority w:val="0"/>
    <w:pPr>
      <w:framePr w:wrap="around" w:vAnchor="margin" w:hAnchor="text" w:y="1"/>
      <w:spacing w:line="360" w:lineRule="auto"/>
      <w:ind w:firstLine="200"/>
      <w:jc w:val="both"/>
    </w:pPr>
    <w:rPr>
      <w:rFonts w:ascii="Calibri" w:hAnsi="Calibri" w:eastAsia="Arial Unicode MS" w:cs="Arial Unicode MS"/>
      <w:color w:val="000000"/>
      <w:kern w:val="2"/>
      <w:sz w:val="21"/>
      <w:szCs w:val="21"/>
      <w:lang w:val="en-US" w:eastAsia="zh-CN" w:bidi="ar-SA"/>
    </w:rPr>
  </w:style>
  <w:style w:type="character" w:customStyle="1" w:styleId="40">
    <w:name w:val="layui-layer-tabnow"/>
    <w:basedOn w:val="21"/>
    <w:qFormat/>
    <w:uiPriority w:val="0"/>
    <w:rPr>
      <w:bdr w:val="single" w:color="CCCCCC" w:sz="4" w:space="0"/>
      <w:shd w:val="clear" w:fill="FFFFFF"/>
    </w:rPr>
  </w:style>
  <w:style w:type="character" w:customStyle="1" w:styleId="41">
    <w:name w:val="first-child"/>
    <w:basedOn w:val="21"/>
    <w:qFormat/>
    <w:uiPriority w:val="0"/>
  </w:style>
  <w:style w:type="character" w:customStyle="1" w:styleId="42">
    <w:name w:val="hover1"/>
    <w:basedOn w:val="21"/>
    <w:qFormat/>
    <w:uiPriority w:val="0"/>
    <w:rPr>
      <w:color w:val="2590EB"/>
    </w:rPr>
  </w:style>
  <w:style w:type="character" w:customStyle="1" w:styleId="43">
    <w:name w:val="hover2"/>
    <w:basedOn w:val="21"/>
    <w:qFormat/>
    <w:uiPriority w:val="0"/>
    <w:rPr>
      <w:color w:val="2590EB"/>
    </w:rPr>
  </w:style>
  <w:style w:type="character" w:customStyle="1" w:styleId="44">
    <w:name w:val="hover3"/>
    <w:basedOn w:val="21"/>
    <w:qFormat/>
    <w:uiPriority w:val="0"/>
  </w:style>
  <w:style w:type="character" w:customStyle="1" w:styleId="45">
    <w:name w:val="mini-outputtext1"/>
    <w:basedOn w:val="2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16324</Words>
  <Characters>17575</Characters>
  <Lines>0</Lines>
  <Paragraphs>0</Paragraphs>
  <TotalTime>85</TotalTime>
  <ScaleCrop>false</ScaleCrop>
  <LinksUpToDate>false</LinksUpToDate>
  <CharactersWithSpaces>17697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2025-07-17T09:27:00Z</dcterms:created>
  <dc:creator>Administrator</dc:creator>
  <cp:lastModifiedBy>冰丽</cp:lastModifiedBy>
  <cp:lastPrinted>2025-07-21T03:57:00Z</cp:lastPrinted>
  <dcterms:modified xsi:type="dcterms:W3CDTF">2025-07-21T09:11:33Z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eyJoZGlkIjoiNDk3ZTc3ZjM3N2JiYjQzOWYzZTAyNGVlMjZkNDRlNTEiLCJ1c2VySWQiOiI4NTQ5MzgxMjMifQ==</vt:lpwstr>
  </property>
  <property fmtid="{D5CDD505-2E9C-101B-9397-08002B2CF9AE}" pid="4" name="ICV">
    <vt:lpwstr>98F99FE487B04592BA108B7A7606AF39_13</vt:lpwstr>
  </property>
</Properties>
</file>