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EA165">
      <w:pPr>
        <w:jc w:val="center"/>
        <w:rPr>
          <w:rFonts w:hint="default" w:ascii="宋体" w:hAnsi="宋体" w:eastAsia="宋体" w:cs="宋体"/>
          <w:b/>
          <w:bCs/>
          <w:sz w:val="48"/>
          <w:szCs w:val="52"/>
          <w:highlight w:val="none"/>
          <w:lang w:val="en-US" w:eastAsia="zh-CN"/>
        </w:rPr>
      </w:pPr>
      <w:bookmarkStart w:id="664" w:name="_GoBack"/>
      <w:bookmarkEnd w:id="664"/>
      <w:r>
        <w:rPr>
          <w:rFonts w:hint="eastAsia" w:ascii="宋体" w:hAnsi="宋体" w:cs="宋体"/>
          <w:b/>
          <w:bCs/>
          <w:sz w:val="48"/>
          <w:szCs w:val="52"/>
          <w:highlight w:val="none"/>
          <w:lang w:val="en-US" w:eastAsia="zh-CN"/>
        </w:rPr>
        <w:t xml:space="preserve"> </w:t>
      </w:r>
    </w:p>
    <w:p w14:paraId="18613F65">
      <w:pPr>
        <w:spacing w:line="560" w:lineRule="atLeast"/>
        <w:jc w:val="center"/>
        <w:rPr>
          <w:rFonts w:hint="eastAsia" w:ascii="宋体" w:hAnsi="宋体" w:eastAsia="宋体" w:cs="宋体"/>
          <w:b/>
          <w:sz w:val="48"/>
          <w:szCs w:val="48"/>
          <w:highlight w:val="none"/>
          <w:lang w:eastAsia="zh-CN"/>
        </w:rPr>
      </w:pPr>
      <w:r>
        <w:rPr>
          <w:rFonts w:hint="eastAsia" w:ascii="宋体" w:hAnsi="宋体" w:cs="宋体"/>
          <w:b/>
          <w:sz w:val="48"/>
          <w:szCs w:val="48"/>
          <w:highlight w:val="none"/>
          <w:lang w:eastAsia="zh-CN"/>
        </w:rPr>
        <w:t>灵宝市教育体育局灵宝市豫灵镇第一幼儿园设备采购项目</w:t>
      </w:r>
    </w:p>
    <w:p w14:paraId="5F71F54A">
      <w:pPr>
        <w:bidi w:val="0"/>
      </w:pPr>
    </w:p>
    <w:p w14:paraId="26E7EB36">
      <w:pPr>
        <w:pStyle w:val="2"/>
        <w:ind w:left="0" w:leftChars="0" w:firstLine="0" w:firstLineChars="0"/>
        <w:rPr>
          <w:rFonts w:ascii="宋体" w:hAnsi="宋体" w:cs="宋体"/>
          <w:b/>
          <w:bCs/>
          <w:sz w:val="72"/>
          <w:szCs w:val="72"/>
          <w:highlight w:val="none"/>
        </w:rPr>
      </w:pPr>
    </w:p>
    <w:p w14:paraId="59043919">
      <w:pPr>
        <w:pStyle w:val="2"/>
        <w:ind w:left="0" w:leftChars="0" w:firstLine="0" w:firstLineChars="0"/>
        <w:rPr>
          <w:rFonts w:ascii="宋体" w:hAnsi="宋体" w:cs="宋体"/>
          <w:b/>
          <w:bCs/>
          <w:sz w:val="72"/>
          <w:szCs w:val="72"/>
          <w:highlight w:val="none"/>
        </w:rPr>
      </w:pPr>
    </w:p>
    <w:p w14:paraId="128E400A">
      <w:pPr>
        <w:pStyle w:val="2"/>
        <w:ind w:left="0" w:leftChars="0" w:firstLine="0" w:firstLineChars="0"/>
        <w:rPr>
          <w:rFonts w:ascii="宋体" w:hAnsi="宋体" w:cs="宋体"/>
          <w:b/>
          <w:bCs/>
          <w:sz w:val="72"/>
          <w:szCs w:val="72"/>
          <w:highlight w:val="none"/>
        </w:rPr>
      </w:pPr>
    </w:p>
    <w:p w14:paraId="39CF9E97">
      <w:pPr>
        <w:jc w:val="center"/>
        <w:rPr>
          <w:rFonts w:ascii="宋体" w:hAnsi="宋体" w:cs="宋体"/>
          <w:b/>
          <w:sz w:val="72"/>
          <w:szCs w:val="72"/>
          <w:highlight w:val="none"/>
        </w:rPr>
      </w:pPr>
      <w:r>
        <w:rPr>
          <w:rFonts w:hint="eastAsia" w:ascii="宋体" w:hAnsi="宋体" w:cs="宋体"/>
          <w:b/>
          <w:sz w:val="72"/>
          <w:szCs w:val="72"/>
          <w:highlight w:val="none"/>
        </w:rPr>
        <w:t>竞争性磋商文件</w:t>
      </w:r>
    </w:p>
    <w:p w14:paraId="211EF615">
      <w:pPr>
        <w:pStyle w:val="23"/>
        <w:ind w:left="0" w:leftChars="0" w:firstLine="0" w:firstLineChars="0"/>
        <w:jc w:val="both"/>
        <w:rPr>
          <w:rFonts w:hint="eastAsia" w:ascii="宋体" w:hAnsi="宋体" w:cs="宋体"/>
          <w:b/>
          <w:bCs/>
          <w:kern w:val="4"/>
          <w:sz w:val="28"/>
          <w:szCs w:val="28"/>
          <w:highlight w:val="yellow"/>
        </w:rPr>
      </w:pPr>
    </w:p>
    <w:p w14:paraId="325C651D">
      <w:pPr>
        <w:pStyle w:val="23"/>
        <w:ind w:left="0" w:leftChars="0" w:firstLine="0" w:firstLineChars="0"/>
        <w:jc w:val="center"/>
        <w:rPr>
          <w:rFonts w:hint="eastAsia" w:ascii="宋体" w:hAnsi="宋体" w:cs="宋体"/>
          <w:b/>
          <w:bCs/>
          <w:kern w:val="4"/>
          <w:sz w:val="28"/>
          <w:szCs w:val="28"/>
          <w:highlight w:val="none"/>
          <w:lang w:val="en-US" w:eastAsia="zh-CN"/>
        </w:rPr>
      </w:pPr>
      <w:r>
        <w:rPr>
          <w:rFonts w:hint="eastAsia" w:ascii="宋体" w:hAnsi="宋体" w:cs="宋体"/>
          <w:b/>
          <w:bCs/>
          <w:kern w:val="4"/>
          <w:sz w:val="28"/>
          <w:szCs w:val="28"/>
          <w:highlight w:val="none"/>
        </w:rPr>
        <w:t>项目编号：</w:t>
      </w:r>
      <w:r>
        <w:rPr>
          <w:rFonts w:hint="eastAsia" w:ascii="宋体" w:hAnsi="宋体" w:cs="宋体"/>
          <w:b/>
          <w:bCs/>
          <w:kern w:val="4"/>
          <w:sz w:val="28"/>
          <w:szCs w:val="28"/>
          <w:highlight w:val="none"/>
          <w:lang w:val="en-US" w:eastAsia="zh-CN"/>
        </w:rPr>
        <w:t>灵宝竞磋采购-2025-89、LBGZ[2025]173-ZC121、</w:t>
      </w:r>
    </w:p>
    <w:p w14:paraId="6914887B">
      <w:pPr>
        <w:pStyle w:val="23"/>
        <w:ind w:left="0" w:leftChars="0" w:firstLine="0" w:firstLineChars="0"/>
        <w:jc w:val="center"/>
        <w:rPr>
          <w:rFonts w:hint="default" w:ascii="宋体" w:hAnsi="宋体" w:eastAsia="Arial Unicode MS" w:cs="宋体"/>
          <w:b/>
          <w:bCs/>
          <w:color w:val="auto"/>
          <w:kern w:val="4"/>
          <w:sz w:val="28"/>
          <w:szCs w:val="28"/>
          <w:highlight w:val="none"/>
          <w:lang w:val="en-US" w:eastAsia="zh-CN" w:bidi="ar-SA"/>
        </w:rPr>
      </w:pPr>
      <w:r>
        <w:rPr>
          <w:rFonts w:hint="eastAsia" w:ascii="宋体" w:hAnsi="宋体" w:cs="宋体"/>
          <w:b/>
          <w:bCs/>
          <w:kern w:val="4"/>
          <w:sz w:val="28"/>
          <w:szCs w:val="28"/>
          <w:highlight w:val="none"/>
          <w:lang w:val="en-US" w:eastAsia="zh-CN"/>
        </w:rPr>
        <w:t>HNZNCT-2025-020</w:t>
      </w:r>
    </w:p>
    <w:p w14:paraId="2F697A24">
      <w:pPr>
        <w:jc w:val="center"/>
        <w:rPr>
          <w:highlight w:val="none"/>
        </w:rPr>
      </w:pPr>
    </w:p>
    <w:p w14:paraId="58A567E0">
      <w:pPr>
        <w:pStyle w:val="29"/>
        <w:rPr>
          <w:highlight w:val="none"/>
        </w:rPr>
      </w:pPr>
    </w:p>
    <w:p w14:paraId="0F879571">
      <w:pPr>
        <w:pStyle w:val="29"/>
        <w:rPr>
          <w:highlight w:val="none"/>
        </w:rPr>
      </w:pPr>
    </w:p>
    <w:p w14:paraId="57AD0A9B">
      <w:pPr>
        <w:pStyle w:val="29"/>
        <w:rPr>
          <w:highlight w:val="none"/>
        </w:rPr>
      </w:pPr>
    </w:p>
    <w:p w14:paraId="43A05ED0">
      <w:pPr>
        <w:pStyle w:val="29"/>
        <w:rPr>
          <w:highlight w:val="none"/>
        </w:rPr>
      </w:pPr>
    </w:p>
    <w:p w14:paraId="4E6988EB">
      <w:pPr>
        <w:pStyle w:val="29"/>
        <w:rPr>
          <w:highlight w:val="none"/>
        </w:rPr>
      </w:pPr>
    </w:p>
    <w:p w14:paraId="1A801F81">
      <w:pPr>
        <w:pStyle w:val="29"/>
        <w:rPr>
          <w:highlight w:val="none"/>
        </w:rPr>
      </w:pPr>
    </w:p>
    <w:p w14:paraId="13FD5A9D">
      <w:pPr>
        <w:pStyle w:val="29"/>
        <w:rPr>
          <w:highlight w:val="none"/>
        </w:rPr>
      </w:pPr>
    </w:p>
    <w:p w14:paraId="2294A67A">
      <w:pPr>
        <w:pStyle w:val="29"/>
        <w:rPr>
          <w:highlight w:val="none"/>
        </w:rPr>
      </w:pPr>
    </w:p>
    <w:p w14:paraId="2D570305">
      <w:pPr>
        <w:pStyle w:val="29"/>
        <w:rPr>
          <w:highlight w:val="none"/>
        </w:rPr>
      </w:pPr>
    </w:p>
    <w:p w14:paraId="6950373A">
      <w:pPr>
        <w:pStyle w:val="29"/>
        <w:rPr>
          <w:highlight w:val="none"/>
        </w:rPr>
      </w:pPr>
    </w:p>
    <w:p w14:paraId="313370BC">
      <w:pPr>
        <w:rPr>
          <w:highlight w:val="none"/>
        </w:rPr>
      </w:pPr>
    </w:p>
    <w:p w14:paraId="15D014BD">
      <w:pPr>
        <w:keepNext w:val="0"/>
        <w:keepLines w:val="0"/>
        <w:pageBreakBefore w:val="0"/>
        <w:widowControl w:val="0"/>
        <w:kinsoku/>
        <w:wordWrap/>
        <w:overflowPunct/>
        <w:topLinePunct w:val="0"/>
        <w:autoSpaceDE/>
        <w:autoSpaceDN/>
        <w:bidi w:val="0"/>
        <w:adjustRightInd/>
        <w:snapToGrid/>
        <w:spacing w:line="600" w:lineRule="auto"/>
        <w:ind w:firstLine="1606" w:firstLineChars="500"/>
        <w:jc w:val="both"/>
        <w:textAlignment w:val="auto"/>
        <w:rPr>
          <w:rFonts w:hint="eastAsia" w:ascii="宋体" w:hAnsi="宋体" w:eastAsia="宋体" w:cs="宋体"/>
          <w:b/>
          <w:bCs/>
          <w:sz w:val="32"/>
          <w:szCs w:val="32"/>
          <w:highlight w:val="none"/>
          <w:shd w:val="clear" w:color="auto" w:fill="FFFFFF"/>
          <w:lang w:eastAsia="zh-CN"/>
        </w:rPr>
      </w:pPr>
      <w:r>
        <w:rPr>
          <w:rFonts w:hint="eastAsia" w:ascii="宋体" w:hAnsi="宋体" w:cs="宋体"/>
          <w:b/>
          <w:bCs/>
          <w:sz w:val="32"/>
          <w:szCs w:val="32"/>
          <w:highlight w:val="none"/>
        </w:rPr>
        <w:t>采   购   人：</w:t>
      </w:r>
      <w:r>
        <w:rPr>
          <w:rFonts w:hint="eastAsia" w:ascii="宋体" w:hAnsi="宋体" w:cs="宋体"/>
          <w:b/>
          <w:bCs/>
          <w:sz w:val="32"/>
          <w:szCs w:val="32"/>
          <w:highlight w:val="none"/>
          <w:lang w:eastAsia="zh-CN"/>
        </w:rPr>
        <w:t>灵宝市教育体育局</w:t>
      </w:r>
    </w:p>
    <w:p w14:paraId="24C913C9">
      <w:pPr>
        <w:keepNext w:val="0"/>
        <w:keepLines w:val="0"/>
        <w:pageBreakBefore w:val="0"/>
        <w:widowControl w:val="0"/>
        <w:kinsoku/>
        <w:wordWrap/>
        <w:overflowPunct/>
        <w:topLinePunct w:val="0"/>
        <w:autoSpaceDE/>
        <w:autoSpaceDN/>
        <w:bidi w:val="0"/>
        <w:adjustRightInd/>
        <w:snapToGrid/>
        <w:spacing w:line="600" w:lineRule="auto"/>
        <w:ind w:firstLine="1606" w:firstLineChars="500"/>
        <w:jc w:val="both"/>
        <w:textAlignment w:val="auto"/>
        <w:rPr>
          <w:rFonts w:hint="eastAsia" w:ascii="宋体" w:hAnsi="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sz w:val="30"/>
          <w:szCs w:val="30"/>
        </w:rPr>
        <w:t>中能城投（河南）工程咨询有限公司</w:t>
      </w:r>
    </w:p>
    <w:p w14:paraId="7CF47267">
      <w:pPr>
        <w:spacing w:line="600" w:lineRule="auto"/>
        <w:jc w:val="center"/>
        <w:rPr>
          <w:rFonts w:hint="eastAsia" w:ascii="宋体" w:hAnsi="宋体" w:cs="宋体"/>
          <w:b/>
          <w:bCs/>
          <w:kern w:val="0"/>
          <w:sz w:val="32"/>
          <w:szCs w:val="32"/>
          <w:highlight w:val="none"/>
        </w:rPr>
        <w:sectPr>
          <w:headerReference r:id="rId3" w:type="default"/>
          <w:footerReference r:id="rId4" w:type="default"/>
          <w:pgSz w:w="11906" w:h="16838"/>
          <w:pgMar w:top="1134" w:right="850" w:bottom="1134" w:left="850" w:header="851" w:footer="992" w:gutter="0"/>
          <w:pgNumType w:start="1"/>
          <w:cols w:space="0" w:num="1"/>
          <w:rtlGutter w:val="0"/>
          <w:docGrid w:type="lines" w:linePitch="312" w:charSpace="0"/>
        </w:sectPr>
      </w:pPr>
      <w:r>
        <w:rPr>
          <w:rFonts w:hint="eastAsia" w:ascii="宋体" w:hAnsi="宋体" w:cs="宋体"/>
          <w:b/>
          <w:bCs/>
          <w:kern w:val="0"/>
          <w:sz w:val="32"/>
          <w:szCs w:val="32"/>
          <w:highlight w:val="none"/>
        </w:rPr>
        <w:t>二〇二</w:t>
      </w:r>
      <w:r>
        <w:rPr>
          <w:rFonts w:hint="eastAsia" w:ascii="宋体" w:hAnsi="宋体" w:cs="宋体"/>
          <w:b/>
          <w:bCs/>
          <w:kern w:val="0"/>
          <w:sz w:val="32"/>
          <w:szCs w:val="32"/>
          <w:highlight w:val="none"/>
          <w:lang w:val="en-US" w:eastAsia="zh-CN"/>
        </w:rPr>
        <w:t>五</w:t>
      </w:r>
      <w:r>
        <w:rPr>
          <w:rFonts w:hint="eastAsia" w:ascii="宋体" w:hAnsi="宋体" w:cs="宋体"/>
          <w:b/>
          <w:bCs/>
          <w:kern w:val="0"/>
          <w:sz w:val="32"/>
          <w:szCs w:val="32"/>
          <w:highlight w:val="none"/>
        </w:rPr>
        <w:t>年</w:t>
      </w:r>
      <w:r>
        <w:rPr>
          <w:rFonts w:hint="eastAsia" w:ascii="宋体" w:hAnsi="宋体" w:cs="宋体"/>
          <w:b/>
          <w:bCs/>
          <w:kern w:val="0"/>
          <w:sz w:val="32"/>
          <w:szCs w:val="32"/>
          <w:highlight w:val="none"/>
          <w:lang w:val="en-US" w:eastAsia="zh-CN"/>
        </w:rPr>
        <w:t>七</w:t>
      </w:r>
      <w:r>
        <w:rPr>
          <w:rFonts w:hint="eastAsia" w:ascii="宋体" w:hAnsi="宋体" w:cs="宋体"/>
          <w:b/>
          <w:bCs/>
          <w:kern w:val="0"/>
          <w:sz w:val="32"/>
          <w:szCs w:val="32"/>
          <w:highlight w:val="none"/>
        </w:rPr>
        <w:t>月</w:t>
      </w:r>
    </w:p>
    <w:sdt>
      <w:sdtPr>
        <w:rPr>
          <w:rFonts w:ascii="宋体" w:hAnsi="宋体" w:eastAsia="宋体" w:cs="Times New Roman"/>
          <w:kern w:val="2"/>
          <w:sz w:val="21"/>
          <w:szCs w:val="21"/>
          <w:lang w:val="en-US" w:eastAsia="zh-CN" w:bidi="ar-SA"/>
        </w:rPr>
        <w:id w:val="147460110"/>
        <w15:color w:val="DBDBDB"/>
        <w:docPartObj>
          <w:docPartGallery w:val="Table of Contents"/>
          <w:docPartUnique/>
        </w:docPartObj>
      </w:sdtPr>
      <w:sdtEndPr>
        <w:rPr>
          <w:rFonts w:ascii="Times New Roman" w:hAnsi="Times New Roman" w:eastAsia="宋体" w:cs="Times New Roman"/>
          <w:kern w:val="2"/>
          <w:sz w:val="21"/>
          <w:szCs w:val="21"/>
          <w:lang w:val="en-US" w:eastAsia="zh-CN" w:bidi="ar-SA"/>
        </w:rPr>
      </w:sdtEndPr>
      <w:sdtContent>
        <w:p w14:paraId="1522E1DE">
          <w:pPr>
            <w:spacing w:before="0" w:beforeLines="0" w:after="0" w:afterLines="0" w:line="360" w:lineRule="auto"/>
            <w:ind w:left="0" w:leftChars="0" w:right="0" w:rightChars="0" w:firstLine="0" w:firstLineChars="0"/>
            <w:jc w:val="center"/>
            <w:rPr>
              <w:sz w:val="24"/>
              <w:szCs w:val="24"/>
            </w:rPr>
          </w:pPr>
          <w:r>
            <w:rPr>
              <w:rFonts w:ascii="宋体" w:hAnsi="宋体" w:eastAsia="宋体"/>
              <w:sz w:val="32"/>
              <w:szCs w:val="32"/>
            </w:rPr>
            <w:t>目</w:t>
          </w:r>
          <w:r>
            <w:rPr>
              <w:rFonts w:hint="eastAsia" w:ascii="宋体" w:hAnsi="宋体"/>
              <w:sz w:val="32"/>
              <w:szCs w:val="32"/>
              <w:lang w:val="en-US" w:eastAsia="zh-CN"/>
            </w:rPr>
            <w:t xml:space="preserve">  </w:t>
          </w:r>
          <w:r>
            <w:rPr>
              <w:rFonts w:ascii="宋体" w:hAnsi="宋体" w:eastAsia="宋体"/>
              <w:sz w:val="32"/>
              <w:szCs w:val="32"/>
            </w:rPr>
            <w:t>录</w:t>
          </w:r>
        </w:p>
        <w:p w14:paraId="52CB9547">
          <w:pPr>
            <w:pStyle w:val="18"/>
            <w:tabs>
              <w:tab w:val="right" w:leader="dot" w:pos="10206"/>
            </w:tabs>
            <w:spacing w:line="360" w:lineRule="auto"/>
            <w:rPr>
              <w:sz w:val="24"/>
              <w:szCs w:val="24"/>
            </w:rPr>
          </w:pPr>
          <w:r>
            <w:rPr>
              <w:sz w:val="24"/>
              <w:szCs w:val="24"/>
            </w:rPr>
            <w:fldChar w:fldCharType="begin"/>
          </w:r>
          <w:r>
            <w:rPr>
              <w:sz w:val="24"/>
              <w:szCs w:val="24"/>
            </w:rPr>
            <w:instrText xml:space="preserve">TOC \o "1-3" \h \u </w:instrText>
          </w:r>
          <w:r>
            <w:rPr>
              <w:sz w:val="24"/>
              <w:szCs w:val="24"/>
            </w:rPr>
            <w:fldChar w:fldCharType="separate"/>
          </w:r>
          <w:r>
            <w:rPr>
              <w:sz w:val="24"/>
              <w:szCs w:val="24"/>
            </w:rPr>
            <w:fldChar w:fldCharType="begin"/>
          </w:r>
          <w:r>
            <w:rPr>
              <w:sz w:val="24"/>
              <w:szCs w:val="24"/>
            </w:rPr>
            <w:instrText xml:space="preserve"> HYPERLINK \l _Toc21926 </w:instrText>
          </w:r>
          <w:r>
            <w:rPr>
              <w:sz w:val="24"/>
              <w:szCs w:val="24"/>
            </w:rPr>
            <w:fldChar w:fldCharType="separate"/>
          </w:r>
          <w:r>
            <w:rPr>
              <w:rFonts w:hint="eastAsia"/>
              <w:sz w:val="24"/>
              <w:szCs w:val="24"/>
            </w:rPr>
            <w:t>第一章 竞争性磋商公告</w:t>
          </w:r>
          <w:r>
            <w:rPr>
              <w:sz w:val="24"/>
              <w:szCs w:val="24"/>
            </w:rPr>
            <w:tab/>
          </w:r>
          <w:r>
            <w:rPr>
              <w:sz w:val="24"/>
              <w:szCs w:val="24"/>
            </w:rPr>
            <w:fldChar w:fldCharType="begin"/>
          </w:r>
          <w:r>
            <w:rPr>
              <w:sz w:val="24"/>
              <w:szCs w:val="24"/>
            </w:rPr>
            <w:instrText xml:space="preserve"> PAGEREF _Toc21926 \h </w:instrText>
          </w:r>
          <w:r>
            <w:rPr>
              <w:sz w:val="24"/>
              <w:szCs w:val="24"/>
            </w:rPr>
            <w:fldChar w:fldCharType="separate"/>
          </w:r>
          <w:r>
            <w:rPr>
              <w:sz w:val="24"/>
              <w:szCs w:val="24"/>
            </w:rPr>
            <w:t>2</w:t>
          </w:r>
          <w:r>
            <w:rPr>
              <w:sz w:val="24"/>
              <w:szCs w:val="24"/>
            </w:rPr>
            <w:fldChar w:fldCharType="end"/>
          </w:r>
          <w:r>
            <w:rPr>
              <w:sz w:val="24"/>
              <w:szCs w:val="24"/>
            </w:rPr>
            <w:fldChar w:fldCharType="end"/>
          </w:r>
        </w:p>
        <w:p w14:paraId="6612BD1E">
          <w:pPr>
            <w:pStyle w:val="18"/>
            <w:tabs>
              <w:tab w:val="right" w:leader="dot" w:pos="10206"/>
            </w:tabs>
            <w:spacing w:line="360" w:lineRule="auto"/>
            <w:rPr>
              <w:sz w:val="24"/>
              <w:szCs w:val="24"/>
            </w:rPr>
          </w:pPr>
          <w:r>
            <w:rPr>
              <w:sz w:val="24"/>
              <w:szCs w:val="24"/>
            </w:rPr>
            <w:fldChar w:fldCharType="begin"/>
          </w:r>
          <w:r>
            <w:rPr>
              <w:sz w:val="24"/>
              <w:szCs w:val="24"/>
            </w:rPr>
            <w:instrText xml:space="preserve"> HYPERLINK \l _Toc13849 </w:instrText>
          </w:r>
          <w:r>
            <w:rPr>
              <w:sz w:val="24"/>
              <w:szCs w:val="24"/>
            </w:rPr>
            <w:fldChar w:fldCharType="separate"/>
          </w:r>
          <w:r>
            <w:rPr>
              <w:rFonts w:hint="eastAsia"/>
              <w:sz w:val="24"/>
              <w:szCs w:val="24"/>
            </w:rPr>
            <w:t xml:space="preserve">第二章  </w:t>
          </w:r>
          <w:r>
            <w:rPr>
              <w:rFonts w:hint="eastAsia"/>
              <w:sz w:val="24"/>
              <w:szCs w:val="24"/>
              <w:lang w:eastAsia="zh-CN"/>
            </w:rPr>
            <w:t>供应商</w:t>
          </w:r>
          <w:r>
            <w:rPr>
              <w:rFonts w:hint="eastAsia"/>
              <w:sz w:val="24"/>
              <w:szCs w:val="24"/>
            </w:rPr>
            <w:t>须知及前附表</w:t>
          </w:r>
          <w:r>
            <w:rPr>
              <w:sz w:val="24"/>
              <w:szCs w:val="24"/>
            </w:rPr>
            <w:tab/>
          </w:r>
          <w:r>
            <w:rPr>
              <w:sz w:val="24"/>
              <w:szCs w:val="24"/>
            </w:rPr>
            <w:fldChar w:fldCharType="begin"/>
          </w:r>
          <w:r>
            <w:rPr>
              <w:sz w:val="24"/>
              <w:szCs w:val="24"/>
            </w:rPr>
            <w:instrText xml:space="preserve"> PAGEREF _Toc13849 \h </w:instrText>
          </w:r>
          <w:r>
            <w:rPr>
              <w:sz w:val="24"/>
              <w:szCs w:val="24"/>
            </w:rPr>
            <w:fldChar w:fldCharType="separate"/>
          </w:r>
          <w:r>
            <w:rPr>
              <w:sz w:val="24"/>
              <w:szCs w:val="24"/>
            </w:rPr>
            <w:t>7</w:t>
          </w:r>
          <w:r>
            <w:rPr>
              <w:sz w:val="24"/>
              <w:szCs w:val="24"/>
            </w:rPr>
            <w:fldChar w:fldCharType="end"/>
          </w:r>
          <w:r>
            <w:rPr>
              <w:sz w:val="24"/>
              <w:szCs w:val="24"/>
            </w:rPr>
            <w:fldChar w:fldCharType="end"/>
          </w:r>
        </w:p>
        <w:p w14:paraId="5198B74F">
          <w:pPr>
            <w:pStyle w:val="18"/>
            <w:tabs>
              <w:tab w:val="right" w:leader="dot" w:pos="10206"/>
            </w:tabs>
            <w:spacing w:line="360" w:lineRule="auto"/>
            <w:rPr>
              <w:sz w:val="24"/>
              <w:szCs w:val="24"/>
            </w:rPr>
          </w:pPr>
          <w:r>
            <w:rPr>
              <w:sz w:val="24"/>
              <w:szCs w:val="24"/>
            </w:rPr>
            <w:fldChar w:fldCharType="begin"/>
          </w:r>
          <w:r>
            <w:rPr>
              <w:sz w:val="24"/>
              <w:szCs w:val="24"/>
            </w:rPr>
            <w:instrText xml:space="preserve"> HYPERLINK \l _Toc23193 </w:instrText>
          </w:r>
          <w:r>
            <w:rPr>
              <w:sz w:val="24"/>
              <w:szCs w:val="24"/>
            </w:rPr>
            <w:fldChar w:fldCharType="separate"/>
          </w:r>
          <w:r>
            <w:rPr>
              <w:rFonts w:hint="eastAsia"/>
              <w:sz w:val="24"/>
              <w:szCs w:val="24"/>
            </w:rPr>
            <w:t>第三章  评标办法（综合评分法）</w:t>
          </w:r>
          <w:r>
            <w:rPr>
              <w:sz w:val="24"/>
              <w:szCs w:val="24"/>
            </w:rPr>
            <w:tab/>
          </w:r>
          <w:r>
            <w:rPr>
              <w:sz w:val="24"/>
              <w:szCs w:val="24"/>
            </w:rPr>
            <w:fldChar w:fldCharType="begin"/>
          </w:r>
          <w:r>
            <w:rPr>
              <w:sz w:val="24"/>
              <w:szCs w:val="24"/>
            </w:rPr>
            <w:instrText xml:space="preserve"> PAGEREF _Toc23193 \h </w:instrText>
          </w:r>
          <w:r>
            <w:rPr>
              <w:sz w:val="24"/>
              <w:szCs w:val="24"/>
            </w:rPr>
            <w:fldChar w:fldCharType="separate"/>
          </w:r>
          <w:r>
            <w:rPr>
              <w:sz w:val="24"/>
              <w:szCs w:val="24"/>
            </w:rPr>
            <w:t>26</w:t>
          </w:r>
          <w:r>
            <w:rPr>
              <w:sz w:val="24"/>
              <w:szCs w:val="24"/>
            </w:rPr>
            <w:fldChar w:fldCharType="end"/>
          </w:r>
          <w:r>
            <w:rPr>
              <w:sz w:val="24"/>
              <w:szCs w:val="24"/>
            </w:rPr>
            <w:fldChar w:fldCharType="end"/>
          </w:r>
        </w:p>
        <w:p w14:paraId="64F22E9D">
          <w:pPr>
            <w:pStyle w:val="18"/>
            <w:tabs>
              <w:tab w:val="right" w:leader="dot" w:pos="10206"/>
            </w:tabs>
            <w:spacing w:line="360" w:lineRule="auto"/>
            <w:rPr>
              <w:sz w:val="24"/>
              <w:szCs w:val="24"/>
            </w:rPr>
          </w:pPr>
          <w:r>
            <w:rPr>
              <w:sz w:val="24"/>
              <w:szCs w:val="24"/>
            </w:rPr>
            <w:fldChar w:fldCharType="begin"/>
          </w:r>
          <w:r>
            <w:rPr>
              <w:sz w:val="24"/>
              <w:szCs w:val="24"/>
            </w:rPr>
            <w:instrText xml:space="preserve"> HYPERLINK \l _Toc18117 </w:instrText>
          </w:r>
          <w:r>
            <w:rPr>
              <w:sz w:val="24"/>
              <w:szCs w:val="24"/>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_Toc18117 \h </w:instrText>
          </w:r>
          <w:r>
            <w:rPr>
              <w:sz w:val="24"/>
              <w:szCs w:val="24"/>
            </w:rPr>
            <w:fldChar w:fldCharType="separate"/>
          </w:r>
          <w:r>
            <w:rPr>
              <w:sz w:val="24"/>
              <w:szCs w:val="24"/>
            </w:rPr>
            <w:t>34</w:t>
          </w:r>
          <w:r>
            <w:rPr>
              <w:sz w:val="24"/>
              <w:szCs w:val="24"/>
            </w:rPr>
            <w:fldChar w:fldCharType="end"/>
          </w:r>
          <w:r>
            <w:rPr>
              <w:sz w:val="24"/>
              <w:szCs w:val="24"/>
            </w:rPr>
            <w:fldChar w:fldCharType="end"/>
          </w:r>
        </w:p>
        <w:p w14:paraId="69D1567B">
          <w:pPr>
            <w:pStyle w:val="18"/>
            <w:tabs>
              <w:tab w:val="right" w:leader="dot" w:pos="10206"/>
            </w:tabs>
            <w:spacing w:line="360" w:lineRule="auto"/>
            <w:rPr>
              <w:sz w:val="24"/>
              <w:szCs w:val="24"/>
            </w:rPr>
          </w:pPr>
          <w:r>
            <w:rPr>
              <w:sz w:val="24"/>
              <w:szCs w:val="24"/>
            </w:rPr>
            <w:fldChar w:fldCharType="begin"/>
          </w:r>
          <w:r>
            <w:rPr>
              <w:sz w:val="24"/>
              <w:szCs w:val="24"/>
            </w:rPr>
            <w:instrText xml:space="preserve"> HYPERLINK \l _Toc10977 </w:instrText>
          </w:r>
          <w:r>
            <w:rPr>
              <w:sz w:val="24"/>
              <w:szCs w:val="24"/>
            </w:rPr>
            <w:fldChar w:fldCharType="separate"/>
          </w:r>
          <w:r>
            <w:rPr>
              <w:rFonts w:hint="eastAsia" w:ascii="宋体" w:hAnsi="宋体" w:eastAsia="宋体" w:cs="宋体"/>
              <w:bCs/>
              <w:kern w:val="44"/>
              <w:sz w:val="24"/>
              <w:szCs w:val="24"/>
              <w:lang w:val="en-US" w:eastAsia="zh-CN" w:bidi="ar-SA"/>
            </w:rPr>
            <w:t>第五章</w:t>
          </w:r>
          <w:r>
            <w:rPr>
              <w:rFonts w:hint="eastAsia" w:ascii="宋体" w:hAnsi="宋体" w:cs="宋体"/>
              <w:bCs/>
              <w:kern w:val="44"/>
              <w:sz w:val="24"/>
              <w:szCs w:val="24"/>
              <w:lang w:val="en-US" w:eastAsia="zh-CN" w:bidi="ar-SA"/>
            </w:rPr>
            <w:t xml:space="preserve">  </w:t>
          </w:r>
          <w:r>
            <w:rPr>
              <w:rFonts w:hint="eastAsia"/>
              <w:sz w:val="24"/>
              <w:szCs w:val="24"/>
              <w:lang w:eastAsia="zh-CN"/>
            </w:rPr>
            <w:t>采购</w:t>
          </w:r>
          <w:r>
            <w:rPr>
              <w:rFonts w:hint="eastAsia"/>
              <w:sz w:val="24"/>
              <w:szCs w:val="24"/>
            </w:rPr>
            <w:t>清单</w:t>
          </w:r>
          <w:r>
            <w:rPr>
              <w:sz w:val="24"/>
              <w:szCs w:val="24"/>
            </w:rPr>
            <w:tab/>
          </w:r>
          <w:r>
            <w:rPr>
              <w:sz w:val="24"/>
              <w:szCs w:val="24"/>
            </w:rPr>
            <w:fldChar w:fldCharType="begin"/>
          </w:r>
          <w:r>
            <w:rPr>
              <w:sz w:val="24"/>
              <w:szCs w:val="24"/>
            </w:rPr>
            <w:instrText xml:space="preserve"> PAGEREF _Toc10977 \h </w:instrText>
          </w:r>
          <w:r>
            <w:rPr>
              <w:sz w:val="24"/>
              <w:szCs w:val="24"/>
            </w:rPr>
            <w:fldChar w:fldCharType="separate"/>
          </w:r>
          <w:r>
            <w:rPr>
              <w:sz w:val="24"/>
              <w:szCs w:val="24"/>
            </w:rPr>
            <w:t>37</w:t>
          </w:r>
          <w:r>
            <w:rPr>
              <w:sz w:val="24"/>
              <w:szCs w:val="24"/>
            </w:rPr>
            <w:fldChar w:fldCharType="end"/>
          </w:r>
          <w:r>
            <w:rPr>
              <w:sz w:val="24"/>
              <w:szCs w:val="24"/>
            </w:rPr>
            <w:fldChar w:fldCharType="end"/>
          </w:r>
        </w:p>
        <w:p w14:paraId="6E741AC9">
          <w:pPr>
            <w:pStyle w:val="18"/>
            <w:tabs>
              <w:tab w:val="right" w:leader="dot" w:pos="10206"/>
            </w:tabs>
            <w:spacing w:line="360" w:lineRule="auto"/>
            <w:rPr>
              <w:sz w:val="24"/>
              <w:szCs w:val="24"/>
            </w:rPr>
          </w:pPr>
          <w:r>
            <w:rPr>
              <w:sz w:val="24"/>
              <w:szCs w:val="24"/>
            </w:rPr>
            <w:fldChar w:fldCharType="begin"/>
          </w:r>
          <w:r>
            <w:rPr>
              <w:sz w:val="24"/>
              <w:szCs w:val="24"/>
            </w:rPr>
            <w:instrText xml:space="preserve"> HYPERLINK \l _Toc16018 </w:instrText>
          </w:r>
          <w:r>
            <w:rPr>
              <w:sz w:val="24"/>
              <w:szCs w:val="24"/>
            </w:rPr>
            <w:fldChar w:fldCharType="separate"/>
          </w:r>
          <w:r>
            <w:rPr>
              <w:rFonts w:hint="eastAsia"/>
              <w:sz w:val="24"/>
              <w:szCs w:val="24"/>
            </w:rPr>
            <w:t xml:space="preserve">第六章 </w:t>
          </w:r>
          <w:r>
            <w:rPr>
              <w:rFonts w:hint="eastAsia"/>
              <w:sz w:val="24"/>
              <w:szCs w:val="24"/>
              <w:lang w:val="en-US" w:eastAsia="zh-CN"/>
            </w:rPr>
            <w:t xml:space="preserve"> </w:t>
          </w:r>
          <w:r>
            <w:rPr>
              <w:rFonts w:hint="eastAsia"/>
              <w:sz w:val="24"/>
              <w:szCs w:val="24"/>
            </w:rPr>
            <w:t>技术标准和要求</w:t>
          </w:r>
          <w:r>
            <w:rPr>
              <w:sz w:val="24"/>
              <w:szCs w:val="24"/>
            </w:rPr>
            <w:tab/>
          </w:r>
          <w:r>
            <w:rPr>
              <w:sz w:val="24"/>
              <w:szCs w:val="24"/>
            </w:rPr>
            <w:fldChar w:fldCharType="begin"/>
          </w:r>
          <w:r>
            <w:rPr>
              <w:sz w:val="24"/>
              <w:szCs w:val="24"/>
            </w:rPr>
            <w:instrText xml:space="preserve"> PAGEREF _Toc16018 \h </w:instrText>
          </w:r>
          <w:r>
            <w:rPr>
              <w:sz w:val="24"/>
              <w:szCs w:val="24"/>
            </w:rPr>
            <w:fldChar w:fldCharType="separate"/>
          </w:r>
          <w:r>
            <w:rPr>
              <w:sz w:val="24"/>
              <w:szCs w:val="24"/>
            </w:rPr>
            <w:t>57</w:t>
          </w:r>
          <w:r>
            <w:rPr>
              <w:sz w:val="24"/>
              <w:szCs w:val="24"/>
            </w:rPr>
            <w:fldChar w:fldCharType="end"/>
          </w:r>
          <w:r>
            <w:rPr>
              <w:sz w:val="24"/>
              <w:szCs w:val="24"/>
            </w:rPr>
            <w:fldChar w:fldCharType="end"/>
          </w:r>
        </w:p>
        <w:p w14:paraId="585840DC">
          <w:pPr>
            <w:pStyle w:val="18"/>
            <w:tabs>
              <w:tab w:val="right" w:leader="dot" w:pos="10206"/>
            </w:tabs>
            <w:spacing w:line="360" w:lineRule="auto"/>
            <w:rPr>
              <w:sz w:val="24"/>
              <w:szCs w:val="24"/>
            </w:rPr>
          </w:pPr>
          <w:r>
            <w:rPr>
              <w:sz w:val="24"/>
              <w:szCs w:val="24"/>
            </w:rPr>
            <w:fldChar w:fldCharType="begin"/>
          </w:r>
          <w:r>
            <w:rPr>
              <w:sz w:val="24"/>
              <w:szCs w:val="24"/>
            </w:rPr>
            <w:instrText xml:space="preserve"> HYPERLINK \l _Toc13988 </w:instrText>
          </w:r>
          <w:r>
            <w:rPr>
              <w:sz w:val="24"/>
              <w:szCs w:val="24"/>
            </w:rPr>
            <w:fldChar w:fldCharType="separate"/>
          </w:r>
          <w:r>
            <w:rPr>
              <w:rFonts w:hint="eastAsia"/>
              <w:sz w:val="24"/>
              <w:szCs w:val="24"/>
            </w:rPr>
            <w:t>第七章  响应文件格式</w:t>
          </w:r>
          <w:r>
            <w:rPr>
              <w:sz w:val="24"/>
              <w:szCs w:val="24"/>
            </w:rPr>
            <w:tab/>
          </w:r>
          <w:r>
            <w:rPr>
              <w:sz w:val="24"/>
              <w:szCs w:val="24"/>
            </w:rPr>
            <w:fldChar w:fldCharType="begin"/>
          </w:r>
          <w:r>
            <w:rPr>
              <w:sz w:val="24"/>
              <w:szCs w:val="24"/>
            </w:rPr>
            <w:instrText xml:space="preserve"> PAGEREF _Toc13988 \h </w:instrText>
          </w:r>
          <w:r>
            <w:rPr>
              <w:sz w:val="24"/>
              <w:szCs w:val="24"/>
            </w:rPr>
            <w:fldChar w:fldCharType="separate"/>
          </w:r>
          <w:r>
            <w:rPr>
              <w:sz w:val="24"/>
              <w:szCs w:val="24"/>
            </w:rPr>
            <w:t>58</w:t>
          </w:r>
          <w:r>
            <w:rPr>
              <w:sz w:val="24"/>
              <w:szCs w:val="24"/>
            </w:rPr>
            <w:fldChar w:fldCharType="end"/>
          </w:r>
          <w:r>
            <w:rPr>
              <w:sz w:val="24"/>
              <w:szCs w:val="24"/>
            </w:rPr>
            <w:fldChar w:fldCharType="end"/>
          </w:r>
        </w:p>
        <w:p w14:paraId="44ADD353">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_Toc7017 </w:instrText>
          </w:r>
          <w:r>
            <w:rPr>
              <w:sz w:val="24"/>
              <w:szCs w:val="24"/>
            </w:rPr>
            <w:fldChar w:fldCharType="separate"/>
          </w:r>
          <w:r>
            <w:rPr>
              <w:rFonts w:hint="eastAsia" w:ascii="宋体" w:hAnsi="宋体" w:eastAsia="宋体" w:cs="宋体"/>
              <w:sz w:val="24"/>
              <w:szCs w:val="24"/>
              <w:highlight w:val="none"/>
            </w:rPr>
            <w:t>一、磋商响应函</w:t>
          </w:r>
          <w:r>
            <w:rPr>
              <w:sz w:val="24"/>
              <w:szCs w:val="24"/>
            </w:rPr>
            <w:tab/>
          </w:r>
          <w:r>
            <w:rPr>
              <w:sz w:val="24"/>
              <w:szCs w:val="24"/>
            </w:rPr>
            <w:fldChar w:fldCharType="begin"/>
          </w:r>
          <w:r>
            <w:rPr>
              <w:sz w:val="24"/>
              <w:szCs w:val="24"/>
            </w:rPr>
            <w:instrText xml:space="preserve"> PAGEREF _Toc7017 \h </w:instrText>
          </w:r>
          <w:r>
            <w:rPr>
              <w:sz w:val="24"/>
              <w:szCs w:val="24"/>
            </w:rPr>
            <w:fldChar w:fldCharType="separate"/>
          </w:r>
          <w:r>
            <w:rPr>
              <w:sz w:val="24"/>
              <w:szCs w:val="24"/>
            </w:rPr>
            <w:t>60</w:t>
          </w:r>
          <w:r>
            <w:rPr>
              <w:sz w:val="24"/>
              <w:szCs w:val="24"/>
            </w:rPr>
            <w:fldChar w:fldCharType="end"/>
          </w:r>
          <w:r>
            <w:rPr>
              <w:sz w:val="24"/>
              <w:szCs w:val="24"/>
            </w:rPr>
            <w:fldChar w:fldCharType="end"/>
          </w:r>
        </w:p>
        <w:p w14:paraId="7B291FAE">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_Toc4825 </w:instrText>
          </w:r>
          <w:r>
            <w:rPr>
              <w:sz w:val="24"/>
              <w:szCs w:val="24"/>
            </w:rPr>
            <w:fldChar w:fldCharType="separate"/>
          </w:r>
          <w:r>
            <w:rPr>
              <w:rFonts w:hint="eastAsia" w:ascii="宋体" w:hAnsi="宋体" w:eastAsia="宋体" w:cs="宋体"/>
              <w:sz w:val="24"/>
              <w:szCs w:val="24"/>
              <w:highlight w:val="none"/>
            </w:rPr>
            <w:t>二、磋商报价表（第一轮）</w:t>
          </w:r>
          <w:r>
            <w:rPr>
              <w:sz w:val="24"/>
              <w:szCs w:val="24"/>
            </w:rPr>
            <w:tab/>
          </w:r>
          <w:r>
            <w:rPr>
              <w:sz w:val="24"/>
              <w:szCs w:val="24"/>
            </w:rPr>
            <w:fldChar w:fldCharType="begin"/>
          </w:r>
          <w:r>
            <w:rPr>
              <w:sz w:val="24"/>
              <w:szCs w:val="24"/>
            </w:rPr>
            <w:instrText xml:space="preserve"> PAGEREF _Toc4825 \h </w:instrText>
          </w:r>
          <w:r>
            <w:rPr>
              <w:sz w:val="24"/>
              <w:szCs w:val="24"/>
            </w:rPr>
            <w:fldChar w:fldCharType="separate"/>
          </w:r>
          <w:r>
            <w:rPr>
              <w:sz w:val="24"/>
              <w:szCs w:val="24"/>
            </w:rPr>
            <w:t>61</w:t>
          </w:r>
          <w:r>
            <w:rPr>
              <w:sz w:val="24"/>
              <w:szCs w:val="24"/>
            </w:rPr>
            <w:fldChar w:fldCharType="end"/>
          </w:r>
          <w:r>
            <w:rPr>
              <w:sz w:val="24"/>
              <w:szCs w:val="24"/>
            </w:rPr>
            <w:fldChar w:fldCharType="end"/>
          </w:r>
        </w:p>
        <w:p w14:paraId="4C9A1620">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_Toc21823 </w:instrText>
          </w:r>
          <w:r>
            <w:rPr>
              <w:sz w:val="24"/>
              <w:szCs w:val="24"/>
            </w:rPr>
            <w:fldChar w:fldCharType="separate"/>
          </w:r>
          <w:r>
            <w:rPr>
              <w:rFonts w:hint="eastAsia" w:ascii="宋体" w:hAnsi="宋体" w:eastAsia="宋体" w:cs="宋体"/>
              <w:sz w:val="24"/>
              <w:szCs w:val="24"/>
              <w:highlight w:val="none"/>
            </w:rPr>
            <w:t>三、法定代表人身份证明</w:t>
          </w:r>
          <w:r>
            <w:rPr>
              <w:sz w:val="24"/>
              <w:szCs w:val="24"/>
            </w:rPr>
            <w:tab/>
          </w:r>
          <w:r>
            <w:rPr>
              <w:sz w:val="24"/>
              <w:szCs w:val="24"/>
            </w:rPr>
            <w:fldChar w:fldCharType="begin"/>
          </w:r>
          <w:r>
            <w:rPr>
              <w:sz w:val="24"/>
              <w:szCs w:val="24"/>
            </w:rPr>
            <w:instrText xml:space="preserve"> PAGEREF _Toc21823 \h </w:instrText>
          </w:r>
          <w:r>
            <w:rPr>
              <w:sz w:val="24"/>
              <w:szCs w:val="24"/>
            </w:rPr>
            <w:fldChar w:fldCharType="separate"/>
          </w:r>
          <w:r>
            <w:rPr>
              <w:sz w:val="24"/>
              <w:szCs w:val="24"/>
            </w:rPr>
            <w:t>62</w:t>
          </w:r>
          <w:r>
            <w:rPr>
              <w:sz w:val="24"/>
              <w:szCs w:val="24"/>
            </w:rPr>
            <w:fldChar w:fldCharType="end"/>
          </w:r>
          <w:r>
            <w:rPr>
              <w:sz w:val="24"/>
              <w:szCs w:val="24"/>
            </w:rPr>
            <w:fldChar w:fldCharType="end"/>
          </w:r>
        </w:p>
        <w:p w14:paraId="3BFC62CE">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_Toc1561 </w:instrText>
          </w:r>
          <w:r>
            <w:rPr>
              <w:sz w:val="24"/>
              <w:szCs w:val="24"/>
            </w:rPr>
            <w:fldChar w:fldCharType="separate"/>
          </w:r>
          <w:r>
            <w:rPr>
              <w:rFonts w:hint="eastAsia" w:ascii="宋体" w:hAnsi="宋体" w:eastAsia="宋体" w:cs="宋体"/>
              <w:sz w:val="24"/>
              <w:szCs w:val="24"/>
              <w:highlight w:val="none"/>
            </w:rPr>
            <w:t>四、授权委托书</w:t>
          </w:r>
          <w:r>
            <w:rPr>
              <w:sz w:val="24"/>
              <w:szCs w:val="24"/>
            </w:rPr>
            <w:tab/>
          </w:r>
          <w:r>
            <w:rPr>
              <w:sz w:val="24"/>
              <w:szCs w:val="24"/>
            </w:rPr>
            <w:fldChar w:fldCharType="begin"/>
          </w:r>
          <w:r>
            <w:rPr>
              <w:sz w:val="24"/>
              <w:szCs w:val="24"/>
            </w:rPr>
            <w:instrText xml:space="preserve"> PAGEREF _Toc1561 \h </w:instrText>
          </w:r>
          <w:r>
            <w:rPr>
              <w:sz w:val="24"/>
              <w:szCs w:val="24"/>
            </w:rPr>
            <w:fldChar w:fldCharType="separate"/>
          </w:r>
          <w:r>
            <w:rPr>
              <w:sz w:val="24"/>
              <w:szCs w:val="24"/>
            </w:rPr>
            <w:t>63</w:t>
          </w:r>
          <w:r>
            <w:rPr>
              <w:sz w:val="24"/>
              <w:szCs w:val="24"/>
            </w:rPr>
            <w:fldChar w:fldCharType="end"/>
          </w:r>
          <w:r>
            <w:rPr>
              <w:sz w:val="24"/>
              <w:szCs w:val="24"/>
            </w:rPr>
            <w:fldChar w:fldCharType="end"/>
          </w:r>
        </w:p>
        <w:p w14:paraId="4EA6E113">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_Toc29913 </w:instrText>
          </w:r>
          <w:r>
            <w:rPr>
              <w:sz w:val="24"/>
              <w:szCs w:val="24"/>
            </w:rPr>
            <w:fldChar w:fldCharType="separate"/>
          </w:r>
          <w:r>
            <w:rPr>
              <w:rFonts w:hint="eastAsia" w:ascii="宋体" w:hAnsi="宋体" w:eastAsia="宋体" w:cs="宋体"/>
              <w:sz w:val="24"/>
              <w:szCs w:val="24"/>
              <w:highlight w:val="none"/>
            </w:rPr>
            <w:t>五、投标承诺函</w:t>
          </w:r>
          <w:r>
            <w:rPr>
              <w:sz w:val="24"/>
              <w:szCs w:val="24"/>
            </w:rPr>
            <w:tab/>
          </w:r>
          <w:r>
            <w:rPr>
              <w:sz w:val="24"/>
              <w:szCs w:val="24"/>
            </w:rPr>
            <w:fldChar w:fldCharType="begin"/>
          </w:r>
          <w:r>
            <w:rPr>
              <w:sz w:val="24"/>
              <w:szCs w:val="24"/>
            </w:rPr>
            <w:instrText xml:space="preserve"> PAGEREF _Toc29913 \h </w:instrText>
          </w:r>
          <w:r>
            <w:rPr>
              <w:sz w:val="24"/>
              <w:szCs w:val="24"/>
            </w:rPr>
            <w:fldChar w:fldCharType="separate"/>
          </w:r>
          <w:r>
            <w:rPr>
              <w:sz w:val="24"/>
              <w:szCs w:val="24"/>
            </w:rPr>
            <w:t>64</w:t>
          </w:r>
          <w:r>
            <w:rPr>
              <w:sz w:val="24"/>
              <w:szCs w:val="24"/>
            </w:rPr>
            <w:fldChar w:fldCharType="end"/>
          </w:r>
          <w:r>
            <w:rPr>
              <w:sz w:val="24"/>
              <w:szCs w:val="24"/>
            </w:rPr>
            <w:fldChar w:fldCharType="end"/>
          </w:r>
        </w:p>
        <w:p w14:paraId="57D51A10">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_Toc10337 </w:instrText>
          </w:r>
          <w:r>
            <w:rPr>
              <w:sz w:val="24"/>
              <w:szCs w:val="24"/>
            </w:rPr>
            <w:fldChar w:fldCharType="separate"/>
          </w:r>
          <w:r>
            <w:rPr>
              <w:rFonts w:hint="eastAsia" w:ascii="宋体" w:hAnsi="宋体" w:eastAsia="宋体" w:cs="宋体"/>
              <w:sz w:val="24"/>
              <w:szCs w:val="24"/>
              <w:highlight w:val="none"/>
              <w:lang w:val="en-US" w:eastAsia="zh-CN"/>
            </w:rPr>
            <w:t>六、详细报价表</w:t>
          </w:r>
          <w:r>
            <w:rPr>
              <w:sz w:val="24"/>
              <w:szCs w:val="24"/>
            </w:rPr>
            <w:tab/>
          </w:r>
          <w:r>
            <w:rPr>
              <w:sz w:val="24"/>
              <w:szCs w:val="24"/>
            </w:rPr>
            <w:fldChar w:fldCharType="begin"/>
          </w:r>
          <w:r>
            <w:rPr>
              <w:sz w:val="24"/>
              <w:szCs w:val="24"/>
            </w:rPr>
            <w:instrText xml:space="preserve"> PAGEREF _Toc10337 \h </w:instrText>
          </w:r>
          <w:r>
            <w:rPr>
              <w:sz w:val="24"/>
              <w:szCs w:val="24"/>
            </w:rPr>
            <w:fldChar w:fldCharType="separate"/>
          </w:r>
          <w:r>
            <w:rPr>
              <w:sz w:val="24"/>
              <w:szCs w:val="24"/>
            </w:rPr>
            <w:t>65</w:t>
          </w:r>
          <w:r>
            <w:rPr>
              <w:sz w:val="24"/>
              <w:szCs w:val="24"/>
            </w:rPr>
            <w:fldChar w:fldCharType="end"/>
          </w:r>
          <w:r>
            <w:rPr>
              <w:sz w:val="24"/>
              <w:szCs w:val="24"/>
            </w:rPr>
            <w:fldChar w:fldCharType="end"/>
          </w:r>
        </w:p>
        <w:p w14:paraId="478C997A">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_Toc17247 </w:instrText>
          </w:r>
          <w:r>
            <w:rPr>
              <w:sz w:val="24"/>
              <w:szCs w:val="24"/>
            </w:rPr>
            <w:fldChar w:fldCharType="separate"/>
          </w:r>
          <w:r>
            <w:rPr>
              <w:rFonts w:hint="eastAsia" w:ascii="宋体" w:hAnsi="宋体" w:eastAsia="宋体" w:cs="宋体"/>
              <w:sz w:val="24"/>
              <w:szCs w:val="24"/>
              <w:highlight w:val="none"/>
              <w:lang w:val="en-US" w:eastAsia="zh-CN"/>
            </w:rPr>
            <w:t>七、技术参数偏离表</w:t>
          </w:r>
          <w:r>
            <w:rPr>
              <w:sz w:val="24"/>
              <w:szCs w:val="24"/>
            </w:rPr>
            <w:tab/>
          </w:r>
          <w:r>
            <w:rPr>
              <w:sz w:val="24"/>
              <w:szCs w:val="24"/>
            </w:rPr>
            <w:fldChar w:fldCharType="begin"/>
          </w:r>
          <w:r>
            <w:rPr>
              <w:sz w:val="24"/>
              <w:szCs w:val="24"/>
            </w:rPr>
            <w:instrText xml:space="preserve"> PAGEREF _Toc17247 \h </w:instrText>
          </w:r>
          <w:r>
            <w:rPr>
              <w:sz w:val="24"/>
              <w:szCs w:val="24"/>
            </w:rPr>
            <w:fldChar w:fldCharType="separate"/>
          </w:r>
          <w:r>
            <w:rPr>
              <w:sz w:val="24"/>
              <w:szCs w:val="24"/>
            </w:rPr>
            <w:t>66</w:t>
          </w:r>
          <w:r>
            <w:rPr>
              <w:sz w:val="24"/>
              <w:szCs w:val="24"/>
            </w:rPr>
            <w:fldChar w:fldCharType="end"/>
          </w:r>
          <w:r>
            <w:rPr>
              <w:sz w:val="24"/>
              <w:szCs w:val="24"/>
            </w:rPr>
            <w:fldChar w:fldCharType="end"/>
          </w:r>
        </w:p>
        <w:p w14:paraId="107BB73E">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_Toc29396 </w:instrText>
          </w:r>
          <w:r>
            <w:rPr>
              <w:sz w:val="24"/>
              <w:szCs w:val="24"/>
            </w:rPr>
            <w:fldChar w:fldCharType="separate"/>
          </w:r>
          <w:r>
            <w:rPr>
              <w:rFonts w:hint="eastAsia" w:ascii="宋体" w:hAnsi="宋体" w:eastAsia="宋体" w:cs="宋体"/>
              <w:sz w:val="24"/>
              <w:szCs w:val="24"/>
              <w:highlight w:val="none"/>
              <w:lang w:val="en-US" w:eastAsia="zh-CN"/>
            </w:rPr>
            <w:t>八、技术标</w:t>
          </w:r>
          <w:r>
            <w:rPr>
              <w:sz w:val="24"/>
              <w:szCs w:val="24"/>
            </w:rPr>
            <w:tab/>
          </w:r>
          <w:r>
            <w:rPr>
              <w:sz w:val="24"/>
              <w:szCs w:val="24"/>
            </w:rPr>
            <w:fldChar w:fldCharType="begin"/>
          </w:r>
          <w:r>
            <w:rPr>
              <w:sz w:val="24"/>
              <w:szCs w:val="24"/>
            </w:rPr>
            <w:instrText xml:space="preserve"> PAGEREF _Toc29396 \h </w:instrText>
          </w:r>
          <w:r>
            <w:rPr>
              <w:sz w:val="24"/>
              <w:szCs w:val="24"/>
            </w:rPr>
            <w:fldChar w:fldCharType="separate"/>
          </w:r>
          <w:r>
            <w:rPr>
              <w:sz w:val="24"/>
              <w:szCs w:val="24"/>
            </w:rPr>
            <w:t>70</w:t>
          </w:r>
          <w:r>
            <w:rPr>
              <w:sz w:val="24"/>
              <w:szCs w:val="24"/>
            </w:rPr>
            <w:fldChar w:fldCharType="end"/>
          </w:r>
          <w:r>
            <w:rPr>
              <w:sz w:val="24"/>
              <w:szCs w:val="24"/>
            </w:rPr>
            <w:fldChar w:fldCharType="end"/>
          </w:r>
        </w:p>
        <w:p w14:paraId="6A3C2672">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_Toc16287 </w:instrText>
          </w:r>
          <w:r>
            <w:rPr>
              <w:sz w:val="24"/>
              <w:szCs w:val="24"/>
            </w:rPr>
            <w:fldChar w:fldCharType="separate"/>
          </w:r>
          <w:r>
            <w:rPr>
              <w:rFonts w:hint="eastAsia" w:ascii="宋体" w:hAnsi="宋体" w:eastAsia="宋体" w:cs="宋体"/>
              <w:sz w:val="24"/>
              <w:szCs w:val="24"/>
              <w:lang w:val="en-US" w:eastAsia="zh-CN"/>
            </w:rPr>
            <w:t xml:space="preserve">九、 </w:t>
          </w:r>
          <w:r>
            <w:rPr>
              <w:rFonts w:hint="eastAsia" w:ascii="宋体" w:hAnsi="宋体" w:eastAsia="宋体" w:cs="宋体"/>
              <w:sz w:val="24"/>
              <w:szCs w:val="24"/>
              <w:highlight w:val="none"/>
              <w:lang w:val="en-US" w:eastAsia="zh-CN"/>
            </w:rPr>
            <w:t>商务标</w:t>
          </w:r>
          <w:r>
            <w:rPr>
              <w:sz w:val="24"/>
              <w:szCs w:val="24"/>
            </w:rPr>
            <w:tab/>
          </w:r>
          <w:r>
            <w:rPr>
              <w:sz w:val="24"/>
              <w:szCs w:val="24"/>
            </w:rPr>
            <w:fldChar w:fldCharType="begin"/>
          </w:r>
          <w:r>
            <w:rPr>
              <w:sz w:val="24"/>
              <w:szCs w:val="24"/>
            </w:rPr>
            <w:instrText xml:space="preserve"> PAGEREF _Toc16287 \h </w:instrText>
          </w:r>
          <w:r>
            <w:rPr>
              <w:sz w:val="24"/>
              <w:szCs w:val="24"/>
            </w:rPr>
            <w:fldChar w:fldCharType="separate"/>
          </w:r>
          <w:r>
            <w:rPr>
              <w:sz w:val="24"/>
              <w:szCs w:val="24"/>
            </w:rPr>
            <w:t>71</w:t>
          </w:r>
          <w:r>
            <w:rPr>
              <w:sz w:val="24"/>
              <w:szCs w:val="24"/>
            </w:rPr>
            <w:fldChar w:fldCharType="end"/>
          </w:r>
          <w:r>
            <w:rPr>
              <w:sz w:val="24"/>
              <w:szCs w:val="24"/>
            </w:rPr>
            <w:fldChar w:fldCharType="end"/>
          </w:r>
        </w:p>
        <w:p w14:paraId="6B623B55">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_Toc29291 </w:instrText>
          </w:r>
          <w:r>
            <w:rPr>
              <w:sz w:val="24"/>
              <w:szCs w:val="24"/>
            </w:rPr>
            <w:fldChar w:fldCharType="separate"/>
          </w:r>
          <w:r>
            <w:rPr>
              <w:rFonts w:hint="eastAsia" w:ascii="宋体" w:hAnsi="宋体" w:eastAsia="宋体" w:cs="宋体"/>
              <w:sz w:val="24"/>
              <w:szCs w:val="24"/>
              <w:highlight w:val="none"/>
              <w:lang w:val="en-US" w:eastAsia="zh-CN"/>
            </w:rPr>
            <w:t>十、资格审查资料</w:t>
          </w:r>
          <w:r>
            <w:rPr>
              <w:sz w:val="24"/>
              <w:szCs w:val="24"/>
            </w:rPr>
            <w:tab/>
          </w:r>
          <w:r>
            <w:rPr>
              <w:sz w:val="24"/>
              <w:szCs w:val="24"/>
            </w:rPr>
            <w:fldChar w:fldCharType="begin"/>
          </w:r>
          <w:r>
            <w:rPr>
              <w:sz w:val="24"/>
              <w:szCs w:val="24"/>
            </w:rPr>
            <w:instrText xml:space="preserve"> PAGEREF _Toc29291 \h </w:instrText>
          </w:r>
          <w:r>
            <w:rPr>
              <w:sz w:val="24"/>
              <w:szCs w:val="24"/>
            </w:rPr>
            <w:fldChar w:fldCharType="separate"/>
          </w:r>
          <w:r>
            <w:rPr>
              <w:sz w:val="24"/>
              <w:szCs w:val="24"/>
            </w:rPr>
            <w:t>67</w:t>
          </w:r>
          <w:r>
            <w:rPr>
              <w:sz w:val="24"/>
              <w:szCs w:val="24"/>
            </w:rPr>
            <w:fldChar w:fldCharType="end"/>
          </w:r>
          <w:r>
            <w:rPr>
              <w:sz w:val="24"/>
              <w:szCs w:val="24"/>
            </w:rPr>
            <w:fldChar w:fldCharType="end"/>
          </w:r>
        </w:p>
        <w:p w14:paraId="3CEAFD09">
          <w:pPr>
            <w:pStyle w:val="12"/>
            <w:tabs>
              <w:tab w:val="right" w:leader="dot" w:pos="10206"/>
            </w:tabs>
            <w:spacing w:line="360" w:lineRule="auto"/>
            <w:rPr>
              <w:sz w:val="24"/>
              <w:szCs w:val="24"/>
            </w:rPr>
          </w:pPr>
          <w:r>
            <w:rPr>
              <w:sz w:val="24"/>
              <w:szCs w:val="24"/>
            </w:rPr>
            <w:fldChar w:fldCharType="begin"/>
          </w:r>
          <w:r>
            <w:rPr>
              <w:sz w:val="24"/>
              <w:szCs w:val="24"/>
            </w:rPr>
            <w:instrText xml:space="preserve"> HYPERLINK \l _Toc20073 </w:instrText>
          </w:r>
          <w:r>
            <w:rPr>
              <w:sz w:val="24"/>
              <w:szCs w:val="24"/>
            </w:rPr>
            <w:fldChar w:fldCharType="separate"/>
          </w:r>
          <w:r>
            <w:rPr>
              <w:rFonts w:hint="eastAsia"/>
              <w:sz w:val="24"/>
              <w:szCs w:val="24"/>
            </w:rPr>
            <w:t>（一）供应商基本情况表</w:t>
          </w:r>
          <w:r>
            <w:rPr>
              <w:sz w:val="24"/>
              <w:szCs w:val="24"/>
            </w:rPr>
            <w:tab/>
          </w:r>
          <w:r>
            <w:rPr>
              <w:sz w:val="24"/>
              <w:szCs w:val="24"/>
            </w:rPr>
            <w:fldChar w:fldCharType="begin"/>
          </w:r>
          <w:r>
            <w:rPr>
              <w:sz w:val="24"/>
              <w:szCs w:val="24"/>
            </w:rPr>
            <w:instrText xml:space="preserve"> PAGEREF _Toc20073 \h </w:instrText>
          </w:r>
          <w:r>
            <w:rPr>
              <w:sz w:val="24"/>
              <w:szCs w:val="24"/>
            </w:rPr>
            <w:fldChar w:fldCharType="separate"/>
          </w:r>
          <w:r>
            <w:rPr>
              <w:sz w:val="24"/>
              <w:szCs w:val="24"/>
            </w:rPr>
            <w:t>67</w:t>
          </w:r>
          <w:r>
            <w:rPr>
              <w:sz w:val="24"/>
              <w:szCs w:val="24"/>
            </w:rPr>
            <w:fldChar w:fldCharType="end"/>
          </w:r>
          <w:r>
            <w:rPr>
              <w:sz w:val="24"/>
              <w:szCs w:val="24"/>
            </w:rPr>
            <w:fldChar w:fldCharType="end"/>
          </w:r>
        </w:p>
        <w:p w14:paraId="3E4F3E6F">
          <w:pPr>
            <w:pStyle w:val="12"/>
            <w:tabs>
              <w:tab w:val="right" w:leader="dot" w:pos="10206"/>
            </w:tabs>
            <w:spacing w:line="360" w:lineRule="auto"/>
            <w:rPr>
              <w:sz w:val="24"/>
              <w:szCs w:val="24"/>
            </w:rPr>
          </w:pPr>
          <w:r>
            <w:rPr>
              <w:sz w:val="24"/>
              <w:szCs w:val="24"/>
            </w:rPr>
            <w:fldChar w:fldCharType="begin"/>
          </w:r>
          <w:r>
            <w:rPr>
              <w:sz w:val="24"/>
              <w:szCs w:val="24"/>
            </w:rPr>
            <w:instrText xml:space="preserve"> HYPERLINK \l _Toc23929 </w:instrText>
          </w:r>
          <w:r>
            <w:rPr>
              <w:sz w:val="24"/>
              <w:szCs w:val="24"/>
            </w:rPr>
            <w:fldChar w:fldCharType="separate"/>
          </w:r>
          <w:r>
            <w:rPr>
              <w:rFonts w:hint="eastAsia" w:ascii="宋体" w:hAnsi="宋体"/>
              <w:bCs/>
              <w:sz w:val="24"/>
              <w:szCs w:val="24"/>
              <w:highlight w:val="none"/>
            </w:rPr>
            <w:t>（二）近年完成的类似项目情况表</w:t>
          </w:r>
          <w:r>
            <w:rPr>
              <w:sz w:val="24"/>
              <w:szCs w:val="24"/>
            </w:rPr>
            <w:tab/>
          </w:r>
          <w:r>
            <w:rPr>
              <w:sz w:val="24"/>
              <w:szCs w:val="24"/>
            </w:rPr>
            <w:fldChar w:fldCharType="begin"/>
          </w:r>
          <w:r>
            <w:rPr>
              <w:sz w:val="24"/>
              <w:szCs w:val="24"/>
            </w:rPr>
            <w:instrText xml:space="preserve"> PAGEREF _Toc23929 \h </w:instrText>
          </w:r>
          <w:r>
            <w:rPr>
              <w:sz w:val="24"/>
              <w:szCs w:val="24"/>
            </w:rPr>
            <w:fldChar w:fldCharType="separate"/>
          </w:r>
          <w:r>
            <w:rPr>
              <w:sz w:val="24"/>
              <w:szCs w:val="24"/>
            </w:rPr>
            <w:t>68</w:t>
          </w:r>
          <w:r>
            <w:rPr>
              <w:sz w:val="24"/>
              <w:szCs w:val="24"/>
            </w:rPr>
            <w:fldChar w:fldCharType="end"/>
          </w:r>
          <w:r>
            <w:rPr>
              <w:sz w:val="24"/>
              <w:szCs w:val="24"/>
            </w:rPr>
            <w:fldChar w:fldCharType="end"/>
          </w:r>
        </w:p>
        <w:p w14:paraId="078201DC">
          <w:pPr>
            <w:pStyle w:val="12"/>
            <w:tabs>
              <w:tab w:val="right" w:leader="dot" w:pos="10206"/>
            </w:tabs>
            <w:spacing w:line="360" w:lineRule="auto"/>
            <w:rPr>
              <w:sz w:val="24"/>
              <w:szCs w:val="24"/>
            </w:rPr>
          </w:pPr>
          <w:r>
            <w:rPr>
              <w:sz w:val="24"/>
              <w:szCs w:val="24"/>
            </w:rPr>
            <w:fldChar w:fldCharType="begin"/>
          </w:r>
          <w:r>
            <w:rPr>
              <w:sz w:val="24"/>
              <w:szCs w:val="24"/>
            </w:rPr>
            <w:instrText xml:space="preserve"> HYPERLINK \l _Toc1693 </w:instrText>
          </w:r>
          <w:r>
            <w:rPr>
              <w:sz w:val="24"/>
              <w:szCs w:val="24"/>
            </w:rPr>
            <w:fldChar w:fldCharType="separate"/>
          </w: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正在</w:t>
          </w:r>
          <w:r>
            <w:rPr>
              <w:rFonts w:hint="eastAsia"/>
              <w:sz w:val="24"/>
              <w:szCs w:val="24"/>
              <w:lang w:val="en-US" w:eastAsia="zh-CN"/>
            </w:rPr>
            <w:t>实施</w:t>
          </w:r>
          <w:r>
            <w:rPr>
              <w:rFonts w:hint="eastAsia"/>
              <w:sz w:val="24"/>
              <w:szCs w:val="24"/>
            </w:rPr>
            <w:t>的和新承接的项目情况表</w:t>
          </w:r>
          <w:r>
            <w:rPr>
              <w:sz w:val="24"/>
              <w:szCs w:val="24"/>
            </w:rPr>
            <w:tab/>
          </w:r>
          <w:r>
            <w:rPr>
              <w:sz w:val="24"/>
              <w:szCs w:val="24"/>
            </w:rPr>
            <w:fldChar w:fldCharType="begin"/>
          </w:r>
          <w:r>
            <w:rPr>
              <w:sz w:val="24"/>
              <w:szCs w:val="24"/>
            </w:rPr>
            <w:instrText xml:space="preserve"> PAGEREF _Toc1693 \h </w:instrText>
          </w:r>
          <w:r>
            <w:rPr>
              <w:sz w:val="24"/>
              <w:szCs w:val="24"/>
            </w:rPr>
            <w:fldChar w:fldCharType="separate"/>
          </w:r>
          <w:r>
            <w:rPr>
              <w:sz w:val="24"/>
              <w:szCs w:val="24"/>
            </w:rPr>
            <w:t>69</w:t>
          </w:r>
          <w:r>
            <w:rPr>
              <w:sz w:val="24"/>
              <w:szCs w:val="24"/>
            </w:rPr>
            <w:fldChar w:fldCharType="end"/>
          </w:r>
          <w:r>
            <w:rPr>
              <w:sz w:val="24"/>
              <w:szCs w:val="24"/>
            </w:rPr>
            <w:fldChar w:fldCharType="end"/>
          </w:r>
        </w:p>
        <w:p w14:paraId="41607F2F">
          <w:pPr>
            <w:pStyle w:val="20"/>
            <w:tabs>
              <w:tab w:val="right" w:leader="dot" w:pos="10206"/>
            </w:tabs>
            <w:spacing w:line="360" w:lineRule="auto"/>
            <w:rPr>
              <w:sz w:val="24"/>
              <w:szCs w:val="24"/>
            </w:rPr>
          </w:pPr>
          <w:r>
            <w:rPr>
              <w:sz w:val="24"/>
              <w:szCs w:val="24"/>
            </w:rPr>
            <w:fldChar w:fldCharType="begin"/>
          </w:r>
          <w:r>
            <w:rPr>
              <w:sz w:val="24"/>
              <w:szCs w:val="24"/>
            </w:rPr>
            <w:instrText xml:space="preserve"> HYPERLINK \l _Toc2532 </w:instrText>
          </w:r>
          <w:r>
            <w:rPr>
              <w:sz w:val="24"/>
              <w:szCs w:val="24"/>
            </w:rPr>
            <w:fldChar w:fldCharType="separate"/>
          </w:r>
          <w:r>
            <w:rPr>
              <w:rFonts w:hint="eastAsia" w:ascii="宋体" w:hAnsi="宋体" w:eastAsia="宋体" w:cs="宋体"/>
              <w:sz w:val="24"/>
              <w:szCs w:val="24"/>
              <w:highlight w:val="none"/>
              <w:lang w:val="en-US" w:eastAsia="zh-CN"/>
            </w:rPr>
            <w:t>十一、供应商认为有必要提供的其他资料</w:t>
          </w:r>
          <w:r>
            <w:rPr>
              <w:sz w:val="24"/>
              <w:szCs w:val="24"/>
            </w:rPr>
            <w:tab/>
          </w:r>
          <w:r>
            <w:rPr>
              <w:sz w:val="24"/>
              <w:szCs w:val="24"/>
            </w:rPr>
            <w:fldChar w:fldCharType="begin"/>
          </w:r>
          <w:r>
            <w:rPr>
              <w:sz w:val="24"/>
              <w:szCs w:val="24"/>
            </w:rPr>
            <w:instrText xml:space="preserve"> PAGEREF _Toc2532 \h </w:instrText>
          </w:r>
          <w:r>
            <w:rPr>
              <w:sz w:val="24"/>
              <w:szCs w:val="24"/>
            </w:rPr>
            <w:fldChar w:fldCharType="separate"/>
          </w:r>
          <w:r>
            <w:rPr>
              <w:sz w:val="24"/>
              <w:szCs w:val="24"/>
            </w:rPr>
            <w:t>73</w:t>
          </w:r>
          <w:r>
            <w:rPr>
              <w:sz w:val="24"/>
              <w:szCs w:val="24"/>
            </w:rPr>
            <w:fldChar w:fldCharType="end"/>
          </w:r>
          <w:r>
            <w:rPr>
              <w:sz w:val="24"/>
              <w:szCs w:val="24"/>
            </w:rPr>
            <w:fldChar w:fldCharType="end"/>
          </w:r>
        </w:p>
        <w:p w14:paraId="2C084076">
          <w:pPr>
            <w:spacing w:line="360" w:lineRule="auto"/>
            <w:rPr>
              <w:rFonts w:ascii="Times New Roman" w:hAnsi="Times New Roman" w:eastAsia="宋体" w:cs="Times New Roman"/>
              <w:kern w:val="2"/>
              <w:sz w:val="21"/>
              <w:szCs w:val="21"/>
              <w:lang w:val="en-US" w:eastAsia="zh-CN" w:bidi="ar-SA"/>
            </w:rPr>
          </w:pPr>
          <w:r>
            <w:rPr>
              <w:sz w:val="24"/>
              <w:szCs w:val="24"/>
            </w:rPr>
            <w:fldChar w:fldCharType="end"/>
          </w:r>
        </w:p>
      </w:sdtContent>
    </w:sdt>
    <w:p w14:paraId="26877DD6">
      <w:pPr>
        <w:pStyle w:val="30"/>
      </w:pPr>
    </w:p>
    <w:p w14:paraId="42785116">
      <w:pPr>
        <w:spacing w:line="720" w:lineRule="auto"/>
        <w:rPr>
          <w:highlight w:val="none"/>
        </w:rPr>
      </w:pPr>
    </w:p>
    <w:p w14:paraId="48E1956F">
      <w:pPr>
        <w:pStyle w:val="13"/>
        <w:numPr>
          <w:ilvl w:val="0"/>
          <w:numId w:val="1"/>
        </w:numPr>
        <w:spacing w:line="600" w:lineRule="exact"/>
        <w:ind w:left="7913" w:leftChars="60" w:hanging="7787" w:hangingChars="2424"/>
        <w:jc w:val="center"/>
        <w:outlineLvl w:val="0"/>
        <w:rPr>
          <w:rFonts w:ascii="宋体" w:hAnsi="宋体" w:cs="宋体"/>
          <w:b/>
          <w:bCs/>
          <w:sz w:val="32"/>
          <w:szCs w:val="32"/>
          <w:highlight w:val="none"/>
        </w:rPr>
        <w:sectPr>
          <w:footerReference r:id="rId5" w:type="default"/>
          <w:pgSz w:w="11906" w:h="16838"/>
          <w:pgMar w:top="1134" w:right="850" w:bottom="1134" w:left="850" w:header="0" w:footer="680" w:gutter="0"/>
          <w:pgNumType w:fmt="decimal" w:start="1"/>
          <w:cols w:space="0" w:num="1"/>
          <w:rtlGutter w:val="0"/>
          <w:docGrid w:type="lines" w:linePitch="312" w:charSpace="0"/>
        </w:sectPr>
      </w:pPr>
      <w:bookmarkStart w:id="0" w:name="_Toc77586909"/>
    </w:p>
    <w:p w14:paraId="6D947C40">
      <w:pPr>
        <w:pStyle w:val="3"/>
        <w:numPr>
          <w:ilvl w:val="0"/>
          <w:numId w:val="1"/>
        </w:numPr>
        <w:bidi w:val="0"/>
        <w:jc w:val="center"/>
      </w:pPr>
      <w:r>
        <w:rPr>
          <w:rFonts w:hint="eastAsia"/>
          <w:lang w:val="en-US" w:eastAsia="zh-CN"/>
        </w:rPr>
        <w:t xml:space="preserve"> </w:t>
      </w:r>
      <w:bookmarkStart w:id="1" w:name="_Toc21926"/>
      <w:r>
        <w:rPr>
          <w:rFonts w:hint="eastAsia"/>
        </w:rPr>
        <w:t>竞争性磋商公告</w:t>
      </w:r>
      <w:bookmarkEnd w:id="0"/>
      <w:bookmarkEnd w:id="1"/>
    </w:p>
    <w:p w14:paraId="3222BD3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中能城投（河南）工程咨询有限公司</w:t>
      </w:r>
      <w:r>
        <w:rPr>
          <w:rFonts w:hint="eastAsia" w:ascii="宋体" w:hAnsi="宋体" w:eastAsia="宋体" w:cs="宋体"/>
          <w:sz w:val="24"/>
          <w:szCs w:val="24"/>
          <w:highlight w:val="none"/>
        </w:rPr>
        <w:t>受</w:t>
      </w:r>
      <w:r>
        <w:rPr>
          <w:rFonts w:hint="eastAsia" w:ascii="宋体" w:hAnsi="宋体" w:eastAsia="宋体" w:cs="宋体"/>
          <w:sz w:val="24"/>
          <w:szCs w:val="24"/>
          <w:highlight w:val="none"/>
          <w:lang w:eastAsia="zh-CN"/>
        </w:rPr>
        <w:t>灵宝市教育体育局</w:t>
      </w:r>
      <w:r>
        <w:rPr>
          <w:rFonts w:hint="eastAsia" w:ascii="宋体" w:hAnsi="宋体" w:eastAsia="宋体" w:cs="宋体"/>
          <w:sz w:val="24"/>
          <w:szCs w:val="24"/>
          <w:highlight w:val="none"/>
        </w:rPr>
        <w:t>的委托，就</w:t>
      </w:r>
      <w:r>
        <w:rPr>
          <w:rFonts w:hint="eastAsia" w:ascii="宋体" w:hAnsi="宋体" w:eastAsia="宋体" w:cs="宋体"/>
          <w:sz w:val="24"/>
          <w:szCs w:val="24"/>
          <w:highlight w:val="none"/>
          <w:lang w:eastAsia="zh-CN"/>
        </w:rPr>
        <w:t>灵宝市教育体育局灵宝市豫灵镇第一幼儿园设备采购项目</w:t>
      </w:r>
      <w:r>
        <w:rPr>
          <w:rFonts w:hint="eastAsia" w:ascii="宋体" w:hAnsi="宋体" w:eastAsia="宋体" w:cs="宋体"/>
          <w:sz w:val="24"/>
          <w:szCs w:val="24"/>
          <w:highlight w:val="none"/>
        </w:rPr>
        <w:t>进行竞争性磋商，项目已具备招标条件，欢迎符合资格条件的供应商参加磋商。</w:t>
      </w:r>
    </w:p>
    <w:p w14:paraId="555391CF">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59FA1AAA">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1.项目名称：</w:t>
      </w:r>
      <w:r>
        <w:rPr>
          <w:rFonts w:hint="eastAsia" w:ascii="宋体" w:hAnsi="宋体" w:cs="宋体"/>
          <w:sz w:val="24"/>
          <w:szCs w:val="24"/>
          <w:highlight w:val="none"/>
          <w:lang w:eastAsia="zh-CN"/>
        </w:rPr>
        <w:t>灵宝市教育体育局灵宝市豫灵镇第一幼儿园设备采购项目</w:t>
      </w:r>
    </w:p>
    <w:p w14:paraId="2CBCB9F5">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rPr>
        <w:t>2.项目编号：</w:t>
      </w:r>
      <w:r>
        <w:rPr>
          <w:rFonts w:hint="eastAsia" w:ascii="宋体" w:hAnsi="宋体" w:cs="宋体"/>
          <w:sz w:val="24"/>
          <w:szCs w:val="24"/>
          <w:highlight w:val="none"/>
          <w:lang w:eastAsia="zh-CN"/>
        </w:rPr>
        <w:t>灵宝竞磋采购-2025-</w:t>
      </w:r>
      <w:r>
        <w:rPr>
          <w:rFonts w:hint="eastAsia" w:ascii="宋体" w:hAnsi="宋体" w:cs="宋体"/>
          <w:sz w:val="24"/>
          <w:szCs w:val="24"/>
          <w:highlight w:val="none"/>
          <w:lang w:val="en-US" w:eastAsia="zh-CN"/>
        </w:rPr>
        <w:t>89</w:t>
      </w:r>
      <w:r>
        <w:rPr>
          <w:rFonts w:hint="eastAsia" w:ascii="宋体" w:hAnsi="宋体" w:cs="宋体"/>
          <w:sz w:val="24"/>
          <w:szCs w:val="24"/>
          <w:highlight w:val="none"/>
          <w:lang w:eastAsia="zh-CN"/>
        </w:rPr>
        <w:t>、LBGZ[2025]173-ZC121、HNZNCT-2025-0</w:t>
      </w:r>
      <w:r>
        <w:rPr>
          <w:rFonts w:hint="eastAsia" w:ascii="宋体" w:hAnsi="宋体" w:cs="宋体"/>
          <w:sz w:val="24"/>
          <w:szCs w:val="24"/>
          <w:highlight w:val="none"/>
          <w:lang w:val="en-US" w:eastAsia="zh-CN"/>
        </w:rPr>
        <w:t>20</w:t>
      </w:r>
    </w:p>
    <w:p w14:paraId="0CCEB91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3.采购方式：竞争性磋商</w:t>
      </w:r>
    </w:p>
    <w:p w14:paraId="0154D4B4">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cs="宋体"/>
          <w:sz w:val="24"/>
          <w:szCs w:val="24"/>
          <w:highlight w:val="none"/>
          <w:lang w:eastAsia="zh-CN"/>
        </w:rPr>
        <w:t>189.5726万元</w:t>
      </w:r>
      <w:r>
        <w:rPr>
          <w:rFonts w:hint="eastAsia" w:ascii="宋体" w:hAnsi="宋体" w:eastAsia="宋体" w:cs="宋体"/>
          <w:sz w:val="24"/>
          <w:szCs w:val="24"/>
          <w:highlight w:val="none"/>
        </w:rPr>
        <w:t>；最高限价：</w:t>
      </w:r>
      <w:r>
        <w:rPr>
          <w:rFonts w:hint="eastAsia" w:ascii="宋体" w:hAnsi="宋体" w:cs="宋体"/>
          <w:sz w:val="24"/>
          <w:szCs w:val="24"/>
          <w:highlight w:val="none"/>
          <w:lang w:eastAsia="zh-CN"/>
        </w:rPr>
        <w:t>189.5726万元</w:t>
      </w:r>
    </w:p>
    <w:tbl>
      <w:tblPr>
        <w:tblStyle w:val="25"/>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895"/>
        <w:gridCol w:w="4209"/>
        <w:gridCol w:w="1987"/>
        <w:gridCol w:w="1615"/>
      </w:tblGrid>
      <w:tr w14:paraId="22A1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859" w:type="dxa"/>
          </w:tcPr>
          <w:p w14:paraId="41216F8F">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95" w:type="dxa"/>
          </w:tcPr>
          <w:p w14:paraId="2D028559">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4209" w:type="dxa"/>
          </w:tcPr>
          <w:p w14:paraId="4E4F924B">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包名称</w:t>
            </w:r>
          </w:p>
        </w:tc>
        <w:tc>
          <w:tcPr>
            <w:tcW w:w="1987" w:type="dxa"/>
          </w:tcPr>
          <w:p w14:paraId="414552AC">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包预算</w:t>
            </w:r>
          </w:p>
          <w:p w14:paraId="6E49B288">
            <w:pPr>
              <w:pStyle w:val="2"/>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万元</w:t>
            </w:r>
            <w:r>
              <w:rPr>
                <w:rFonts w:hint="eastAsia" w:ascii="宋体" w:hAnsi="宋体" w:eastAsia="宋体" w:cs="宋体"/>
                <w:sz w:val="24"/>
                <w:szCs w:val="24"/>
                <w:highlight w:val="none"/>
              </w:rPr>
              <w:t>）</w:t>
            </w:r>
          </w:p>
        </w:tc>
        <w:tc>
          <w:tcPr>
            <w:tcW w:w="1615" w:type="dxa"/>
          </w:tcPr>
          <w:p w14:paraId="412E9BCC">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包最高限价</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万元</w:t>
            </w:r>
            <w:r>
              <w:rPr>
                <w:rFonts w:hint="eastAsia" w:ascii="宋体" w:hAnsi="宋体" w:eastAsia="宋体" w:cs="宋体"/>
                <w:sz w:val="24"/>
                <w:szCs w:val="24"/>
                <w:highlight w:val="none"/>
              </w:rPr>
              <w:t>）</w:t>
            </w:r>
          </w:p>
        </w:tc>
      </w:tr>
      <w:tr w14:paraId="527B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59" w:type="dxa"/>
          </w:tcPr>
          <w:p w14:paraId="2A9C23B4">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95" w:type="dxa"/>
          </w:tcPr>
          <w:p w14:paraId="00E746CB">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01</w:t>
            </w:r>
          </w:p>
        </w:tc>
        <w:tc>
          <w:tcPr>
            <w:tcW w:w="4209" w:type="dxa"/>
          </w:tcPr>
          <w:p w14:paraId="798AC9B2">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灵宝市教育体育局灵宝市豫灵镇第一幼儿园设备采购项目</w:t>
            </w:r>
          </w:p>
        </w:tc>
        <w:tc>
          <w:tcPr>
            <w:tcW w:w="1987" w:type="dxa"/>
          </w:tcPr>
          <w:p w14:paraId="2B510CF6">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189.5726</w:t>
            </w:r>
          </w:p>
        </w:tc>
        <w:tc>
          <w:tcPr>
            <w:tcW w:w="1615" w:type="dxa"/>
          </w:tcPr>
          <w:p w14:paraId="774BB661">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189.5726</w:t>
            </w:r>
          </w:p>
        </w:tc>
      </w:tr>
    </w:tbl>
    <w:p w14:paraId="32A31701">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5.采购需求（包括但不限于标的的名称、数量、简要技术需求或服务要求等）</w:t>
      </w:r>
    </w:p>
    <w:p w14:paraId="537F36FE">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5.1项目概况：本项目为</w:t>
      </w:r>
      <w:r>
        <w:rPr>
          <w:rFonts w:hint="eastAsia" w:ascii="宋体" w:hAnsi="宋体" w:cs="宋体"/>
          <w:sz w:val="24"/>
          <w:szCs w:val="24"/>
          <w:highlight w:val="none"/>
          <w:lang w:eastAsia="zh-CN"/>
        </w:rPr>
        <w:t>灵宝市教育体育局灵宝市豫灵镇第一幼儿园设备采购项目</w:t>
      </w:r>
      <w:r>
        <w:rPr>
          <w:rFonts w:hint="eastAsia" w:ascii="宋体" w:hAnsi="宋体" w:eastAsia="宋体" w:cs="宋体"/>
          <w:sz w:val="24"/>
          <w:szCs w:val="24"/>
          <w:highlight w:val="none"/>
        </w:rPr>
        <w:t>，主要采购教玩具、广播、监控、办公、活动室、厨房、消防、安保及其他等设备</w:t>
      </w:r>
      <w:r>
        <w:rPr>
          <w:rFonts w:hint="eastAsia" w:ascii="宋体" w:hAnsi="宋体" w:eastAsia="宋体" w:cs="宋体"/>
          <w:sz w:val="24"/>
          <w:szCs w:val="24"/>
          <w:highlight w:val="none"/>
          <w:lang w:val="en-US" w:eastAsia="zh-CN"/>
        </w:rPr>
        <w:t>。详见采购清单。</w:t>
      </w:r>
    </w:p>
    <w:p w14:paraId="5B57CA6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5.2资金来源：财政资金，已落实。</w:t>
      </w:r>
    </w:p>
    <w:p w14:paraId="6AAA962A">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5.3交货地点：采购人指定地点。</w:t>
      </w:r>
    </w:p>
    <w:p w14:paraId="71862B30">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5.4质量要求：合格，符合相关法律、规范及采购人要求。</w:t>
      </w:r>
    </w:p>
    <w:p w14:paraId="516E57A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5.5交货期：合同签订后</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日历天内</w:t>
      </w:r>
      <w:r>
        <w:rPr>
          <w:rFonts w:hint="eastAsia" w:ascii="宋体" w:hAnsi="宋体" w:cs="宋体"/>
          <w:sz w:val="24"/>
          <w:szCs w:val="24"/>
          <w:highlight w:val="none"/>
          <w:lang w:val="en-US" w:eastAsia="zh-CN"/>
        </w:rPr>
        <w:t>。</w:t>
      </w:r>
    </w:p>
    <w:p w14:paraId="11B91A7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5.6质保期：质保期三年，售后服务三年。</w:t>
      </w:r>
    </w:p>
    <w:p w14:paraId="53E7BAC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5.7标段划分：本项目不分标段</w:t>
      </w:r>
      <w:r>
        <w:rPr>
          <w:rFonts w:hint="eastAsia" w:ascii="宋体" w:hAnsi="宋体" w:cs="宋体"/>
          <w:sz w:val="24"/>
          <w:szCs w:val="24"/>
          <w:highlight w:val="none"/>
          <w:lang w:val="en-US" w:eastAsia="zh-CN"/>
        </w:rPr>
        <w:t>。</w:t>
      </w:r>
    </w:p>
    <w:p w14:paraId="294B4E28">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6、合同履行期限：按合同约定执行。</w:t>
      </w:r>
    </w:p>
    <w:p w14:paraId="738607C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7、本项目是否接受联合体投标：否</w:t>
      </w:r>
      <w:r>
        <w:rPr>
          <w:rFonts w:hint="eastAsia" w:ascii="宋体" w:hAnsi="宋体" w:cs="宋体"/>
          <w:sz w:val="24"/>
          <w:szCs w:val="24"/>
          <w:highlight w:val="none"/>
          <w:lang w:val="en-US" w:eastAsia="zh-CN"/>
        </w:rPr>
        <w:t>。</w:t>
      </w:r>
    </w:p>
    <w:p w14:paraId="02D5A195">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8、是否接受进口产品：否</w:t>
      </w:r>
      <w:r>
        <w:rPr>
          <w:rFonts w:hint="eastAsia" w:ascii="宋体" w:hAnsi="宋体" w:cs="宋体"/>
          <w:sz w:val="24"/>
          <w:szCs w:val="24"/>
          <w:highlight w:val="none"/>
          <w:lang w:val="en-US" w:eastAsia="zh-CN"/>
        </w:rPr>
        <w:t>。</w:t>
      </w:r>
    </w:p>
    <w:p w14:paraId="027A0D5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9、是否专门面向中小企业：</w:t>
      </w:r>
      <w:r>
        <w:rPr>
          <w:rFonts w:hint="eastAsia" w:ascii="宋体" w:hAnsi="宋体" w:cs="宋体"/>
          <w:sz w:val="24"/>
          <w:szCs w:val="24"/>
          <w:highlight w:val="none"/>
          <w:lang w:val="en-US" w:eastAsia="zh-CN"/>
        </w:rPr>
        <w:t>否。</w:t>
      </w:r>
    </w:p>
    <w:p w14:paraId="032A0A54">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二、供应商资格条件</w:t>
      </w:r>
    </w:p>
    <w:p w14:paraId="61A084D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1、满足《中华人民共和国政府采购法》第二十二条的规定并同时具备下列条件；</w:t>
      </w:r>
    </w:p>
    <w:p w14:paraId="0C4B3C6A">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w:t>
      </w:r>
    </w:p>
    <w:p w14:paraId="7B61F437">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本项目非专门面向中小企业、监狱企业及残疾人福利性单位采购项目，执行促进中小型企业发展政策（残疾人福利性企业、监狱企业视同小微企业）、优先采购节能环保产品等政府采购政策。</w:t>
      </w:r>
    </w:p>
    <w:p w14:paraId="1A902C1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376AF874">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3.1供应商须具有独立承担民事责任能力的法人或其他组织，同时具有有效的营业执照、税务登记证、组织机构代码证或三证合一的营业执照；</w:t>
      </w:r>
    </w:p>
    <w:p w14:paraId="5F1AC4D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3.2、具有履行合同所必需的设备和专业技术能力（自行作出承诺，格式自拟）； </w:t>
      </w:r>
    </w:p>
    <w:p w14:paraId="41E6A82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3.3、参加政府采购活动近三年内，在经营活动中没有重大违法记录（自行作出承诺，格式自拟）； </w:t>
      </w:r>
    </w:p>
    <w:p w14:paraId="63C74F27">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3.4、出具本单位无商业贿赂及无不正当竞争行为的承诺书（自行作出承诺，格式自拟）； </w:t>
      </w:r>
    </w:p>
    <w:p w14:paraId="1188571F">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3.5、供应商出具无行贿犯罪记录在中国裁判文书网自行查询结果或自行承诺（查询/承诺对象：企业、法定代表人）</w:t>
      </w:r>
    </w:p>
    <w:p w14:paraId="033CBF6F">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政府采购网（www.ccgp.gov.cn）】（查询时间为公告发出之后）。</w:t>
      </w:r>
    </w:p>
    <w:p w14:paraId="3E070FA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p w14:paraId="3956C595">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3.8、本项目不接受联合体投标。</w:t>
      </w:r>
    </w:p>
    <w:p w14:paraId="5131C37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3.9、本次招标实行资格后审，资格审查的具体要求见竞争性磋商文件。</w:t>
      </w:r>
    </w:p>
    <w:p w14:paraId="4D8706D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三、报名及竞争性磋商文件的获取方式</w:t>
      </w:r>
    </w:p>
    <w:p w14:paraId="061D478A">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文件获取方式：本项目没有报名环节，供应商凭CA数字证书通过三门峡市公共资源交易中心网（网址：http://gzjy.smx.gov.cn/），点击交易平台选择“市场主体登录”，在所参与项目右侧点本项目竞争性磋商文件。</w:t>
      </w:r>
    </w:p>
    <w:p w14:paraId="0CAD74B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具体操作请查看以下链接：</w:t>
      </w:r>
    </w:p>
    <w:p w14:paraId="6AFBDAD0">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三门峡市公共资源交易平台操作手册：http://gzjy.smx.gov.cn/bzzx/008001/20200325/4a2f9fa3-b923-4ddd-bd6f-138a0b63f7d1.html</w:t>
      </w:r>
    </w:p>
    <w:p w14:paraId="030DFB2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办理CA证书：http://gzjy.smx.gov.cn/bzzx/008001/20211105/57b16af9-ab87-4395-a723-7758c628a3f8.html</w:t>
      </w:r>
    </w:p>
    <w:p w14:paraId="6D5F51A7">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注：根据《关于进一步加强公共资源交易管理持续优化营商环境的通知》（三公管办[2020]2号）文件的规定，本项目采用全电子化招标，不再收取竞争性磋商文件费</w:t>
      </w:r>
    </w:p>
    <w:p w14:paraId="682B37ED">
      <w:pPr>
        <w:keepNext w:val="0"/>
        <w:keepLines w:val="0"/>
        <w:pageBreakBefore w:val="0"/>
        <w:kinsoku/>
        <w:wordWrap/>
        <w:overflowPunct/>
        <w:topLinePunct w:val="0"/>
        <w:autoSpaceDE/>
        <w:autoSpaceDN/>
        <w:bidi w:val="0"/>
        <w:adjustRightInd/>
        <w:snapToGrid/>
        <w:spacing w:line="480" w:lineRule="auto"/>
        <w:ind w:left="279" w:leftChars="133" w:firstLine="240" w:firstLineChars="1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2、竞争性磋商文件下载时间：</w:t>
      </w:r>
      <w:r>
        <w:rPr>
          <w:rFonts w:hint="eastAsia" w:ascii="宋体" w:hAnsi="宋体" w:eastAsia="宋体" w:cs="宋体"/>
          <w:color w:val="auto"/>
          <w:sz w:val="24"/>
          <w:szCs w:val="24"/>
          <w:highlight w:val="none"/>
          <w:lang w:val="en-US" w:eastAsia="zh-CN"/>
        </w:rPr>
        <w:t>2025年07月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日至2025年07月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分</w:t>
      </w:r>
      <w:r>
        <w:rPr>
          <w:rFonts w:hint="eastAsia" w:ascii="宋体" w:hAnsi="宋体" w:eastAsia="宋体" w:cs="宋体"/>
          <w:sz w:val="24"/>
          <w:szCs w:val="24"/>
          <w:highlight w:val="none"/>
        </w:rPr>
        <w:t>；</w:t>
      </w:r>
    </w:p>
    <w:p w14:paraId="5ED7E70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14:paraId="672E8A68">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四、磋商保证金</w:t>
      </w:r>
    </w:p>
    <w:p w14:paraId="29538324">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根据《河南省财政厅关于优化政府采购营商环境有关问题的通知》（豫财购〔2019〕4号）第6条的规定，磋商保证金不再收取。</w:t>
      </w:r>
    </w:p>
    <w:p w14:paraId="16FA1D7F">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五、其他</w:t>
      </w:r>
    </w:p>
    <w:p w14:paraId="76BBCD2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1、资格评审部分：资格评审以响应性文件为准，其上传资料真实性由供应商自行承担，同时，供应商要完善主体库。</w:t>
      </w:r>
    </w:p>
    <w:p w14:paraId="5D943B0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2、评标打分部分：评标打分部分仍按照100分制原则进行，涉及到资格审查、企业荣誉、人员业绩、企业业绩等计分部分时，以供应商自行上传到响应性文件中的相应内容为准。</w:t>
      </w:r>
    </w:p>
    <w:p w14:paraId="641CCBC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响应性文件编制部分：在竞争性磋商文件中要求供应商按照响应性文件格式进行响应性文件编制，在响应性文件编制时，应明确将供应商企业基本情况、资质情况、人员情况、财务情况、业绩情况编入响应性文件，便于进行资格审查及评标打分以响应性文件业绩信息为准，可使用电子营业执照。</w:t>
      </w:r>
    </w:p>
    <w:p w14:paraId="01FE4F30">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4、我单位（采购人）严格按三财购〔2021〕9号文要求的时限发布成交结果公告，发出成交通知书，签订采购合同，上传采购合同。</w:t>
      </w:r>
    </w:p>
    <w:p w14:paraId="06398268">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六、开标时间和地点</w:t>
      </w:r>
    </w:p>
    <w:p w14:paraId="613381F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1、响应性文件递交截至时间（开标时间）：</w:t>
      </w:r>
      <w:r>
        <w:rPr>
          <w:rFonts w:hint="eastAsia" w:ascii="宋体" w:hAnsi="宋体" w:eastAsia="宋体" w:cs="宋体"/>
          <w:sz w:val="24"/>
          <w:szCs w:val="24"/>
          <w:highlight w:val="none"/>
          <w:lang w:val="en-US" w:eastAsia="zh-CN"/>
        </w:rPr>
        <w:t>2025年07月</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w:t>
      </w:r>
    </w:p>
    <w:p w14:paraId="3FADE553">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2、开标地点：灵宝市公共资源交易中心</w:t>
      </w:r>
      <w:r>
        <w:rPr>
          <w:rFonts w:hint="eastAsia" w:ascii="宋体" w:hAnsi="宋体" w:eastAsia="宋体" w:cs="宋体"/>
          <w:sz w:val="24"/>
          <w:szCs w:val="24"/>
          <w:highlight w:val="none"/>
          <w:lang w:eastAsia="zh-CN"/>
        </w:rPr>
        <w:t>开标</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lang w:eastAsia="zh-CN"/>
        </w:rPr>
        <w:t>室</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评标</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eastAsia="zh-CN"/>
        </w:rPr>
        <w:t>室</w:t>
      </w:r>
      <w:r>
        <w:rPr>
          <w:rFonts w:hint="eastAsia" w:ascii="宋体" w:hAnsi="宋体" w:eastAsia="宋体" w:cs="宋体"/>
          <w:sz w:val="24"/>
          <w:szCs w:val="24"/>
          <w:highlight w:val="none"/>
        </w:rPr>
        <w:t>（灵宝市金城大道农村信用联社12楼）。</w:t>
      </w:r>
    </w:p>
    <w:p w14:paraId="647B79C1">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七、发布媒体</w:t>
      </w:r>
    </w:p>
    <w:p w14:paraId="1D56844C">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本次竞争性磋商公告在《</w:t>
      </w:r>
      <w:r>
        <w:rPr>
          <w:rFonts w:hint="eastAsia" w:ascii="宋体" w:hAnsi="宋体" w:eastAsia="宋体" w:cs="宋体"/>
          <w:sz w:val="24"/>
          <w:szCs w:val="24"/>
          <w:highlight w:val="none"/>
          <w:lang w:val="en-US" w:eastAsia="zh-CN"/>
        </w:rPr>
        <w:t>中国</w:t>
      </w:r>
      <w:r>
        <w:rPr>
          <w:rFonts w:hint="eastAsia" w:ascii="宋体" w:hAnsi="宋体" w:eastAsia="宋体" w:cs="宋体"/>
          <w:sz w:val="24"/>
          <w:szCs w:val="24"/>
          <w:highlight w:val="none"/>
        </w:rPr>
        <w:t>采购与招标网》、《河南省政府采购网》、《三门峡市公共资源交易中心网》上同时发布。</w:t>
      </w:r>
    </w:p>
    <w:p w14:paraId="6B2815C8">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八、凡对本次招标提出询问，请按照以下方式联系</w:t>
      </w:r>
    </w:p>
    <w:p w14:paraId="7ED1320F">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监督单位：灵宝市财政局政府采购监督管理科</w:t>
      </w:r>
    </w:p>
    <w:p w14:paraId="236A974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联系电话：0398-8852670</w:t>
      </w:r>
    </w:p>
    <w:p w14:paraId="2D4C093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监督单位：</w:t>
      </w:r>
      <w:r>
        <w:rPr>
          <w:rFonts w:hint="eastAsia" w:ascii="宋体" w:hAnsi="宋体" w:cs="宋体"/>
          <w:sz w:val="24"/>
          <w:szCs w:val="24"/>
          <w:highlight w:val="none"/>
          <w:lang w:val="en-US" w:eastAsia="zh-CN"/>
        </w:rPr>
        <w:t>中 共</w:t>
      </w:r>
      <w:r>
        <w:rPr>
          <w:rFonts w:hint="eastAsia" w:ascii="宋体" w:hAnsi="宋体" w:eastAsia="宋体" w:cs="宋体"/>
          <w:sz w:val="24"/>
          <w:szCs w:val="24"/>
          <w:highlight w:val="none"/>
          <w:lang w:val="en-US" w:eastAsia="zh-CN"/>
        </w:rPr>
        <w:t>灵宝市教育体育局党组</w:t>
      </w:r>
    </w:p>
    <w:p w14:paraId="2C706313">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联系电话：0398-8652241</w:t>
      </w:r>
    </w:p>
    <w:p w14:paraId="4E975D1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灵宝市教育体育局</w:t>
      </w:r>
    </w:p>
    <w:p w14:paraId="27D454A8">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地址：灵宝市新华路中段</w:t>
      </w:r>
    </w:p>
    <w:p w14:paraId="37D95660">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张</w:t>
      </w:r>
      <w:r>
        <w:rPr>
          <w:rFonts w:hint="eastAsia" w:ascii="宋体" w:hAnsi="宋体" w:eastAsia="宋体" w:cs="宋体"/>
          <w:sz w:val="24"/>
          <w:szCs w:val="24"/>
          <w:highlight w:val="none"/>
        </w:rPr>
        <w:t xml:space="preserve">先生 </w:t>
      </w:r>
    </w:p>
    <w:p w14:paraId="1B121F6C">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15978323388</w:t>
      </w:r>
    </w:p>
    <w:p w14:paraId="0508DCD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中能城投（河南）工程咨询有限公司</w:t>
      </w:r>
    </w:p>
    <w:p w14:paraId="2E94A3A5">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河南省郑州市金水区花园路122号3号楼3层307号</w:t>
      </w:r>
    </w:p>
    <w:p w14:paraId="333F7328">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魏女士</w:t>
      </w:r>
    </w:p>
    <w:p w14:paraId="4C736317">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13283989759</w:t>
      </w:r>
    </w:p>
    <w:p w14:paraId="7FD4E89E">
      <w:pPr>
        <w:rPr>
          <w:rFonts w:hint="eastAsia" w:cs="宋体" w:asciiTheme="minorEastAsia" w:hAnsiTheme="minorEastAsia" w:eastAsiaTheme="minorEastAsia"/>
          <w:sz w:val="28"/>
          <w:szCs w:val="28"/>
          <w:highlight w:val="none"/>
          <w:lang w:val="en-US" w:eastAsia="zh-CN"/>
        </w:rPr>
      </w:pPr>
      <w:r>
        <w:rPr>
          <w:rFonts w:hint="eastAsia" w:cs="宋体" w:asciiTheme="minorEastAsia" w:hAnsiTheme="minorEastAsia" w:eastAsiaTheme="minorEastAsia"/>
          <w:sz w:val="28"/>
          <w:szCs w:val="28"/>
          <w:highlight w:val="none"/>
          <w:lang w:val="en-US" w:eastAsia="zh-CN"/>
        </w:rPr>
        <w:br w:type="page"/>
      </w:r>
    </w:p>
    <w:p w14:paraId="22AD3481">
      <w:pPr>
        <w:pStyle w:val="3"/>
        <w:bidi w:val="0"/>
        <w:jc w:val="center"/>
        <w:rPr>
          <w:rFonts w:ascii="宋体" w:hAnsi="宋体" w:cs="宋体"/>
          <w:b/>
          <w:bCs/>
          <w:szCs w:val="32"/>
          <w:highlight w:val="none"/>
        </w:rPr>
      </w:pPr>
      <w:bookmarkStart w:id="2" w:name="_Toc77586910"/>
      <w:bookmarkStart w:id="3" w:name="_Toc13849"/>
      <w:r>
        <w:rPr>
          <w:rFonts w:hint="eastAsia"/>
        </w:rPr>
        <w:t xml:space="preserve">第二章  </w:t>
      </w:r>
      <w:r>
        <w:rPr>
          <w:rFonts w:hint="eastAsia"/>
          <w:lang w:eastAsia="zh-CN"/>
        </w:rPr>
        <w:t>供应商</w:t>
      </w:r>
      <w:r>
        <w:rPr>
          <w:rFonts w:hint="eastAsia"/>
        </w:rPr>
        <w:t>须知及前附表</w:t>
      </w:r>
      <w:bookmarkEnd w:id="2"/>
      <w:bookmarkEnd w:id="3"/>
      <w:bookmarkStart w:id="4" w:name="_Toc240169682"/>
      <w:bookmarkEnd w:id="4"/>
    </w:p>
    <w:p w14:paraId="3315887D">
      <w:pPr>
        <w:spacing w:line="268" w:lineRule="auto"/>
        <w:rPr>
          <w:rFonts w:ascii="宋体" w:hAnsi="宋体" w:cs="宋体"/>
          <w:b/>
          <w:bCs/>
          <w:sz w:val="36"/>
          <w:szCs w:val="36"/>
          <w:highlight w:val="none"/>
        </w:rPr>
      </w:pP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须知前附表</w:t>
      </w:r>
    </w:p>
    <w:tbl>
      <w:tblPr>
        <w:tblStyle w:val="24"/>
        <w:tblW w:w="5000" w:type="pct"/>
        <w:jc w:val="center"/>
        <w:tblLayout w:type="fixed"/>
        <w:tblCellMar>
          <w:top w:w="0" w:type="dxa"/>
          <w:left w:w="108" w:type="dxa"/>
          <w:bottom w:w="0" w:type="dxa"/>
          <w:right w:w="108" w:type="dxa"/>
        </w:tblCellMar>
      </w:tblPr>
      <w:tblGrid>
        <w:gridCol w:w="1041"/>
        <w:gridCol w:w="1769"/>
        <w:gridCol w:w="7612"/>
      </w:tblGrid>
      <w:tr w14:paraId="33D045EA">
        <w:tblPrEx>
          <w:tblCellMar>
            <w:top w:w="0" w:type="dxa"/>
            <w:left w:w="108" w:type="dxa"/>
            <w:bottom w:w="0" w:type="dxa"/>
            <w:right w:w="108" w:type="dxa"/>
          </w:tblCellMar>
        </w:tblPrEx>
        <w:trPr>
          <w:trHeight w:val="431"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7B81AAE4">
            <w:pPr>
              <w:autoSpaceDE w:val="0"/>
              <w:autoSpaceDN w:val="0"/>
              <w:adjustRightInd w:val="0"/>
              <w:spacing w:line="360" w:lineRule="auto"/>
              <w:rPr>
                <w:rFonts w:ascii="宋体" w:hAnsi="宋体" w:cs="宋体"/>
                <w:b/>
                <w:bCs/>
                <w:sz w:val="24"/>
                <w:szCs w:val="24"/>
                <w:highlight w:val="none"/>
              </w:rPr>
            </w:pPr>
            <w:r>
              <w:rPr>
                <w:rFonts w:hint="eastAsia" w:ascii="宋体" w:hAnsi="宋体" w:cs="宋体"/>
                <w:b/>
                <w:bCs/>
                <w:sz w:val="24"/>
                <w:szCs w:val="24"/>
                <w:highlight w:val="none"/>
              </w:rPr>
              <w:t>条款号</w:t>
            </w:r>
          </w:p>
        </w:tc>
        <w:tc>
          <w:tcPr>
            <w:tcW w:w="848" w:type="pct"/>
            <w:tcBorders>
              <w:top w:val="single" w:color="auto" w:sz="4" w:space="0"/>
              <w:left w:val="nil"/>
              <w:bottom w:val="single" w:color="auto" w:sz="4" w:space="0"/>
              <w:right w:val="single" w:color="auto" w:sz="4" w:space="0"/>
            </w:tcBorders>
            <w:vAlign w:val="center"/>
          </w:tcPr>
          <w:p w14:paraId="4DAB598C">
            <w:pPr>
              <w:autoSpaceDE w:val="0"/>
              <w:autoSpaceDN w:val="0"/>
              <w:adjustRightIn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条 款 名 称</w:t>
            </w:r>
          </w:p>
        </w:tc>
        <w:tc>
          <w:tcPr>
            <w:tcW w:w="3651" w:type="pct"/>
            <w:tcBorders>
              <w:top w:val="single" w:color="auto" w:sz="4" w:space="0"/>
              <w:left w:val="nil"/>
              <w:bottom w:val="single" w:color="auto" w:sz="4" w:space="0"/>
              <w:right w:val="single" w:color="auto" w:sz="4" w:space="0"/>
            </w:tcBorders>
            <w:vAlign w:val="center"/>
          </w:tcPr>
          <w:p w14:paraId="4EC226F0">
            <w:pPr>
              <w:autoSpaceDE w:val="0"/>
              <w:autoSpaceDN w:val="0"/>
              <w:adjustRightIn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8810EAC">
        <w:tblPrEx>
          <w:tblCellMar>
            <w:top w:w="0" w:type="dxa"/>
            <w:left w:w="108" w:type="dxa"/>
            <w:bottom w:w="0" w:type="dxa"/>
            <w:right w:w="108" w:type="dxa"/>
          </w:tblCellMar>
        </w:tblPrEx>
        <w:trPr>
          <w:trHeight w:val="1375"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62B5AAD4">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48" w:type="pct"/>
            <w:tcBorders>
              <w:top w:val="single" w:color="auto" w:sz="4" w:space="0"/>
              <w:left w:val="nil"/>
              <w:bottom w:val="single" w:color="auto" w:sz="4" w:space="0"/>
              <w:right w:val="single" w:color="auto" w:sz="4" w:space="0"/>
            </w:tcBorders>
            <w:vAlign w:val="center"/>
          </w:tcPr>
          <w:p w14:paraId="35C9583F">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采购人</w:t>
            </w:r>
          </w:p>
        </w:tc>
        <w:tc>
          <w:tcPr>
            <w:tcW w:w="3651" w:type="pct"/>
            <w:tcBorders>
              <w:top w:val="single" w:color="auto" w:sz="4" w:space="0"/>
              <w:left w:val="nil"/>
              <w:bottom w:val="single" w:color="auto" w:sz="4" w:space="0"/>
              <w:right w:val="single" w:color="auto" w:sz="4" w:space="0"/>
            </w:tcBorders>
            <w:vAlign w:val="center"/>
          </w:tcPr>
          <w:p w14:paraId="19985BDD">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灵宝市教育体育局</w:t>
            </w:r>
          </w:p>
          <w:p w14:paraId="7EC79E9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地址：灵宝市新华路中段</w:t>
            </w:r>
          </w:p>
          <w:p w14:paraId="45B0006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张</w:t>
            </w:r>
            <w:r>
              <w:rPr>
                <w:rFonts w:hint="eastAsia" w:ascii="宋体" w:hAnsi="宋体" w:eastAsia="宋体" w:cs="宋体"/>
                <w:sz w:val="24"/>
                <w:szCs w:val="24"/>
                <w:highlight w:val="none"/>
              </w:rPr>
              <w:t xml:space="preserve">先生 </w:t>
            </w:r>
          </w:p>
          <w:p w14:paraId="2C39370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15978323388</w:t>
            </w:r>
          </w:p>
        </w:tc>
      </w:tr>
      <w:tr w14:paraId="2B26481F">
        <w:tblPrEx>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31610AFC">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848" w:type="pct"/>
            <w:tcBorders>
              <w:top w:val="single" w:color="auto" w:sz="4" w:space="0"/>
              <w:left w:val="nil"/>
              <w:bottom w:val="single" w:color="auto" w:sz="4" w:space="0"/>
              <w:right w:val="single" w:color="auto" w:sz="4" w:space="0"/>
            </w:tcBorders>
            <w:vAlign w:val="center"/>
          </w:tcPr>
          <w:p w14:paraId="1ECE5CD9">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采购代理机构</w:t>
            </w:r>
          </w:p>
        </w:tc>
        <w:tc>
          <w:tcPr>
            <w:tcW w:w="3651" w:type="pct"/>
            <w:tcBorders>
              <w:top w:val="single" w:color="auto" w:sz="4" w:space="0"/>
              <w:left w:val="nil"/>
              <w:bottom w:val="single" w:color="auto" w:sz="4" w:space="0"/>
              <w:right w:val="single" w:color="auto" w:sz="4" w:space="0"/>
            </w:tcBorders>
            <w:vAlign w:val="center"/>
          </w:tcPr>
          <w:p w14:paraId="3D3ED08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采购代理机构</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中能城投（河南）工程咨询有限公司</w:t>
            </w:r>
          </w:p>
          <w:p w14:paraId="027CD1F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lang w:val="en-US" w:eastAsia="zh-CN"/>
              </w:rPr>
              <w:t>河南省郑州市金水区花园路122号3号楼3层307号</w:t>
            </w:r>
          </w:p>
          <w:p w14:paraId="4A471686">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魏女士</w:t>
            </w:r>
          </w:p>
          <w:p w14:paraId="7608CA9A">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13283989759</w:t>
            </w:r>
          </w:p>
        </w:tc>
      </w:tr>
      <w:tr w14:paraId="79DC7E2E">
        <w:tblPrEx>
          <w:tblCellMar>
            <w:top w:w="0" w:type="dxa"/>
            <w:left w:w="108" w:type="dxa"/>
            <w:bottom w:w="0" w:type="dxa"/>
            <w:right w:w="108" w:type="dxa"/>
          </w:tblCellMar>
        </w:tblPrEx>
        <w:trPr>
          <w:trHeight w:val="559"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4024A9AB">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48" w:type="pct"/>
            <w:tcBorders>
              <w:top w:val="single" w:color="auto" w:sz="4" w:space="0"/>
              <w:left w:val="nil"/>
              <w:bottom w:val="single" w:color="auto" w:sz="4" w:space="0"/>
              <w:right w:val="single" w:color="auto" w:sz="4" w:space="0"/>
            </w:tcBorders>
            <w:vAlign w:val="center"/>
          </w:tcPr>
          <w:p w14:paraId="15FBDEE4">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651" w:type="pct"/>
            <w:tcBorders>
              <w:top w:val="single" w:color="auto" w:sz="4" w:space="0"/>
              <w:left w:val="nil"/>
              <w:bottom w:val="single" w:color="auto" w:sz="4" w:space="0"/>
              <w:right w:val="single" w:color="auto" w:sz="4" w:space="0"/>
            </w:tcBorders>
            <w:vAlign w:val="center"/>
          </w:tcPr>
          <w:p w14:paraId="75453C31">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灵宝市教育体育局灵宝市豫灵镇第一幼儿园设备采购项目</w:t>
            </w:r>
          </w:p>
        </w:tc>
      </w:tr>
      <w:tr w14:paraId="541F2F5C">
        <w:tblPrEx>
          <w:tblCellMar>
            <w:top w:w="0" w:type="dxa"/>
            <w:left w:w="108" w:type="dxa"/>
            <w:bottom w:w="0" w:type="dxa"/>
            <w:right w:w="108" w:type="dxa"/>
          </w:tblCellMar>
        </w:tblPrEx>
        <w:trPr>
          <w:trHeight w:val="530"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64496BF2">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48" w:type="pct"/>
            <w:tcBorders>
              <w:top w:val="single" w:color="auto" w:sz="4" w:space="0"/>
              <w:left w:val="nil"/>
              <w:bottom w:val="single" w:color="auto" w:sz="4" w:space="0"/>
              <w:right w:val="single" w:color="auto" w:sz="4" w:space="0"/>
            </w:tcBorders>
            <w:vAlign w:val="center"/>
          </w:tcPr>
          <w:p w14:paraId="12942388">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tc>
        <w:tc>
          <w:tcPr>
            <w:tcW w:w="3651" w:type="pct"/>
            <w:tcBorders>
              <w:top w:val="single" w:color="auto" w:sz="4" w:space="0"/>
              <w:left w:val="nil"/>
              <w:bottom w:val="single" w:color="auto" w:sz="4" w:space="0"/>
              <w:right w:val="single" w:color="auto" w:sz="4" w:space="0"/>
            </w:tcBorders>
            <w:vAlign w:val="center"/>
          </w:tcPr>
          <w:p w14:paraId="08A226C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本项目为</w:t>
            </w:r>
            <w:r>
              <w:rPr>
                <w:rFonts w:hint="eastAsia" w:ascii="宋体" w:hAnsi="宋体" w:cs="宋体"/>
                <w:sz w:val="24"/>
                <w:szCs w:val="24"/>
                <w:highlight w:val="none"/>
                <w:lang w:val="en-US" w:eastAsia="zh-CN"/>
              </w:rPr>
              <w:t>灵宝市教育体育局灵宝市豫灵镇第一幼儿园设备采购项目</w:t>
            </w:r>
            <w:r>
              <w:rPr>
                <w:rFonts w:hint="eastAsia" w:ascii="宋体" w:hAnsi="宋体" w:eastAsia="宋体" w:cs="宋体"/>
                <w:sz w:val="24"/>
                <w:szCs w:val="24"/>
                <w:highlight w:val="none"/>
                <w:lang w:val="en-US" w:eastAsia="zh-CN"/>
              </w:rPr>
              <w:t>，主要采购教玩具、广播、监控、办公、活动室、厨房、消防、安保及其他等设备。详见采购清单。</w:t>
            </w:r>
          </w:p>
        </w:tc>
      </w:tr>
      <w:tr w14:paraId="68DBCD06">
        <w:tblPrEx>
          <w:tblCellMar>
            <w:top w:w="0" w:type="dxa"/>
            <w:left w:w="108" w:type="dxa"/>
            <w:bottom w:w="0" w:type="dxa"/>
            <w:right w:w="108" w:type="dxa"/>
          </w:tblCellMar>
        </w:tblPrEx>
        <w:trPr>
          <w:trHeight w:val="558"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1DE9FDA3">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48" w:type="pct"/>
            <w:tcBorders>
              <w:top w:val="single" w:color="auto" w:sz="4" w:space="0"/>
              <w:left w:val="nil"/>
              <w:bottom w:val="single" w:color="auto" w:sz="4" w:space="0"/>
              <w:right w:val="single" w:color="auto" w:sz="4" w:space="0"/>
            </w:tcBorders>
            <w:vAlign w:val="center"/>
          </w:tcPr>
          <w:p w14:paraId="780057A5">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资金来源及落实情况</w:t>
            </w:r>
          </w:p>
        </w:tc>
        <w:tc>
          <w:tcPr>
            <w:tcW w:w="3651" w:type="pct"/>
            <w:tcBorders>
              <w:top w:val="single" w:color="auto" w:sz="4" w:space="0"/>
              <w:left w:val="nil"/>
              <w:bottom w:val="single" w:color="auto" w:sz="4" w:space="0"/>
              <w:right w:val="single" w:color="auto" w:sz="4" w:space="0"/>
            </w:tcBorders>
            <w:vAlign w:val="center"/>
          </w:tcPr>
          <w:p w14:paraId="2AA4A21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财政资金，已落实。</w:t>
            </w:r>
          </w:p>
        </w:tc>
      </w:tr>
      <w:tr w14:paraId="533F680B">
        <w:tblPrEx>
          <w:tblCellMar>
            <w:top w:w="0" w:type="dxa"/>
            <w:left w:w="108" w:type="dxa"/>
            <w:bottom w:w="0" w:type="dxa"/>
            <w:right w:w="108" w:type="dxa"/>
          </w:tblCellMar>
        </w:tblPrEx>
        <w:trPr>
          <w:trHeight w:val="385"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6308C650">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48" w:type="pct"/>
            <w:tcBorders>
              <w:top w:val="single" w:color="auto" w:sz="4" w:space="0"/>
              <w:left w:val="nil"/>
              <w:bottom w:val="single" w:color="auto" w:sz="4" w:space="0"/>
              <w:right w:val="single" w:color="auto" w:sz="4" w:space="0"/>
            </w:tcBorders>
            <w:vAlign w:val="center"/>
          </w:tcPr>
          <w:p w14:paraId="5447A73C">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p>
        </w:tc>
        <w:tc>
          <w:tcPr>
            <w:tcW w:w="3651" w:type="pct"/>
            <w:tcBorders>
              <w:top w:val="single" w:color="auto" w:sz="4" w:space="0"/>
              <w:left w:val="nil"/>
              <w:bottom w:val="single" w:color="auto" w:sz="4" w:space="0"/>
              <w:right w:val="single" w:color="auto" w:sz="4" w:space="0"/>
            </w:tcBorders>
            <w:vAlign w:val="center"/>
          </w:tcPr>
          <w:p w14:paraId="5D77156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189.5726万元</w:t>
            </w:r>
          </w:p>
        </w:tc>
      </w:tr>
      <w:tr w14:paraId="6F270ED8">
        <w:tblPrEx>
          <w:tblCellMar>
            <w:top w:w="0" w:type="dxa"/>
            <w:left w:w="108" w:type="dxa"/>
            <w:bottom w:w="0" w:type="dxa"/>
            <w:right w:w="108" w:type="dxa"/>
          </w:tblCellMar>
        </w:tblPrEx>
        <w:trPr>
          <w:trHeight w:val="938"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3E56E13A">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848" w:type="pct"/>
            <w:tcBorders>
              <w:top w:val="single" w:color="auto" w:sz="4" w:space="0"/>
              <w:left w:val="nil"/>
              <w:bottom w:val="single" w:color="auto" w:sz="4" w:space="0"/>
              <w:right w:val="single" w:color="auto" w:sz="4" w:space="0"/>
            </w:tcBorders>
            <w:vAlign w:val="center"/>
          </w:tcPr>
          <w:p w14:paraId="2E641FD4">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招标范围</w:t>
            </w:r>
          </w:p>
        </w:tc>
        <w:tc>
          <w:tcPr>
            <w:tcW w:w="3651" w:type="pct"/>
            <w:tcBorders>
              <w:top w:val="single" w:color="auto" w:sz="4" w:space="0"/>
              <w:left w:val="nil"/>
              <w:bottom w:val="single" w:color="auto" w:sz="4" w:space="0"/>
              <w:right w:val="single" w:color="auto" w:sz="4" w:space="0"/>
            </w:tcBorders>
            <w:vAlign w:val="center"/>
          </w:tcPr>
          <w:p w14:paraId="5FF39E07">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本项目竞争性磋商文件、</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清单等列明的所有内容；</w:t>
            </w:r>
          </w:p>
        </w:tc>
      </w:tr>
      <w:tr w14:paraId="0A2E024A">
        <w:tblPrEx>
          <w:tblCellMar>
            <w:top w:w="0" w:type="dxa"/>
            <w:left w:w="108" w:type="dxa"/>
            <w:bottom w:w="0" w:type="dxa"/>
            <w:right w:w="108" w:type="dxa"/>
          </w:tblCellMar>
        </w:tblPrEx>
        <w:trPr>
          <w:trHeight w:val="540"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66FEB77C">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848" w:type="pct"/>
            <w:tcBorders>
              <w:top w:val="single" w:color="auto" w:sz="4" w:space="0"/>
              <w:left w:val="nil"/>
              <w:bottom w:val="single" w:color="auto" w:sz="4" w:space="0"/>
              <w:right w:val="single" w:color="auto" w:sz="4" w:space="0"/>
            </w:tcBorders>
            <w:vAlign w:val="center"/>
          </w:tcPr>
          <w:p w14:paraId="2BD6F7B0">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供货期</w:t>
            </w:r>
            <w:r>
              <w:rPr>
                <w:rFonts w:hint="eastAsia" w:ascii="宋体" w:hAnsi="宋体" w:eastAsia="宋体" w:cs="宋体"/>
                <w:sz w:val="24"/>
                <w:szCs w:val="24"/>
                <w:highlight w:val="none"/>
              </w:rPr>
              <w:t>要求</w:t>
            </w:r>
          </w:p>
        </w:tc>
        <w:tc>
          <w:tcPr>
            <w:tcW w:w="3651" w:type="pct"/>
            <w:tcBorders>
              <w:top w:val="single" w:color="auto" w:sz="4" w:space="0"/>
              <w:left w:val="nil"/>
              <w:bottom w:val="single" w:color="auto" w:sz="4" w:space="0"/>
              <w:right w:val="single" w:color="auto" w:sz="4" w:space="0"/>
            </w:tcBorders>
            <w:vAlign w:val="center"/>
          </w:tcPr>
          <w:p w14:paraId="01880C2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0000FF"/>
                <w:sz w:val="24"/>
                <w:szCs w:val="24"/>
                <w:highlight w:val="none"/>
              </w:rPr>
            </w:pPr>
            <w:r>
              <w:rPr>
                <w:rFonts w:hint="eastAsia" w:ascii="宋体" w:hAnsi="宋体" w:eastAsia="宋体" w:cs="宋体"/>
                <w:sz w:val="24"/>
                <w:szCs w:val="24"/>
                <w:highlight w:val="none"/>
                <w:lang w:val="en-US" w:eastAsia="zh-CN"/>
              </w:rPr>
              <w:t>合同签订后</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日历天内</w:t>
            </w:r>
          </w:p>
        </w:tc>
      </w:tr>
      <w:tr w14:paraId="5FD2874B">
        <w:tblPrEx>
          <w:tblCellMar>
            <w:top w:w="0" w:type="dxa"/>
            <w:left w:w="108" w:type="dxa"/>
            <w:bottom w:w="0" w:type="dxa"/>
            <w:right w:w="108" w:type="dxa"/>
          </w:tblCellMar>
        </w:tblPrEx>
        <w:trPr>
          <w:trHeight w:val="575"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73A5D23A">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848" w:type="pct"/>
            <w:tcBorders>
              <w:top w:val="single" w:color="auto" w:sz="4" w:space="0"/>
              <w:left w:val="nil"/>
              <w:bottom w:val="single" w:color="auto" w:sz="4" w:space="0"/>
              <w:right w:val="single" w:color="auto" w:sz="4" w:space="0"/>
            </w:tcBorders>
            <w:vAlign w:val="center"/>
          </w:tcPr>
          <w:p w14:paraId="30D32542">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3651" w:type="pct"/>
            <w:tcBorders>
              <w:top w:val="single" w:color="auto" w:sz="4" w:space="0"/>
              <w:left w:val="nil"/>
              <w:bottom w:val="single" w:color="auto" w:sz="4" w:space="0"/>
              <w:right w:val="single" w:color="auto" w:sz="4" w:space="0"/>
            </w:tcBorders>
            <w:vAlign w:val="center"/>
          </w:tcPr>
          <w:p w14:paraId="5CC61B0F">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合格，符合相关法律、规范及采购人要求</w:t>
            </w:r>
          </w:p>
        </w:tc>
      </w:tr>
      <w:tr w14:paraId="48BEF1D0">
        <w:tblPrEx>
          <w:tblCellMar>
            <w:top w:w="0" w:type="dxa"/>
            <w:left w:w="108" w:type="dxa"/>
            <w:bottom w:w="0" w:type="dxa"/>
            <w:right w:w="108" w:type="dxa"/>
          </w:tblCellMar>
        </w:tblPrEx>
        <w:trPr>
          <w:trHeight w:val="575"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0BEFD650">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w:t>
            </w:r>
          </w:p>
        </w:tc>
        <w:tc>
          <w:tcPr>
            <w:tcW w:w="848" w:type="pct"/>
            <w:tcBorders>
              <w:top w:val="single" w:color="auto" w:sz="4" w:space="0"/>
              <w:left w:val="nil"/>
              <w:bottom w:val="single" w:color="auto" w:sz="4" w:space="0"/>
              <w:right w:val="single" w:color="auto" w:sz="4" w:space="0"/>
            </w:tcBorders>
            <w:vAlign w:val="center"/>
          </w:tcPr>
          <w:p w14:paraId="326AD12A">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安全目标</w:t>
            </w:r>
          </w:p>
        </w:tc>
        <w:tc>
          <w:tcPr>
            <w:tcW w:w="3651" w:type="pct"/>
            <w:tcBorders>
              <w:top w:val="single" w:color="auto" w:sz="4" w:space="0"/>
              <w:left w:val="nil"/>
              <w:bottom w:val="single" w:color="auto" w:sz="4" w:space="0"/>
              <w:right w:val="single" w:color="auto" w:sz="4" w:space="0"/>
            </w:tcBorders>
            <w:vAlign w:val="center"/>
          </w:tcPr>
          <w:p w14:paraId="6BC1C25D">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确保不发生有人员伤亡的安全责任事故</w:t>
            </w:r>
          </w:p>
        </w:tc>
      </w:tr>
      <w:tr w14:paraId="2D4BD385">
        <w:tblPrEx>
          <w:tblCellMar>
            <w:top w:w="0" w:type="dxa"/>
            <w:left w:w="108" w:type="dxa"/>
            <w:bottom w:w="0" w:type="dxa"/>
            <w:right w:w="108" w:type="dxa"/>
          </w:tblCellMar>
        </w:tblPrEx>
        <w:trPr>
          <w:trHeight w:val="575"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531071E8">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1.9.2</w:t>
            </w:r>
          </w:p>
        </w:tc>
        <w:tc>
          <w:tcPr>
            <w:tcW w:w="848" w:type="pct"/>
            <w:tcBorders>
              <w:top w:val="single" w:color="auto" w:sz="4" w:space="0"/>
              <w:left w:val="nil"/>
              <w:bottom w:val="single" w:color="auto" w:sz="4" w:space="0"/>
              <w:right w:val="single" w:color="auto" w:sz="4" w:space="0"/>
            </w:tcBorders>
            <w:vAlign w:val="center"/>
          </w:tcPr>
          <w:p w14:paraId="40C70DF4">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偏离</w:t>
            </w:r>
          </w:p>
        </w:tc>
        <w:tc>
          <w:tcPr>
            <w:tcW w:w="3651" w:type="pct"/>
            <w:tcBorders>
              <w:top w:val="single" w:color="auto" w:sz="4" w:space="0"/>
              <w:left w:val="nil"/>
              <w:bottom w:val="single" w:color="auto" w:sz="4" w:space="0"/>
              <w:right w:val="single" w:color="auto" w:sz="4" w:space="0"/>
            </w:tcBorders>
            <w:vAlign w:val="center"/>
          </w:tcPr>
          <w:p w14:paraId="2EF12A7C">
            <w:pPr>
              <w:keepNext w:val="0"/>
              <w:keepLines w:val="0"/>
              <w:pageBreakBefore w:val="0"/>
              <w:kinsoku/>
              <w:wordWrap/>
              <w:overflowPunct/>
              <w:topLinePunct w:val="0"/>
              <w:bidi w:val="0"/>
              <w:snapToGrid/>
              <w:spacing w:line="360" w:lineRule="auto"/>
              <w:textAlignment w:val="auto"/>
              <w:rPr>
                <w:rFonts w:hint="default" w:ascii="宋体" w:hAnsi="宋体" w:eastAsia="宋体" w:cs="宋体"/>
                <w:sz w:val="24"/>
                <w:szCs w:val="24"/>
                <w:highlight w:val="none"/>
                <w:lang w:val="en-US"/>
              </w:rPr>
            </w:pPr>
            <w:r>
              <w:rPr>
                <w:rFonts w:hint="eastAsia" w:ascii="宋体" w:hAnsi="宋体" w:cs="宋体"/>
                <w:color w:val="auto"/>
                <w:sz w:val="24"/>
                <w:szCs w:val="24"/>
                <w:highlight w:val="none"/>
                <w:lang w:val="en-US" w:eastAsia="zh-CN"/>
              </w:rPr>
              <w:t>允许</w:t>
            </w:r>
            <w:r>
              <w:rPr>
                <w:rFonts w:hint="eastAsia" w:ascii="宋体" w:hAnsi="宋体" w:cs="宋体"/>
                <w:color w:val="auto"/>
                <w:sz w:val="24"/>
                <w:szCs w:val="24"/>
                <w:highlight w:val="none"/>
              </w:rPr>
              <w:t>正</w:t>
            </w:r>
            <w:r>
              <w:rPr>
                <w:rFonts w:hint="eastAsia" w:ascii="宋体" w:hAnsi="宋体" w:cs="宋体"/>
                <w:color w:val="auto"/>
                <w:sz w:val="24"/>
                <w:szCs w:val="24"/>
                <w:highlight w:val="none"/>
                <w:lang w:val="en-US" w:eastAsia="zh-CN"/>
              </w:rPr>
              <w:t>负</w:t>
            </w:r>
            <w:r>
              <w:rPr>
                <w:rFonts w:hint="eastAsia" w:ascii="宋体" w:hAnsi="宋体" w:cs="宋体"/>
                <w:color w:val="auto"/>
                <w:sz w:val="24"/>
                <w:szCs w:val="24"/>
                <w:highlight w:val="none"/>
              </w:rPr>
              <w:t>偏离</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正偏离参数</w:t>
            </w:r>
            <w:r>
              <w:rPr>
                <w:rFonts w:hint="eastAsia" w:ascii="宋体" w:hAnsi="宋体" w:cs="宋体"/>
                <w:b/>
                <w:bCs/>
                <w:color w:val="auto"/>
                <w:sz w:val="24"/>
                <w:szCs w:val="24"/>
                <w:highlight w:val="none"/>
                <w:lang w:val="en-US" w:eastAsia="zh-CN"/>
              </w:rPr>
              <w:t>中</w:t>
            </w:r>
            <w:r>
              <w:rPr>
                <w:rFonts w:hint="eastAsia" w:ascii="宋体" w:hAnsi="宋体" w:cs="宋体"/>
                <w:b/>
                <w:bCs/>
                <w:color w:val="auto"/>
                <w:sz w:val="24"/>
                <w:szCs w:val="24"/>
                <w:highlight w:val="none"/>
              </w:rPr>
              <w:t>提供详细资料</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否则按</w:t>
            </w:r>
            <w:r>
              <w:rPr>
                <w:rFonts w:hint="eastAsia" w:ascii="宋体" w:hAnsi="宋体" w:cs="宋体"/>
                <w:b/>
                <w:bCs/>
                <w:color w:val="auto"/>
                <w:sz w:val="24"/>
                <w:szCs w:val="24"/>
                <w:highlight w:val="none"/>
                <w:lang w:val="en-US" w:eastAsia="zh-CN"/>
              </w:rPr>
              <w:t>关键</w:t>
            </w:r>
            <w:r>
              <w:rPr>
                <w:rFonts w:hint="eastAsia" w:ascii="宋体" w:hAnsi="宋体" w:cs="宋体"/>
                <w:b/>
                <w:bCs/>
                <w:color w:val="auto"/>
                <w:sz w:val="24"/>
                <w:szCs w:val="24"/>
                <w:highlight w:val="none"/>
              </w:rPr>
              <w:t>参数不满足要求或正偏离项不予认可</w:t>
            </w:r>
            <w:r>
              <w:rPr>
                <w:rFonts w:hint="eastAsia" w:ascii="宋体" w:hAnsi="宋体" w:cs="宋体"/>
                <w:b/>
                <w:bCs/>
                <w:color w:val="auto"/>
                <w:sz w:val="24"/>
                <w:szCs w:val="24"/>
                <w:highlight w:val="none"/>
                <w:lang w:eastAsia="zh-CN"/>
              </w:rPr>
              <w:t>，重大负偏离除外</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w:t>
            </w:r>
          </w:p>
        </w:tc>
      </w:tr>
      <w:tr w14:paraId="0050BBE5">
        <w:tblPrEx>
          <w:tblCellMar>
            <w:top w:w="0" w:type="dxa"/>
            <w:left w:w="108" w:type="dxa"/>
            <w:bottom w:w="0" w:type="dxa"/>
            <w:right w:w="108" w:type="dxa"/>
          </w:tblCellMar>
        </w:tblPrEx>
        <w:trPr>
          <w:trHeight w:val="57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38C193E4">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848" w:type="pct"/>
            <w:tcBorders>
              <w:top w:val="single" w:color="auto" w:sz="4" w:space="0"/>
              <w:left w:val="nil"/>
              <w:bottom w:val="single" w:color="auto" w:sz="4" w:space="0"/>
              <w:right w:val="single" w:color="auto" w:sz="4" w:space="0"/>
            </w:tcBorders>
            <w:vAlign w:val="center"/>
          </w:tcPr>
          <w:p w14:paraId="086B1A6D">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资质条件、能力和信誉</w:t>
            </w:r>
          </w:p>
        </w:tc>
        <w:tc>
          <w:tcPr>
            <w:tcW w:w="3651" w:type="pct"/>
            <w:tcBorders>
              <w:top w:val="single" w:color="auto" w:sz="4" w:space="0"/>
              <w:left w:val="nil"/>
              <w:bottom w:val="single" w:color="auto" w:sz="4" w:space="0"/>
              <w:right w:val="single" w:color="auto" w:sz="4" w:space="0"/>
            </w:tcBorders>
            <w:vAlign w:val="center"/>
          </w:tcPr>
          <w:p w14:paraId="63F23E8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1、满足《中华人民共和国政府采购法》第二十二条的规定并同时具备下列条件；</w:t>
            </w:r>
          </w:p>
          <w:p w14:paraId="22DF7AF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w:t>
            </w:r>
          </w:p>
          <w:p w14:paraId="354BBAF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本项目非专门面向中小企业、监狱企业及残疾人福利性单位采购项目，执行促进中小型企业发展政策（残疾人福利性企业、监狱企业视同小微企业）、优先采购节能环保产品等政府采购政策。</w:t>
            </w:r>
          </w:p>
          <w:p w14:paraId="188BB51D">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6820A2F7">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3.1供应商须具有独立承担民事责任能力的法人或其他组织，同时具有有效的营业执照、税务登记证、组织机构代码证或三证合一的营业执照；</w:t>
            </w:r>
          </w:p>
          <w:p w14:paraId="4E0FD35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3.2、具有履行合同所必需的设备和专业技术能力（自行作出承诺，格式自拟）； </w:t>
            </w:r>
          </w:p>
          <w:p w14:paraId="11ADDFFA">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3.3、参加政府采购活动近三年内，在经营活动中没有重大违法记录（自行作出承诺，格式自拟）； </w:t>
            </w:r>
          </w:p>
          <w:p w14:paraId="32D28956">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3.4、出具本单位无商业贿赂及无不正当竞争行为的承诺书（自行作出承诺，格式自拟）； </w:t>
            </w:r>
          </w:p>
          <w:p w14:paraId="48C7C947">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3.5、供应商出具无行贿犯罪记录在中国裁判文书网自行查询结果或自行承诺（查询/承诺对象：企业、法定代表人）</w:t>
            </w:r>
          </w:p>
          <w:p w14:paraId="12519C4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政府采购网（www.ccgp.gov.cn）】（查询时间为公告发出之后）。</w:t>
            </w:r>
          </w:p>
          <w:p w14:paraId="452E0CD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p w14:paraId="73F51960">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3.8、本项目不接受联合体投标。</w:t>
            </w:r>
          </w:p>
          <w:p w14:paraId="5F415C9D">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3.9、本次招标实行资格后审，资格审查的具体要求见竞争性磋商文件。</w:t>
            </w:r>
          </w:p>
        </w:tc>
      </w:tr>
      <w:tr w14:paraId="482CCCF8">
        <w:tblPrEx>
          <w:tblCellMar>
            <w:top w:w="0" w:type="dxa"/>
            <w:left w:w="108" w:type="dxa"/>
            <w:bottom w:w="0" w:type="dxa"/>
            <w:right w:w="108" w:type="dxa"/>
          </w:tblCellMar>
        </w:tblPrEx>
        <w:trPr>
          <w:trHeight w:val="476"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61B2F863">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848" w:type="pct"/>
            <w:tcBorders>
              <w:top w:val="single" w:color="auto" w:sz="4" w:space="0"/>
              <w:left w:val="nil"/>
              <w:bottom w:val="single" w:color="auto" w:sz="4" w:space="0"/>
              <w:right w:val="single" w:color="auto" w:sz="4" w:space="0"/>
            </w:tcBorders>
            <w:vAlign w:val="center"/>
          </w:tcPr>
          <w:p w14:paraId="787B00D5">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是否接受</w:t>
            </w:r>
          </w:p>
          <w:p w14:paraId="64E8D448">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联合体投标</w:t>
            </w:r>
          </w:p>
        </w:tc>
        <w:tc>
          <w:tcPr>
            <w:tcW w:w="3651" w:type="pct"/>
            <w:tcBorders>
              <w:top w:val="single" w:color="auto" w:sz="4" w:space="0"/>
              <w:left w:val="nil"/>
              <w:bottom w:val="single" w:color="auto" w:sz="4" w:space="0"/>
              <w:right w:val="single" w:color="auto" w:sz="4" w:space="0"/>
            </w:tcBorders>
            <w:vAlign w:val="center"/>
          </w:tcPr>
          <w:p w14:paraId="7CB965F3">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43E4A64B">
        <w:tblPrEx>
          <w:tblCellMar>
            <w:top w:w="0" w:type="dxa"/>
            <w:left w:w="108" w:type="dxa"/>
            <w:bottom w:w="0" w:type="dxa"/>
            <w:right w:w="108" w:type="dxa"/>
          </w:tblCellMar>
        </w:tblPrEx>
        <w:trPr>
          <w:trHeight w:val="602"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36D716B8">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848" w:type="pct"/>
            <w:tcBorders>
              <w:top w:val="single" w:color="auto" w:sz="4" w:space="0"/>
              <w:left w:val="nil"/>
              <w:bottom w:val="single" w:color="auto" w:sz="4" w:space="0"/>
              <w:right w:val="single" w:color="auto" w:sz="4" w:space="0"/>
            </w:tcBorders>
            <w:vAlign w:val="center"/>
          </w:tcPr>
          <w:p w14:paraId="26B02456">
            <w:pPr>
              <w:keepNext w:val="0"/>
              <w:keepLines w:val="0"/>
              <w:pageBreakBefore w:val="0"/>
              <w:kinsoku/>
              <w:wordWrap/>
              <w:overflowPunct/>
              <w:topLinePunct w:val="0"/>
              <w:bidi w:val="0"/>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踏勘现场</w:t>
            </w:r>
          </w:p>
        </w:tc>
        <w:tc>
          <w:tcPr>
            <w:tcW w:w="3651" w:type="pct"/>
            <w:tcBorders>
              <w:top w:val="single" w:color="auto" w:sz="4" w:space="0"/>
              <w:left w:val="nil"/>
              <w:bottom w:val="single" w:color="auto" w:sz="4" w:space="0"/>
              <w:right w:val="single" w:color="auto" w:sz="4" w:space="0"/>
            </w:tcBorders>
            <w:vAlign w:val="center"/>
          </w:tcPr>
          <w:p w14:paraId="6862C383">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不组织，</w:t>
            </w:r>
            <w:r>
              <w:rPr>
                <w:rFonts w:hint="eastAsia" w:ascii="宋体" w:hAnsi="宋体" w:cs="宋体"/>
                <w:b/>
                <w:bCs/>
                <w:sz w:val="24"/>
                <w:szCs w:val="24"/>
                <w:highlight w:val="none"/>
                <w:lang w:val="en-US" w:eastAsia="zh-CN"/>
              </w:rPr>
              <w:t>部分设备需</w:t>
            </w:r>
            <w:r>
              <w:rPr>
                <w:rFonts w:hint="eastAsia" w:ascii="宋体" w:hAnsi="宋体" w:cs="宋体"/>
                <w:b/>
                <w:bCs/>
                <w:sz w:val="24"/>
                <w:szCs w:val="24"/>
                <w:highlight w:val="none"/>
                <w:lang w:eastAsia="zh-CN"/>
              </w:rPr>
              <w:t>供应商</w:t>
            </w:r>
            <w:r>
              <w:rPr>
                <w:rFonts w:hint="eastAsia" w:ascii="宋体" w:hAnsi="宋体" w:eastAsia="宋体" w:cs="宋体"/>
                <w:b/>
                <w:bCs/>
                <w:sz w:val="24"/>
                <w:szCs w:val="24"/>
                <w:highlight w:val="none"/>
              </w:rPr>
              <w:t>自行踏勘</w:t>
            </w:r>
            <w:r>
              <w:rPr>
                <w:rFonts w:hint="eastAsia" w:ascii="宋体" w:hAnsi="宋体" w:cs="宋体"/>
                <w:b/>
                <w:bCs/>
                <w:sz w:val="24"/>
                <w:szCs w:val="24"/>
                <w:highlight w:val="none"/>
                <w:lang w:val="en-US" w:eastAsia="zh-CN"/>
              </w:rPr>
              <w:t>现场，供货时应满足甲方要求</w:t>
            </w:r>
            <w:r>
              <w:rPr>
                <w:rFonts w:hint="eastAsia" w:ascii="宋体" w:hAnsi="宋体" w:eastAsia="宋体" w:cs="宋体"/>
                <w:b/>
                <w:bCs/>
                <w:sz w:val="24"/>
                <w:szCs w:val="24"/>
                <w:highlight w:val="none"/>
              </w:rPr>
              <w:t>。</w:t>
            </w:r>
          </w:p>
        </w:tc>
      </w:tr>
      <w:tr w14:paraId="1601080B">
        <w:tblPrEx>
          <w:tblCellMar>
            <w:top w:w="0" w:type="dxa"/>
            <w:left w:w="108" w:type="dxa"/>
            <w:bottom w:w="0" w:type="dxa"/>
            <w:right w:w="108" w:type="dxa"/>
          </w:tblCellMar>
        </w:tblPrEx>
        <w:trPr>
          <w:trHeight w:val="606"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0CDFC0DA">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848" w:type="pct"/>
            <w:tcBorders>
              <w:top w:val="single" w:color="auto" w:sz="4" w:space="0"/>
              <w:left w:val="nil"/>
              <w:bottom w:val="single" w:color="auto" w:sz="4" w:space="0"/>
              <w:right w:val="single" w:color="auto" w:sz="4" w:space="0"/>
            </w:tcBorders>
            <w:vAlign w:val="center"/>
          </w:tcPr>
          <w:p w14:paraId="3309E8F2">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磋商预备会</w:t>
            </w:r>
          </w:p>
        </w:tc>
        <w:tc>
          <w:tcPr>
            <w:tcW w:w="3651" w:type="pct"/>
            <w:tcBorders>
              <w:top w:val="single" w:color="auto" w:sz="4" w:space="0"/>
              <w:left w:val="nil"/>
              <w:bottom w:val="single" w:color="auto" w:sz="4" w:space="0"/>
              <w:right w:val="single" w:color="auto" w:sz="4" w:space="0"/>
            </w:tcBorders>
            <w:vAlign w:val="center"/>
          </w:tcPr>
          <w:p w14:paraId="6CF7339F">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4C1E973E">
        <w:tblPrEx>
          <w:tblCellMar>
            <w:top w:w="0" w:type="dxa"/>
            <w:left w:w="108" w:type="dxa"/>
            <w:bottom w:w="0" w:type="dxa"/>
            <w:right w:w="108" w:type="dxa"/>
          </w:tblCellMar>
        </w:tblPrEx>
        <w:trPr>
          <w:trHeight w:val="445"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2C1129E0">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848" w:type="pct"/>
            <w:tcBorders>
              <w:top w:val="single" w:color="auto" w:sz="4" w:space="0"/>
              <w:left w:val="nil"/>
              <w:bottom w:val="single" w:color="auto" w:sz="4" w:space="0"/>
              <w:right w:val="single" w:color="auto" w:sz="4" w:space="0"/>
            </w:tcBorders>
            <w:vAlign w:val="center"/>
          </w:tcPr>
          <w:p w14:paraId="274C86A9">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提出问题的截止时间</w:t>
            </w:r>
          </w:p>
        </w:tc>
        <w:tc>
          <w:tcPr>
            <w:tcW w:w="3651" w:type="pct"/>
            <w:tcBorders>
              <w:top w:val="single" w:color="auto" w:sz="4" w:space="0"/>
              <w:left w:val="nil"/>
              <w:bottom w:val="single" w:color="auto" w:sz="4" w:space="0"/>
              <w:right w:val="single" w:color="auto" w:sz="4" w:space="0"/>
            </w:tcBorders>
            <w:vAlign w:val="center"/>
          </w:tcPr>
          <w:p w14:paraId="5CC452F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递交竞争性磋商响应文件截止之日3日前</w:t>
            </w:r>
          </w:p>
        </w:tc>
      </w:tr>
      <w:tr w14:paraId="6675BF99">
        <w:tblPrEx>
          <w:tblCellMar>
            <w:top w:w="0" w:type="dxa"/>
            <w:left w:w="108" w:type="dxa"/>
            <w:bottom w:w="0" w:type="dxa"/>
            <w:right w:w="108" w:type="dxa"/>
          </w:tblCellMar>
        </w:tblPrEx>
        <w:trPr>
          <w:trHeight w:val="892"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73AB9FA3">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848" w:type="pct"/>
            <w:tcBorders>
              <w:top w:val="single" w:color="auto" w:sz="4" w:space="0"/>
              <w:left w:val="nil"/>
              <w:bottom w:val="single" w:color="auto" w:sz="4" w:space="0"/>
              <w:right w:val="single" w:color="auto" w:sz="4" w:space="0"/>
            </w:tcBorders>
            <w:vAlign w:val="center"/>
          </w:tcPr>
          <w:p w14:paraId="0F57042F">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书面澄清的时间</w:t>
            </w:r>
          </w:p>
        </w:tc>
        <w:tc>
          <w:tcPr>
            <w:tcW w:w="3651" w:type="pct"/>
            <w:tcBorders>
              <w:top w:val="single" w:color="auto" w:sz="4" w:space="0"/>
              <w:left w:val="nil"/>
              <w:bottom w:val="single" w:color="auto" w:sz="4" w:space="0"/>
              <w:right w:val="single" w:color="auto" w:sz="4" w:space="0"/>
            </w:tcBorders>
            <w:vAlign w:val="center"/>
          </w:tcPr>
          <w:p w14:paraId="0D86809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递交竞争性磋商响应文件截止之日5日前</w:t>
            </w:r>
          </w:p>
        </w:tc>
      </w:tr>
      <w:tr w14:paraId="4D857BA1">
        <w:tblPrEx>
          <w:tblCellMar>
            <w:top w:w="0" w:type="dxa"/>
            <w:left w:w="108" w:type="dxa"/>
            <w:bottom w:w="0" w:type="dxa"/>
            <w:right w:w="108" w:type="dxa"/>
          </w:tblCellMar>
        </w:tblPrEx>
        <w:trPr>
          <w:trHeight w:val="275"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083B93F9">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848" w:type="pct"/>
            <w:tcBorders>
              <w:top w:val="single" w:color="auto" w:sz="4" w:space="0"/>
              <w:left w:val="nil"/>
              <w:bottom w:val="single" w:color="auto" w:sz="4" w:space="0"/>
              <w:right w:val="single" w:color="auto" w:sz="4" w:space="0"/>
            </w:tcBorders>
            <w:vAlign w:val="center"/>
          </w:tcPr>
          <w:p w14:paraId="1FF23CBC">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3651" w:type="pct"/>
            <w:tcBorders>
              <w:top w:val="single" w:color="auto" w:sz="4" w:space="0"/>
              <w:left w:val="nil"/>
              <w:bottom w:val="single" w:color="auto" w:sz="4" w:space="0"/>
              <w:right w:val="single" w:color="auto" w:sz="4" w:space="0"/>
            </w:tcBorders>
            <w:vAlign w:val="center"/>
          </w:tcPr>
          <w:p w14:paraId="09137FEA">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0D3A28E8">
        <w:tblPrEx>
          <w:tblCellMar>
            <w:top w:w="0" w:type="dxa"/>
            <w:left w:w="108" w:type="dxa"/>
            <w:bottom w:w="0" w:type="dxa"/>
            <w:right w:w="108" w:type="dxa"/>
          </w:tblCellMar>
        </w:tblPrEx>
        <w:trPr>
          <w:trHeight w:val="90"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16594936">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848" w:type="pct"/>
            <w:tcBorders>
              <w:top w:val="single" w:color="auto" w:sz="4" w:space="0"/>
              <w:left w:val="nil"/>
              <w:bottom w:val="single" w:color="auto" w:sz="4" w:space="0"/>
              <w:right w:val="single" w:color="auto" w:sz="4" w:space="0"/>
            </w:tcBorders>
            <w:vAlign w:val="center"/>
          </w:tcPr>
          <w:p w14:paraId="56201C38">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构成竞争性磋商文件的其他材料</w:t>
            </w:r>
          </w:p>
        </w:tc>
        <w:tc>
          <w:tcPr>
            <w:tcW w:w="3651" w:type="pct"/>
            <w:tcBorders>
              <w:top w:val="single" w:color="auto" w:sz="4" w:space="0"/>
              <w:left w:val="nil"/>
              <w:bottom w:val="single" w:color="auto" w:sz="4" w:space="0"/>
              <w:right w:val="single" w:color="auto" w:sz="4" w:space="0"/>
            </w:tcBorders>
            <w:vAlign w:val="center"/>
          </w:tcPr>
          <w:p w14:paraId="7B1CBF01">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答疑纪要、竞争性磋商文件的补充和修改文件（如有）、</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清单等。</w:t>
            </w:r>
          </w:p>
        </w:tc>
      </w:tr>
      <w:tr w14:paraId="1F69A5C2">
        <w:tblPrEx>
          <w:tblCellMar>
            <w:top w:w="0" w:type="dxa"/>
            <w:left w:w="108" w:type="dxa"/>
            <w:bottom w:w="0" w:type="dxa"/>
            <w:right w:w="108" w:type="dxa"/>
          </w:tblCellMar>
        </w:tblPrEx>
        <w:trPr>
          <w:trHeight w:val="728"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659801FF">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c>
          <w:tcPr>
            <w:tcW w:w="848" w:type="pct"/>
            <w:tcBorders>
              <w:top w:val="single" w:color="auto" w:sz="4" w:space="0"/>
              <w:left w:val="nil"/>
              <w:bottom w:val="single" w:color="auto" w:sz="4" w:space="0"/>
              <w:right w:val="single" w:color="auto" w:sz="4" w:space="0"/>
            </w:tcBorders>
            <w:vAlign w:val="center"/>
          </w:tcPr>
          <w:p w14:paraId="3A241848">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提出问题的截止时间</w:t>
            </w:r>
          </w:p>
        </w:tc>
        <w:tc>
          <w:tcPr>
            <w:tcW w:w="3651" w:type="pct"/>
            <w:tcBorders>
              <w:top w:val="single" w:color="auto" w:sz="4" w:space="0"/>
              <w:left w:val="nil"/>
              <w:bottom w:val="single" w:color="auto" w:sz="4" w:space="0"/>
              <w:right w:val="single" w:color="auto" w:sz="4" w:space="0"/>
            </w:tcBorders>
            <w:vAlign w:val="center"/>
          </w:tcPr>
          <w:p w14:paraId="512B831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递交竞争性磋商响应文件截止之日</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日前</w:t>
            </w:r>
          </w:p>
        </w:tc>
      </w:tr>
      <w:tr w14:paraId="2DB12051">
        <w:tblPrEx>
          <w:tblCellMar>
            <w:top w:w="0" w:type="dxa"/>
            <w:left w:w="108" w:type="dxa"/>
            <w:bottom w:w="0" w:type="dxa"/>
            <w:right w:w="108" w:type="dxa"/>
          </w:tblCellMar>
        </w:tblPrEx>
        <w:trPr>
          <w:trHeight w:val="101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202C569A">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2.8.1</w:t>
            </w:r>
          </w:p>
        </w:tc>
        <w:tc>
          <w:tcPr>
            <w:tcW w:w="848" w:type="pct"/>
            <w:tcBorders>
              <w:top w:val="single" w:color="auto" w:sz="4" w:space="0"/>
              <w:left w:val="nil"/>
              <w:bottom w:val="single" w:color="auto" w:sz="4" w:space="0"/>
              <w:right w:val="single" w:color="auto" w:sz="4" w:space="0"/>
            </w:tcBorders>
            <w:vAlign w:val="center"/>
          </w:tcPr>
          <w:p w14:paraId="3A92E9A4">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书面澄清的时间</w:t>
            </w:r>
          </w:p>
        </w:tc>
        <w:tc>
          <w:tcPr>
            <w:tcW w:w="3651" w:type="pct"/>
            <w:tcBorders>
              <w:top w:val="single" w:color="auto" w:sz="4" w:space="0"/>
              <w:left w:val="nil"/>
              <w:bottom w:val="single" w:color="auto" w:sz="4" w:space="0"/>
              <w:right w:val="single" w:color="auto" w:sz="4" w:space="0"/>
            </w:tcBorders>
            <w:vAlign w:val="center"/>
          </w:tcPr>
          <w:p w14:paraId="29D2BE2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递交竞争性磋商响应文件截止之日5日前</w:t>
            </w:r>
          </w:p>
        </w:tc>
      </w:tr>
      <w:tr w14:paraId="48E99B7A">
        <w:tblPrEx>
          <w:tblCellMar>
            <w:top w:w="0" w:type="dxa"/>
            <w:left w:w="108" w:type="dxa"/>
            <w:bottom w:w="0" w:type="dxa"/>
            <w:right w:w="108" w:type="dxa"/>
          </w:tblCellMar>
        </w:tblPrEx>
        <w:trPr>
          <w:trHeight w:val="728"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1F93B2B4">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848" w:type="pct"/>
            <w:tcBorders>
              <w:top w:val="single" w:color="auto" w:sz="4" w:space="0"/>
              <w:left w:val="nil"/>
              <w:bottom w:val="single" w:color="auto" w:sz="4" w:space="0"/>
              <w:right w:val="single" w:color="auto" w:sz="4" w:space="0"/>
            </w:tcBorders>
            <w:vAlign w:val="center"/>
          </w:tcPr>
          <w:p w14:paraId="79FA83D1">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递交竞争性磋商响应文件截止时间</w:t>
            </w:r>
          </w:p>
        </w:tc>
        <w:tc>
          <w:tcPr>
            <w:tcW w:w="3651" w:type="pct"/>
            <w:tcBorders>
              <w:top w:val="single" w:color="auto" w:sz="4" w:space="0"/>
              <w:left w:val="nil"/>
              <w:bottom w:val="single" w:color="auto" w:sz="4" w:space="0"/>
              <w:right w:val="single" w:color="auto" w:sz="4" w:space="0"/>
            </w:tcBorders>
            <w:vAlign w:val="center"/>
          </w:tcPr>
          <w:p w14:paraId="2B0C0080">
            <w:pPr>
              <w:keepNext w:val="0"/>
              <w:keepLines w:val="0"/>
              <w:pageBreakBefore w:val="0"/>
              <w:widowControl/>
              <w:kinsoku/>
              <w:wordWrap/>
              <w:overflowPunct/>
              <w:topLinePunct w:val="0"/>
              <w:bidi w:val="0"/>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同公告要求</w:t>
            </w:r>
          </w:p>
        </w:tc>
      </w:tr>
      <w:tr w14:paraId="4F75A29F">
        <w:tblPrEx>
          <w:tblCellMar>
            <w:top w:w="0" w:type="dxa"/>
            <w:left w:w="108" w:type="dxa"/>
            <w:bottom w:w="0" w:type="dxa"/>
            <w:right w:w="108" w:type="dxa"/>
          </w:tblCellMar>
        </w:tblPrEx>
        <w:trPr>
          <w:trHeight w:val="436"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5D6D9660">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848" w:type="pct"/>
            <w:tcBorders>
              <w:top w:val="single" w:color="auto" w:sz="4" w:space="0"/>
              <w:left w:val="nil"/>
              <w:bottom w:val="single" w:color="auto" w:sz="4" w:space="0"/>
              <w:right w:val="single" w:color="auto" w:sz="4" w:space="0"/>
            </w:tcBorders>
            <w:vAlign w:val="center"/>
          </w:tcPr>
          <w:p w14:paraId="0FEB3798">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确认收到竞争性磋商文件澄清的时间</w:t>
            </w:r>
          </w:p>
        </w:tc>
        <w:tc>
          <w:tcPr>
            <w:tcW w:w="3651" w:type="pct"/>
            <w:tcBorders>
              <w:top w:val="single" w:color="auto" w:sz="4" w:space="0"/>
              <w:left w:val="nil"/>
              <w:bottom w:val="single" w:color="auto" w:sz="4" w:space="0"/>
              <w:right w:val="single" w:color="auto" w:sz="4" w:space="0"/>
            </w:tcBorders>
            <w:vAlign w:val="center"/>
          </w:tcPr>
          <w:p w14:paraId="6CAB374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时间：竞争性磋商文件的补充文件发出之日24小时内</w:t>
            </w:r>
          </w:p>
          <w:p w14:paraId="565E3EF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形式：在三门峡市公共资源交易电子化交易系统上回复确认</w:t>
            </w:r>
          </w:p>
        </w:tc>
      </w:tr>
      <w:tr w14:paraId="52FA1777">
        <w:tblPrEx>
          <w:tblCellMar>
            <w:top w:w="0" w:type="dxa"/>
            <w:left w:w="108" w:type="dxa"/>
            <w:bottom w:w="0" w:type="dxa"/>
            <w:right w:w="108" w:type="dxa"/>
          </w:tblCellMar>
        </w:tblPrEx>
        <w:trPr>
          <w:trHeight w:val="710"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396F12AC">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848" w:type="pct"/>
            <w:tcBorders>
              <w:top w:val="single" w:color="auto" w:sz="4" w:space="0"/>
              <w:left w:val="nil"/>
              <w:bottom w:val="single" w:color="auto" w:sz="4" w:space="0"/>
              <w:right w:val="single" w:color="auto" w:sz="4" w:space="0"/>
            </w:tcBorders>
            <w:vAlign w:val="center"/>
          </w:tcPr>
          <w:p w14:paraId="7F352756">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确认收到竞争性磋商文件修改的时间</w:t>
            </w:r>
          </w:p>
        </w:tc>
        <w:tc>
          <w:tcPr>
            <w:tcW w:w="3651" w:type="pct"/>
            <w:tcBorders>
              <w:top w:val="single" w:color="auto" w:sz="4" w:space="0"/>
              <w:left w:val="nil"/>
              <w:bottom w:val="single" w:color="auto" w:sz="4" w:space="0"/>
              <w:right w:val="single" w:color="auto" w:sz="4" w:space="0"/>
            </w:tcBorders>
            <w:vAlign w:val="center"/>
          </w:tcPr>
          <w:p w14:paraId="3BC39CFD">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竞争性磋商文件的补充文件发出之日24小时内</w:t>
            </w:r>
          </w:p>
        </w:tc>
      </w:tr>
      <w:tr w14:paraId="348CB1BD">
        <w:tblPrEx>
          <w:tblCellMar>
            <w:top w:w="0" w:type="dxa"/>
            <w:left w:w="108" w:type="dxa"/>
            <w:bottom w:w="0" w:type="dxa"/>
            <w:right w:w="108" w:type="dxa"/>
          </w:tblCellMar>
        </w:tblPrEx>
        <w:trPr>
          <w:trHeight w:val="621"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5FE1F741">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p>
        </w:tc>
        <w:tc>
          <w:tcPr>
            <w:tcW w:w="848" w:type="pct"/>
            <w:tcBorders>
              <w:top w:val="single" w:color="auto" w:sz="4" w:space="0"/>
              <w:left w:val="nil"/>
              <w:bottom w:val="single" w:color="auto" w:sz="4" w:space="0"/>
              <w:right w:val="single" w:color="auto" w:sz="4" w:space="0"/>
            </w:tcBorders>
            <w:vAlign w:val="center"/>
          </w:tcPr>
          <w:p w14:paraId="1026CBF8">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3651" w:type="pct"/>
            <w:tcBorders>
              <w:top w:val="single" w:color="auto" w:sz="4" w:space="0"/>
              <w:left w:val="nil"/>
              <w:bottom w:val="single" w:color="auto" w:sz="4" w:space="0"/>
              <w:right w:val="single" w:color="auto" w:sz="4" w:space="0"/>
            </w:tcBorders>
            <w:vAlign w:val="center"/>
          </w:tcPr>
          <w:p w14:paraId="66E1B1BC">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磋商有效期60日历天（从响应文件递交截止时间起）</w:t>
            </w:r>
          </w:p>
        </w:tc>
      </w:tr>
      <w:tr w14:paraId="414A77B2">
        <w:tblPrEx>
          <w:tblCellMar>
            <w:top w:w="0" w:type="dxa"/>
            <w:left w:w="108" w:type="dxa"/>
            <w:bottom w:w="0" w:type="dxa"/>
            <w:right w:w="108" w:type="dxa"/>
          </w:tblCellMar>
        </w:tblPrEx>
        <w:trPr>
          <w:trHeight w:val="650"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668EA471">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848" w:type="pct"/>
            <w:tcBorders>
              <w:top w:val="single" w:color="auto" w:sz="4" w:space="0"/>
              <w:left w:val="nil"/>
              <w:bottom w:val="single" w:color="auto" w:sz="4" w:space="0"/>
              <w:right w:val="single" w:color="auto" w:sz="4" w:space="0"/>
            </w:tcBorders>
            <w:vAlign w:val="center"/>
          </w:tcPr>
          <w:p w14:paraId="0917A5A3">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44"/>
                <w:sz w:val="24"/>
                <w:szCs w:val="24"/>
                <w:highlight w:val="none"/>
              </w:rPr>
              <w:t>磋商保证金</w:t>
            </w:r>
          </w:p>
        </w:tc>
        <w:tc>
          <w:tcPr>
            <w:tcW w:w="3651" w:type="pct"/>
            <w:tcBorders>
              <w:top w:val="single" w:color="auto" w:sz="4" w:space="0"/>
              <w:left w:val="nil"/>
              <w:bottom w:val="single" w:color="auto" w:sz="4" w:space="0"/>
              <w:right w:val="single" w:color="auto" w:sz="4" w:space="0"/>
            </w:tcBorders>
            <w:vAlign w:val="center"/>
          </w:tcPr>
          <w:p w14:paraId="23744C4F">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按照《河南省财政厅关于优化政府采购营商环境有关问题的通知》（豫财购〔2020〕4号文）的要求本项目不再收取保证金。</w:t>
            </w:r>
          </w:p>
        </w:tc>
      </w:tr>
      <w:tr w14:paraId="4CB4A62F">
        <w:tblPrEx>
          <w:tblCellMar>
            <w:top w:w="0" w:type="dxa"/>
            <w:left w:w="108" w:type="dxa"/>
            <w:bottom w:w="0" w:type="dxa"/>
            <w:right w:w="108" w:type="dxa"/>
          </w:tblCellMar>
        </w:tblPrEx>
        <w:trPr>
          <w:trHeight w:val="650"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6DB88DCD">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848" w:type="pct"/>
            <w:tcBorders>
              <w:top w:val="single" w:color="auto" w:sz="4" w:space="0"/>
              <w:left w:val="nil"/>
              <w:bottom w:val="single" w:color="auto" w:sz="4" w:space="0"/>
              <w:right w:val="single" w:color="auto" w:sz="4" w:space="0"/>
            </w:tcBorders>
            <w:vAlign w:val="center"/>
          </w:tcPr>
          <w:p w14:paraId="5C937468">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sz w:val="24"/>
                <w:szCs w:val="24"/>
                <w:highlight w:val="none"/>
              </w:rPr>
              <w:t>近年财务状况的年份要求</w:t>
            </w:r>
          </w:p>
        </w:tc>
        <w:tc>
          <w:tcPr>
            <w:tcW w:w="3651" w:type="pct"/>
            <w:tcBorders>
              <w:top w:val="single" w:color="auto" w:sz="4" w:space="0"/>
              <w:left w:val="nil"/>
              <w:bottom w:val="single" w:color="auto" w:sz="4" w:space="0"/>
              <w:right w:val="single" w:color="auto" w:sz="4" w:space="0"/>
            </w:tcBorders>
            <w:vAlign w:val="center"/>
          </w:tcPr>
          <w:p w14:paraId="212EFCF5">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近</w:t>
            </w:r>
            <w:r>
              <w:rPr>
                <w:rFonts w:hint="eastAsia" w:ascii="宋体" w:hAnsi="宋体" w:cs="宋体"/>
                <w:sz w:val="24"/>
                <w:szCs w:val="24"/>
                <w:highlight w:val="none"/>
                <w:u w:val="single"/>
                <w:lang w:val="en-US" w:eastAsia="zh-CN"/>
              </w:rPr>
              <w:t>一</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提供经审计的财务报告或财务报表，</w:t>
            </w:r>
            <w:r>
              <w:rPr>
                <w:rFonts w:hint="eastAsia" w:ascii="宋体" w:hAnsi="宋体" w:eastAsia="宋体" w:cs="宋体"/>
                <w:sz w:val="24"/>
                <w:szCs w:val="24"/>
                <w:highlight w:val="none"/>
              </w:rPr>
              <w:t>公司成立不足</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年的，以公司成立年份计算）。</w:t>
            </w:r>
          </w:p>
        </w:tc>
      </w:tr>
      <w:tr w14:paraId="3EB9C749">
        <w:tblPrEx>
          <w:tblCellMar>
            <w:top w:w="0" w:type="dxa"/>
            <w:left w:w="108" w:type="dxa"/>
            <w:bottom w:w="0" w:type="dxa"/>
            <w:right w:w="108" w:type="dxa"/>
          </w:tblCellMar>
        </w:tblPrEx>
        <w:trPr>
          <w:trHeight w:val="64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38F57AE5">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848" w:type="pct"/>
            <w:tcBorders>
              <w:top w:val="single" w:color="auto" w:sz="4" w:space="0"/>
              <w:left w:val="nil"/>
              <w:bottom w:val="single" w:color="auto" w:sz="4" w:space="0"/>
              <w:right w:val="single" w:color="auto" w:sz="4" w:space="0"/>
            </w:tcBorders>
            <w:vAlign w:val="center"/>
          </w:tcPr>
          <w:p w14:paraId="1308286A">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近年完成的类似项目的年份要求</w:t>
            </w:r>
          </w:p>
        </w:tc>
        <w:tc>
          <w:tcPr>
            <w:tcW w:w="3651" w:type="pct"/>
            <w:tcBorders>
              <w:top w:val="single" w:color="auto" w:sz="4" w:space="0"/>
              <w:left w:val="nil"/>
              <w:bottom w:val="single" w:color="auto" w:sz="4" w:space="0"/>
              <w:right w:val="single" w:color="auto" w:sz="4" w:space="0"/>
            </w:tcBorders>
            <w:vAlign w:val="center"/>
          </w:tcPr>
          <w:p w14:paraId="55B81E5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202</w:t>
            </w:r>
            <w:r>
              <w:rPr>
                <w:rFonts w:hint="eastAsia" w:ascii="宋体" w:hAnsi="宋体" w:eastAsia="宋体" w:cs="宋体"/>
                <w:kern w:val="44"/>
                <w:sz w:val="24"/>
                <w:szCs w:val="24"/>
                <w:highlight w:val="none"/>
                <w:lang w:val="en-US" w:eastAsia="zh-CN"/>
              </w:rPr>
              <w:t>2</w:t>
            </w:r>
            <w:r>
              <w:rPr>
                <w:rFonts w:hint="eastAsia" w:ascii="宋体" w:hAnsi="宋体" w:eastAsia="宋体" w:cs="宋体"/>
                <w:kern w:val="44"/>
                <w:sz w:val="24"/>
                <w:szCs w:val="24"/>
                <w:highlight w:val="none"/>
              </w:rPr>
              <w:t>年01月01日以来</w:t>
            </w:r>
          </w:p>
        </w:tc>
      </w:tr>
      <w:tr w14:paraId="297E9210">
        <w:tblPrEx>
          <w:tblCellMar>
            <w:top w:w="0" w:type="dxa"/>
            <w:left w:w="108" w:type="dxa"/>
            <w:bottom w:w="0" w:type="dxa"/>
            <w:right w:w="108" w:type="dxa"/>
          </w:tblCellMar>
        </w:tblPrEx>
        <w:trPr>
          <w:trHeight w:val="64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511AE3C7">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848" w:type="pct"/>
            <w:tcBorders>
              <w:top w:val="single" w:color="auto" w:sz="4" w:space="0"/>
              <w:left w:val="nil"/>
              <w:bottom w:val="single" w:color="auto" w:sz="4" w:space="0"/>
              <w:right w:val="single" w:color="auto" w:sz="4" w:space="0"/>
            </w:tcBorders>
            <w:vAlign w:val="center"/>
          </w:tcPr>
          <w:p w14:paraId="158AC898">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近年发生的诉讼及仲裁情况的年份要求</w:t>
            </w:r>
          </w:p>
        </w:tc>
        <w:tc>
          <w:tcPr>
            <w:tcW w:w="3651" w:type="pct"/>
            <w:tcBorders>
              <w:top w:val="single" w:color="auto" w:sz="4" w:space="0"/>
              <w:left w:val="nil"/>
              <w:bottom w:val="single" w:color="auto" w:sz="4" w:space="0"/>
              <w:right w:val="single" w:color="auto" w:sz="4" w:space="0"/>
            </w:tcBorders>
            <w:vAlign w:val="center"/>
          </w:tcPr>
          <w:p w14:paraId="704CFAF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202</w:t>
            </w:r>
            <w:r>
              <w:rPr>
                <w:rFonts w:hint="eastAsia" w:ascii="宋体" w:hAnsi="宋体" w:eastAsia="宋体" w:cs="宋体"/>
                <w:kern w:val="44"/>
                <w:sz w:val="24"/>
                <w:szCs w:val="24"/>
                <w:highlight w:val="none"/>
                <w:lang w:val="en-US" w:eastAsia="zh-CN"/>
              </w:rPr>
              <w:t>2</w:t>
            </w:r>
            <w:r>
              <w:rPr>
                <w:rFonts w:hint="eastAsia" w:ascii="宋体" w:hAnsi="宋体" w:eastAsia="宋体" w:cs="宋体"/>
                <w:kern w:val="44"/>
                <w:sz w:val="24"/>
                <w:szCs w:val="24"/>
                <w:highlight w:val="none"/>
              </w:rPr>
              <w:t>年01月01日以来</w:t>
            </w:r>
          </w:p>
        </w:tc>
      </w:tr>
      <w:tr w14:paraId="1F695D05">
        <w:tblPrEx>
          <w:tblCellMar>
            <w:top w:w="0" w:type="dxa"/>
            <w:left w:w="108" w:type="dxa"/>
            <w:bottom w:w="0" w:type="dxa"/>
            <w:right w:w="108" w:type="dxa"/>
          </w:tblCellMar>
        </w:tblPrEx>
        <w:trPr>
          <w:trHeight w:val="549"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4A734541">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w:t>
            </w:r>
          </w:p>
        </w:tc>
        <w:tc>
          <w:tcPr>
            <w:tcW w:w="848" w:type="pct"/>
            <w:tcBorders>
              <w:top w:val="single" w:color="auto" w:sz="4" w:space="0"/>
              <w:left w:val="nil"/>
              <w:bottom w:val="single" w:color="auto" w:sz="4" w:space="0"/>
              <w:right w:val="single" w:color="auto" w:sz="4" w:space="0"/>
            </w:tcBorders>
            <w:vAlign w:val="center"/>
          </w:tcPr>
          <w:p w14:paraId="63FAF194">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是否允许递交备选投标方案</w:t>
            </w:r>
          </w:p>
        </w:tc>
        <w:tc>
          <w:tcPr>
            <w:tcW w:w="3651" w:type="pct"/>
            <w:tcBorders>
              <w:top w:val="single" w:color="auto" w:sz="4" w:space="0"/>
              <w:left w:val="nil"/>
              <w:bottom w:val="single" w:color="auto" w:sz="4" w:space="0"/>
              <w:right w:val="single" w:color="auto" w:sz="4" w:space="0"/>
            </w:tcBorders>
            <w:vAlign w:val="center"/>
          </w:tcPr>
          <w:p w14:paraId="424ED40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不允许</w:t>
            </w:r>
          </w:p>
        </w:tc>
      </w:tr>
      <w:tr w14:paraId="55F4A906">
        <w:tblPrEx>
          <w:tblCellMar>
            <w:top w:w="0" w:type="dxa"/>
            <w:left w:w="108" w:type="dxa"/>
            <w:bottom w:w="0" w:type="dxa"/>
            <w:right w:w="108" w:type="dxa"/>
          </w:tblCellMar>
        </w:tblPrEx>
        <w:trPr>
          <w:trHeight w:val="549"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18199E17">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3.7.1</w:t>
            </w:r>
          </w:p>
        </w:tc>
        <w:tc>
          <w:tcPr>
            <w:tcW w:w="848" w:type="pct"/>
            <w:tcBorders>
              <w:top w:val="single" w:color="auto" w:sz="4" w:space="0"/>
              <w:left w:val="nil"/>
              <w:bottom w:val="single" w:color="auto" w:sz="4" w:space="0"/>
              <w:right w:val="single" w:color="auto" w:sz="4" w:space="0"/>
            </w:tcBorders>
            <w:vAlign w:val="center"/>
          </w:tcPr>
          <w:p w14:paraId="085B833A">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投标文件副本份数及其他要求</w:t>
            </w:r>
          </w:p>
        </w:tc>
        <w:tc>
          <w:tcPr>
            <w:tcW w:w="3651" w:type="pct"/>
            <w:tcBorders>
              <w:top w:val="single" w:color="auto" w:sz="4" w:space="0"/>
              <w:left w:val="nil"/>
              <w:bottom w:val="single" w:color="auto" w:sz="4" w:space="0"/>
              <w:right w:val="single" w:color="auto" w:sz="4" w:space="0"/>
            </w:tcBorders>
            <w:vAlign w:val="center"/>
          </w:tcPr>
          <w:p w14:paraId="5B00AC7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1、本项目采用电子招标，根据三门峡市公共资源交易中心系统编制投标文件；</w:t>
            </w:r>
          </w:p>
          <w:p w14:paraId="741D9E17">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2、开标时不再递交纸质投标文件，中标单位领取中标通知书时提交</w:t>
            </w:r>
            <w:r>
              <w:rPr>
                <w:rFonts w:hint="eastAsia" w:ascii="宋体" w:hAnsi="宋体" w:cs="宋体"/>
                <w:kern w:val="44"/>
                <w:sz w:val="24"/>
                <w:szCs w:val="24"/>
                <w:highlight w:val="none"/>
                <w:lang w:eastAsia="zh-CN"/>
              </w:rPr>
              <w:t>三</w:t>
            </w:r>
            <w:r>
              <w:rPr>
                <w:rFonts w:hint="eastAsia" w:ascii="宋体" w:hAnsi="宋体" w:eastAsia="宋体" w:cs="宋体"/>
                <w:kern w:val="44"/>
                <w:sz w:val="24"/>
                <w:szCs w:val="24"/>
                <w:highlight w:val="none"/>
              </w:rPr>
              <w:t>份纸质投标文件，投标文件应按以下要求装订：胶装（不得采用活页装订），应有目录，并逐页标注连续页码，需加盖公章。</w:t>
            </w:r>
          </w:p>
        </w:tc>
      </w:tr>
      <w:tr w14:paraId="0D10C438">
        <w:tblPrEx>
          <w:tblCellMar>
            <w:top w:w="0" w:type="dxa"/>
            <w:left w:w="108" w:type="dxa"/>
            <w:bottom w:w="0" w:type="dxa"/>
            <w:right w:w="108" w:type="dxa"/>
          </w:tblCellMar>
        </w:tblPrEx>
        <w:trPr>
          <w:trHeight w:val="90"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18C990DC">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3.8</w:t>
            </w:r>
          </w:p>
        </w:tc>
        <w:tc>
          <w:tcPr>
            <w:tcW w:w="848" w:type="pct"/>
            <w:tcBorders>
              <w:top w:val="single" w:color="auto" w:sz="4" w:space="0"/>
              <w:left w:val="nil"/>
              <w:bottom w:val="single" w:color="auto" w:sz="4" w:space="0"/>
              <w:right w:val="single" w:color="auto" w:sz="4" w:space="0"/>
            </w:tcBorders>
            <w:vAlign w:val="center"/>
          </w:tcPr>
          <w:p w14:paraId="3FC13548">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电子签章</w:t>
            </w:r>
          </w:p>
          <w:p w14:paraId="6F9F1DA4">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sz w:val="24"/>
                <w:szCs w:val="24"/>
                <w:highlight w:val="none"/>
              </w:rPr>
              <w:t>要求</w:t>
            </w:r>
          </w:p>
        </w:tc>
        <w:tc>
          <w:tcPr>
            <w:tcW w:w="3651" w:type="pct"/>
            <w:tcBorders>
              <w:top w:val="single" w:color="auto" w:sz="4" w:space="0"/>
              <w:left w:val="nil"/>
              <w:bottom w:val="single" w:color="auto" w:sz="4" w:space="0"/>
              <w:right w:val="single" w:color="auto" w:sz="4" w:space="0"/>
            </w:tcBorders>
            <w:vAlign w:val="center"/>
          </w:tcPr>
          <w:p w14:paraId="015677F5">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在进行电子化磋商响应文件签章时，竞争性磋商文件中要求</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盖章的，以签电子签章为准；要求法定代表人签章的，以签盖法定代表人签章为准。</w:t>
            </w:r>
          </w:p>
        </w:tc>
      </w:tr>
      <w:tr w14:paraId="29088EBC">
        <w:tblPrEx>
          <w:tblCellMar>
            <w:top w:w="0" w:type="dxa"/>
            <w:left w:w="108" w:type="dxa"/>
            <w:bottom w:w="0" w:type="dxa"/>
            <w:right w:w="108" w:type="dxa"/>
          </w:tblCellMar>
        </w:tblPrEx>
        <w:trPr>
          <w:trHeight w:val="549"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49B695BC">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3.9</w:t>
            </w:r>
          </w:p>
        </w:tc>
        <w:tc>
          <w:tcPr>
            <w:tcW w:w="848" w:type="pct"/>
            <w:tcBorders>
              <w:top w:val="single" w:color="auto" w:sz="4" w:space="0"/>
              <w:left w:val="nil"/>
              <w:bottom w:val="single" w:color="auto" w:sz="4" w:space="0"/>
              <w:right w:val="single" w:color="auto" w:sz="4" w:space="0"/>
            </w:tcBorders>
            <w:vAlign w:val="center"/>
          </w:tcPr>
          <w:p w14:paraId="63D4E2B6">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电子化磋商响应文件的格式及上传</w:t>
            </w:r>
          </w:p>
        </w:tc>
        <w:tc>
          <w:tcPr>
            <w:tcW w:w="3651" w:type="pct"/>
            <w:tcBorders>
              <w:top w:val="single" w:color="auto" w:sz="4" w:space="0"/>
              <w:left w:val="nil"/>
              <w:bottom w:val="single" w:color="auto" w:sz="4" w:space="0"/>
              <w:right w:val="single" w:color="auto" w:sz="4" w:space="0"/>
            </w:tcBorders>
            <w:vAlign w:val="center"/>
          </w:tcPr>
          <w:p w14:paraId="112653F0">
            <w:pPr>
              <w:keepNext w:val="0"/>
              <w:keepLines w:val="0"/>
              <w:pageBreakBefore w:val="0"/>
              <w:kinsoku/>
              <w:wordWrap/>
              <w:overflowPunct/>
              <w:topLinePunct w:val="0"/>
              <w:bidi w:val="0"/>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085636B0">
            <w:pPr>
              <w:keepNext w:val="0"/>
              <w:keepLines w:val="0"/>
              <w:pageBreakBefore w:val="0"/>
              <w:kinsoku/>
              <w:wordWrap/>
              <w:overflowPunct/>
              <w:topLinePunct w:val="0"/>
              <w:bidi w:val="0"/>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2.电子化磋商响应文件应在投标截止时间前成功上传至三门峡市公共资源电子化交易系统。至投标截止时间止，仍未上传成功的电子化磋商响应文件将不予接收。</w:t>
            </w:r>
          </w:p>
          <w:p w14:paraId="238C412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注：如按照电子化投标操作教材制作完成的电子化磋商响应文件无法上传的，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应在投标截止时间前尽早的联系中心技术人员，以便有充分的时间进行处理。</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应充分考虑到处理技术问题和上传数据等工作所需的时间问题，磋商响应文件未在投标截止时间前成功上传的，其磋商响应文件不予接收。</w:t>
            </w:r>
          </w:p>
        </w:tc>
      </w:tr>
      <w:tr w14:paraId="76954824">
        <w:tblPrEx>
          <w:tblCellMar>
            <w:top w:w="0" w:type="dxa"/>
            <w:left w:w="108" w:type="dxa"/>
            <w:bottom w:w="0" w:type="dxa"/>
            <w:right w:w="108" w:type="dxa"/>
          </w:tblCellMar>
        </w:tblPrEx>
        <w:trPr>
          <w:trHeight w:val="549"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4C675D78">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848" w:type="pct"/>
            <w:tcBorders>
              <w:top w:val="single" w:color="auto" w:sz="4" w:space="0"/>
              <w:left w:val="nil"/>
              <w:bottom w:val="single" w:color="auto" w:sz="4" w:space="0"/>
              <w:right w:val="single" w:color="auto" w:sz="4" w:space="0"/>
            </w:tcBorders>
            <w:vAlign w:val="center"/>
          </w:tcPr>
          <w:p w14:paraId="20B95323">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磋商时间和地点</w:t>
            </w:r>
          </w:p>
        </w:tc>
        <w:tc>
          <w:tcPr>
            <w:tcW w:w="3651" w:type="pct"/>
            <w:tcBorders>
              <w:top w:val="single" w:color="auto" w:sz="4" w:space="0"/>
              <w:left w:val="nil"/>
              <w:bottom w:val="single" w:color="auto" w:sz="4" w:space="0"/>
              <w:right w:val="single" w:color="auto" w:sz="4" w:space="0"/>
            </w:tcBorders>
            <w:vAlign w:val="center"/>
          </w:tcPr>
          <w:p w14:paraId="0D72682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cs="宋体"/>
                <w:kern w:val="44"/>
                <w:sz w:val="24"/>
                <w:szCs w:val="24"/>
                <w:highlight w:val="none"/>
                <w:lang w:val="en-US" w:eastAsia="zh-CN"/>
              </w:rPr>
              <w:t>同公告要求</w:t>
            </w:r>
            <w:r>
              <w:rPr>
                <w:rFonts w:hint="eastAsia" w:ascii="宋体" w:hAnsi="宋体" w:eastAsia="宋体" w:cs="宋体"/>
                <w:kern w:val="44"/>
                <w:sz w:val="24"/>
                <w:szCs w:val="24"/>
                <w:highlight w:val="none"/>
              </w:rPr>
              <w:t>。</w:t>
            </w:r>
          </w:p>
        </w:tc>
      </w:tr>
      <w:tr w14:paraId="580037DF">
        <w:tblPrEx>
          <w:tblCellMar>
            <w:top w:w="0" w:type="dxa"/>
            <w:left w:w="108" w:type="dxa"/>
            <w:bottom w:w="0" w:type="dxa"/>
            <w:right w:w="108" w:type="dxa"/>
          </w:tblCellMar>
        </w:tblPrEx>
        <w:trPr>
          <w:trHeight w:val="888"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49754E72">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848" w:type="pct"/>
            <w:tcBorders>
              <w:top w:val="single" w:color="auto" w:sz="4" w:space="0"/>
              <w:left w:val="nil"/>
              <w:bottom w:val="single" w:color="auto" w:sz="4" w:space="0"/>
              <w:right w:val="single" w:color="auto" w:sz="4" w:space="0"/>
            </w:tcBorders>
            <w:vAlign w:val="center"/>
          </w:tcPr>
          <w:p w14:paraId="6306D62C">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磋商程序</w:t>
            </w:r>
          </w:p>
        </w:tc>
        <w:tc>
          <w:tcPr>
            <w:tcW w:w="3651" w:type="pct"/>
            <w:tcBorders>
              <w:top w:val="single" w:color="auto" w:sz="4" w:space="0"/>
              <w:left w:val="nil"/>
              <w:bottom w:val="single" w:color="auto" w:sz="4" w:space="0"/>
              <w:right w:val="single" w:color="auto" w:sz="4" w:space="0"/>
            </w:tcBorders>
            <w:vAlign w:val="center"/>
          </w:tcPr>
          <w:p w14:paraId="2894A541">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按电子化磋商响应文件上传的时间顺序磋商。</w:t>
            </w:r>
          </w:p>
        </w:tc>
      </w:tr>
      <w:tr w14:paraId="5E0CD2CA">
        <w:tblPrEx>
          <w:tblCellMar>
            <w:top w:w="0" w:type="dxa"/>
            <w:left w:w="108" w:type="dxa"/>
            <w:bottom w:w="0" w:type="dxa"/>
            <w:right w:w="108" w:type="dxa"/>
          </w:tblCellMar>
        </w:tblPrEx>
        <w:trPr>
          <w:trHeight w:val="549"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050AF5B2">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p>
        </w:tc>
        <w:tc>
          <w:tcPr>
            <w:tcW w:w="848" w:type="pct"/>
            <w:tcBorders>
              <w:top w:val="single" w:color="auto" w:sz="4" w:space="0"/>
              <w:left w:val="nil"/>
              <w:bottom w:val="single" w:color="auto" w:sz="4" w:space="0"/>
              <w:right w:val="single" w:color="auto" w:sz="4" w:space="0"/>
            </w:tcBorders>
            <w:vAlign w:val="center"/>
          </w:tcPr>
          <w:p w14:paraId="565D2726">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磋商小组的</w:t>
            </w:r>
          </w:p>
          <w:p w14:paraId="77D0F48A">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组建</w:t>
            </w:r>
          </w:p>
        </w:tc>
        <w:tc>
          <w:tcPr>
            <w:tcW w:w="3651" w:type="pct"/>
            <w:tcBorders>
              <w:top w:val="single" w:color="auto" w:sz="4" w:space="0"/>
              <w:left w:val="nil"/>
              <w:bottom w:val="single" w:color="auto" w:sz="4" w:space="0"/>
              <w:right w:val="single" w:color="auto" w:sz="4" w:space="0"/>
            </w:tcBorders>
            <w:vAlign w:val="center"/>
          </w:tcPr>
          <w:p w14:paraId="38729E9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磋商小组构成：由采购人代表及有关经济、技术等方面的专家共3人组成，其中采购人代表1人，经济、技术等有关方面的专家2人。</w:t>
            </w:r>
          </w:p>
          <w:p w14:paraId="6B58BA6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评标专家确定方式：参加评标的专家由采购人、监督人在灵宝市公共资源交易中心抽取终端随机抽取确定。</w:t>
            </w:r>
          </w:p>
        </w:tc>
      </w:tr>
      <w:tr w14:paraId="196E4F9D">
        <w:tblPrEx>
          <w:tblCellMar>
            <w:top w:w="0" w:type="dxa"/>
            <w:left w:w="108" w:type="dxa"/>
            <w:bottom w:w="0" w:type="dxa"/>
            <w:right w:w="108" w:type="dxa"/>
          </w:tblCellMar>
        </w:tblPrEx>
        <w:trPr>
          <w:trHeight w:val="884"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6BE9EBF8">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w:t>
            </w:r>
          </w:p>
        </w:tc>
        <w:tc>
          <w:tcPr>
            <w:tcW w:w="848" w:type="pct"/>
            <w:tcBorders>
              <w:top w:val="single" w:color="auto" w:sz="4" w:space="0"/>
              <w:left w:val="nil"/>
              <w:bottom w:val="single" w:color="auto" w:sz="4" w:space="0"/>
              <w:right w:val="single" w:color="auto" w:sz="4" w:space="0"/>
            </w:tcBorders>
            <w:vAlign w:val="center"/>
          </w:tcPr>
          <w:p w14:paraId="10E3D7CA">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是否授权磋商</w:t>
            </w:r>
          </w:p>
          <w:p w14:paraId="1AB31B77">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小组确定成交人</w:t>
            </w:r>
          </w:p>
        </w:tc>
        <w:tc>
          <w:tcPr>
            <w:tcW w:w="3651" w:type="pct"/>
            <w:tcBorders>
              <w:top w:val="single" w:color="auto" w:sz="4" w:space="0"/>
              <w:left w:val="nil"/>
              <w:bottom w:val="single" w:color="auto" w:sz="4" w:space="0"/>
              <w:right w:val="single" w:color="auto" w:sz="4" w:space="0"/>
            </w:tcBorders>
            <w:vAlign w:val="center"/>
          </w:tcPr>
          <w:p w14:paraId="3A52E4E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否，按顺序推荐的</w:t>
            </w:r>
            <w:r>
              <w:rPr>
                <w:rFonts w:hint="eastAsia" w:ascii="宋体" w:hAnsi="宋体" w:eastAsia="宋体" w:cs="宋体"/>
                <w:kern w:val="44"/>
                <w:sz w:val="24"/>
                <w:szCs w:val="24"/>
                <w:highlight w:val="none"/>
              </w:rPr>
              <w:t>成交</w:t>
            </w:r>
            <w:r>
              <w:rPr>
                <w:rFonts w:hint="eastAsia" w:ascii="宋体" w:hAnsi="宋体" w:eastAsia="宋体" w:cs="宋体"/>
                <w:sz w:val="24"/>
                <w:szCs w:val="24"/>
                <w:highlight w:val="none"/>
              </w:rPr>
              <w:t>候选人数：</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3名</w:t>
            </w:r>
          </w:p>
        </w:tc>
      </w:tr>
      <w:tr w14:paraId="2F0D40C9">
        <w:tblPrEx>
          <w:tblCellMar>
            <w:top w:w="0" w:type="dxa"/>
            <w:left w:w="108" w:type="dxa"/>
            <w:bottom w:w="0" w:type="dxa"/>
            <w:right w:w="108" w:type="dxa"/>
          </w:tblCellMar>
        </w:tblPrEx>
        <w:trPr>
          <w:trHeight w:val="549"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5F6F2F78">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4.4</w:t>
            </w:r>
          </w:p>
        </w:tc>
        <w:tc>
          <w:tcPr>
            <w:tcW w:w="848" w:type="pct"/>
            <w:tcBorders>
              <w:top w:val="single" w:color="auto" w:sz="4" w:space="0"/>
              <w:left w:val="nil"/>
              <w:bottom w:val="single" w:color="auto" w:sz="4" w:space="0"/>
              <w:right w:val="single" w:color="auto" w:sz="4" w:space="0"/>
            </w:tcBorders>
            <w:vAlign w:val="center"/>
          </w:tcPr>
          <w:p w14:paraId="1035CA30">
            <w:pPr>
              <w:keepLines/>
              <w:spacing w:line="360" w:lineRule="auto"/>
              <w:jc w:val="both"/>
              <w:rPr>
                <w:rFonts w:hint="eastAsia" w:ascii="宋体" w:hAnsi="宋体" w:eastAsia="宋体" w:cs="宋体"/>
                <w:kern w:val="44"/>
                <w:sz w:val="24"/>
                <w:szCs w:val="24"/>
                <w:highlight w:val="none"/>
              </w:rPr>
            </w:pPr>
            <w:r>
              <w:rPr>
                <w:rFonts w:hint="eastAsia" w:ascii="宋体" w:hAnsi="宋体" w:cs="宋体"/>
                <w:color w:val="auto"/>
                <w:kern w:val="0"/>
                <w:sz w:val="24"/>
                <w:szCs w:val="24"/>
                <w:highlight w:val="none"/>
              </w:rPr>
              <w:t>履约</w:t>
            </w:r>
            <w:r>
              <w:rPr>
                <w:rFonts w:ascii="宋体" w:hAnsi="宋体" w:cs="宋体"/>
                <w:color w:val="auto"/>
                <w:kern w:val="0"/>
                <w:sz w:val="24"/>
                <w:szCs w:val="24"/>
                <w:highlight w:val="none"/>
              </w:rPr>
              <w:t>保证金</w:t>
            </w:r>
          </w:p>
        </w:tc>
        <w:tc>
          <w:tcPr>
            <w:tcW w:w="3651" w:type="pct"/>
            <w:tcBorders>
              <w:top w:val="single" w:color="auto" w:sz="4" w:space="0"/>
              <w:left w:val="nil"/>
              <w:bottom w:val="single" w:color="auto" w:sz="4" w:space="0"/>
              <w:right w:val="single" w:color="auto" w:sz="4" w:space="0"/>
            </w:tcBorders>
            <w:vAlign w:val="center"/>
          </w:tcPr>
          <w:p w14:paraId="41B56C5A">
            <w:pPr>
              <w:keepLines/>
              <w:spacing w:line="360" w:lineRule="auto"/>
              <w:rPr>
                <w:rFonts w:hint="eastAsia" w:ascii="宋体" w:hAnsi="宋体" w:eastAsia="宋体" w:cs="宋体"/>
                <w:kern w:val="44"/>
                <w:sz w:val="24"/>
                <w:szCs w:val="24"/>
                <w:highlight w:val="none"/>
              </w:rPr>
            </w:pPr>
            <w:r>
              <w:rPr>
                <w:rFonts w:hint="eastAsia" w:ascii="宋体" w:hAnsi="宋体" w:cs="宋体"/>
                <w:color w:val="auto"/>
                <w:sz w:val="24"/>
                <w:szCs w:val="24"/>
                <w:highlight w:val="none"/>
              </w:rPr>
              <w:t>本项目</w:t>
            </w:r>
            <w:r>
              <w:rPr>
                <w:rFonts w:ascii="宋体" w:hAnsi="宋体" w:cs="宋体"/>
                <w:color w:val="auto"/>
                <w:sz w:val="24"/>
                <w:szCs w:val="24"/>
                <w:highlight w:val="none"/>
              </w:rPr>
              <w:t>不收取履约保证金。</w:t>
            </w:r>
            <w:r>
              <w:rPr>
                <w:rFonts w:hint="eastAsia" w:ascii="宋体" w:hAnsi="宋体" w:cs="宋体"/>
                <w:color w:val="auto"/>
                <w:sz w:val="24"/>
                <w:szCs w:val="24"/>
                <w:highlight w:val="none"/>
              </w:rPr>
              <w:t>如供应商违反政府采购合同约定给采购人造成损失的,采购人按照合同约定,要求供应商承担赔偿责任。</w:t>
            </w:r>
          </w:p>
        </w:tc>
      </w:tr>
      <w:tr w14:paraId="56FE52F2">
        <w:tblPrEx>
          <w:tblCellMar>
            <w:top w:w="0" w:type="dxa"/>
            <w:left w:w="108" w:type="dxa"/>
            <w:bottom w:w="0" w:type="dxa"/>
            <w:right w:w="108" w:type="dxa"/>
          </w:tblCellMar>
        </w:tblPrEx>
        <w:trPr>
          <w:trHeight w:val="32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0980A89">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需要补充的其他内容</w:t>
            </w:r>
          </w:p>
        </w:tc>
      </w:tr>
      <w:tr w14:paraId="67C0484C">
        <w:tblPrEx>
          <w:tblCellMar>
            <w:top w:w="0" w:type="dxa"/>
            <w:left w:w="108" w:type="dxa"/>
            <w:bottom w:w="0" w:type="dxa"/>
            <w:right w:w="108" w:type="dxa"/>
          </w:tblCellMar>
        </w:tblPrEx>
        <w:trPr>
          <w:trHeight w:val="938"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16C85C68">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5</w:t>
            </w:r>
          </w:p>
        </w:tc>
        <w:tc>
          <w:tcPr>
            <w:tcW w:w="848" w:type="pct"/>
            <w:tcBorders>
              <w:top w:val="single" w:color="auto" w:sz="4" w:space="0"/>
              <w:left w:val="nil"/>
              <w:bottom w:val="single" w:color="auto" w:sz="4" w:space="0"/>
              <w:right w:val="single" w:color="auto" w:sz="4" w:space="0"/>
            </w:tcBorders>
            <w:vAlign w:val="center"/>
          </w:tcPr>
          <w:p w14:paraId="0886931F">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lang w:eastAsia="zh-CN"/>
              </w:rPr>
            </w:pPr>
            <w:r>
              <w:rPr>
                <w:rFonts w:hint="eastAsia" w:ascii="宋体" w:hAnsi="宋体" w:cs="宋体"/>
                <w:kern w:val="44"/>
                <w:sz w:val="24"/>
                <w:szCs w:val="24"/>
                <w:highlight w:val="none"/>
                <w:lang w:val="en-US" w:eastAsia="zh-CN"/>
              </w:rPr>
              <w:t>采购预算</w:t>
            </w:r>
          </w:p>
        </w:tc>
        <w:tc>
          <w:tcPr>
            <w:tcW w:w="3651" w:type="pct"/>
            <w:tcBorders>
              <w:top w:val="single" w:color="auto" w:sz="4" w:space="0"/>
              <w:left w:val="nil"/>
              <w:bottom w:val="single" w:color="auto" w:sz="4" w:space="0"/>
              <w:right w:val="single" w:color="auto" w:sz="4" w:space="0"/>
            </w:tcBorders>
            <w:vAlign w:val="center"/>
          </w:tcPr>
          <w:p w14:paraId="37F06FE3">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kern w:val="44"/>
                <w:sz w:val="24"/>
                <w:szCs w:val="24"/>
                <w:highlight w:val="none"/>
              </w:rPr>
              <w:t>本项目的</w:t>
            </w:r>
            <w:r>
              <w:rPr>
                <w:rFonts w:hint="eastAsia" w:ascii="宋体" w:hAnsi="宋体" w:cs="宋体"/>
                <w:kern w:val="44"/>
                <w:sz w:val="24"/>
                <w:szCs w:val="24"/>
                <w:highlight w:val="none"/>
                <w:lang w:val="en-US" w:eastAsia="zh-CN"/>
              </w:rPr>
              <w:t>最高限价</w:t>
            </w:r>
            <w:r>
              <w:rPr>
                <w:rFonts w:hint="eastAsia" w:ascii="宋体" w:hAnsi="宋体" w:eastAsia="宋体" w:cs="宋体"/>
                <w:kern w:val="44"/>
                <w:sz w:val="24"/>
                <w:szCs w:val="24"/>
                <w:highlight w:val="none"/>
              </w:rPr>
              <w:t>为（</w:t>
            </w:r>
            <w:r>
              <w:rPr>
                <w:rFonts w:hint="eastAsia" w:ascii="宋体" w:hAnsi="宋体" w:cs="宋体"/>
                <w:kern w:val="44"/>
                <w:sz w:val="24"/>
                <w:szCs w:val="24"/>
                <w:highlight w:val="none"/>
                <w:lang w:eastAsia="zh-CN"/>
              </w:rPr>
              <w:t>189.5726万元</w:t>
            </w:r>
            <w:r>
              <w:rPr>
                <w:rFonts w:hint="eastAsia" w:ascii="宋体" w:hAnsi="宋体" w:eastAsia="宋体" w:cs="宋体"/>
                <w:kern w:val="44"/>
                <w:sz w:val="24"/>
                <w:szCs w:val="24"/>
                <w:highlight w:val="none"/>
              </w:rPr>
              <w:t>），凡</w:t>
            </w: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的磋商报价超出“</w:t>
            </w:r>
            <w:r>
              <w:rPr>
                <w:rFonts w:hint="eastAsia" w:ascii="宋体" w:hAnsi="宋体" w:cs="宋体"/>
                <w:kern w:val="44"/>
                <w:sz w:val="24"/>
                <w:szCs w:val="24"/>
                <w:highlight w:val="none"/>
                <w:lang w:eastAsia="zh-CN"/>
              </w:rPr>
              <w:t>最高限价</w:t>
            </w:r>
            <w:r>
              <w:rPr>
                <w:rFonts w:hint="eastAsia" w:ascii="宋体" w:hAnsi="宋体" w:eastAsia="宋体" w:cs="宋体"/>
                <w:kern w:val="44"/>
                <w:sz w:val="24"/>
                <w:szCs w:val="24"/>
                <w:highlight w:val="none"/>
              </w:rPr>
              <w:t>”（不含等于“</w:t>
            </w:r>
            <w:r>
              <w:rPr>
                <w:rFonts w:hint="eastAsia" w:ascii="宋体" w:hAnsi="宋体" w:cs="宋体"/>
                <w:kern w:val="44"/>
                <w:sz w:val="24"/>
                <w:szCs w:val="24"/>
                <w:highlight w:val="none"/>
                <w:lang w:eastAsia="zh-CN"/>
              </w:rPr>
              <w:t>最高限价</w:t>
            </w:r>
            <w:r>
              <w:rPr>
                <w:rFonts w:hint="eastAsia" w:ascii="宋体" w:hAnsi="宋体" w:eastAsia="宋体" w:cs="宋体"/>
                <w:kern w:val="44"/>
                <w:sz w:val="24"/>
                <w:szCs w:val="24"/>
                <w:highlight w:val="none"/>
              </w:rPr>
              <w:t>”）的，其投标将被否决。</w:t>
            </w:r>
          </w:p>
        </w:tc>
      </w:tr>
      <w:tr w14:paraId="12E94F61">
        <w:tblPrEx>
          <w:tblCellMar>
            <w:top w:w="0" w:type="dxa"/>
            <w:left w:w="108" w:type="dxa"/>
            <w:bottom w:w="0" w:type="dxa"/>
            <w:right w:w="108" w:type="dxa"/>
          </w:tblCellMar>
        </w:tblPrEx>
        <w:trPr>
          <w:trHeight w:val="90"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5A698495">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6</w:t>
            </w:r>
          </w:p>
        </w:tc>
        <w:tc>
          <w:tcPr>
            <w:tcW w:w="848" w:type="pct"/>
            <w:tcBorders>
              <w:top w:val="single" w:color="auto" w:sz="4" w:space="0"/>
              <w:left w:val="nil"/>
              <w:bottom w:val="single" w:color="auto" w:sz="4" w:space="0"/>
              <w:right w:val="single" w:color="auto" w:sz="4" w:space="0"/>
            </w:tcBorders>
            <w:vAlign w:val="center"/>
          </w:tcPr>
          <w:p w14:paraId="0FC2EBDB">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竞争性磋商文件的解释</w:t>
            </w:r>
          </w:p>
        </w:tc>
        <w:tc>
          <w:tcPr>
            <w:tcW w:w="3651" w:type="pct"/>
            <w:tcBorders>
              <w:top w:val="single" w:color="auto" w:sz="4" w:space="0"/>
              <w:left w:val="nil"/>
              <w:bottom w:val="single" w:color="auto" w:sz="4" w:space="0"/>
              <w:right w:val="single" w:color="auto" w:sz="4" w:space="0"/>
            </w:tcBorders>
            <w:vAlign w:val="center"/>
          </w:tcPr>
          <w:p w14:paraId="75B3F58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 xml:space="preserve">  在符合相关法律法规的前提下，竞争性磋商文件的解释权归</w:t>
            </w:r>
            <w:r>
              <w:rPr>
                <w:rFonts w:hint="eastAsia" w:ascii="宋体" w:hAnsi="宋体" w:cs="宋体"/>
                <w:kern w:val="44"/>
                <w:sz w:val="24"/>
                <w:szCs w:val="24"/>
                <w:highlight w:val="none"/>
                <w:lang w:eastAsia="zh-CN"/>
              </w:rPr>
              <w:t>采购人</w:t>
            </w:r>
            <w:r>
              <w:rPr>
                <w:rFonts w:hint="eastAsia" w:ascii="宋体" w:hAnsi="宋体" w:eastAsia="宋体" w:cs="宋体"/>
                <w:kern w:val="44"/>
                <w:sz w:val="24"/>
                <w:szCs w:val="24"/>
                <w:highlight w:val="none"/>
              </w:rPr>
              <w:t>所有。</w:t>
            </w:r>
          </w:p>
        </w:tc>
      </w:tr>
      <w:tr w14:paraId="14E66222">
        <w:tblPrEx>
          <w:tblCellMar>
            <w:top w:w="0" w:type="dxa"/>
            <w:left w:w="108" w:type="dxa"/>
            <w:bottom w:w="0" w:type="dxa"/>
            <w:right w:w="108" w:type="dxa"/>
          </w:tblCellMar>
        </w:tblPrEx>
        <w:trPr>
          <w:trHeight w:val="72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34DF458D">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7</w:t>
            </w:r>
          </w:p>
        </w:tc>
        <w:tc>
          <w:tcPr>
            <w:tcW w:w="848" w:type="pct"/>
            <w:tcBorders>
              <w:top w:val="single" w:color="auto" w:sz="4" w:space="0"/>
              <w:left w:val="nil"/>
              <w:bottom w:val="single" w:color="auto" w:sz="4" w:space="0"/>
              <w:right w:val="single" w:color="auto" w:sz="4" w:space="0"/>
            </w:tcBorders>
            <w:vAlign w:val="center"/>
          </w:tcPr>
          <w:p w14:paraId="1A184FF1">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相关费用</w:t>
            </w:r>
          </w:p>
        </w:tc>
        <w:tc>
          <w:tcPr>
            <w:tcW w:w="3651" w:type="pct"/>
            <w:tcBorders>
              <w:top w:val="single" w:color="auto" w:sz="4" w:space="0"/>
              <w:left w:val="nil"/>
              <w:bottom w:val="single" w:color="auto" w:sz="4" w:space="0"/>
              <w:right w:val="single" w:color="auto" w:sz="4" w:space="0"/>
            </w:tcBorders>
            <w:vAlign w:val="center"/>
          </w:tcPr>
          <w:p w14:paraId="3BA98CCA">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竞争性磋商文件费</w:t>
            </w:r>
            <w:r>
              <w:rPr>
                <w:rFonts w:hint="eastAsia" w:ascii="宋体" w:hAnsi="宋体" w:eastAsia="宋体" w:cs="宋体"/>
                <w:sz w:val="24"/>
                <w:szCs w:val="24"/>
                <w:highlight w:val="none"/>
              </w:rPr>
              <w:t>：本项目为全电子招标，不在收取竞争性磋商文件费；</w:t>
            </w:r>
          </w:p>
        </w:tc>
      </w:tr>
      <w:tr w14:paraId="2EB0C85E">
        <w:tblPrEx>
          <w:tblCellMar>
            <w:top w:w="0" w:type="dxa"/>
            <w:left w:w="108" w:type="dxa"/>
            <w:bottom w:w="0" w:type="dxa"/>
            <w:right w:w="108" w:type="dxa"/>
          </w:tblCellMar>
        </w:tblPrEx>
        <w:trPr>
          <w:trHeight w:val="72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0E984121">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8</w:t>
            </w:r>
          </w:p>
        </w:tc>
        <w:tc>
          <w:tcPr>
            <w:tcW w:w="848" w:type="pct"/>
            <w:tcBorders>
              <w:top w:val="single" w:color="auto" w:sz="4" w:space="0"/>
              <w:left w:val="nil"/>
              <w:bottom w:val="single" w:color="auto" w:sz="4" w:space="0"/>
              <w:right w:val="single" w:color="auto" w:sz="4" w:space="0"/>
            </w:tcBorders>
            <w:vAlign w:val="center"/>
          </w:tcPr>
          <w:p w14:paraId="7F82DC17">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pacing w:val="6"/>
                <w:sz w:val="24"/>
                <w:szCs w:val="24"/>
                <w:highlight w:val="none"/>
              </w:rPr>
              <w:t>代理服务费</w:t>
            </w:r>
          </w:p>
        </w:tc>
        <w:tc>
          <w:tcPr>
            <w:tcW w:w="3651" w:type="pct"/>
            <w:tcBorders>
              <w:top w:val="single" w:color="auto" w:sz="4" w:space="0"/>
              <w:left w:val="nil"/>
              <w:bottom w:val="single" w:color="auto" w:sz="4" w:space="0"/>
              <w:right w:val="single" w:color="auto" w:sz="4" w:space="0"/>
            </w:tcBorders>
            <w:vAlign w:val="center"/>
          </w:tcPr>
          <w:p w14:paraId="4F208A66">
            <w:pPr>
              <w:keepNext w:val="0"/>
              <w:keepLines w:val="0"/>
              <w:pageBreakBefore w:val="0"/>
              <w:kinsoku/>
              <w:wordWrap/>
              <w:overflowPunct/>
              <w:topLinePunct w:val="0"/>
              <w:bidi w:val="0"/>
              <w:snapToGrid/>
              <w:spacing w:line="360" w:lineRule="auto"/>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代理费用收取方式：现金或转账</w:t>
            </w:r>
          </w:p>
          <w:p w14:paraId="0EF266C6">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代理费用收取标准：本项目招标代理费用</w:t>
            </w:r>
            <w:r>
              <w:rPr>
                <w:rFonts w:hint="eastAsia" w:ascii="宋体" w:hAnsi="宋体" w:cs="宋体"/>
                <w:sz w:val="24"/>
                <w:szCs w:val="24"/>
                <w:highlight w:val="none"/>
                <w:lang w:val="en-US" w:eastAsia="zh-CN"/>
              </w:rPr>
              <w:t>参</w:t>
            </w:r>
            <w:r>
              <w:rPr>
                <w:rFonts w:hint="eastAsia" w:ascii="宋体" w:hAnsi="宋体" w:eastAsia="宋体" w:cs="宋体"/>
                <w:sz w:val="24"/>
                <w:szCs w:val="24"/>
                <w:highlight w:val="none"/>
              </w:rPr>
              <w:t>照河南省招标投标协会豫招办〔2023〕002号文《河南省招标投标协会关于印发《河南省招标代理服务收费指导意见》的通知》中关于招标代理服务费收费标准执行，招标代理服务费用由中标人按照以上标准支付。</w:t>
            </w:r>
          </w:p>
          <w:p w14:paraId="79F87189">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收款单位：</w:t>
            </w:r>
            <w:r>
              <w:rPr>
                <w:rFonts w:hint="eastAsia" w:ascii="宋体" w:hAnsi="宋体" w:cs="宋体"/>
                <w:sz w:val="24"/>
                <w:szCs w:val="24"/>
                <w:highlight w:val="none"/>
                <w:lang w:eastAsia="zh-CN"/>
              </w:rPr>
              <w:t>中能城投（河南）工程咨询有限公司</w:t>
            </w:r>
            <w:r>
              <w:rPr>
                <w:rFonts w:hint="eastAsia" w:ascii="宋体" w:hAnsi="宋体" w:cs="宋体"/>
                <w:sz w:val="24"/>
                <w:szCs w:val="24"/>
                <w:highlight w:val="none"/>
                <w:lang w:val="en-US" w:eastAsia="zh-CN"/>
              </w:rPr>
              <w:t>灵宝</w:t>
            </w:r>
            <w:r>
              <w:rPr>
                <w:rFonts w:hint="eastAsia" w:ascii="宋体" w:hAnsi="宋体" w:eastAsia="宋体" w:cs="宋体"/>
                <w:sz w:val="24"/>
                <w:szCs w:val="24"/>
                <w:highlight w:val="none"/>
              </w:rPr>
              <w:t>分公司</w:t>
            </w:r>
          </w:p>
          <w:p w14:paraId="689B0802">
            <w:pPr>
              <w:spacing w:line="360" w:lineRule="auto"/>
              <w:rPr>
                <w:rFonts w:ascii="宋体" w:hAnsi="宋体" w:cs="宋体"/>
                <w:color w:val="000000"/>
                <w:sz w:val="24"/>
              </w:rPr>
            </w:pPr>
            <w:r>
              <w:rPr>
                <w:rFonts w:hint="eastAsia" w:ascii="宋体" w:hAnsi="宋体" w:cs="宋体"/>
                <w:color w:val="000000"/>
                <w:sz w:val="24"/>
              </w:rPr>
              <w:t>开户行</w:t>
            </w:r>
            <w:r>
              <w:rPr>
                <w:rFonts w:ascii="宋体" w:hAnsi="宋体" w:cs="宋体"/>
                <w:color w:val="000000"/>
                <w:sz w:val="24"/>
              </w:rPr>
              <w:t>:</w:t>
            </w:r>
            <w:r>
              <w:rPr>
                <w:rFonts w:hint="eastAsia" w:ascii="宋体" w:hAnsi="宋体" w:cs="宋体"/>
                <w:color w:val="000000"/>
                <w:sz w:val="24"/>
              </w:rPr>
              <w:t>上海浦东</w:t>
            </w:r>
            <w:r>
              <w:rPr>
                <w:rFonts w:ascii="宋体" w:hAnsi="宋体" w:cs="宋体"/>
                <w:color w:val="000000"/>
                <w:sz w:val="24"/>
              </w:rPr>
              <w:t>发展银行股份有限公司郑州明理路支行</w:t>
            </w:r>
          </w:p>
          <w:p w14:paraId="5CDCD92A">
            <w:pPr>
              <w:keepNext w:val="0"/>
              <w:keepLines w:val="0"/>
              <w:pageBreakBefore w:val="0"/>
              <w:kinsoku/>
              <w:wordWrap/>
              <w:overflowPunct/>
              <w:topLinePunct w:val="0"/>
              <w:bidi w:val="0"/>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color w:val="000000"/>
                <w:sz w:val="24"/>
              </w:rPr>
              <w:t>账号</w:t>
            </w:r>
            <w:r>
              <w:rPr>
                <w:rFonts w:ascii="宋体" w:hAnsi="宋体" w:cs="宋体"/>
                <w:color w:val="000000"/>
                <w:sz w:val="24"/>
              </w:rPr>
              <w:t>:</w:t>
            </w:r>
            <w:r>
              <w:rPr>
                <w:rFonts w:hint="eastAsia" w:ascii="宋体" w:hAnsi="宋体" w:cs="宋体"/>
                <w:color w:val="000000"/>
                <w:sz w:val="24"/>
              </w:rPr>
              <w:t>76120078801700003079</w:t>
            </w:r>
          </w:p>
        </w:tc>
      </w:tr>
      <w:tr w14:paraId="26D59E2E">
        <w:tblPrEx>
          <w:tblCellMar>
            <w:top w:w="0" w:type="dxa"/>
            <w:left w:w="108" w:type="dxa"/>
            <w:bottom w:w="0" w:type="dxa"/>
            <w:right w:w="108" w:type="dxa"/>
          </w:tblCellMar>
        </w:tblPrEx>
        <w:trPr>
          <w:trHeight w:val="72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23CF8847">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4.9</w:t>
            </w:r>
          </w:p>
        </w:tc>
        <w:tc>
          <w:tcPr>
            <w:tcW w:w="848" w:type="pct"/>
            <w:tcBorders>
              <w:top w:val="single" w:color="auto" w:sz="4" w:space="0"/>
              <w:left w:val="nil"/>
              <w:bottom w:val="single" w:color="auto" w:sz="4" w:space="0"/>
              <w:right w:val="single" w:color="auto" w:sz="4" w:space="0"/>
            </w:tcBorders>
            <w:vAlign w:val="center"/>
          </w:tcPr>
          <w:p w14:paraId="7D516446">
            <w:pPr>
              <w:keepNext w:val="0"/>
              <w:keepLines w:val="0"/>
              <w:pageBreakBefore w:val="0"/>
              <w:kinsoku/>
              <w:wordWrap/>
              <w:overflowPunct/>
              <w:topLinePunct w:val="0"/>
              <w:bidi w:val="0"/>
              <w:snapToGrid/>
              <w:spacing w:line="360" w:lineRule="auto"/>
              <w:textAlignment w:val="auto"/>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highlight w:val="none"/>
                <w:lang w:val="en-US" w:eastAsia="zh-CN"/>
              </w:rPr>
              <w:t>合同签订与付款</w:t>
            </w:r>
          </w:p>
        </w:tc>
        <w:tc>
          <w:tcPr>
            <w:tcW w:w="3651" w:type="pct"/>
            <w:tcBorders>
              <w:top w:val="single" w:color="auto" w:sz="4" w:space="0"/>
              <w:left w:val="nil"/>
              <w:bottom w:val="single" w:color="auto" w:sz="4" w:space="0"/>
              <w:right w:val="single" w:color="auto" w:sz="4" w:space="0"/>
            </w:tcBorders>
            <w:vAlign w:val="center"/>
          </w:tcPr>
          <w:p w14:paraId="070EC18F">
            <w:pPr>
              <w:keepNext w:val="0"/>
              <w:keepLines w:val="0"/>
              <w:pageBreakBefore w:val="0"/>
              <w:kinsoku/>
              <w:wordWrap/>
              <w:overflowPunct/>
              <w:topLinePunct w:val="0"/>
              <w:bidi w:val="0"/>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本项目发布成交结果之后，由灵宝市豫灵镇第一初级中学与成交单位签订合同，并由灵宝市豫灵镇第一初级中学付款。</w:t>
            </w:r>
          </w:p>
        </w:tc>
      </w:tr>
      <w:tr w14:paraId="4410A833">
        <w:tblPrEx>
          <w:tblCellMar>
            <w:top w:w="0" w:type="dxa"/>
            <w:left w:w="108" w:type="dxa"/>
            <w:bottom w:w="0" w:type="dxa"/>
            <w:right w:w="108" w:type="dxa"/>
          </w:tblCellMar>
        </w:tblPrEx>
        <w:trPr>
          <w:trHeight w:val="1102"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492B5D95">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5.0</w:t>
            </w:r>
          </w:p>
        </w:tc>
        <w:tc>
          <w:tcPr>
            <w:tcW w:w="848" w:type="pct"/>
            <w:tcBorders>
              <w:top w:val="single" w:color="auto" w:sz="4" w:space="0"/>
              <w:left w:val="nil"/>
              <w:bottom w:val="single" w:color="auto" w:sz="4" w:space="0"/>
              <w:right w:val="single" w:color="auto" w:sz="4" w:space="0"/>
            </w:tcBorders>
            <w:vAlign w:val="center"/>
          </w:tcPr>
          <w:p w14:paraId="0D378AC6">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不良行为记录</w:t>
            </w:r>
          </w:p>
        </w:tc>
        <w:tc>
          <w:tcPr>
            <w:tcW w:w="3651" w:type="pct"/>
            <w:tcBorders>
              <w:top w:val="single" w:color="auto" w:sz="4" w:space="0"/>
              <w:left w:val="nil"/>
              <w:bottom w:val="single" w:color="auto" w:sz="4" w:space="0"/>
              <w:right w:val="single" w:color="auto" w:sz="4" w:space="0"/>
            </w:tcBorders>
            <w:vAlign w:val="center"/>
          </w:tcPr>
          <w:p w14:paraId="11A292D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在以往项目中，因质量、安全、节能及交易活动受通报批评或记入不良行为记录。</w:t>
            </w:r>
          </w:p>
        </w:tc>
      </w:tr>
      <w:tr w14:paraId="2C14D02D">
        <w:tblPrEx>
          <w:tblCellMar>
            <w:top w:w="0" w:type="dxa"/>
            <w:left w:w="108" w:type="dxa"/>
            <w:bottom w:w="0" w:type="dxa"/>
            <w:right w:w="108" w:type="dxa"/>
          </w:tblCellMar>
        </w:tblPrEx>
        <w:trPr>
          <w:trHeight w:val="675"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0F39CEF8">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848" w:type="pct"/>
            <w:tcBorders>
              <w:top w:val="single" w:color="auto" w:sz="4" w:space="0"/>
              <w:left w:val="nil"/>
              <w:bottom w:val="single" w:color="auto" w:sz="4" w:space="0"/>
              <w:right w:val="single" w:color="auto" w:sz="4" w:space="0"/>
            </w:tcBorders>
            <w:vAlign w:val="center"/>
          </w:tcPr>
          <w:p w14:paraId="3E473918">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b/>
                <w:bCs/>
                <w:sz w:val="24"/>
                <w:szCs w:val="24"/>
                <w:highlight w:val="none"/>
              </w:rPr>
              <w:t>政府采购政策</w:t>
            </w:r>
          </w:p>
        </w:tc>
        <w:tc>
          <w:tcPr>
            <w:tcW w:w="3651" w:type="pct"/>
            <w:tcBorders>
              <w:top w:val="single" w:color="auto" w:sz="4" w:space="0"/>
              <w:left w:val="nil"/>
              <w:bottom w:val="single" w:color="auto" w:sz="4" w:space="0"/>
              <w:right w:val="single" w:color="auto" w:sz="4" w:space="0"/>
            </w:tcBorders>
            <w:shd w:val="clear" w:color="auto" w:fill="auto"/>
            <w:vAlign w:val="center"/>
          </w:tcPr>
          <w:p w14:paraId="6932F534">
            <w:pPr>
              <w:keepNext w:val="0"/>
              <w:keepLines w:val="0"/>
              <w:pageBreakBefore w:val="0"/>
              <w:kinsoku/>
              <w:wordWrap/>
              <w:overflowPunct/>
              <w:topLinePunct w:val="0"/>
              <w:bidi w:val="0"/>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根据《政府采购促进中小企业发展管理办法》（财库﹝2020﹞46 号）的规定本项目对中小微企业扶持政策按以下规定落实：</w:t>
            </w:r>
          </w:p>
          <w:p w14:paraId="26F1C62B">
            <w:pPr>
              <w:keepNext w:val="0"/>
              <w:keepLines w:val="0"/>
              <w:pageBreakBefore w:val="0"/>
              <w:kinsoku/>
              <w:wordWrap/>
              <w:overflowPunct/>
              <w:topLinePunct w:val="0"/>
              <w:bidi w:val="0"/>
              <w:snapToGrid/>
              <w:spacing w:line="360" w:lineRule="auto"/>
              <w:ind w:firstLine="240" w:firstLineChars="100"/>
              <w:jc w:val="left"/>
              <w:textAlignment w:val="auto"/>
              <w:rPr>
                <w:rFonts w:hint="eastAsia" w:ascii="宋体" w:hAnsi="宋体" w:eastAsia="宋体" w:cs="宋体"/>
                <w:kern w:val="44"/>
                <w:sz w:val="24"/>
                <w:szCs w:val="24"/>
                <w:highlight w:val="none"/>
                <w:lang w:val="en-US" w:eastAsia="zh-CN"/>
              </w:rPr>
            </w:pPr>
            <w:r>
              <w:rPr>
                <w:rFonts w:hint="eastAsia" w:ascii="宋体" w:hAnsi="宋体" w:eastAsia="宋体" w:cs="宋体"/>
                <w:kern w:val="44"/>
                <w:sz w:val="24"/>
                <w:szCs w:val="24"/>
                <w:highlight w:val="none"/>
              </w:rPr>
              <w:t>（1）参与采购的供应商应提供《中小企业声明函》</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lang w:val="en-US" w:eastAsia="zh-CN"/>
              </w:rPr>
              <w:t>并提供证明材料。</w:t>
            </w:r>
          </w:p>
          <w:p w14:paraId="467CEBC6">
            <w:pPr>
              <w:keepNext w:val="0"/>
              <w:keepLines w:val="0"/>
              <w:pageBreakBefore w:val="0"/>
              <w:kinsoku/>
              <w:wordWrap/>
              <w:overflowPunct/>
              <w:topLinePunct w:val="0"/>
              <w:bidi w:val="0"/>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（2）采购标的对应的中小企业划分标准所属行业：根据工信部联企业[2011]300号文的规定，本项目涉及中小企业的行业划型属于“零售业”；　　</w:t>
            </w:r>
          </w:p>
          <w:p w14:paraId="6B827315">
            <w:pPr>
              <w:keepNext w:val="0"/>
              <w:keepLines w:val="0"/>
              <w:pageBreakBefore w:val="0"/>
              <w:kinsoku/>
              <w:wordWrap/>
              <w:overflowPunct/>
              <w:topLinePunct w:val="0"/>
              <w:bidi w:val="0"/>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（3）其他优惠措施：监狱企业、残疾人福利性单位视同小微企业。</w:t>
            </w:r>
          </w:p>
          <w:p w14:paraId="79391F73">
            <w:pPr>
              <w:keepNext w:val="0"/>
              <w:keepLines w:val="0"/>
              <w:pageBreakBefore w:val="0"/>
              <w:kinsoku/>
              <w:wordWrap/>
              <w:overflowPunct/>
              <w:topLinePunct w:val="0"/>
              <w:bidi w:val="0"/>
              <w:snapToGrid/>
              <w:spacing w:line="360" w:lineRule="auto"/>
              <w:ind w:firstLine="240" w:firstLineChars="100"/>
              <w:jc w:val="left"/>
              <w:textAlignment w:val="auto"/>
              <w:rPr>
                <w:rFonts w:hint="eastAsia" w:ascii="宋体" w:hAnsi="宋体" w:eastAsia="宋体" w:cs="宋体"/>
                <w:kern w:val="44"/>
                <w:sz w:val="24"/>
                <w:szCs w:val="24"/>
                <w:highlight w:val="none"/>
                <w:lang w:val="en-US" w:eastAsia="zh-CN" w:bidi="ar-SA"/>
              </w:rPr>
            </w:pPr>
            <w:r>
              <w:rPr>
                <w:rFonts w:hint="eastAsia" w:ascii="宋体" w:hAnsi="宋体" w:eastAsia="宋体" w:cs="宋体"/>
                <w:kern w:val="44"/>
                <w:sz w:val="24"/>
                <w:szCs w:val="24"/>
                <w:highlight w:val="none"/>
              </w:rPr>
              <w:t>相关风险：提供虚假证明材料后果：</w:t>
            </w:r>
            <w:r>
              <w:rPr>
                <w:rFonts w:hint="eastAsia" w:ascii="宋体" w:hAnsi="宋体" w:eastAsia="宋体" w:cs="宋体"/>
                <w:kern w:val="44"/>
                <w:sz w:val="24"/>
                <w:szCs w:val="24"/>
                <w:highlight w:val="none"/>
                <w:lang w:eastAsia="zh-CN"/>
              </w:rPr>
              <w:t>供应商</w:t>
            </w:r>
            <w:r>
              <w:rPr>
                <w:rFonts w:hint="eastAsia" w:ascii="宋体" w:hAnsi="宋体" w:eastAsia="宋体" w:cs="宋体"/>
                <w:kern w:val="44"/>
                <w:sz w:val="24"/>
                <w:szCs w:val="24"/>
                <w:highlight w:val="none"/>
              </w:rPr>
              <w:t>为取得上述身份而提供虚假证明材料，在评审过程中发现的，按无效标处理；已取得中标资格的，无论该行为是否影响中标，均取消其中标资格；该</w:t>
            </w:r>
            <w:r>
              <w:rPr>
                <w:rFonts w:hint="eastAsia" w:ascii="宋体" w:hAnsi="宋体" w:eastAsia="宋体" w:cs="宋体"/>
                <w:kern w:val="44"/>
                <w:sz w:val="24"/>
                <w:szCs w:val="24"/>
                <w:highlight w:val="none"/>
                <w:lang w:eastAsia="zh-CN"/>
              </w:rPr>
              <w:t>供应商</w:t>
            </w:r>
            <w:r>
              <w:rPr>
                <w:rFonts w:hint="eastAsia" w:ascii="宋体" w:hAnsi="宋体" w:eastAsia="宋体" w:cs="宋体"/>
                <w:kern w:val="44"/>
                <w:sz w:val="24"/>
                <w:szCs w:val="24"/>
                <w:highlight w:val="none"/>
              </w:rPr>
              <w:t>还应承担由此引起的其他经济、法律责任。出现此种情形时，</w:t>
            </w:r>
            <w:r>
              <w:rPr>
                <w:rFonts w:hint="eastAsia" w:ascii="宋体" w:hAnsi="宋体" w:cs="宋体"/>
                <w:kern w:val="44"/>
                <w:sz w:val="24"/>
                <w:szCs w:val="24"/>
                <w:highlight w:val="none"/>
                <w:lang w:eastAsia="zh-CN"/>
              </w:rPr>
              <w:t>采购人</w:t>
            </w:r>
            <w:r>
              <w:rPr>
                <w:rFonts w:hint="eastAsia" w:ascii="宋体" w:hAnsi="宋体" w:eastAsia="宋体" w:cs="宋体"/>
                <w:kern w:val="44"/>
                <w:sz w:val="24"/>
                <w:szCs w:val="24"/>
                <w:highlight w:val="none"/>
              </w:rPr>
              <w:t>、</w:t>
            </w:r>
            <w:r>
              <w:rPr>
                <w:rFonts w:hint="eastAsia" w:ascii="宋体" w:hAnsi="宋体" w:cs="宋体"/>
                <w:kern w:val="44"/>
                <w:sz w:val="24"/>
                <w:szCs w:val="24"/>
                <w:highlight w:val="none"/>
                <w:lang w:eastAsia="zh-CN"/>
              </w:rPr>
              <w:t>采购代理机构</w:t>
            </w:r>
            <w:r>
              <w:rPr>
                <w:rFonts w:hint="eastAsia" w:ascii="宋体" w:hAnsi="宋体" w:eastAsia="宋体" w:cs="宋体"/>
                <w:kern w:val="44"/>
                <w:sz w:val="24"/>
                <w:szCs w:val="24"/>
                <w:highlight w:val="none"/>
              </w:rPr>
              <w:t>将有关情况上报政府采购监管部门，由监管部门按有关规定对其进行相应处罚。</w:t>
            </w:r>
          </w:p>
        </w:tc>
      </w:tr>
      <w:tr w14:paraId="57DCF980">
        <w:tblPrEx>
          <w:tblCellMar>
            <w:top w:w="0" w:type="dxa"/>
            <w:left w:w="108" w:type="dxa"/>
            <w:bottom w:w="0" w:type="dxa"/>
            <w:right w:w="108" w:type="dxa"/>
          </w:tblCellMar>
        </w:tblPrEx>
        <w:trPr>
          <w:trHeight w:val="403"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4A2003F">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5.2 成交公示</w:t>
            </w:r>
          </w:p>
        </w:tc>
      </w:tr>
      <w:tr w14:paraId="5CCA4E63">
        <w:tblPrEx>
          <w:tblCellMar>
            <w:top w:w="0" w:type="dxa"/>
            <w:left w:w="108" w:type="dxa"/>
            <w:bottom w:w="0" w:type="dxa"/>
            <w:right w:w="108" w:type="dxa"/>
          </w:tblCellMar>
        </w:tblPrEx>
        <w:trPr>
          <w:trHeight w:val="72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1D0D3A0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p>
          <w:p w14:paraId="3088C5A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4"/>
                <w:szCs w:val="24"/>
                <w:highlight w:val="none"/>
              </w:rPr>
            </w:pPr>
          </w:p>
        </w:tc>
        <w:tc>
          <w:tcPr>
            <w:tcW w:w="4500" w:type="pct"/>
            <w:gridSpan w:val="2"/>
            <w:tcBorders>
              <w:top w:val="single" w:color="auto" w:sz="4" w:space="0"/>
              <w:left w:val="nil"/>
              <w:bottom w:val="single" w:color="auto" w:sz="4" w:space="0"/>
              <w:right w:val="single" w:color="auto" w:sz="4" w:space="0"/>
            </w:tcBorders>
            <w:vAlign w:val="center"/>
          </w:tcPr>
          <w:p w14:paraId="45D42CE0">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 xml:space="preserve">  在成交通知书发出前，</w:t>
            </w:r>
            <w:r>
              <w:rPr>
                <w:rFonts w:hint="eastAsia" w:ascii="宋体" w:hAnsi="宋体" w:cs="宋体"/>
                <w:kern w:val="44"/>
                <w:sz w:val="24"/>
                <w:szCs w:val="24"/>
                <w:highlight w:val="none"/>
                <w:lang w:eastAsia="zh-CN"/>
              </w:rPr>
              <w:t>采购人</w:t>
            </w:r>
            <w:r>
              <w:rPr>
                <w:rFonts w:hint="eastAsia" w:ascii="宋体" w:hAnsi="宋体" w:eastAsia="宋体" w:cs="宋体"/>
                <w:kern w:val="44"/>
                <w:sz w:val="24"/>
                <w:szCs w:val="24"/>
                <w:highlight w:val="none"/>
              </w:rPr>
              <w:t>将成交候选人的情况在本磋商项目竞争性磋商公告发布的同一媒介《</w:t>
            </w:r>
            <w:r>
              <w:rPr>
                <w:rFonts w:hint="eastAsia" w:ascii="宋体" w:hAnsi="宋体" w:cs="宋体"/>
                <w:kern w:val="44"/>
                <w:sz w:val="24"/>
                <w:szCs w:val="24"/>
                <w:highlight w:val="none"/>
                <w:lang w:val="en-US" w:eastAsia="zh-CN"/>
              </w:rPr>
              <w:t>中国</w:t>
            </w:r>
            <w:r>
              <w:rPr>
                <w:rFonts w:hint="eastAsia" w:ascii="宋体" w:hAnsi="宋体" w:eastAsia="宋体" w:cs="宋体"/>
                <w:kern w:val="44"/>
                <w:sz w:val="24"/>
                <w:szCs w:val="24"/>
                <w:highlight w:val="none"/>
              </w:rPr>
              <w:t>采购与招标网》、《河南省政府采购网》、《三门峡市公共资源交易中心网》上予以公示。</w:t>
            </w:r>
          </w:p>
        </w:tc>
      </w:tr>
      <w:tr w14:paraId="18E9122D">
        <w:tblPrEx>
          <w:tblCellMar>
            <w:top w:w="0" w:type="dxa"/>
            <w:left w:w="108" w:type="dxa"/>
            <w:bottom w:w="0" w:type="dxa"/>
            <w:right w:w="108" w:type="dxa"/>
          </w:tblCellMar>
        </w:tblPrEx>
        <w:trPr>
          <w:trHeight w:val="51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DA10C0F">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5.3知识产权</w:t>
            </w:r>
          </w:p>
        </w:tc>
      </w:tr>
      <w:tr w14:paraId="61FAC153">
        <w:tblPrEx>
          <w:tblCellMar>
            <w:top w:w="0" w:type="dxa"/>
            <w:left w:w="108" w:type="dxa"/>
            <w:bottom w:w="0" w:type="dxa"/>
            <w:right w:w="108" w:type="dxa"/>
          </w:tblCellMar>
        </w:tblPrEx>
        <w:trPr>
          <w:trHeight w:val="72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76636D42">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p>
        </w:tc>
        <w:tc>
          <w:tcPr>
            <w:tcW w:w="4500" w:type="pct"/>
            <w:gridSpan w:val="2"/>
            <w:tcBorders>
              <w:top w:val="single" w:color="auto" w:sz="4" w:space="0"/>
              <w:left w:val="nil"/>
              <w:bottom w:val="single" w:color="auto" w:sz="4" w:space="0"/>
              <w:right w:val="single" w:color="auto" w:sz="4" w:space="0"/>
            </w:tcBorders>
            <w:vAlign w:val="center"/>
          </w:tcPr>
          <w:p w14:paraId="6A478681">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 xml:space="preserve">  构成本竞争性磋商文件各个组成部分的文件，未经</w:t>
            </w:r>
            <w:r>
              <w:rPr>
                <w:rFonts w:hint="eastAsia" w:ascii="宋体" w:hAnsi="宋体" w:cs="宋体"/>
                <w:kern w:val="44"/>
                <w:sz w:val="24"/>
                <w:szCs w:val="24"/>
                <w:highlight w:val="none"/>
                <w:lang w:eastAsia="zh-CN"/>
              </w:rPr>
              <w:t>采购人</w:t>
            </w:r>
            <w:r>
              <w:rPr>
                <w:rFonts w:hint="eastAsia" w:ascii="宋体" w:hAnsi="宋体" w:eastAsia="宋体" w:cs="宋体"/>
                <w:kern w:val="44"/>
                <w:sz w:val="24"/>
                <w:szCs w:val="24"/>
                <w:highlight w:val="none"/>
              </w:rPr>
              <w:t>书面同意，</w:t>
            </w: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不得擅自复印和用于非本磋商项目所需的其他目的。</w:t>
            </w:r>
            <w:r>
              <w:rPr>
                <w:rFonts w:hint="eastAsia" w:ascii="宋体" w:hAnsi="宋体" w:cs="宋体"/>
                <w:kern w:val="44"/>
                <w:sz w:val="24"/>
                <w:szCs w:val="24"/>
                <w:highlight w:val="none"/>
                <w:lang w:eastAsia="zh-CN"/>
              </w:rPr>
              <w:t>采购人</w:t>
            </w:r>
            <w:r>
              <w:rPr>
                <w:rFonts w:hint="eastAsia" w:ascii="宋体" w:hAnsi="宋体" w:eastAsia="宋体" w:cs="宋体"/>
                <w:kern w:val="44"/>
                <w:sz w:val="24"/>
                <w:szCs w:val="24"/>
                <w:highlight w:val="none"/>
              </w:rPr>
              <w:t>全部或者部分使用未成交人磋商响应文件中的技术成果或技术方案时，需征得其书面同意，并不得擅自复印或提供给第三人。</w:t>
            </w:r>
          </w:p>
        </w:tc>
      </w:tr>
      <w:tr w14:paraId="2F6551D4">
        <w:tblPrEx>
          <w:tblCellMar>
            <w:top w:w="0" w:type="dxa"/>
            <w:left w:w="108" w:type="dxa"/>
            <w:bottom w:w="0" w:type="dxa"/>
            <w:right w:w="108" w:type="dxa"/>
          </w:tblCellMar>
        </w:tblPrEx>
        <w:trPr>
          <w:trHeight w:val="47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D7F11F6">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5.4同义词语</w:t>
            </w:r>
          </w:p>
        </w:tc>
      </w:tr>
      <w:tr w14:paraId="4733F6A6">
        <w:tblPrEx>
          <w:tblCellMar>
            <w:top w:w="0" w:type="dxa"/>
            <w:left w:w="108" w:type="dxa"/>
            <w:bottom w:w="0" w:type="dxa"/>
            <w:right w:w="108" w:type="dxa"/>
          </w:tblCellMar>
        </w:tblPrEx>
        <w:trPr>
          <w:trHeight w:val="72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52C88F87">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p>
          <w:p w14:paraId="2BCFCA97">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p>
        </w:tc>
        <w:tc>
          <w:tcPr>
            <w:tcW w:w="4500" w:type="pct"/>
            <w:gridSpan w:val="2"/>
            <w:tcBorders>
              <w:top w:val="single" w:color="auto" w:sz="4" w:space="0"/>
              <w:left w:val="nil"/>
              <w:bottom w:val="single" w:color="auto" w:sz="4" w:space="0"/>
              <w:right w:val="single" w:color="auto" w:sz="4" w:space="0"/>
            </w:tcBorders>
            <w:vAlign w:val="center"/>
          </w:tcPr>
          <w:p w14:paraId="45550F00">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 xml:space="preserve">  构成竞争性磋商文件组成部分的“通用合同条款”、“专用合同条款”、“技术标准和要求”等章节中出现的措辞“发包人”和“承包人”，在招标投标阶段应当分别按“</w:t>
            </w:r>
            <w:r>
              <w:rPr>
                <w:rFonts w:hint="eastAsia" w:ascii="宋体" w:hAnsi="宋体" w:cs="宋体"/>
                <w:kern w:val="44"/>
                <w:sz w:val="24"/>
                <w:szCs w:val="24"/>
                <w:highlight w:val="none"/>
                <w:lang w:eastAsia="zh-CN"/>
              </w:rPr>
              <w:t>采购人</w:t>
            </w:r>
            <w:r>
              <w:rPr>
                <w:rFonts w:hint="eastAsia" w:ascii="宋体" w:hAnsi="宋体" w:eastAsia="宋体" w:cs="宋体"/>
                <w:kern w:val="44"/>
                <w:sz w:val="24"/>
                <w:szCs w:val="24"/>
                <w:highlight w:val="none"/>
              </w:rPr>
              <w:t>”和“</w:t>
            </w: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”进行理解。</w:t>
            </w:r>
          </w:p>
        </w:tc>
      </w:tr>
      <w:tr w14:paraId="5B97DC72">
        <w:tblPrEx>
          <w:tblCellMar>
            <w:top w:w="0" w:type="dxa"/>
            <w:left w:w="108" w:type="dxa"/>
            <w:bottom w:w="0" w:type="dxa"/>
            <w:right w:w="108" w:type="dxa"/>
          </w:tblCellMar>
        </w:tblPrEx>
        <w:trPr>
          <w:trHeight w:val="426"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E6CE952">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5.5监督</w:t>
            </w:r>
          </w:p>
        </w:tc>
      </w:tr>
      <w:tr w14:paraId="769727FA">
        <w:tblPrEx>
          <w:tblCellMar>
            <w:top w:w="0" w:type="dxa"/>
            <w:left w:w="108" w:type="dxa"/>
            <w:bottom w:w="0" w:type="dxa"/>
            <w:right w:w="108" w:type="dxa"/>
          </w:tblCellMar>
        </w:tblPrEx>
        <w:trPr>
          <w:trHeight w:val="72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51A14BCD">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p>
        </w:tc>
        <w:tc>
          <w:tcPr>
            <w:tcW w:w="4500" w:type="pct"/>
            <w:gridSpan w:val="2"/>
            <w:tcBorders>
              <w:top w:val="single" w:color="auto" w:sz="4" w:space="0"/>
              <w:left w:val="nil"/>
              <w:bottom w:val="single" w:color="auto" w:sz="4" w:space="0"/>
              <w:right w:val="single" w:color="auto" w:sz="4" w:space="0"/>
            </w:tcBorders>
            <w:vAlign w:val="center"/>
          </w:tcPr>
          <w:p w14:paraId="2DEC2DDD">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 xml:space="preserve">  本项目的招标投标活动及其相关当事人应当接受有管辖权的行政监督部门依法实施的监督。</w:t>
            </w:r>
          </w:p>
        </w:tc>
      </w:tr>
      <w:tr w14:paraId="1112F38E">
        <w:tblPrEx>
          <w:tblCellMar>
            <w:top w:w="0" w:type="dxa"/>
            <w:left w:w="108" w:type="dxa"/>
            <w:bottom w:w="0" w:type="dxa"/>
            <w:right w:w="108" w:type="dxa"/>
          </w:tblCellMar>
        </w:tblPrEx>
        <w:trPr>
          <w:trHeight w:val="72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9299049">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 xml:space="preserve"> 5.6解释权</w:t>
            </w:r>
          </w:p>
        </w:tc>
      </w:tr>
      <w:tr w14:paraId="0CEAFCB1">
        <w:tblPrEx>
          <w:tblCellMar>
            <w:top w:w="0" w:type="dxa"/>
            <w:left w:w="108" w:type="dxa"/>
            <w:bottom w:w="0" w:type="dxa"/>
            <w:right w:w="108" w:type="dxa"/>
          </w:tblCellMar>
        </w:tblPrEx>
        <w:trPr>
          <w:trHeight w:val="72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20A070C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44"/>
                <w:sz w:val="24"/>
                <w:szCs w:val="24"/>
                <w:highlight w:val="none"/>
              </w:rPr>
            </w:pPr>
          </w:p>
        </w:tc>
        <w:tc>
          <w:tcPr>
            <w:tcW w:w="4500" w:type="pct"/>
            <w:gridSpan w:val="2"/>
            <w:tcBorders>
              <w:top w:val="single" w:color="auto" w:sz="4" w:space="0"/>
              <w:left w:val="nil"/>
              <w:bottom w:val="single" w:color="auto" w:sz="4" w:space="0"/>
              <w:right w:val="single" w:color="auto" w:sz="4" w:space="0"/>
            </w:tcBorders>
            <w:vAlign w:val="center"/>
          </w:tcPr>
          <w:p w14:paraId="692E14FD">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 xml:space="preserve">  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竞争性磋商公告、</w:t>
            </w: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须知、评审方法、磋商响应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kern w:val="44"/>
                <w:sz w:val="24"/>
                <w:szCs w:val="24"/>
                <w:highlight w:val="none"/>
                <w:lang w:eastAsia="zh-CN"/>
              </w:rPr>
              <w:t>采购人</w:t>
            </w:r>
            <w:r>
              <w:rPr>
                <w:rFonts w:hint="eastAsia" w:ascii="宋体" w:hAnsi="宋体" w:eastAsia="宋体" w:cs="宋体"/>
                <w:kern w:val="44"/>
                <w:sz w:val="24"/>
                <w:szCs w:val="24"/>
                <w:highlight w:val="none"/>
              </w:rPr>
              <w:t>负责解释。</w:t>
            </w:r>
          </w:p>
        </w:tc>
      </w:tr>
      <w:tr w14:paraId="3C0019E3">
        <w:tblPrEx>
          <w:tblCellMar>
            <w:top w:w="0" w:type="dxa"/>
            <w:left w:w="108" w:type="dxa"/>
            <w:bottom w:w="0" w:type="dxa"/>
            <w:right w:w="108" w:type="dxa"/>
          </w:tblCellMar>
        </w:tblPrEx>
        <w:trPr>
          <w:trHeight w:val="72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557AB74F">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5.7</w:t>
            </w:r>
          </w:p>
          <w:p w14:paraId="49D1E6B2">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电子化交易注意事项</w:t>
            </w:r>
          </w:p>
        </w:tc>
        <w:tc>
          <w:tcPr>
            <w:tcW w:w="4500" w:type="pct"/>
            <w:gridSpan w:val="2"/>
            <w:tcBorders>
              <w:top w:val="single" w:color="auto" w:sz="4" w:space="0"/>
              <w:left w:val="nil"/>
              <w:bottom w:val="single" w:color="auto" w:sz="4" w:space="0"/>
              <w:right w:val="single" w:color="auto" w:sz="4" w:space="0"/>
            </w:tcBorders>
            <w:vAlign w:val="center"/>
          </w:tcPr>
          <w:p w14:paraId="32C9EB7D">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3D71C3E1">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电子化投标文件具体制作文件请点击</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"http://t.cn/A6ZvtVob"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http://t.cn/A6ZvtVob</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进行下载。</w:t>
            </w:r>
          </w:p>
          <w:p w14:paraId="62492F4F">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温馨提示：本项目为电子化、无纸化交易项目，供应商时不接受任何纸质资料，为保证您能投标成功，请需仔细阅读以下条款。</w:t>
            </w:r>
          </w:p>
          <w:p w14:paraId="641350F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具体要求：本项目为电子化、无纸化交易项目，响应文件是</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通过中心磋商响应文件制作系统制作，并经过签章和加密后生成的电子版磋商响应文件。</w:t>
            </w:r>
          </w:p>
          <w:p w14:paraId="432625A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b/>
                <w:color w:val="auto"/>
                <w:sz w:val="24"/>
                <w:szCs w:val="24"/>
                <w:highlight w:val="none"/>
              </w:rPr>
            </w:pPr>
            <w:r>
              <w:rPr>
                <w:rFonts w:hint="eastAsia" w:ascii="宋体" w:hAnsi="宋体" w:cs="宋体"/>
                <w:b/>
                <w:color w:val="auto"/>
                <w:sz w:val="24"/>
                <w:szCs w:val="24"/>
                <w:highlight w:val="none"/>
              </w:rPr>
              <w:t>一、电子化投标</w:t>
            </w:r>
          </w:p>
          <w:p w14:paraId="2836DA2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（一）网上磋商保证金的缴纳</w:t>
            </w:r>
          </w:p>
          <w:p w14:paraId="3DB16FE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本项目不收取磋商保证金。</w:t>
            </w:r>
          </w:p>
          <w:p w14:paraId="0B03489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（二）电子化</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的签章</w:t>
            </w:r>
          </w:p>
          <w:p w14:paraId="4F0B882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在生成电子化磋商响应文件后，应对电子化磋商响应文件进行签章，未进行签章的视为无效投标。</w:t>
            </w:r>
          </w:p>
          <w:p w14:paraId="67498A7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b/>
                <w:color w:val="auto"/>
                <w:sz w:val="24"/>
                <w:szCs w:val="24"/>
                <w:highlight w:val="none"/>
              </w:rPr>
              <w:t>竞争性磋商文件中要求磋商响应</w:t>
            </w:r>
            <w:r>
              <w:rPr>
                <w:rFonts w:hint="eastAsia" w:ascii="宋体" w:hAnsi="宋体" w:cs="宋体"/>
                <w:b/>
                <w:color w:val="auto"/>
                <w:sz w:val="24"/>
                <w:szCs w:val="24"/>
                <w:highlight w:val="none"/>
                <w:lang w:val="en-US" w:eastAsia="zh-CN"/>
              </w:rPr>
              <w:t>供应商</w:t>
            </w:r>
            <w:r>
              <w:rPr>
                <w:rFonts w:hint="eastAsia" w:ascii="宋体" w:hAnsi="宋体" w:cs="宋体"/>
                <w:b/>
                <w:color w:val="auto"/>
                <w:sz w:val="24"/>
                <w:szCs w:val="24"/>
                <w:highlight w:val="none"/>
              </w:rPr>
              <w:t>盖章的，以签盖单位章为准；要求法定代表人或授权代理人签章的，以签盖法定代表人签章为准</w:t>
            </w:r>
            <w:r>
              <w:rPr>
                <w:rFonts w:hint="eastAsia" w:ascii="宋体" w:hAnsi="宋体" w:cs="宋体"/>
                <w:color w:val="auto"/>
                <w:sz w:val="24"/>
                <w:szCs w:val="24"/>
                <w:highlight w:val="none"/>
              </w:rPr>
              <w:t>。</w:t>
            </w:r>
          </w:p>
          <w:p w14:paraId="74085E3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b/>
                <w:color w:val="auto"/>
                <w:sz w:val="24"/>
                <w:szCs w:val="24"/>
                <w:highlight w:val="none"/>
              </w:rPr>
            </w:pPr>
            <w:r>
              <w:rPr>
                <w:rFonts w:hint="eastAsia" w:ascii="宋体" w:hAnsi="宋体" w:cs="宋体"/>
                <w:color w:val="auto"/>
                <w:sz w:val="24"/>
                <w:szCs w:val="24"/>
                <w:highlight w:val="none"/>
              </w:rPr>
              <w:t>（三）电子化磋商响应文件的格式及上传</w:t>
            </w:r>
          </w:p>
          <w:p w14:paraId="1555CD6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所上传的电子化磋商响应文件，应是通过中心</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制作系统制作的（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制作工具下载地址：</w:t>
            </w:r>
            <w:r>
              <w:rPr>
                <w:rFonts w:hint="eastAsia"/>
                <w:color w:val="auto"/>
                <w:sz w:val="24"/>
                <w:szCs w:val="24"/>
                <w:highlight w:val="none"/>
              </w:rPr>
              <w:t>https://download.bqpoint.com/download/downloaddetail.html?SourceFrom=Ztb&amp;ZtbSoftXiaQuCode=1506&amp;ZtbSoftType=tballinclusive</w:t>
            </w:r>
            <w:r>
              <w:rPr>
                <w:rFonts w:hint="eastAsia" w:ascii="宋体" w:hAnsi="宋体" w:cs="宋体"/>
                <w:color w:val="auto"/>
                <w:sz w:val="24"/>
                <w:szCs w:val="24"/>
                <w:highlight w:val="none"/>
              </w:rPr>
              <w:t>），经过签章和加密后生成的电子版磋商响应文件。其中包含用于磋商响应文件上传的主文件（后缀为.smxtf）和用于应急补救的磋商响应文件备份文件（后缀为.nsmxtf）。备份文件主要用于电子化开标出现技术问题后的补救。</w:t>
            </w:r>
          </w:p>
          <w:p w14:paraId="60421FB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2、电子化磋商响应文件应在</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时间前成功上传至三门峡市公共资源电子化交易系统。至</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时间止，仍未上传成功的电子化磋商响应文件将不予接收。</w:t>
            </w:r>
          </w:p>
          <w:p w14:paraId="05AA0BB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如按照电子化投标操作教材制作完成的电子化磋商响应文件无法上传的，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应在</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时间前尽早的</w:t>
            </w:r>
            <w:r>
              <w:rPr>
                <w:rFonts w:hint="eastAsia" w:ascii="宋体" w:hAnsi="宋体" w:cs="宋体"/>
                <w:color w:val="auto"/>
                <w:sz w:val="24"/>
                <w:szCs w:val="24"/>
                <w:highlight w:val="none"/>
              </w:rPr>
              <w:t>联系中心技术人员，以便有充分的时间进行处理。</w:t>
            </w:r>
            <w:r>
              <w:rPr>
                <w:rFonts w:hint="eastAsia" w:ascii="宋体" w:hAnsi="宋体" w:cs="宋体"/>
                <w:b/>
                <w:color w:val="auto"/>
                <w:sz w:val="24"/>
                <w:szCs w:val="24"/>
                <w:highlight w:val="none"/>
                <w:lang w:val="en-US" w:eastAsia="zh-CN"/>
              </w:rPr>
              <w:t>供应商</w:t>
            </w:r>
            <w:r>
              <w:rPr>
                <w:rFonts w:hint="eastAsia" w:ascii="宋体" w:hAnsi="宋体" w:cs="宋体"/>
                <w:b/>
                <w:color w:val="auto"/>
                <w:sz w:val="24"/>
                <w:szCs w:val="24"/>
                <w:highlight w:val="none"/>
              </w:rPr>
              <w:t>应充分考虑到处理技术问题和上传数据等工作所需的时间问题，磋商响应文件未在</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时间前成功上传的，其磋商响应文件不予接收。</w:t>
            </w:r>
          </w:p>
          <w:p w14:paraId="62E7A1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技术联系电话：0398-3117871</w:t>
            </w:r>
          </w:p>
          <w:p w14:paraId="70B097A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新点客服电话：4009980000</w:t>
            </w:r>
          </w:p>
          <w:p w14:paraId="3A76EFB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（四）电子化项目开标、解密、唱标、</w:t>
            </w:r>
            <w:r>
              <w:rPr>
                <w:rFonts w:hint="eastAsia" w:ascii="宋体" w:hAnsi="宋体" w:cs="宋体"/>
                <w:color w:val="auto"/>
                <w:sz w:val="24"/>
                <w:szCs w:val="24"/>
                <w:highlight w:val="none"/>
                <w:lang w:eastAsia="zh-CN"/>
              </w:rPr>
              <w:t>评审</w:t>
            </w:r>
          </w:p>
          <w:p w14:paraId="7DDF1DC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w:t>
            </w:r>
            <w:r>
              <w:rPr>
                <w:rFonts w:hint="eastAsia" w:ascii="宋体" w:hAnsi="宋体" w:cs="宋体"/>
                <w:b/>
                <w:color w:val="auto"/>
                <w:sz w:val="24"/>
                <w:szCs w:val="24"/>
                <w:highlight w:val="none"/>
              </w:rPr>
              <w:t>电子化、无纸化</w:t>
            </w:r>
            <w:r>
              <w:rPr>
                <w:rFonts w:hint="eastAsia" w:ascii="宋体" w:hAnsi="宋体" w:cs="宋体"/>
                <w:color w:val="auto"/>
                <w:sz w:val="24"/>
                <w:szCs w:val="24"/>
                <w:highlight w:val="none"/>
              </w:rPr>
              <w:t>进行</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当日，</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无需到现场参加</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会议，</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应当在</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时间前，登陆不见面开标大厅选择登陆三门峡市公共资源电子招投标系统进行登陆（网址为</w:t>
            </w:r>
            <w:r>
              <w:rPr>
                <w:rFonts w:hint="eastAsia" w:ascii="宋体" w:hAnsi="宋体"/>
                <w:color w:val="auto"/>
                <w:sz w:val="24"/>
                <w:szCs w:val="24"/>
                <w:highlight w:val="none"/>
              </w:rPr>
              <w:t>http://120.194.249.36:10094/BidOpening/bidopeninghallaction/hall/login</w:t>
            </w:r>
            <w:r>
              <w:rPr>
                <w:rFonts w:hint="eastAsia" w:ascii="宋体" w:hAnsi="宋体" w:cs="宋体"/>
                <w:color w:val="auto"/>
                <w:sz w:val="24"/>
                <w:szCs w:val="24"/>
                <w:highlight w:val="none"/>
              </w:rPr>
              <w:t>）,在线准时参加开标活动并进行磋商响应文件解密等。</w:t>
            </w:r>
          </w:p>
          <w:p w14:paraId="3F32F46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2、电子化磋商响应文件采用一次加密方式。开标时，由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使用CA 证书，在规定时间内对其电子化磋商响应文件进行解密。每位</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的解密时间为开标时间起30 分钟内，如在规定时间内未完成解密的，其磋商响应文件不予开标、唱标。</w:t>
            </w:r>
          </w:p>
          <w:p w14:paraId="6DD751C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b/>
                <w:color w:val="auto"/>
                <w:sz w:val="24"/>
                <w:szCs w:val="24"/>
                <w:highlight w:val="none"/>
              </w:rPr>
            </w:pPr>
            <w:r>
              <w:rPr>
                <w:rFonts w:hint="eastAsia" w:ascii="宋体" w:hAnsi="宋体" w:cs="宋体"/>
                <w:color w:val="auto"/>
                <w:sz w:val="24"/>
                <w:szCs w:val="24"/>
                <w:highlight w:val="none"/>
              </w:rPr>
              <w:t>3、电子化磋商响应文件解密异常的处理</w:t>
            </w:r>
          </w:p>
          <w:p w14:paraId="6889C96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如出现</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的电子磋商响应文件无法解密等异常情况，</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应及时致电中介服务机构说明。磋商响应文件异常，按以下步骤进行处理：</w:t>
            </w:r>
          </w:p>
          <w:p w14:paraId="0E8279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（1）首先由技术人员进行问题排查。</w:t>
            </w:r>
          </w:p>
          <w:p w14:paraId="64E8CF7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（2）经技术人员排查后，是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文件自身问题导致磋商响应文件无法解密的，该磋商响应文件将不予接收、解密和唱标。开标会议继续进行。</w:t>
            </w:r>
          </w:p>
          <w:p w14:paraId="0E991B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E944CF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4、待所有</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磋商响应文件解密完成后，由中介服务机构操作，对所有已解密磋商响应文件进行唱标。</w:t>
            </w:r>
          </w:p>
          <w:p w14:paraId="332A31E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b/>
                <w:color w:val="auto"/>
                <w:sz w:val="24"/>
                <w:szCs w:val="24"/>
                <w:highlight w:val="none"/>
                <w:lang w:val="en-US" w:eastAsia="zh-CN"/>
              </w:rPr>
              <w:t>供应商</w:t>
            </w:r>
            <w:r>
              <w:rPr>
                <w:rFonts w:hint="eastAsia" w:ascii="宋体" w:hAnsi="宋体" w:cs="宋体"/>
                <w:b/>
                <w:color w:val="auto"/>
                <w:sz w:val="24"/>
                <w:szCs w:val="24"/>
                <w:highlight w:val="none"/>
              </w:rPr>
              <w:t>应保证在</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期间电话、电脑、网络能够正常工作，</w:t>
            </w:r>
            <w:r>
              <w:rPr>
                <w:rFonts w:hint="eastAsia" w:ascii="宋体" w:hAnsi="宋体" w:cs="宋体"/>
                <w:b/>
                <w:color w:val="auto"/>
                <w:sz w:val="24"/>
                <w:szCs w:val="24"/>
                <w:highlight w:val="none"/>
                <w:lang w:val="en-US" w:eastAsia="zh-CN"/>
              </w:rPr>
              <w:t>供应商</w:t>
            </w:r>
            <w:r>
              <w:rPr>
                <w:rFonts w:hint="eastAsia" w:ascii="宋体" w:hAnsi="宋体" w:cs="宋体"/>
                <w:b/>
                <w:color w:val="auto"/>
                <w:sz w:val="24"/>
                <w:szCs w:val="24"/>
                <w:highlight w:val="none"/>
              </w:rPr>
              <w:t>因停电、电脑病毒、网络堵塞等原因，未在规定的解密时间内对响应文件进行解密的，其响应文件不予接收、唱标。</w:t>
            </w:r>
          </w:p>
          <w:p w14:paraId="20AA87E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可登录到交易系统中在开标解密栏中点击报价一览表查看自己的</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报价。如对自己的唱标内容有异议的，应在</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解密成功后10分钟内向中介服务机构电话质疑。中介服务机构应在监督人员的监督下进行免提通话接受</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的质疑并做好书面记录。</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未在规定时间内提出质疑的，视为认可唱标内容。</w:t>
            </w:r>
          </w:p>
          <w:p w14:paraId="065BCC3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对电子化磋商响应文件有质疑的，将通过电子化交易系统对</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发起质疑，并在监督人员的监督下，用免提模式致电需要答复的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对质疑进行回复。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的回复文件必须以经过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和其法定代表人签章的PDF格式文件为准，并通过电子化交易系统提交至</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w:t>
            </w:r>
          </w:p>
          <w:p w14:paraId="1BF8A143">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cs="宋体"/>
                <w:color w:val="auto"/>
                <w:sz w:val="24"/>
                <w:szCs w:val="24"/>
                <w:highlight w:val="none"/>
              </w:rPr>
              <w:t>7、如</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对需要回复的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连续三次致电未接通的，视为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放弃回复，</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将自行对需要回复的内容进行认定。</w:t>
            </w:r>
          </w:p>
          <w:p w14:paraId="70817F8E">
            <w:pPr>
              <w:keepNext w:val="0"/>
              <w:keepLines w:val="0"/>
              <w:pageBreakBefore w:val="0"/>
              <w:kinsoku/>
              <w:wordWrap/>
              <w:overflowPunct/>
              <w:topLinePunct w:val="0"/>
              <w:bidi w:val="0"/>
              <w:snapToGrid/>
              <w:spacing w:line="360"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二、相关内容</w:t>
            </w:r>
          </w:p>
          <w:p w14:paraId="2663DFE2">
            <w:pPr>
              <w:keepNext w:val="0"/>
              <w:keepLines w:val="0"/>
              <w:pageBreakBefore w:val="0"/>
              <w:kinsoku/>
              <w:wordWrap/>
              <w:overflowPunct/>
              <w:topLinePunct w:val="0"/>
              <w:bidi w:val="0"/>
              <w:snapToGrid/>
              <w:spacing w:line="360"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本项目实行资格后审，竞争性磋商文件中要求响应人提交相关资料原件的，根据优化营商环境的要求，评标时以投标文件为准：</w:t>
            </w:r>
          </w:p>
          <w:p w14:paraId="759AA659">
            <w:pPr>
              <w:keepNext w:val="0"/>
              <w:keepLines w:val="0"/>
              <w:pageBreakBefore w:val="0"/>
              <w:kinsoku/>
              <w:wordWrap/>
              <w:overflowPunct/>
              <w:topLinePunct w:val="0"/>
              <w:bidi w:val="0"/>
              <w:snapToGrid/>
              <w:spacing w:line="360"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1、资格评（预）审部分：资格评（预）以投标文件为准，其上传资料真实性由</w:t>
            </w:r>
            <w:r>
              <w:rPr>
                <w:rFonts w:hint="eastAsia" w:ascii="宋体" w:hAnsi="宋体" w:cs="宋体"/>
                <w:b w:val="0"/>
                <w:bCs w:val="0"/>
                <w:sz w:val="24"/>
                <w:szCs w:val="24"/>
                <w:highlight w:val="none"/>
                <w:lang w:eastAsia="zh-CN"/>
              </w:rPr>
              <w:t>供应商</w:t>
            </w:r>
            <w:r>
              <w:rPr>
                <w:rFonts w:hint="eastAsia" w:ascii="宋体" w:hAnsi="宋体" w:eastAsia="宋体" w:cs="宋体"/>
                <w:b w:val="0"/>
                <w:bCs w:val="0"/>
                <w:sz w:val="24"/>
                <w:szCs w:val="24"/>
                <w:highlight w:val="none"/>
              </w:rPr>
              <w:t>自行承担，同时，</w:t>
            </w:r>
            <w:r>
              <w:rPr>
                <w:rFonts w:hint="eastAsia" w:ascii="宋体" w:hAnsi="宋体" w:cs="宋体"/>
                <w:b w:val="0"/>
                <w:bCs w:val="0"/>
                <w:sz w:val="24"/>
                <w:szCs w:val="24"/>
                <w:highlight w:val="none"/>
                <w:lang w:eastAsia="zh-CN"/>
              </w:rPr>
              <w:t>供应商</w:t>
            </w:r>
            <w:r>
              <w:rPr>
                <w:rFonts w:hint="eastAsia" w:ascii="宋体" w:hAnsi="宋体" w:eastAsia="宋体" w:cs="宋体"/>
                <w:b w:val="0"/>
                <w:bCs w:val="0"/>
                <w:sz w:val="24"/>
                <w:szCs w:val="24"/>
                <w:highlight w:val="none"/>
              </w:rPr>
              <w:t>要完善主体库。</w:t>
            </w:r>
            <w:r>
              <w:rPr>
                <w:rFonts w:hint="eastAsia" w:ascii="宋体" w:hAnsi="宋体" w:eastAsia="宋体" w:cs="宋体"/>
                <w:b w:val="0"/>
                <w:bCs w:val="0"/>
                <w:sz w:val="24"/>
                <w:szCs w:val="24"/>
                <w:highlight w:val="none"/>
              </w:rPr>
              <w:br w:type="textWrapping"/>
            </w:r>
            <w:r>
              <w:rPr>
                <w:rFonts w:hint="eastAsia" w:ascii="宋体" w:hAnsi="宋体" w:eastAsia="宋体" w:cs="宋体"/>
                <w:b w:val="0"/>
                <w:bCs w:val="0"/>
                <w:sz w:val="24"/>
                <w:szCs w:val="24"/>
                <w:highlight w:val="none"/>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宋体"/>
                <w:b w:val="0"/>
                <w:bCs w:val="0"/>
                <w:sz w:val="24"/>
                <w:szCs w:val="24"/>
                <w:highlight w:val="none"/>
              </w:rPr>
              <w:br w:type="textWrapping"/>
            </w: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文件编制部分：在</w:t>
            </w:r>
            <w:r>
              <w:rPr>
                <w:rFonts w:hint="eastAsia" w:ascii="宋体" w:hAnsi="宋体" w:eastAsia="宋体" w:cs="宋体"/>
                <w:b w:val="0"/>
                <w:bCs w:val="0"/>
                <w:sz w:val="24"/>
                <w:szCs w:val="24"/>
                <w:highlight w:val="none"/>
                <w:lang w:val="en-US" w:eastAsia="zh-CN"/>
              </w:rPr>
              <w:t>磋商</w:t>
            </w:r>
            <w:r>
              <w:rPr>
                <w:rFonts w:hint="eastAsia" w:ascii="宋体" w:hAnsi="宋体" w:eastAsia="宋体" w:cs="宋体"/>
                <w:b w:val="0"/>
                <w:bCs w:val="0"/>
                <w:sz w:val="24"/>
                <w:szCs w:val="24"/>
                <w:highlight w:val="none"/>
              </w:rPr>
              <w:t>文件中要求</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b w:val="0"/>
                <w:bCs w:val="0"/>
                <w:sz w:val="24"/>
                <w:szCs w:val="24"/>
                <w:highlight w:val="none"/>
              </w:rPr>
              <w:t>按照</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文件格式进行</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文件编制，在</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文件编制时，应明确将</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b w:val="0"/>
                <w:bCs w:val="0"/>
                <w:sz w:val="24"/>
                <w:szCs w:val="24"/>
                <w:highlight w:val="none"/>
              </w:rPr>
              <w:t>企业基本情况、资质情况、人员情况、财务情况、业绩情况编入</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文件，便于进行资格审查及评标打分。</w:t>
            </w:r>
          </w:p>
          <w:p w14:paraId="3EB439F5">
            <w:pPr>
              <w:keepNext w:val="0"/>
              <w:keepLines w:val="0"/>
              <w:pageBreakBefore w:val="0"/>
              <w:kinsoku/>
              <w:wordWrap/>
              <w:overflowPunct/>
              <w:topLinePunct w:val="0"/>
              <w:bidi w:val="0"/>
              <w:snapToGrid/>
              <w:spacing w:line="360"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提示：本项目为电子化、无纸化交易项目，为保证您能投标成功，请需仔细阅读以上条款。</w:t>
            </w:r>
          </w:p>
          <w:p w14:paraId="2F4DA08B">
            <w:pPr>
              <w:keepNext w:val="0"/>
              <w:keepLines w:val="0"/>
              <w:pageBreakBefore w:val="0"/>
              <w:kinsoku/>
              <w:wordWrap/>
              <w:overflowPunct/>
              <w:topLinePunct w:val="0"/>
              <w:bidi w:val="0"/>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注：以</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文件业绩信息为准，可使用电子营业执照。</w:t>
            </w:r>
          </w:p>
        </w:tc>
      </w:tr>
      <w:tr w14:paraId="6248502C">
        <w:tblPrEx>
          <w:tblCellMar>
            <w:top w:w="0" w:type="dxa"/>
            <w:left w:w="108" w:type="dxa"/>
            <w:bottom w:w="0" w:type="dxa"/>
            <w:right w:w="108" w:type="dxa"/>
          </w:tblCellMar>
        </w:tblPrEx>
        <w:trPr>
          <w:trHeight w:val="727" w:hRule="atLeast"/>
          <w:jc w:val="center"/>
        </w:trPr>
        <w:tc>
          <w:tcPr>
            <w:tcW w:w="499" w:type="pct"/>
            <w:tcBorders>
              <w:top w:val="single" w:color="auto" w:sz="4" w:space="0"/>
              <w:left w:val="single" w:color="auto" w:sz="4" w:space="0"/>
              <w:bottom w:val="single" w:color="auto" w:sz="4" w:space="0"/>
              <w:right w:val="single" w:color="auto" w:sz="4" w:space="0"/>
            </w:tcBorders>
            <w:vAlign w:val="center"/>
          </w:tcPr>
          <w:p w14:paraId="484F2C74">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kern w:val="0"/>
                <w:sz w:val="24"/>
                <w:szCs w:val="24"/>
                <w:highlight w:val="none"/>
              </w:rPr>
            </w:pPr>
          </w:p>
        </w:tc>
        <w:tc>
          <w:tcPr>
            <w:tcW w:w="4500" w:type="pct"/>
            <w:gridSpan w:val="2"/>
            <w:tcBorders>
              <w:top w:val="single" w:color="auto" w:sz="4" w:space="0"/>
              <w:left w:val="nil"/>
              <w:bottom w:val="single" w:color="auto" w:sz="4" w:space="0"/>
              <w:right w:val="single" w:color="auto" w:sz="4" w:space="0"/>
            </w:tcBorders>
            <w:vAlign w:val="center"/>
          </w:tcPr>
          <w:p w14:paraId="0A90B2D0">
            <w:pPr>
              <w:keepNext w:val="0"/>
              <w:keepLines w:val="0"/>
              <w:pageBreakBefore w:val="0"/>
              <w:kinsoku/>
              <w:wordWrap/>
              <w:overflowPunct/>
              <w:topLinePunct w:val="0"/>
              <w:bidi w:val="0"/>
              <w:snapToGrid/>
              <w:spacing w:line="360" w:lineRule="auto"/>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供应商须独立制作、修改和上传响应文件，若因“响应文件制作机器码”与其他供应商一致，机器码一致的所有响应文件按无效文件处理，所造成的不良后果由供应商自行承担。</w:t>
            </w:r>
          </w:p>
        </w:tc>
      </w:tr>
    </w:tbl>
    <w:p w14:paraId="2EBC1179">
      <w:pPr>
        <w:rPr>
          <w:rFonts w:hint="eastAsia" w:cs="宋体" w:asciiTheme="majorEastAsia" w:hAnsiTheme="majorEastAsia" w:eastAsiaTheme="majorEastAsia"/>
          <w:b/>
          <w:bCs/>
          <w:kern w:val="28"/>
          <w:sz w:val="24"/>
          <w:szCs w:val="24"/>
          <w:highlight w:val="none"/>
        </w:rPr>
      </w:pPr>
      <w:bookmarkStart w:id="5" w:name="_Toc152042305"/>
      <w:bookmarkStart w:id="6" w:name="_Toc144974497"/>
      <w:bookmarkStart w:id="7" w:name="_Toc247085689"/>
      <w:bookmarkStart w:id="8" w:name="_Toc246996918"/>
      <w:bookmarkStart w:id="9" w:name="_Toc179632546"/>
      <w:bookmarkStart w:id="10" w:name="_Toc152045529"/>
      <w:bookmarkStart w:id="11" w:name="_Toc246996175"/>
      <w:bookmarkStart w:id="12" w:name="_Toc296602420"/>
      <w:r>
        <w:rPr>
          <w:rFonts w:hint="eastAsia" w:cs="宋体" w:asciiTheme="majorEastAsia" w:hAnsiTheme="majorEastAsia" w:eastAsiaTheme="majorEastAsia"/>
          <w:b/>
          <w:bCs/>
          <w:kern w:val="28"/>
          <w:sz w:val="24"/>
          <w:szCs w:val="24"/>
          <w:highlight w:val="none"/>
        </w:rPr>
        <w:br w:type="page"/>
      </w:r>
    </w:p>
    <w:p w14:paraId="3CD44CEC">
      <w:pPr>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b/>
          <w:bCs/>
          <w:kern w:val="28"/>
          <w:sz w:val="24"/>
          <w:szCs w:val="24"/>
          <w:highlight w:val="none"/>
        </w:rPr>
      </w:pPr>
      <w:r>
        <w:rPr>
          <w:rFonts w:hint="eastAsia" w:ascii="宋体" w:hAnsi="宋体" w:eastAsia="宋体" w:cs="宋体"/>
          <w:b/>
          <w:bCs/>
          <w:kern w:val="28"/>
          <w:sz w:val="24"/>
          <w:szCs w:val="24"/>
          <w:highlight w:val="none"/>
        </w:rPr>
        <w:t>1. 总则</w:t>
      </w:r>
      <w:bookmarkEnd w:id="5"/>
      <w:bookmarkEnd w:id="6"/>
      <w:bookmarkEnd w:id="7"/>
      <w:bookmarkEnd w:id="8"/>
      <w:bookmarkEnd w:id="9"/>
      <w:bookmarkEnd w:id="10"/>
      <w:bookmarkEnd w:id="11"/>
      <w:bookmarkEnd w:id="12"/>
    </w:p>
    <w:p w14:paraId="7EEDAA1D">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13" w:name="_Toc296602421"/>
      <w:bookmarkStart w:id="14" w:name="_Toc152042306"/>
      <w:bookmarkStart w:id="15" w:name="_Toc247085690"/>
      <w:bookmarkStart w:id="16" w:name="_Toc246996919"/>
      <w:bookmarkStart w:id="17" w:name="_Toc77586913"/>
      <w:bookmarkStart w:id="18" w:name="_Toc144974498"/>
      <w:bookmarkStart w:id="19" w:name="_Toc77586820"/>
      <w:bookmarkStart w:id="20" w:name="_Toc19197"/>
      <w:bookmarkStart w:id="21" w:name="_Toc152045530"/>
      <w:bookmarkStart w:id="22" w:name="_Toc246996176"/>
      <w:bookmarkStart w:id="23" w:name="_Toc179632547"/>
      <w:r>
        <w:rPr>
          <w:rFonts w:hint="eastAsia" w:ascii="宋体" w:hAnsi="宋体" w:eastAsia="宋体" w:cs="宋体"/>
          <w:color w:val="auto"/>
          <w:sz w:val="24"/>
          <w:szCs w:val="24"/>
          <w:highlight w:val="none"/>
        </w:rPr>
        <w:t>1.1 项目概况</w:t>
      </w:r>
      <w:bookmarkEnd w:id="13"/>
      <w:bookmarkEnd w:id="14"/>
      <w:bookmarkEnd w:id="15"/>
      <w:bookmarkEnd w:id="16"/>
      <w:bookmarkEnd w:id="17"/>
      <w:bookmarkEnd w:id="18"/>
      <w:bookmarkEnd w:id="19"/>
      <w:bookmarkEnd w:id="20"/>
      <w:bookmarkEnd w:id="21"/>
      <w:bookmarkEnd w:id="22"/>
      <w:bookmarkEnd w:id="23"/>
    </w:p>
    <w:p w14:paraId="39334377">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1.1.1根据《政府采购竞争性磋商采购方式管理暂行办法》等有关法律、法规和规章的规定，本磋商项目已具备磋商条件，现对本项目施工进行竞争性磋商。</w:t>
      </w:r>
    </w:p>
    <w:p w14:paraId="2E914EA8">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本磋商项目</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0397C296">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本磋商项目</w:t>
      </w:r>
      <w:r>
        <w:rPr>
          <w:rFonts w:hint="eastAsia" w:ascii="宋体" w:hAnsi="宋体" w:cs="宋体"/>
          <w:sz w:val="24"/>
          <w:szCs w:val="24"/>
          <w:highlight w:val="none"/>
          <w:lang w:eastAsia="zh-CN"/>
        </w:rPr>
        <w:t>采购代理机构</w:t>
      </w:r>
      <w:r>
        <w:rPr>
          <w:rFonts w:hint="eastAsia" w:ascii="宋体" w:hAnsi="宋体" w:eastAsia="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5B8E144E">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本磋商项目名称：见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2BD3C44C">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4" w:name="_Toc246996177"/>
      <w:bookmarkStart w:id="25" w:name="_Toc247085691"/>
      <w:bookmarkStart w:id="26" w:name="_Toc179632548"/>
      <w:bookmarkStart w:id="27" w:name="_Toc152045531"/>
      <w:bookmarkStart w:id="28" w:name="_Toc77586821"/>
      <w:bookmarkStart w:id="29" w:name="_Toc1603"/>
      <w:bookmarkStart w:id="30" w:name="_Toc152042307"/>
      <w:bookmarkStart w:id="31" w:name="_Toc77586914"/>
      <w:bookmarkStart w:id="32" w:name="_Toc144974499"/>
      <w:bookmarkStart w:id="33" w:name="_Toc296602422"/>
      <w:bookmarkStart w:id="34" w:name="_Toc246996920"/>
      <w:r>
        <w:rPr>
          <w:rFonts w:hint="eastAsia" w:ascii="宋体" w:hAnsi="宋体" w:eastAsia="宋体" w:cs="宋体"/>
          <w:color w:val="auto"/>
          <w:sz w:val="24"/>
          <w:szCs w:val="24"/>
          <w:highlight w:val="none"/>
        </w:rPr>
        <w:t>1.2 资金来源和落实情况</w:t>
      </w:r>
      <w:bookmarkEnd w:id="24"/>
      <w:bookmarkEnd w:id="25"/>
      <w:bookmarkEnd w:id="26"/>
      <w:bookmarkEnd w:id="27"/>
      <w:bookmarkEnd w:id="28"/>
      <w:bookmarkEnd w:id="29"/>
      <w:bookmarkEnd w:id="30"/>
      <w:bookmarkEnd w:id="31"/>
      <w:bookmarkEnd w:id="32"/>
      <w:bookmarkEnd w:id="33"/>
      <w:bookmarkEnd w:id="34"/>
    </w:p>
    <w:p w14:paraId="4AAA3CA9">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本磋商项目的资金来源及出资比例：见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7978DF96">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 本磋商项目的资金落实情况：见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014FC80F">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5" w:name="_Toc179632549"/>
      <w:bookmarkStart w:id="36" w:name="_Toc296602423"/>
      <w:bookmarkStart w:id="37" w:name="_Toc246996178"/>
      <w:bookmarkStart w:id="38" w:name="_Toc144974500"/>
      <w:bookmarkStart w:id="39" w:name="_Toc247085692"/>
      <w:bookmarkStart w:id="40" w:name="_Toc20620"/>
      <w:bookmarkStart w:id="41" w:name="_Toc77586915"/>
      <w:bookmarkStart w:id="42" w:name="_Toc152042308"/>
      <w:bookmarkStart w:id="43" w:name="_Toc152045532"/>
      <w:bookmarkStart w:id="44" w:name="_Toc77586822"/>
      <w:bookmarkStart w:id="45" w:name="_Toc246996921"/>
      <w:r>
        <w:rPr>
          <w:rFonts w:hint="eastAsia" w:ascii="宋体" w:hAnsi="宋体" w:eastAsia="宋体" w:cs="宋体"/>
          <w:color w:val="auto"/>
          <w:sz w:val="24"/>
          <w:szCs w:val="24"/>
          <w:highlight w:val="none"/>
        </w:rPr>
        <w:t>1.3 磋商范围、</w:t>
      </w:r>
      <w:r>
        <w:rPr>
          <w:rFonts w:hint="eastAsia" w:ascii="宋体" w:hAnsi="宋体" w:eastAsia="宋体" w:cs="宋体"/>
          <w:color w:val="auto"/>
          <w:sz w:val="24"/>
          <w:szCs w:val="24"/>
          <w:highlight w:val="none"/>
          <w:lang w:eastAsia="zh-CN"/>
        </w:rPr>
        <w:t>供货期</w:t>
      </w:r>
      <w:r>
        <w:rPr>
          <w:rFonts w:hint="eastAsia" w:ascii="宋体" w:hAnsi="宋体" w:eastAsia="宋体" w:cs="宋体"/>
          <w:color w:val="auto"/>
          <w:sz w:val="24"/>
          <w:szCs w:val="24"/>
          <w:highlight w:val="none"/>
        </w:rPr>
        <w:t>、质量要求</w:t>
      </w:r>
      <w:bookmarkEnd w:id="35"/>
      <w:bookmarkEnd w:id="36"/>
      <w:bookmarkEnd w:id="37"/>
      <w:bookmarkEnd w:id="38"/>
      <w:bookmarkEnd w:id="39"/>
      <w:bookmarkEnd w:id="40"/>
      <w:bookmarkEnd w:id="41"/>
      <w:bookmarkEnd w:id="42"/>
      <w:bookmarkEnd w:id="43"/>
      <w:bookmarkEnd w:id="44"/>
      <w:bookmarkEnd w:id="45"/>
    </w:p>
    <w:p w14:paraId="78245ACB">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本次磋商范围：见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26781F04">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本磋商项目的</w:t>
      </w:r>
      <w:r>
        <w:rPr>
          <w:rFonts w:hint="eastAsia" w:ascii="宋体" w:hAnsi="宋体" w:cs="宋体"/>
          <w:sz w:val="24"/>
          <w:szCs w:val="24"/>
          <w:highlight w:val="none"/>
          <w:lang w:eastAsia="zh-CN"/>
        </w:rPr>
        <w:t>供货期</w:t>
      </w:r>
      <w:r>
        <w:rPr>
          <w:rFonts w:hint="eastAsia" w:ascii="宋体" w:hAnsi="宋体" w:eastAsia="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06EA2AE8">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本磋商项目的质量要求：见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64048E16">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46" w:name="_Toc77586823"/>
      <w:bookmarkStart w:id="47" w:name="_Toc152042310"/>
      <w:bookmarkStart w:id="48" w:name="_Toc152045534"/>
      <w:bookmarkStart w:id="49" w:name="_Toc296602424"/>
      <w:bookmarkStart w:id="50" w:name="_Toc246996179"/>
      <w:bookmarkStart w:id="51" w:name="_Toc32656"/>
      <w:bookmarkStart w:id="52" w:name="_Toc77586916"/>
      <w:bookmarkStart w:id="53" w:name="_Toc179632551"/>
      <w:bookmarkStart w:id="54" w:name="_Toc247085693"/>
      <w:bookmarkStart w:id="55" w:name="_Toc246996922"/>
      <w:bookmarkStart w:id="56" w:name="_Toc144974502"/>
      <w:r>
        <w:rPr>
          <w:rFonts w:hint="eastAsia"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资格要求</w:t>
      </w:r>
      <w:bookmarkEnd w:id="46"/>
      <w:bookmarkEnd w:id="47"/>
      <w:bookmarkEnd w:id="48"/>
      <w:bookmarkEnd w:id="49"/>
      <w:bookmarkEnd w:id="50"/>
      <w:bookmarkEnd w:id="51"/>
      <w:bookmarkEnd w:id="52"/>
      <w:bookmarkEnd w:id="53"/>
      <w:bookmarkEnd w:id="54"/>
      <w:bookmarkEnd w:id="55"/>
      <w:bookmarkEnd w:id="56"/>
    </w:p>
    <w:p w14:paraId="207A2973">
      <w:pPr>
        <w:keepNext w:val="0"/>
        <w:keepLines w:val="0"/>
        <w:pageBreakBefore w:val="0"/>
        <w:kinsoku/>
        <w:wordWrap/>
        <w:overflowPunct/>
        <w:topLinePunct w:val="0"/>
        <w:autoSpaceDE/>
        <w:autoSpaceDN/>
        <w:bidi w:val="0"/>
        <w:snapToGrid/>
        <w:spacing w:line="540" w:lineRule="exact"/>
        <w:ind w:firstLine="520" w:firstLineChars="21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1.4.1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应具备承担本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的资质条件、能力和信誉见前附表。</w:t>
      </w:r>
    </w:p>
    <w:p w14:paraId="269263D1">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1.4.2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须知规定本磋商项目不接受联合体投标。</w:t>
      </w:r>
    </w:p>
    <w:p w14:paraId="70D3C743">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1.4.3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不得存在下列情形之一：</w:t>
      </w:r>
    </w:p>
    <w:p w14:paraId="432DC4D9">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不具有独立法人资格的附属机构（单位）；</w:t>
      </w:r>
    </w:p>
    <w:p w14:paraId="44CD8B2E">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（2）为本磋商项目前期准备提供设计或咨询服务的； </w:t>
      </w:r>
    </w:p>
    <w:p w14:paraId="1DC9F538">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（3）为本磋商项目的监理人；</w:t>
      </w:r>
    </w:p>
    <w:p w14:paraId="5CAA4F9C">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（4）为本磋商项目的代建人； </w:t>
      </w:r>
    </w:p>
    <w:p w14:paraId="423DA250">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（5）为本磋商项目提供招标代理服务的； </w:t>
      </w:r>
    </w:p>
    <w:p w14:paraId="2BB5E3AC">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（6）与本磋商项目的监理人或代建人或</w:t>
      </w:r>
      <w:r>
        <w:rPr>
          <w:rFonts w:hint="eastAsia" w:ascii="宋体" w:hAnsi="宋体" w:cs="宋体"/>
          <w:sz w:val="24"/>
          <w:szCs w:val="24"/>
          <w:highlight w:val="none"/>
          <w:lang w:eastAsia="zh-CN"/>
        </w:rPr>
        <w:t>采购代理机构</w:t>
      </w:r>
      <w:r>
        <w:rPr>
          <w:rFonts w:hint="eastAsia" w:ascii="宋体" w:hAnsi="宋体" w:eastAsia="宋体" w:cs="宋体"/>
          <w:sz w:val="24"/>
          <w:szCs w:val="24"/>
          <w:highlight w:val="none"/>
        </w:rPr>
        <w:t>同为一个法定代表人的；</w:t>
      </w:r>
    </w:p>
    <w:p w14:paraId="75FF1245">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（7）与本磋商项目的监理人或代建人或</w:t>
      </w:r>
      <w:r>
        <w:rPr>
          <w:rFonts w:hint="eastAsia" w:ascii="宋体" w:hAnsi="宋体" w:cs="宋体"/>
          <w:sz w:val="24"/>
          <w:szCs w:val="24"/>
          <w:highlight w:val="none"/>
          <w:lang w:eastAsia="zh-CN"/>
        </w:rPr>
        <w:t>采购代理机构</w:t>
      </w:r>
      <w:r>
        <w:rPr>
          <w:rFonts w:hint="eastAsia" w:ascii="宋体" w:hAnsi="宋体" w:eastAsia="宋体" w:cs="宋体"/>
          <w:sz w:val="24"/>
          <w:szCs w:val="24"/>
          <w:highlight w:val="none"/>
        </w:rPr>
        <w:t>相互控股或参股的；</w:t>
      </w:r>
    </w:p>
    <w:p w14:paraId="7CDB7602">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（8）与本磋商项目的监理人或代建人或</w:t>
      </w:r>
      <w:r>
        <w:rPr>
          <w:rFonts w:hint="eastAsia" w:ascii="宋体" w:hAnsi="宋体" w:cs="宋体"/>
          <w:sz w:val="24"/>
          <w:szCs w:val="24"/>
          <w:highlight w:val="none"/>
          <w:lang w:eastAsia="zh-CN"/>
        </w:rPr>
        <w:t>采购代理机构</w:t>
      </w:r>
      <w:r>
        <w:rPr>
          <w:rFonts w:hint="eastAsia" w:ascii="宋体" w:hAnsi="宋体" w:eastAsia="宋体" w:cs="宋体"/>
          <w:sz w:val="24"/>
          <w:szCs w:val="24"/>
          <w:highlight w:val="none"/>
        </w:rPr>
        <w:t>相互任职或工作的；</w:t>
      </w:r>
    </w:p>
    <w:p w14:paraId="020213B1">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（9）被责令停业的； </w:t>
      </w:r>
    </w:p>
    <w:p w14:paraId="5568A33B">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（10）被暂停或取消投标资格的； </w:t>
      </w:r>
    </w:p>
    <w:p w14:paraId="230D8A53">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（11）财产被接管或冻结的；</w:t>
      </w:r>
    </w:p>
    <w:p w14:paraId="6A8781DB">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（12）在最近三年内有骗取成交或严重违约或重大质量问题的。</w:t>
      </w:r>
    </w:p>
    <w:p w14:paraId="75FFD682">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57" w:name="_Toc77586917"/>
      <w:bookmarkStart w:id="58" w:name="_Toc152042311"/>
      <w:bookmarkStart w:id="59" w:name="_Toc144974503"/>
      <w:bookmarkStart w:id="60" w:name="_Toc599"/>
      <w:bookmarkStart w:id="61" w:name="_Toc152045535"/>
      <w:bookmarkStart w:id="62" w:name="_Toc77586824"/>
      <w:bookmarkStart w:id="63" w:name="_Toc179632552"/>
      <w:r>
        <w:rPr>
          <w:rFonts w:hint="eastAsia" w:ascii="宋体" w:hAnsi="宋体" w:eastAsia="宋体" w:cs="宋体"/>
          <w:color w:val="auto"/>
          <w:sz w:val="24"/>
          <w:szCs w:val="24"/>
          <w:highlight w:val="none"/>
        </w:rPr>
        <w:t>1.5 费用承担</w:t>
      </w:r>
      <w:bookmarkEnd w:id="57"/>
      <w:bookmarkEnd w:id="58"/>
      <w:bookmarkEnd w:id="59"/>
      <w:bookmarkEnd w:id="60"/>
      <w:bookmarkEnd w:id="61"/>
      <w:bookmarkEnd w:id="62"/>
      <w:bookmarkEnd w:id="63"/>
    </w:p>
    <w:p w14:paraId="456B1A42">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准备和参加投标活动发生的费用自理。</w:t>
      </w:r>
    </w:p>
    <w:p w14:paraId="363224AE">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64" w:name="_Toc247085695"/>
      <w:bookmarkStart w:id="65" w:name="_Toc152045536"/>
      <w:bookmarkStart w:id="66" w:name="_Toc152042312"/>
      <w:bookmarkStart w:id="67" w:name="_Toc296602426"/>
      <w:bookmarkStart w:id="68" w:name="_Toc246996924"/>
      <w:bookmarkStart w:id="69" w:name="_Toc144974504"/>
      <w:bookmarkStart w:id="70" w:name="_Toc246996181"/>
      <w:bookmarkStart w:id="71" w:name="_Toc179632553"/>
      <w:bookmarkStart w:id="72" w:name="_Toc24127"/>
      <w:bookmarkStart w:id="73" w:name="_Toc77586918"/>
      <w:bookmarkStart w:id="74" w:name="_Toc77586825"/>
      <w:r>
        <w:rPr>
          <w:rFonts w:hint="eastAsia" w:ascii="宋体" w:hAnsi="宋体" w:eastAsia="宋体" w:cs="宋体"/>
          <w:color w:val="auto"/>
          <w:sz w:val="24"/>
          <w:szCs w:val="24"/>
          <w:highlight w:val="none"/>
        </w:rPr>
        <w:t>1.6 保密</w:t>
      </w:r>
      <w:bookmarkEnd w:id="64"/>
      <w:bookmarkEnd w:id="65"/>
      <w:bookmarkEnd w:id="66"/>
      <w:bookmarkEnd w:id="67"/>
      <w:bookmarkEnd w:id="68"/>
      <w:bookmarkEnd w:id="69"/>
      <w:bookmarkEnd w:id="70"/>
      <w:bookmarkEnd w:id="71"/>
      <w:bookmarkEnd w:id="72"/>
      <w:bookmarkEnd w:id="73"/>
      <w:bookmarkEnd w:id="74"/>
    </w:p>
    <w:p w14:paraId="36D8A62B">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参与招标投标活动的各方应对竞争性磋商文件和磋商响应文件中的商业和技术等秘密保密，违者应对由此造成的后果承担法律责任。 </w:t>
      </w:r>
    </w:p>
    <w:p w14:paraId="13DEA8CD">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75" w:name="_Toc144974505"/>
      <w:bookmarkStart w:id="76" w:name="_Toc296602427"/>
      <w:bookmarkStart w:id="77" w:name="_Toc179632554"/>
      <w:bookmarkStart w:id="78" w:name="_Toc8895"/>
      <w:bookmarkStart w:id="79" w:name="_Toc152045537"/>
      <w:bookmarkStart w:id="80" w:name="_Toc77586919"/>
      <w:bookmarkStart w:id="81" w:name="_Toc152042313"/>
      <w:bookmarkStart w:id="82" w:name="_Toc246996182"/>
      <w:bookmarkStart w:id="83" w:name="_Toc77586826"/>
      <w:bookmarkStart w:id="84" w:name="_Toc247085696"/>
      <w:bookmarkStart w:id="85" w:name="_Toc246996925"/>
      <w:r>
        <w:rPr>
          <w:rFonts w:hint="eastAsia" w:ascii="宋体" w:hAnsi="宋体" w:eastAsia="宋体" w:cs="宋体"/>
          <w:color w:val="auto"/>
          <w:sz w:val="24"/>
          <w:szCs w:val="24"/>
          <w:highlight w:val="none"/>
        </w:rPr>
        <w:t>1.7 语言</w:t>
      </w:r>
      <w:bookmarkEnd w:id="75"/>
      <w:r>
        <w:rPr>
          <w:rFonts w:hint="eastAsia" w:ascii="宋体" w:hAnsi="宋体" w:eastAsia="宋体" w:cs="宋体"/>
          <w:color w:val="auto"/>
          <w:sz w:val="24"/>
          <w:szCs w:val="24"/>
          <w:highlight w:val="none"/>
        </w:rPr>
        <w:t>文字</w:t>
      </w:r>
      <w:bookmarkEnd w:id="76"/>
      <w:bookmarkEnd w:id="77"/>
      <w:bookmarkEnd w:id="78"/>
      <w:bookmarkEnd w:id="79"/>
      <w:bookmarkEnd w:id="80"/>
      <w:bookmarkEnd w:id="81"/>
      <w:bookmarkEnd w:id="82"/>
      <w:bookmarkEnd w:id="83"/>
      <w:bookmarkEnd w:id="84"/>
      <w:bookmarkEnd w:id="85"/>
    </w:p>
    <w:p w14:paraId="6A584A43">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bookmarkStart w:id="86" w:name="_Toc144974506"/>
      <w:bookmarkStart w:id="87" w:name="_Toc152042314"/>
      <w:bookmarkStart w:id="88" w:name="_Toc247085697"/>
      <w:bookmarkStart w:id="89" w:name="_Toc246996926"/>
      <w:bookmarkStart w:id="90" w:name="_Toc152045538"/>
      <w:bookmarkStart w:id="91" w:name="_Toc179632555"/>
      <w:bookmarkStart w:id="92" w:name="_Toc246996183"/>
      <w:r>
        <w:rPr>
          <w:rFonts w:hint="eastAsia" w:ascii="宋体" w:hAnsi="宋体" w:eastAsia="宋体" w:cs="宋体"/>
          <w:sz w:val="24"/>
          <w:szCs w:val="24"/>
          <w:highlight w:val="none"/>
        </w:rPr>
        <w:t>招标磋商响应文件使用的语言文字为中文。专用术语使用外文的，应附有中文注释。</w:t>
      </w:r>
    </w:p>
    <w:p w14:paraId="2A6433D0">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93" w:name="_Toc77586920"/>
      <w:bookmarkStart w:id="94" w:name="_Toc77586827"/>
      <w:bookmarkStart w:id="95" w:name="_Toc32192"/>
      <w:bookmarkStart w:id="96" w:name="_Toc296602428"/>
      <w:r>
        <w:rPr>
          <w:rFonts w:hint="eastAsia" w:ascii="宋体" w:hAnsi="宋体" w:eastAsia="宋体" w:cs="宋体"/>
          <w:color w:val="auto"/>
          <w:sz w:val="24"/>
          <w:szCs w:val="24"/>
          <w:highlight w:val="none"/>
        </w:rPr>
        <w:t>1.8 计量单位</w:t>
      </w:r>
      <w:bookmarkEnd w:id="86"/>
      <w:bookmarkEnd w:id="87"/>
      <w:bookmarkEnd w:id="88"/>
      <w:bookmarkEnd w:id="89"/>
      <w:bookmarkEnd w:id="90"/>
      <w:bookmarkEnd w:id="91"/>
      <w:bookmarkEnd w:id="92"/>
      <w:bookmarkEnd w:id="93"/>
      <w:bookmarkEnd w:id="94"/>
      <w:bookmarkEnd w:id="95"/>
      <w:bookmarkEnd w:id="96"/>
    </w:p>
    <w:p w14:paraId="4D4D13D6">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3798FC29">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97" w:name="_Toc8110"/>
      <w:bookmarkStart w:id="98" w:name="_Toc247513962"/>
      <w:bookmarkStart w:id="99" w:name="_Toc77586828"/>
      <w:bookmarkStart w:id="100" w:name="_Toc77586921"/>
      <w:bookmarkStart w:id="101" w:name="_Toc144974507"/>
      <w:bookmarkStart w:id="102" w:name="_Toc247527563"/>
      <w:bookmarkStart w:id="103" w:name="_Toc152045539"/>
      <w:bookmarkStart w:id="104" w:name="_Toc152042315"/>
      <w:bookmarkStart w:id="105" w:name="_Toc247592876"/>
      <w:bookmarkStart w:id="106" w:name="_Toc296602429"/>
      <w:r>
        <w:rPr>
          <w:rFonts w:hint="eastAsia" w:ascii="宋体" w:hAnsi="宋体" w:eastAsia="宋体" w:cs="宋体"/>
          <w:color w:val="auto"/>
          <w:sz w:val="24"/>
          <w:szCs w:val="24"/>
          <w:highlight w:val="none"/>
        </w:rPr>
        <w:t>1.9 踏勘现场</w:t>
      </w:r>
      <w:bookmarkEnd w:id="97"/>
      <w:bookmarkEnd w:id="98"/>
      <w:bookmarkEnd w:id="99"/>
      <w:bookmarkEnd w:id="100"/>
      <w:bookmarkEnd w:id="101"/>
      <w:bookmarkEnd w:id="102"/>
      <w:bookmarkEnd w:id="103"/>
      <w:bookmarkEnd w:id="104"/>
      <w:bookmarkEnd w:id="105"/>
      <w:bookmarkEnd w:id="106"/>
    </w:p>
    <w:p w14:paraId="28877924">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1.9.1 </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 xml:space="preserve">不组织现场踏勘，部分设备需供应商自行踏勘现场，供货时满足甲方要求。 </w:t>
      </w:r>
    </w:p>
    <w:p w14:paraId="7552EA7E">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1.9.2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踏勘现场发生的费用自理。</w:t>
      </w:r>
    </w:p>
    <w:p w14:paraId="468C4C00">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1.9.3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自行负责在踏勘现场中所发生的人员伤亡和财产损失。</w:t>
      </w:r>
    </w:p>
    <w:p w14:paraId="1C63B6EE">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1.9.4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在踏勘现场中看到的场地和相关的周边环境情况，供</w:t>
      </w:r>
      <w:r>
        <w:rPr>
          <w:rFonts w:hint="eastAsia" w:ascii="宋体" w:hAnsi="宋体" w:cs="宋体"/>
          <w:sz w:val="24"/>
          <w:szCs w:val="24"/>
          <w:highlight w:val="none"/>
          <w:lang w:eastAsia="zh-CN"/>
        </w:rPr>
        <w:t>应商</w:t>
      </w:r>
      <w:r>
        <w:rPr>
          <w:rFonts w:hint="eastAsia" w:ascii="宋体" w:hAnsi="宋体" w:eastAsia="宋体" w:cs="宋体"/>
          <w:sz w:val="24"/>
          <w:szCs w:val="24"/>
          <w:highlight w:val="none"/>
        </w:rPr>
        <w:t>在编制磋商响应文件时参考，</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不对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据此作出的判断和决策负责。</w:t>
      </w:r>
    </w:p>
    <w:p w14:paraId="60A07FD1">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107" w:name="_Toc247592877"/>
      <w:bookmarkStart w:id="108" w:name="_Toc296602430"/>
      <w:bookmarkStart w:id="109" w:name="_Toc152045540"/>
      <w:bookmarkStart w:id="110" w:name="_Toc144974508"/>
      <w:bookmarkStart w:id="111" w:name="_Toc247527564"/>
      <w:bookmarkStart w:id="112" w:name="_Toc23494"/>
      <w:bookmarkStart w:id="113" w:name="_Toc77586922"/>
      <w:bookmarkStart w:id="114" w:name="_Toc77586829"/>
      <w:bookmarkStart w:id="115" w:name="_Toc247513963"/>
      <w:bookmarkStart w:id="116" w:name="_Toc152042316"/>
      <w:r>
        <w:rPr>
          <w:rFonts w:hint="eastAsia" w:ascii="宋体" w:hAnsi="宋体" w:eastAsia="宋体" w:cs="宋体"/>
          <w:color w:val="auto"/>
          <w:sz w:val="24"/>
          <w:szCs w:val="24"/>
          <w:highlight w:val="none"/>
        </w:rPr>
        <w:t>1.10 投标预备会</w:t>
      </w:r>
      <w:bookmarkEnd w:id="107"/>
      <w:bookmarkEnd w:id="108"/>
      <w:bookmarkEnd w:id="109"/>
      <w:bookmarkEnd w:id="110"/>
      <w:bookmarkEnd w:id="111"/>
      <w:bookmarkEnd w:id="112"/>
      <w:bookmarkEnd w:id="113"/>
      <w:bookmarkEnd w:id="114"/>
      <w:bookmarkEnd w:id="115"/>
      <w:bookmarkEnd w:id="116"/>
      <w:bookmarkStart w:id="117" w:name="_Toc296602431"/>
    </w:p>
    <w:p w14:paraId="2492E6A0">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p w14:paraId="64FC72A6">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118" w:name="_Toc77586830"/>
      <w:bookmarkStart w:id="119" w:name="_Toc20931"/>
      <w:bookmarkStart w:id="120" w:name="_Toc77586923"/>
      <w:r>
        <w:rPr>
          <w:rFonts w:hint="eastAsia" w:ascii="宋体" w:hAnsi="宋体" w:eastAsia="宋体" w:cs="宋体"/>
          <w:color w:val="auto"/>
          <w:sz w:val="24"/>
          <w:szCs w:val="24"/>
          <w:highlight w:val="none"/>
        </w:rPr>
        <w:t xml:space="preserve">1.11 </w:t>
      </w:r>
      <w:bookmarkEnd w:id="117"/>
      <w:r>
        <w:rPr>
          <w:rFonts w:hint="eastAsia" w:ascii="宋体" w:hAnsi="宋体" w:eastAsia="宋体" w:cs="宋体"/>
          <w:color w:val="auto"/>
          <w:sz w:val="24"/>
          <w:szCs w:val="24"/>
          <w:highlight w:val="none"/>
        </w:rPr>
        <w:t>分包</w:t>
      </w:r>
      <w:bookmarkEnd w:id="118"/>
      <w:bookmarkEnd w:id="119"/>
      <w:bookmarkEnd w:id="120"/>
    </w:p>
    <w:p w14:paraId="23F4E817">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7398BF98">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121" w:name="_Toc152042318"/>
      <w:bookmarkStart w:id="122" w:name="_Toc179632560"/>
      <w:bookmarkStart w:id="123" w:name="_Toc296602432"/>
      <w:bookmarkStart w:id="124" w:name="_Toc152045542"/>
      <w:bookmarkStart w:id="125" w:name="_Toc247085701"/>
      <w:bookmarkStart w:id="126" w:name="_Toc246996930"/>
      <w:bookmarkStart w:id="127" w:name="_Toc297"/>
      <w:bookmarkStart w:id="128" w:name="_Toc144974510"/>
      <w:bookmarkStart w:id="129" w:name="_Toc246996187"/>
      <w:bookmarkStart w:id="130" w:name="_Toc77586924"/>
      <w:bookmarkStart w:id="131" w:name="_Toc77586831"/>
      <w:r>
        <w:rPr>
          <w:rFonts w:hint="eastAsia" w:ascii="宋体" w:hAnsi="宋体" w:eastAsia="宋体" w:cs="宋体"/>
          <w:color w:val="auto"/>
          <w:sz w:val="24"/>
          <w:szCs w:val="24"/>
          <w:highlight w:val="none"/>
        </w:rPr>
        <w:t>2. 竞争性磋商文件</w:t>
      </w:r>
      <w:bookmarkEnd w:id="121"/>
      <w:bookmarkEnd w:id="122"/>
      <w:bookmarkEnd w:id="123"/>
      <w:bookmarkEnd w:id="124"/>
      <w:bookmarkEnd w:id="125"/>
      <w:bookmarkEnd w:id="126"/>
      <w:bookmarkEnd w:id="127"/>
      <w:bookmarkEnd w:id="128"/>
      <w:bookmarkEnd w:id="129"/>
      <w:bookmarkEnd w:id="130"/>
      <w:bookmarkEnd w:id="131"/>
    </w:p>
    <w:p w14:paraId="53685CD1">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132" w:name="_Toc296602433"/>
      <w:bookmarkStart w:id="133" w:name="_Toc20049"/>
      <w:bookmarkStart w:id="134" w:name="_Toc152042319"/>
      <w:bookmarkStart w:id="135" w:name="_Toc77586925"/>
      <w:bookmarkStart w:id="136" w:name="_Toc152045543"/>
      <w:bookmarkStart w:id="137" w:name="_Toc77586832"/>
      <w:bookmarkStart w:id="138" w:name="_Toc247085702"/>
      <w:bookmarkStart w:id="139" w:name="_Toc246996188"/>
      <w:bookmarkStart w:id="140" w:name="_Toc144974511"/>
      <w:bookmarkStart w:id="141" w:name="_Toc246996931"/>
      <w:bookmarkStart w:id="142" w:name="_Toc179632561"/>
      <w:r>
        <w:rPr>
          <w:rFonts w:hint="eastAsia" w:ascii="宋体" w:hAnsi="宋体" w:eastAsia="宋体" w:cs="宋体"/>
          <w:color w:val="auto"/>
          <w:sz w:val="24"/>
          <w:szCs w:val="24"/>
          <w:highlight w:val="none"/>
        </w:rPr>
        <w:t>2.1 竞争性磋商文件的组成</w:t>
      </w:r>
      <w:bookmarkEnd w:id="132"/>
      <w:bookmarkEnd w:id="133"/>
      <w:bookmarkEnd w:id="134"/>
      <w:bookmarkEnd w:id="135"/>
      <w:bookmarkEnd w:id="136"/>
      <w:bookmarkEnd w:id="137"/>
      <w:bookmarkEnd w:id="138"/>
      <w:bookmarkEnd w:id="139"/>
      <w:bookmarkEnd w:id="140"/>
      <w:bookmarkEnd w:id="141"/>
      <w:bookmarkEnd w:id="142"/>
    </w:p>
    <w:p w14:paraId="423C51C4">
      <w:pPr>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2.1.1 本竞争性磋商文件包括：</w:t>
      </w:r>
    </w:p>
    <w:p w14:paraId="0ACD0211">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（1）竞争性磋商公告；</w:t>
      </w:r>
    </w:p>
    <w:p w14:paraId="0F6261C8">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w:t>
      </w:r>
    </w:p>
    <w:p w14:paraId="05551081">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（3）评标办法；</w:t>
      </w:r>
    </w:p>
    <w:p w14:paraId="15A63226">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（4）合同条款及格式；</w:t>
      </w:r>
    </w:p>
    <w:p w14:paraId="3E2CCD74">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 xml:space="preserve">清单（另附）； </w:t>
      </w:r>
    </w:p>
    <w:p w14:paraId="24B14DEB">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（6）技术标准和要求；</w:t>
      </w:r>
    </w:p>
    <w:p w14:paraId="2D1BE03A">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（7）磋商响应文件格式</w:t>
      </w:r>
      <w:r>
        <w:rPr>
          <w:rFonts w:hint="eastAsia" w:ascii="宋体" w:hAnsi="宋体" w:eastAsia="宋体" w:cs="宋体"/>
          <w:sz w:val="24"/>
          <w:szCs w:val="24"/>
          <w:highlight w:val="none"/>
          <w:lang w:eastAsia="zh-CN"/>
        </w:rPr>
        <w:t>。</w:t>
      </w:r>
    </w:p>
    <w:p w14:paraId="56021BAC">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2.1.2根据本章第2.2款和第2.3款对竞争性磋商文件所作的澄清、修改，构成竞争性磋商文件的组成部分。</w:t>
      </w:r>
    </w:p>
    <w:p w14:paraId="33E36FB8">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143" w:name="_Toc247085703"/>
      <w:bookmarkStart w:id="144" w:name="_Toc144974512"/>
      <w:bookmarkStart w:id="145" w:name="_Toc77586926"/>
      <w:bookmarkStart w:id="146" w:name="_Toc152045544"/>
      <w:bookmarkStart w:id="147" w:name="_Toc77586833"/>
      <w:bookmarkStart w:id="148" w:name="_Toc246996189"/>
      <w:bookmarkStart w:id="149" w:name="_Toc296602434"/>
      <w:bookmarkStart w:id="150" w:name="_Toc246996932"/>
      <w:bookmarkStart w:id="151" w:name="_Toc26241"/>
      <w:bookmarkStart w:id="152" w:name="_Toc152042320"/>
      <w:bookmarkStart w:id="153" w:name="_Toc179632562"/>
      <w:r>
        <w:rPr>
          <w:rFonts w:hint="eastAsia" w:ascii="宋体" w:hAnsi="宋体" w:eastAsia="宋体" w:cs="宋体"/>
          <w:color w:val="auto"/>
          <w:sz w:val="24"/>
          <w:szCs w:val="24"/>
          <w:highlight w:val="none"/>
        </w:rPr>
        <w:t>2.2 竞争性磋商文件的澄清</w:t>
      </w:r>
      <w:bookmarkEnd w:id="143"/>
      <w:bookmarkEnd w:id="144"/>
      <w:bookmarkEnd w:id="145"/>
      <w:bookmarkEnd w:id="146"/>
      <w:bookmarkEnd w:id="147"/>
      <w:bookmarkEnd w:id="148"/>
      <w:bookmarkEnd w:id="149"/>
      <w:bookmarkEnd w:id="150"/>
      <w:bookmarkEnd w:id="151"/>
      <w:bookmarkEnd w:id="152"/>
      <w:bookmarkEnd w:id="153"/>
    </w:p>
    <w:p w14:paraId="1B0AAF44">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应仔细阅读和检查竞争性磋商文件的全部内容。如发现缺页或附件不全，应及时向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提出，以便补齐。如有疑问，应在</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须知前附表规定的时间前以书面的形式，要求</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对竞争性磋商文件予以澄清。</w:t>
      </w:r>
    </w:p>
    <w:p w14:paraId="49DC07A7">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2.2.2竞争性磋商文件的澄清将以公告形式发布到网上，但不指明澄清问题的来源。如果澄清发出的时间距</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 xml:space="preserve">须知前附表规定的投标截止时间不足5天，并且澄清内容影响磋商响应文件编制的，将相应延长磋商截止时间。 </w:t>
      </w:r>
    </w:p>
    <w:p w14:paraId="52952972">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154" w:name="_Toc77586834"/>
      <w:bookmarkStart w:id="155" w:name="_Toc77586927"/>
      <w:bookmarkStart w:id="156" w:name="_Toc179632563"/>
      <w:bookmarkStart w:id="157" w:name="_Toc246996933"/>
      <w:bookmarkStart w:id="158" w:name="_Toc296602435"/>
      <w:bookmarkStart w:id="159" w:name="_Toc152045545"/>
      <w:bookmarkStart w:id="160" w:name="_Toc152042321"/>
      <w:bookmarkStart w:id="161" w:name="_Toc10735"/>
      <w:bookmarkStart w:id="162" w:name="_Toc247085704"/>
      <w:bookmarkStart w:id="163" w:name="_Toc144974513"/>
      <w:bookmarkStart w:id="164" w:name="_Toc246996190"/>
      <w:r>
        <w:rPr>
          <w:rFonts w:hint="eastAsia" w:ascii="宋体" w:hAnsi="宋体" w:eastAsia="宋体" w:cs="宋体"/>
          <w:color w:val="auto"/>
          <w:sz w:val="24"/>
          <w:szCs w:val="24"/>
          <w:highlight w:val="none"/>
        </w:rPr>
        <w:t>2.3 竞争性磋商文件的修改</w:t>
      </w:r>
      <w:bookmarkEnd w:id="154"/>
      <w:bookmarkEnd w:id="155"/>
      <w:bookmarkEnd w:id="156"/>
      <w:bookmarkEnd w:id="157"/>
      <w:bookmarkEnd w:id="158"/>
      <w:bookmarkEnd w:id="159"/>
      <w:bookmarkEnd w:id="160"/>
      <w:bookmarkEnd w:id="161"/>
      <w:bookmarkEnd w:id="162"/>
      <w:bookmarkEnd w:id="163"/>
      <w:bookmarkEnd w:id="164"/>
    </w:p>
    <w:p w14:paraId="5C6DAC8F">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可以书面形式修改竞争性磋商文件，但如果修改竞争性磋商文件的时间距投标截止时间不足5天，并且修改内容影响磋商响应文件编制的，将相应延长磋商截止时间。</w:t>
      </w:r>
    </w:p>
    <w:p w14:paraId="515B4D9E">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165" w:name="_Toc152042322"/>
      <w:bookmarkStart w:id="166" w:name="_Toc152045546"/>
      <w:bookmarkStart w:id="167" w:name="_Toc77586835"/>
      <w:bookmarkStart w:id="168" w:name="_Toc246996191"/>
      <w:bookmarkStart w:id="169" w:name="_Toc246996934"/>
      <w:bookmarkStart w:id="170" w:name="_Toc23258"/>
      <w:bookmarkStart w:id="171" w:name="_Toc296602436"/>
      <w:bookmarkStart w:id="172" w:name="_Toc144974514"/>
      <w:bookmarkStart w:id="173" w:name="_Toc77586928"/>
      <w:bookmarkStart w:id="174" w:name="_Toc247085705"/>
      <w:bookmarkStart w:id="175" w:name="_Toc179632564"/>
      <w:r>
        <w:rPr>
          <w:rFonts w:hint="eastAsia" w:ascii="宋体" w:hAnsi="宋体" w:eastAsia="宋体" w:cs="宋体"/>
          <w:color w:val="auto"/>
          <w:sz w:val="24"/>
          <w:szCs w:val="24"/>
          <w:highlight w:val="none"/>
        </w:rPr>
        <w:t>3. 竞争性磋商文件</w:t>
      </w:r>
      <w:bookmarkEnd w:id="165"/>
      <w:bookmarkEnd w:id="166"/>
      <w:bookmarkEnd w:id="167"/>
      <w:bookmarkEnd w:id="168"/>
      <w:bookmarkEnd w:id="169"/>
      <w:bookmarkEnd w:id="170"/>
      <w:bookmarkEnd w:id="171"/>
      <w:bookmarkEnd w:id="172"/>
      <w:bookmarkEnd w:id="173"/>
      <w:bookmarkEnd w:id="174"/>
      <w:bookmarkEnd w:id="175"/>
    </w:p>
    <w:p w14:paraId="73480D6F">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176" w:name="_Toc14567"/>
      <w:bookmarkStart w:id="177" w:name="_Toc152042323"/>
      <w:bookmarkStart w:id="178" w:name="_Toc152045547"/>
      <w:bookmarkStart w:id="179" w:name="_Toc77586836"/>
      <w:bookmarkStart w:id="180" w:name="_Toc246996192"/>
      <w:bookmarkStart w:id="181" w:name="_Toc179632565"/>
      <w:bookmarkStart w:id="182" w:name="_Toc247085706"/>
      <w:bookmarkStart w:id="183" w:name="_Toc77586929"/>
      <w:bookmarkStart w:id="184" w:name="_Toc144974515"/>
      <w:bookmarkStart w:id="185" w:name="_Toc246996935"/>
      <w:bookmarkStart w:id="186" w:name="_Toc296602437"/>
      <w:r>
        <w:rPr>
          <w:rFonts w:hint="eastAsia" w:ascii="宋体" w:hAnsi="宋体" w:eastAsia="宋体" w:cs="宋体"/>
          <w:color w:val="auto"/>
          <w:sz w:val="24"/>
          <w:szCs w:val="24"/>
          <w:highlight w:val="none"/>
        </w:rPr>
        <w:t>3.1 竞争性磋商文件的组成</w:t>
      </w:r>
      <w:bookmarkEnd w:id="176"/>
      <w:bookmarkEnd w:id="177"/>
      <w:bookmarkEnd w:id="178"/>
      <w:bookmarkEnd w:id="179"/>
      <w:bookmarkEnd w:id="180"/>
      <w:bookmarkEnd w:id="181"/>
      <w:bookmarkEnd w:id="182"/>
      <w:bookmarkEnd w:id="183"/>
      <w:bookmarkEnd w:id="184"/>
      <w:bookmarkEnd w:id="185"/>
      <w:bookmarkEnd w:id="186"/>
    </w:p>
    <w:p w14:paraId="22E094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187" w:name="_Toc25861"/>
      <w:bookmarkStart w:id="188" w:name="_Toc247085707"/>
      <w:bookmarkStart w:id="189" w:name="_Toc179632566"/>
      <w:bookmarkStart w:id="190" w:name="_Toc296602438"/>
      <w:bookmarkStart w:id="191" w:name="_Toc77586837"/>
      <w:bookmarkStart w:id="192" w:name="_Toc246996193"/>
      <w:bookmarkStart w:id="193" w:name="_Toc144974516"/>
      <w:bookmarkStart w:id="194" w:name="_Toc152045548"/>
      <w:bookmarkStart w:id="195" w:name="_Toc152042324"/>
      <w:bookmarkStart w:id="196" w:name="_Toc77586930"/>
      <w:bookmarkStart w:id="197" w:name="_Toc246996936"/>
      <w:r>
        <w:rPr>
          <w:rFonts w:hint="eastAsia"/>
          <w:sz w:val="24"/>
          <w:szCs w:val="24"/>
        </w:rPr>
        <w:t>一、磋商响应函</w:t>
      </w:r>
      <w:bookmarkEnd w:id="187"/>
    </w:p>
    <w:p w14:paraId="434FC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198" w:name="_Toc973"/>
      <w:r>
        <w:rPr>
          <w:rFonts w:hint="eastAsia"/>
          <w:sz w:val="24"/>
          <w:szCs w:val="24"/>
        </w:rPr>
        <w:t>二、磋商报价表</w:t>
      </w:r>
      <w:bookmarkEnd w:id="198"/>
    </w:p>
    <w:p w14:paraId="036551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199" w:name="_Toc7231"/>
      <w:r>
        <w:rPr>
          <w:rFonts w:hint="eastAsia"/>
          <w:sz w:val="24"/>
          <w:szCs w:val="24"/>
        </w:rPr>
        <w:t>三、法定代表人身份证明</w:t>
      </w:r>
      <w:bookmarkEnd w:id="199"/>
    </w:p>
    <w:p w14:paraId="567EA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200" w:name="_Toc6648"/>
      <w:r>
        <w:rPr>
          <w:rFonts w:hint="eastAsia"/>
          <w:sz w:val="24"/>
          <w:szCs w:val="24"/>
        </w:rPr>
        <w:t>四、授权委托书</w:t>
      </w:r>
      <w:bookmarkEnd w:id="200"/>
    </w:p>
    <w:p w14:paraId="475B6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201" w:name="_Toc6988"/>
      <w:r>
        <w:rPr>
          <w:rFonts w:hint="eastAsia"/>
          <w:sz w:val="24"/>
          <w:szCs w:val="24"/>
        </w:rPr>
        <w:t>五、投标承诺函</w:t>
      </w:r>
      <w:bookmarkEnd w:id="201"/>
    </w:p>
    <w:p w14:paraId="2481F2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202" w:name="_Toc30915"/>
      <w:r>
        <w:rPr>
          <w:rFonts w:hint="eastAsia"/>
          <w:sz w:val="24"/>
          <w:szCs w:val="24"/>
        </w:rPr>
        <w:t>六、</w:t>
      </w:r>
      <w:r>
        <w:rPr>
          <w:rFonts w:hint="eastAsia"/>
          <w:sz w:val="24"/>
          <w:szCs w:val="24"/>
          <w:lang w:eastAsia="zh-CN"/>
        </w:rPr>
        <w:t>采购</w:t>
      </w:r>
      <w:r>
        <w:rPr>
          <w:rFonts w:hint="eastAsia"/>
          <w:sz w:val="24"/>
          <w:szCs w:val="24"/>
        </w:rPr>
        <w:t>清单</w:t>
      </w:r>
      <w:bookmarkEnd w:id="202"/>
    </w:p>
    <w:p w14:paraId="28C8E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bookmarkStart w:id="203" w:name="_Toc2363"/>
      <w:r>
        <w:rPr>
          <w:rFonts w:hint="eastAsia"/>
          <w:sz w:val="24"/>
          <w:szCs w:val="24"/>
        </w:rPr>
        <w:t>七、技术参数偏离表</w:t>
      </w:r>
      <w:bookmarkEnd w:id="203"/>
    </w:p>
    <w:p w14:paraId="180199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204" w:name="_Toc19186"/>
      <w:r>
        <w:rPr>
          <w:rFonts w:hint="eastAsia"/>
          <w:sz w:val="24"/>
          <w:szCs w:val="24"/>
          <w:lang w:val="en-US" w:eastAsia="zh-CN"/>
        </w:rPr>
        <w:t>八</w:t>
      </w:r>
      <w:r>
        <w:rPr>
          <w:rFonts w:hint="eastAsia"/>
          <w:sz w:val="24"/>
          <w:szCs w:val="24"/>
        </w:rPr>
        <w:t>、资格审查资料</w:t>
      </w:r>
      <w:bookmarkEnd w:id="204"/>
    </w:p>
    <w:p w14:paraId="3EEC6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八、技术标</w:t>
      </w:r>
    </w:p>
    <w:p w14:paraId="0F19D7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九、商务标</w:t>
      </w:r>
    </w:p>
    <w:p w14:paraId="174949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205" w:name="_Toc28790"/>
      <w:r>
        <w:rPr>
          <w:rFonts w:hint="eastAsia"/>
          <w:sz w:val="24"/>
          <w:szCs w:val="24"/>
        </w:rPr>
        <w:t>十</w:t>
      </w:r>
      <w:r>
        <w:rPr>
          <w:rFonts w:hint="eastAsia"/>
          <w:sz w:val="24"/>
          <w:szCs w:val="24"/>
          <w:lang w:val="en-US" w:eastAsia="zh-CN"/>
        </w:rPr>
        <w:t>一</w:t>
      </w:r>
      <w:r>
        <w:rPr>
          <w:rFonts w:hint="eastAsia"/>
          <w:sz w:val="24"/>
          <w:szCs w:val="24"/>
        </w:rPr>
        <w:t>、供应商认为有必要提供的其他资料</w:t>
      </w:r>
      <w:bookmarkEnd w:id="205"/>
    </w:p>
    <w:p w14:paraId="3FECFD13">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06" w:name="_Toc8416"/>
      <w:r>
        <w:rPr>
          <w:rFonts w:hint="eastAsia" w:ascii="宋体" w:hAnsi="宋体" w:eastAsia="宋体" w:cs="宋体"/>
          <w:color w:val="auto"/>
          <w:sz w:val="24"/>
          <w:szCs w:val="24"/>
          <w:highlight w:val="none"/>
        </w:rPr>
        <w:t>3.2 磋商报价</w:t>
      </w:r>
      <w:bookmarkEnd w:id="188"/>
      <w:bookmarkEnd w:id="189"/>
      <w:bookmarkEnd w:id="190"/>
      <w:bookmarkEnd w:id="191"/>
      <w:bookmarkEnd w:id="192"/>
      <w:bookmarkEnd w:id="193"/>
      <w:bookmarkEnd w:id="194"/>
      <w:bookmarkEnd w:id="195"/>
      <w:bookmarkEnd w:id="196"/>
      <w:bookmarkEnd w:id="197"/>
      <w:bookmarkEnd w:id="206"/>
    </w:p>
    <w:p w14:paraId="483E4373">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 根据竞争性磋商文件规定的</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内容，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应对本次招标</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 xml:space="preserve">的全部工作内容进行报价。磋商报价应是竞争性磋商文件所确定的磋商范围内的全部工作内容的价格体现。 </w:t>
      </w:r>
    </w:p>
    <w:p w14:paraId="4717AB63">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3.2.2磋商报价应包括竞争性磋商文件及技术规范等规定的，实施和完成招标直至竣工验收合格，及达到质量和</w:t>
      </w:r>
      <w:r>
        <w:rPr>
          <w:rFonts w:hint="eastAsia" w:ascii="宋体" w:hAnsi="宋体" w:cs="宋体"/>
          <w:sz w:val="24"/>
          <w:szCs w:val="24"/>
          <w:highlight w:val="none"/>
          <w:lang w:eastAsia="zh-CN"/>
        </w:rPr>
        <w:t>供货期</w:t>
      </w:r>
      <w:r>
        <w:rPr>
          <w:rFonts w:hint="eastAsia" w:ascii="宋体" w:hAnsi="宋体" w:eastAsia="宋体" w:cs="宋体"/>
          <w:sz w:val="24"/>
          <w:szCs w:val="24"/>
          <w:highlight w:val="none"/>
        </w:rPr>
        <w:t>目标、安全文明、环境保护等要求,正式交付</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使用前所需的全部费用。</w:t>
      </w:r>
    </w:p>
    <w:p w14:paraId="3C4818F3">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3.2.3</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的磋商报价根据竞争性磋商文件、</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清单、答疑等，充分考虑市场价格、风险因素，在合理范围内自主报价，但不得低于企业实际成本。</w:t>
      </w:r>
    </w:p>
    <w:p w14:paraId="704B81E3">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3.2.4</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应结合自身条件，并充分考虑本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难度、</w:t>
      </w:r>
      <w:r>
        <w:rPr>
          <w:rFonts w:hint="eastAsia" w:ascii="宋体" w:hAnsi="宋体" w:cs="宋体"/>
          <w:sz w:val="24"/>
          <w:szCs w:val="24"/>
          <w:highlight w:val="none"/>
          <w:lang w:eastAsia="zh-CN"/>
        </w:rPr>
        <w:t>供货期</w:t>
      </w:r>
      <w:r>
        <w:rPr>
          <w:rFonts w:hint="eastAsia" w:ascii="宋体" w:hAnsi="宋体" w:eastAsia="宋体" w:cs="宋体"/>
          <w:sz w:val="24"/>
          <w:szCs w:val="24"/>
          <w:highlight w:val="none"/>
        </w:rPr>
        <w:t>的要求、质量要求以及市场因素、现场环境因素、社会因素、市场价格调整因素等各方面原因合理报价。磋商报价将被认为已综合考虑了在全过程中可能发生的全部不可预见费用。成交人无权再以任何理由提出延长</w:t>
      </w:r>
      <w:r>
        <w:rPr>
          <w:rFonts w:hint="eastAsia" w:ascii="宋体" w:hAnsi="宋体" w:cs="宋体"/>
          <w:sz w:val="24"/>
          <w:szCs w:val="24"/>
          <w:highlight w:val="none"/>
          <w:lang w:eastAsia="zh-CN"/>
        </w:rPr>
        <w:t>供货期</w:t>
      </w:r>
      <w:r>
        <w:rPr>
          <w:rFonts w:hint="eastAsia" w:ascii="宋体" w:hAnsi="宋体" w:eastAsia="宋体" w:cs="宋体"/>
          <w:sz w:val="24"/>
          <w:szCs w:val="24"/>
          <w:highlight w:val="none"/>
        </w:rPr>
        <w:t>、增加价款或索赔等要求。</w:t>
      </w:r>
    </w:p>
    <w:p w14:paraId="105B4B75">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磋商报价要求</w:t>
      </w:r>
    </w:p>
    <w:p w14:paraId="61A385DB">
      <w:pPr>
        <w:keepNext w:val="0"/>
        <w:keepLines w:val="0"/>
        <w:pageBreakBefore w:val="0"/>
        <w:numPr>
          <w:ilvl w:val="0"/>
          <w:numId w:val="2"/>
        </w:numPr>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在投标时必须在磋商响应文件中提供一份完整的</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清单；</w:t>
      </w:r>
    </w:p>
    <w:p w14:paraId="62F35E1F">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作为有经验的承包商，应充分考虑该</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实施时的各种风险，并将其考虑在本次投标报价各清单项目的综合单价中，结算时综合单价不做调整（合同另有约定的除外）；</w:t>
      </w:r>
    </w:p>
    <w:p w14:paraId="05E60212">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（3）本次磋商的最终投标总报价不得高于磋商控制价，高于磋商控制价的报价将不再评审；</w:t>
      </w:r>
    </w:p>
    <w:p w14:paraId="355F30A5">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（4）磋商响应文件报价中的单价和总价全部采用人民币表示。 </w:t>
      </w:r>
    </w:p>
    <w:p w14:paraId="27F6CFF7">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（5）本项目为竞争性磋商方式，允许二次报价。</w:t>
      </w:r>
    </w:p>
    <w:p w14:paraId="547308A9">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07" w:name="_Toc296602439"/>
      <w:bookmarkStart w:id="208" w:name="_Toc152045549"/>
      <w:bookmarkStart w:id="209" w:name="_Toc77586838"/>
      <w:bookmarkStart w:id="210" w:name="_Toc31340"/>
      <w:bookmarkStart w:id="211" w:name="_Toc179632567"/>
      <w:bookmarkStart w:id="212" w:name="_Toc247085708"/>
      <w:bookmarkStart w:id="213" w:name="_Toc144974517"/>
      <w:bookmarkStart w:id="214" w:name="_Toc246996194"/>
      <w:bookmarkStart w:id="215" w:name="_Toc152042325"/>
      <w:bookmarkStart w:id="216" w:name="_Toc246996937"/>
      <w:bookmarkStart w:id="217" w:name="_Toc77586931"/>
      <w:r>
        <w:rPr>
          <w:rFonts w:hint="eastAsia" w:ascii="宋体" w:hAnsi="宋体" w:eastAsia="宋体" w:cs="宋体"/>
          <w:color w:val="auto"/>
          <w:sz w:val="24"/>
          <w:szCs w:val="24"/>
          <w:highlight w:val="none"/>
        </w:rPr>
        <w:t>3.3 磋商有效期</w:t>
      </w:r>
      <w:bookmarkEnd w:id="207"/>
      <w:bookmarkEnd w:id="208"/>
      <w:bookmarkEnd w:id="209"/>
      <w:bookmarkEnd w:id="210"/>
      <w:bookmarkEnd w:id="211"/>
      <w:bookmarkEnd w:id="212"/>
      <w:bookmarkEnd w:id="213"/>
      <w:bookmarkEnd w:id="214"/>
      <w:bookmarkEnd w:id="215"/>
      <w:bookmarkEnd w:id="216"/>
      <w:bookmarkEnd w:id="217"/>
    </w:p>
    <w:p w14:paraId="1DC82A92">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 磋商有效期为60日历天。</w:t>
      </w:r>
    </w:p>
    <w:p w14:paraId="65CC2830">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3.3.2在磋商有效期内，</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撤销或修改其磋商响应文件的，应承担磋商文件和法律规定的责任。</w:t>
      </w:r>
    </w:p>
    <w:p w14:paraId="62F9DCD8">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3.3.3出现特殊情况需要延长投标有效期的，</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以书面形式通知所有</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延长投标有效期。</w:t>
      </w:r>
    </w:p>
    <w:p w14:paraId="1AF03966">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18" w:name="_Toc246996195"/>
      <w:bookmarkStart w:id="219" w:name="_Toc179632568"/>
      <w:bookmarkStart w:id="220" w:name="_Toc152042326"/>
      <w:bookmarkStart w:id="221" w:name="_Toc152045550"/>
      <w:bookmarkStart w:id="222" w:name="_Toc144974518"/>
      <w:bookmarkStart w:id="223" w:name="_Toc246996938"/>
      <w:bookmarkStart w:id="224" w:name="_Toc247085709"/>
      <w:bookmarkStart w:id="225" w:name="_Toc296602440"/>
      <w:bookmarkStart w:id="226" w:name="_Toc1118"/>
      <w:bookmarkStart w:id="227" w:name="_Toc77586839"/>
      <w:bookmarkStart w:id="228" w:name="_Toc77586932"/>
      <w:r>
        <w:rPr>
          <w:rFonts w:hint="eastAsia" w:ascii="宋体" w:hAnsi="宋体" w:eastAsia="宋体" w:cs="宋体"/>
          <w:color w:val="auto"/>
          <w:sz w:val="24"/>
          <w:szCs w:val="24"/>
          <w:highlight w:val="none"/>
        </w:rPr>
        <w:t xml:space="preserve">3.4 </w:t>
      </w:r>
      <w:bookmarkEnd w:id="218"/>
      <w:bookmarkEnd w:id="219"/>
      <w:bookmarkEnd w:id="220"/>
      <w:bookmarkEnd w:id="221"/>
      <w:bookmarkEnd w:id="222"/>
      <w:bookmarkEnd w:id="223"/>
      <w:bookmarkEnd w:id="224"/>
      <w:bookmarkEnd w:id="225"/>
      <w:r>
        <w:rPr>
          <w:rFonts w:hint="eastAsia" w:ascii="宋体" w:hAnsi="宋体" w:eastAsia="宋体" w:cs="宋体"/>
          <w:color w:val="auto"/>
          <w:sz w:val="24"/>
          <w:szCs w:val="24"/>
          <w:highlight w:val="none"/>
        </w:rPr>
        <w:t>磋商保证金</w:t>
      </w:r>
      <w:bookmarkEnd w:id="226"/>
      <w:bookmarkEnd w:id="227"/>
      <w:bookmarkEnd w:id="228"/>
    </w:p>
    <w:p w14:paraId="131255C3">
      <w:pPr>
        <w:keepNext w:val="0"/>
        <w:keepLines w:val="0"/>
        <w:pageBreakBefore w:val="0"/>
        <w:kinsoku/>
        <w:wordWrap/>
        <w:overflowPunct/>
        <w:topLinePunct w:val="0"/>
        <w:autoSpaceDE/>
        <w:autoSpaceDN/>
        <w:bidi w:val="0"/>
        <w:snapToGrid/>
        <w:spacing w:line="54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本项目不收取磋商保证金。</w:t>
      </w:r>
    </w:p>
    <w:p w14:paraId="02DCDDB0">
      <w:pPr>
        <w:keepNext w:val="0"/>
        <w:keepLines w:val="0"/>
        <w:pageBreakBefore w:val="0"/>
        <w:kinsoku/>
        <w:wordWrap/>
        <w:overflowPunct/>
        <w:topLinePunct w:val="0"/>
        <w:autoSpaceDE/>
        <w:autoSpaceDN/>
        <w:bidi w:val="0"/>
        <w:snapToGrid/>
        <w:spacing w:line="540" w:lineRule="exact"/>
        <w:ind w:firstLine="241" w:firstLineChars="1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3.5 </w:t>
      </w:r>
      <w:r>
        <w:rPr>
          <w:rFonts w:hint="eastAsia" w:ascii="宋体" w:hAnsi="宋体" w:cs="宋体"/>
          <w:b/>
          <w:bCs/>
          <w:sz w:val="24"/>
          <w:szCs w:val="24"/>
          <w:highlight w:val="none"/>
          <w:lang w:eastAsia="zh-CN"/>
        </w:rPr>
        <w:t>供应商</w:t>
      </w:r>
      <w:r>
        <w:rPr>
          <w:rFonts w:hint="eastAsia" w:ascii="宋体" w:hAnsi="宋体" w:eastAsia="宋体" w:cs="宋体"/>
          <w:b/>
          <w:bCs/>
          <w:sz w:val="24"/>
          <w:szCs w:val="24"/>
          <w:highlight w:val="none"/>
        </w:rPr>
        <w:t>基本情况表</w:t>
      </w:r>
      <w:bookmarkStart w:id="229" w:name="_Toc296602442"/>
      <w:bookmarkStart w:id="230" w:name="_Toc246996197"/>
      <w:bookmarkStart w:id="231" w:name="_Toc247085711"/>
      <w:bookmarkStart w:id="232" w:name="_Toc144974521"/>
      <w:bookmarkStart w:id="233" w:name="_Toc246996940"/>
      <w:bookmarkStart w:id="234" w:name="_Toc152042329"/>
      <w:bookmarkStart w:id="235" w:name="_Toc152045553"/>
      <w:bookmarkStart w:id="236" w:name="_Toc179632571"/>
    </w:p>
    <w:p w14:paraId="2271C203">
      <w:pPr>
        <w:keepNext w:val="0"/>
        <w:keepLines w:val="0"/>
        <w:pageBreakBefore w:val="0"/>
        <w:kinsoku/>
        <w:wordWrap/>
        <w:overflowPunct/>
        <w:topLinePunct w:val="0"/>
        <w:autoSpaceDE/>
        <w:autoSpaceDN/>
        <w:bidi w:val="0"/>
        <w:snapToGrid/>
        <w:spacing w:line="540" w:lineRule="exact"/>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3.5.1 “近年财务状况表”可附财务会计报表，具体年份要求见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1EB62FDC">
      <w:pPr>
        <w:keepNext w:val="0"/>
        <w:keepLines w:val="0"/>
        <w:pageBreakBefore w:val="0"/>
        <w:kinsoku/>
        <w:wordWrap/>
        <w:overflowPunct/>
        <w:topLinePunct w:val="0"/>
        <w:autoSpaceDE/>
        <w:autoSpaceDN/>
        <w:bidi w:val="0"/>
        <w:snapToGrid/>
        <w:spacing w:line="540" w:lineRule="exact"/>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3.5.2 “近年完成的类似项目情况表”可附成交通知书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合同的扫描件，具体年份要求见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须知前附表。每张表格只填写一个项目，并标明序号。</w:t>
      </w:r>
    </w:p>
    <w:p w14:paraId="3F42FCE5">
      <w:pPr>
        <w:keepNext w:val="0"/>
        <w:keepLines w:val="0"/>
        <w:pageBreakBefore w:val="0"/>
        <w:kinsoku/>
        <w:wordWrap/>
        <w:overflowPunct/>
        <w:topLinePunct w:val="0"/>
        <w:autoSpaceDE/>
        <w:autoSpaceDN/>
        <w:bidi w:val="0"/>
        <w:snapToGrid/>
        <w:spacing w:line="540" w:lineRule="exact"/>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3.5.4 “正在</w:t>
      </w:r>
      <w:r>
        <w:rPr>
          <w:rFonts w:hint="eastAsia" w:ascii="宋体" w:hAnsi="宋体" w:cs="宋体"/>
          <w:sz w:val="24"/>
          <w:szCs w:val="24"/>
          <w:highlight w:val="none"/>
          <w:lang w:val="en-US" w:eastAsia="zh-CN"/>
        </w:rPr>
        <w:t>实施</w:t>
      </w:r>
      <w:r>
        <w:rPr>
          <w:rFonts w:hint="eastAsia" w:ascii="宋体" w:hAnsi="宋体" w:eastAsia="宋体" w:cs="宋体"/>
          <w:sz w:val="24"/>
          <w:szCs w:val="24"/>
          <w:highlight w:val="none"/>
        </w:rPr>
        <w:t>和新承接的项目情况表”可附成成交通知书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合同扫描件。每张表格只填写一个项目，并标明序号。</w:t>
      </w:r>
    </w:p>
    <w:p w14:paraId="2EFB60C9">
      <w:pPr>
        <w:keepNext w:val="0"/>
        <w:keepLines w:val="0"/>
        <w:pageBreakBefore w:val="0"/>
        <w:kinsoku/>
        <w:wordWrap/>
        <w:overflowPunct/>
        <w:topLinePunct w:val="0"/>
        <w:autoSpaceDE/>
        <w:autoSpaceDN/>
        <w:bidi w:val="0"/>
        <w:snapToGrid/>
        <w:spacing w:line="540" w:lineRule="exact"/>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3.5.5 “近年发生的诉讼及仲裁情况”应说明相关情况，可附法院或仲裁机构作出的判决、裁决等有关法律文书扫描件，具体年份要求见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3F1B24DA">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37" w:name="_Toc24057"/>
      <w:bookmarkStart w:id="238" w:name="_Toc77586840"/>
      <w:bookmarkStart w:id="239" w:name="_Toc77586933"/>
      <w:r>
        <w:rPr>
          <w:rFonts w:hint="eastAsia" w:ascii="宋体" w:hAnsi="宋体" w:eastAsia="宋体" w:cs="宋体"/>
          <w:color w:val="auto"/>
          <w:sz w:val="24"/>
          <w:szCs w:val="24"/>
          <w:highlight w:val="none"/>
        </w:rPr>
        <w:t>3.6磋商响应文件的</w:t>
      </w:r>
      <w:bookmarkEnd w:id="229"/>
      <w:r>
        <w:rPr>
          <w:rFonts w:hint="eastAsia" w:ascii="宋体" w:hAnsi="宋体" w:eastAsia="宋体" w:cs="宋体"/>
          <w:color w:val="auto"/>
          <w:sz w:val="24"/>
          <w:szCs w:val="24"/>
          <w:highlight w:val="none"/>
        </w:rPr>
        <w:t>编制</w:t>
      </w:r>
      <w:bookmarkEnd w:id="237"/>
      <w:bookmarkEnd w:id="238"/>
      <w:bookmarkEnd w:id="239"/>
    </w:p>
    <w:bookmarkEnd w:id="230"/>
    <w:bookmarkEnd w:id="231"/>
    <w:bookmarkEnd w:id="232"/>
    <w:bookmarkEnd w:id="233"/>
    <w:bookmarkEnd w:id="234"/>
    <w:bookmarkEnd w:id="235"/>
    <w:bookmarkEnd w:id="236"/>
    <w:p w14:paraId="3B05EB84">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bookmarkStart w:id="240" w:name="_Toc152045555"/>
      <w:bookmarkStart w:id="241" w:name="_Toc246996199"/>
      <w:bookmarkStart w:id="242" w:name="_Toc152042331"/>
      <w:bookmarkStart w:id="243" w:name="_Toc246996942"/>
      <w:bookmarkStart w:id="244" w:name="_Toc296602443"/>
      <w:bookmarkStart w:id="245" w:name="_Toc144974523"/>
      <w:bookmarkStart w:id="246" w:name="_Toc179632573"/>
      <w:bookmarkStart w:id="247" w:name="_Toc247085713"/>
      <w:r>
        <w:rPr>
          <w:rFonts w:hint="eastAsia" w:ascii="宋体" w:hAnsi="宋体" w:eastAsia="宋体" w:cs="宋体"/>
          <w:sz w:val="24"/>
          <w:szCs w:val="24"/>
          <w:highlight w:val="none"/>
        </w:rPr>
        <w:t>3.6.1磋商响应文件可按第八章“磋商响应文件格式”进行编写，如有必要，可以增加附页作为磋商响应文件的组成部分。其中，投标函附录在满足竞争性磋商文件实质性要求的基础上，可以提出比竞争性磋商文件要求更有利于</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的承诺。</w:t>
      </w:r>
    </w:p>
    <w:p w14:paraId="2CE42869">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磋商响应文件应当对竞争性磋商文件有关项目实施周期、投标有效期、质量要求、招标范围等实质性内容作出响应。</w:t>
      </w:r>
    </w:p>
    <w:p w14:paraId="3B4BA139">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3.6.3</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5FEF1615">
      <w:pPr>
        <w:keepNext w:val="0"/>
        <w:keepLines w:val="0"/>
        <w:pageBreakBefore w:val="0"/>
        <w:kinsoku/>
        <w:wordWrap/>
        <w:overflowPunct/>
        <w:topLinePunct w:val="0"/>
        <w:autoSpaceDE/>
        <w:autoSpaceDN/>
        <w:bidi w:val="0"/>
        <w:snapToGrid/>
        <w:spacing w:line="5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电子化投标文件具体制作教材请</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点击以下链接学习</w:t>
      </w:r>
      <w:r>
        <w:rPr>
          <w:rFonts w:hint="eastAsia" w:ascii="宋体" w:hAnsi="宋体" w:eastAsia="宋体" w:cs="宋体"/>
          <w:sz w:val="24"/>
          <w:szCs w:val="24"/>
          <w:highlight w:val="none"/>
        </w:rPr>
        <w:t>http://gzjy.smx.gov.cn/bzzx/008001/20200325/4a2f9fa3-b923-4ddd-bd6f-138a0b63f7d1.html</w:t>
      </w:r>
    </w:p>
    <w:p w14:paraId="684447E5">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48" w:name="_Toc77586934"/>
      <w:bookmarkStart w:id="249" w:name="_Toc77586841"/>
      <w:bookmarkStart w:id="250" w:name="_Toc31046"/>
      <w:r>
        <w:rPr>
          <w:rFonts w:hint="eastAsia" w:ascii="宋体" w:hAnsi="宋体" w:eastAsia="宋体" w:cs="宋体"/>
          <w:color w:val="auto"/>
          <w:sz w:val="24"/>
          <w:szCs w:val="24"/>
          <w:highlight w:val="none"/>
        </w:rPr>
        <w:t>3.7备选投标方案</w:t>
      </w:r>
      <w:bookmarkEnd w:id="248"/>
      <w:bookmarkEnd w:id="249"/>
      <w:bookmarkEnd w:id="250"/>
    </w:p>
    <w:p w14:paraId="48FAEB16">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递交备选投标方案。</w:t>
      </w:r>
    </w:p>
    <w:p w14:paraId="22EE411F">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51" w:name="_Toc77586935"/>
      <w:bookmarkStart w:id="252" w:name="_Toc17334"/>
      <w:bookmarkStart w:id="253" w:name="_Toc77586842"/>
      <w:r>
        <w:rPr>
          <w:rFonts w:hint="eastAsia" w:ascii="宋体" w:hAnsi="宋体" w:eastAsia="宋体" w:cs="宋体"/>
          <w:color w:val="auto"/>
          <w:sz w:val="24"/>
          <w:szCs w:val="24"/>
          <w:highlight w:val="none"/>
        </w:rPr>
        <w:t>4. 投标</w:t>
      </w:r>
      <w:bookmarkEnd w:id="240"/>
      <w:bookmarkEnd w:id="241"/>
      <w:bookmarkEnd w:id="242"/>
      <w:bookmarkEnd w:id="243"/>
      <w:bookmarkEnd w:id="244"/>
      <w:bookmarkEnd w:id="245"/>
      <w:bookmarkEnd w:id="246"/>
      <w:bookmarkEnd w:id="247"/>
      <w:bookmarkEnd w:id="251"/>
      <w:bookmarkEnd w:id="252"/>
      <w:bookmarkEnd w:id="253"/>
    </w:p>
    <w:p w14:paraId="60062C49">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54" w:name="_Toc144974524"/>
      <w:bookmarkStart w:id="255" w:name="_Toc246996943"/>
      <w:bookmarkStart w:id="256" w:name="_Toc247085714"/>
      <w:bookmarkStart w:id="257" w:name="_Toc152042332"/>
      <w:bookmarkStart w:id="258" w:name="_Toc152045556"/>
      <w:bookmarkStart w:id="259" w:name="_Toc179632574"/>
      <w:bookmarkStart w:id="260" w:name="_Toc246996200"/>
      <w:bookmarkStart w:id="261" w:name="_Toc296602444"/>
      <w:bookmarkStart w:id="262" w:name="_Toc4431"/>
      <w:bookmarkStart w:id="263" w:name="_Toc77586843"/>
      <w:bookmarkStart w:id="264" w:name="_Toc77586936"/>
      <w:r>
        <w:rPr>
          <w:rFonts w:hint="eastAsia" w:ascii="宋体" w:hAnsi="宋体" w:eastAsia="宋体" w:cs="宋体"/>
          <w:color w:val="auto"/>
          <w:sz w:val="24"/>
          <w:szCs w:val="24"/>
          <w:highlight w:val="none"/>
        </w:rPr>
        <w:t>4.1 磋商响应文件的</w:t>
      </w:r>
      <w:bookmarkEnd w:id="254"/>
      <w:bookmarkEnd w:id="255"/>
      <w:bookmarkEnd w:id="256"/>
      <w:bookmarkEnd w:id="257"/>
      <w:bookmarkEnd w:id="258"/>
      <w:bookmarkEnd w:id="259"/>
      <w:bookmarkEnd w:id="260"/>
      <w:bookmarkEnd w:id="261"/>
      <w:r>
        <w:rPr>
          <w:rFonts w:hint="eastAsia" w:ascii="宋体" w:hAnsi="宋体" w:eastAsia="宋体" w:cs="宋体"/>
          <w:color w:val="auto"/>
          <w:sz w:val="24"/>
          <w:szCs w:val="24"/>
          <w:highlight w:val="none"/>
        </w:rPr>
        <w:t>签署</w:t>
      </w:r>
      <w:bookmarkEnd w:id="262"/>
      <w:bookmarkEnd w:id="263"/>
      <w:bookmarkEnd w:id="264"/>
    </w:p>
    <w:p w14:paraId="03F05480">
      <w:pPr>
        <w:keepNext w:val="0"/>
        <w:keepLines w:val="0"/>
        <w:pageBreakBefore w:val="0"/>
        <w:kinsoku/>
        <w:wordWrap/>
        <w:overflowPunct/>
        <w:topLinePunct w:val="0"/>
        <w:autoSpaceDE/>
        <w:autoSpaceDN/>
        <w:bidi w:val="0"/>
        <w:snapToGrid/>
        <w:spacing w:line="540" w:lineRule="exact"/>
        <w:ind w:firstLine="465"/>
        <w:textAlignment w:val="auto"/>
        <w:rPr>
          <w:rFonts w:hint="eastAsia" w:ascii="宋体" w:hAnsi="宋体" w:eastAsia="宋体" w:cs="宋体"/>
          <w:sz w:val="24"/>
          <w:szCs w:val="24"/>
          <w:highlight w:val="none"/>
        </w:rPr>
      </w:pPr>
      <w:bookmarkStart w:id="265" w:name="_Toc246996201"/>
      <w:bookmarkStart w:id="266" w:name="_Toc296602445"/>
      <w:bookmarkStart w:id="267" w:name="_Toc246996944"/>
      <w:bookmarkStart w:id="268" w:name="_Toc152042333"/>
      <w:bookmarkStart w:id="269" w:name="_Toc144974525"/>
      <w:bookmarkStart w:id="270" w:name="_Toc179632575"/>
      <w:bookmarkStart w:id="271" w:name="_Toc247085715"/>
      <w:bookmarkStart w:id="272" w:name="_Toc152045557"/>
      <w:r>
        <w:rPr>
          <w:rFonts w:hint="eastAsia" w:ascii="宋体" w:hAnsi="宋体" w:eastAsia="宋体" w:cs="宋体"/>
          <w:bCs/>
          <w:sz w:val="24"/>
          <w:szCs w:val="24"/>
          <w:highlight w:val="none"/>
        </w:rPr>
        <w:t>4.1.1</w:t>
      </w:r>
      <w:r>
        <w:rPr>
          <w:rFonts w:hint="eastAsia" w:ascii="宋体" w:hAnsi="宋体" w:cs="宋体"/>
          <w:bCs/>
          <w:sz w:val="24"/>
          <w:szCs w:val="24"/>
          <w:highlight w:val="none"/>
          <w:lang w:eastAsia="zh-CN"/>
        </w:rPr>
        <w:t>供应商</w:t>
      </w:r>
      <w:r>
        <w:rPr>
          <w:rFonts w:hint="eastAsia" w:ascii="宋体" w:hAnsi="宋体" w:eastAsia="宋体" w:cs="宋体"/>
          <w:bCs/>
          <w:sz w:val="24"/>
          <w:szCs w:val="24"/>
          <w:highlight w:val="none"/>
        </w:rPr>
        <w:t>在进行电子化磋商响应文件签章时，竞争性磋商文件中要求</w:t>
      </w:r>
      <w:r>
        <w:rPr>
          <w:rFonts w:hint="eastAsia" w:ascii="宋体" w:hAnsi="宋体" w:cs="宋体"/>
          <w:bCs/>
          <w:sz w:val="24"/>
          <w:szCs w:val="24"/>
          <w:highlight w:val="none"/>
          <w:lang w:eastAsia="zh-CN"/>
        </w:rPr>
        <w:t>供应商</w:t>
      </w:r>
      <w:r>
        <w:rPr>
          <w:rFonts w:hint="eastAsia" w:ascii="宋体" w:hAnsi="宋体" w:eastAsia="宋体" w:cs="宋体"/>
          <w:bCs/>
          <w:sz w:val="24"/>
          <w:szCs w:val="24"/>
          <w:highlight w:val="none"/>
        </w:rPr>
        <w:t>盖章的，以签电子签章为准；要求法定代表人签章的，以签盖法定代表人签章为准</w:t>
      </w:r>
      <w:r>
        <w:rPr>
          <w:rFonts w:hint="eastAsia" w:ascii="宋体" w:hAnsi="宋体" w:eastAsia="宋体" w:cs="宋体"/>
          <w:sz w:val="24"/>
          <w:szCs w:val="24"/>
          <w:highlight w:val="none"/>
        </w:rPr>
        <w:t>。电子化磋商响应文件具体制作教材请</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通过CA证书登录三门峡市公共资源电子化交易系统在右上角“组件下载”中查看。</w:t>
      </w:r>
    </w:p>
    <w:p w14:paraId="29CF5299">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73" w:name="_Toc23544"/>
      <w:bookmarkStart w:id="274" w:name="_Toc77586844"/>
      <w:bookmarkStart w:id="275" w:name="_Toc77586937"/>
      <w:r>
        <w:rPr>
          <w:rFonts w:hint="eastAsia" w:ascii="宋体" w:hAnsi="宋体" w:eastAsia="宋体" w:cs="宋体"/>
          <w:color w:val="auto"/>
          <w:sz w:val="24"/>
          <w:szCs w:val="24"/>
          <w:highlight w:val="none"/>
        </w:rPr>
        <w:t>4.2 磋商响应文件的上传</w:t>
      </w:r>
      <w:bookmarkEnd w:id="273"/>
      <w:bookmarkEnd w:id="274"/>
      <w:bookmarkEnd w:id="275"/>
    </w:p>
    <w:p w14:paraId="6BA4A03B">
      <w:pPr>
        <w:keepNext w:val="0"/>
        <w:keepLines w:val="0"/>
        <w:pageBreakBefore w:val="0"/>
        <w:kinsoku/>
        <w:wordWrap/>
        <w:overflowPunct/>
        <w:topLinePunct w:val="0"/>
        <w:autoSpaceDE/>
        <w:autoSpaceDN/>
        <w:bidi w:val="0"/>
        <w:snapToGrid/>
        <w:spacing w:line="54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电子化磋商响应文件应在投标截止时间前成功上传至三门峡市公共资源电子化交易系统。至投标截止时间止，仍未上传成功的电子化磋商响应文件将不予接收。</w:t>
      </w:r>
    </w:p>
    <w:p w14:paraId="3E6AE0AA">
      <w:pPr>
        <w:keepNext w:val="0"/>
        <w:keepLines w:val="0"/>
        <w:pageBreakBefore w:val="0"/>
        <w:kinsoku/>
        <w:wordWrap/>
        <w:overflowPunct/>
        <w:topLinePunct w:val="0"/>
        <w:autoSpaceDE/>
        <w:autoSpaceDN/>
        <w:bidi w:val="0"/>
        <w:snapToGrid/>
        <w:spacing w:line="54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注：如按照电子化投标操作教材制作完成的电子化磋商响应文件无法上传的，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eastAsia="宋体" w:cs="宋体"/>
          <w:b/>
          <w:sz w:val="24"/>
          <w:szCs w:val="24"/>
          <w:highlight w:val="none"/>
        </w:rPr>
        <w:t>投标截止时间前尽早的</w:t>
      </w:r>
      <w:r>
        <w:rPr>
          <w:rFonts w:hint="eastAsia" w:ascii="宋体" w:hAnsi="宋体" w:eastAsia="宋体" w:cs="宋体"/>
          <w:sz w:val="24"/>
          <w:szCs w:val="24"/>
          <w:highlight w:val="none"/>
        </w:rPr>
        <w:t>联系中心技术人员，以便有充分的时间进行处理。</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应充分考虑到处理技术问题和上传数据等工作所需的时间问题，电子化磋商响应文件未在投标截止时间前成功上传的，其磋商响应文件不予接收。</w:t>
      </w:r>
    </w:p>
    <w:p w14:paraId="7885F167">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76" w:name="_Toc77586938"/>
      <w:bookmarkStart w:id="277" w:name="_Toc77586845"/>
      <w:bookmarkStart w:id="278" w:name="_Toc29454"/>
      <w:r>
        <w:rPr>
          <w:rFonts w:hint="eastAsia" w:ascii="宋体" w:hAnsi="宋体" w:eastAsia="宋体" w:cs="宋体"/>
          <w:color w:val="auto"/>
          <w:sz w:val="24"/>
          <w:szCs w:val="24"/>
          <w:highlight w:val="none"/>
        </w:rPr>
        <w:t>4.3 磋商响应文件的修改与撤回</w:t>
      </w:r>
      <w:bookmarkEnd w:id="276"/>
      <w:bookmarkEnd w:id="277"/>
      <w:bookmarkEnd w:id="278"/>
    </w:p>
    <w:p w14:paraId="508F92CB">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4.3.1在投标截止时间之后，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不得补充、修改电子化磋商响应文件。</w:t>
      </w:r>
    </w:p>
    <w:bookmarkEnd w:id="265"/>
    <w:bookmarkEnd w:id="266"/>
    <w:bookmarkEnd w:id="267"/>
    <w:bookmarkEnd w:id="268"/>
    <w:bookmarkEnd w:id="269"/>
    <w:bookmarkEnd w:id="270"/>
    <w:bookmarkEnd w:id="271"/>
    <w:bookmarkEnd w:id="272"/>
    <w:p w14:paraId="6A758FC4">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279" w:name="_Toc179632577"/>
      <w:bookmarkStart w:id="280" w:name="_Toc144974527"/>
      <w:bookmarkStart w:id="281" w:name="_Toc152042335"/>
      <w:bookmarkStart w:id="282" w:name="_Toc246996946"/>
      <w:bookmarkStart w:id="283" w:name="_Toc247085717"/>
      <w:bookmarkStart w:id="284" w:name="_Toc246996203"/>
      <w:bookmarkStart w:id="285" w:name="_Toc152045559"/>
      <w:bookmarkStart w:id="286" w:name="_Toc296602447"/>
      <w:bookmarkStart w:id="287" w:name="_Toc77586846"/>
      <w:bookmarkStart w:id="288" w:name="_Toc77586939"/>
      <w:bookmarkStart w:id="289" w:name="_Toc21581"/>
      <w:r>
        <w:rPr>
          <w:rFonts w:hint="eastAsia" w:ascii="宋体" w:hAnsi="宋体" w:eastAsia="宋体" w:cs="宋体"/>
          <w:color w:val="auto"/>
          <w:sz w:val="24"/>
          <w:szCs w:val="24"/>
          <w:highlight w:val="none"/>
        </w:rPr>
        <w:t xml:space="preserve">5. </w:t>
      </w:r>
      <w:bookmarkEnd w:id="279"/>
      <w:bookmarkEnd w:id="280"/>
      <w:bookmarkEnd w:id="281"/>
      <w:bookmarkEnd w:id="282"/>
      <w:bookmarkEnd w:id="283"/>
      <w:bookmarkEnd w:id="284"/>
      <w:bookmarkEnd w:id="285"/>
      <w:bookmarkEnd w:id="286"/>
      <w:r>
        <w:rPr>
          <w:rFonts w:hint="eastAsia" w:ascii="宋体" w:hAnsi="宋体" w:eastAsia="宋体" w:cs="宋体"/>
          <w:color w:val="auto"/>
          <w:sz w:val="24"/>
          <w:szCs w:val="24"/>
          <w:highlight w:val="none"/>
        </w:rPr>
        <w:t>磋商</w:t>
      </w:r>
      <w:bookmarkEnd w:id="287"/>
      <w:bookmarkEnd w:id="288"/>
      <w:bookmarkEnd w:id="289"/>
    </w:p>
    <w:p w14:paraId="1CAC74BF">
      <w:pPr>
        <w:keepNext w:val="0"/>
        <w:keepLines w:val="0"/>
        <w:pageBreakBefore w:val="0"/>
        <w:kinsoku/>
        <w:wordWrap/>
        <w:overflowPunct/>
        <w:topLinePunct w:val="0"/>
        <w:autoSpaceDE/>
        <w:autoSpaceDN/>
        <w:bidi w:val="0"/>
        <w:snapToGrid/>
        <w:spacing w:line="540" w:lineRule="exact"/>
        <w:ind w:firstLine="422" w:firstLineChars="176"/>
        <w:textAlignment w:val="auto"/>
        <w:rPr>
          <w:rFonts w:hint="eastAsia" w:ascii="宋体" w:hAnsi="宋体" w:eastAsia="宋体" w:cs="宋体"/>
          <w:sz w:val="24"/>
          <w:szCs w:val="24"/>
          <w:highlight w:val="none"/>
        </w:rPr>
      </w:pPr>
      <w:bookmarkStart w:id="290" w:name="_Toc152045561"/>
      <w:bookmarkStart w:id="291" w:name="_Toc296602451"/>
      <w:bookmarkStart w:id="292" w:name="_Toc179632579"/>
      <w:bookmarkStart w:id="293" w:name="_Toc179632580"/>
      <w:bookmarkStart w:id="294" w:name="_Toc246996949"/>
      <w:bookmarkStart w:id="295" w:name="_Toc152042338"/>
      <w:bookmarkStart w:id="296" w:name="_Toc247085720"/>
      <w:bookmarkStart w:id="297" w:name="_Toc152045562"/>
      <w:bookmarkStart w:id="298" w:name="_Toc144974529"/>
      <w:bookmarkStart w:id="299" w:name="_Toc144974530"/>
      <w:bookmarkStart w:id="300" w:name="_Toc246996206"/>
      <w:bookmarkStart w:id="301" w:name="_Toc152042337"/>
      <w:r>
        <w:rPr>
          <w:rFonts w:hint="eastAsia" w:ascii="宋体" w:hAnsi="宋体" w:eastAsia="宋体" w:cs="宋体"/>
          <w:sz w:val="24"/>
          <w:szCs w:val="24"/>
          <w:highlight w:val="none"/>
        </w:rPr>
        <w:t>5.1本项目采用电子化、无纸化进行招标，开标当日，</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无需到开标现场参加开标会议，</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73AE4633">
      <w:pPr>
        <w:keepNext w:val="0"/>
        <w:keepLines w:val="0"/>
        <w:pageBreakBefore w:val="0"/>
        <w:kinsoku/>
        <w:wordWrap/>
        <w:overflowPunct/>
        <w:topLinePunct w:val="0"/>
        <w:autoSpaceDE/>
        <w:autoSpaceDN/>
        <w:bidi w:val="0"/>
        <w:snapToGrid/>
        <w:spacing w:line="540" w:lineRule="exact"/>
        <w:ind w:firstLine="422" w:firstLine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 电子化磋商响应文件采用一次加密方式。开标时，由</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使用CA 证书，在规定时间内对其电子化磋商响应文件进行解密。每位</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的解密时间为开标时间起30 分钟内，如在规定时间内未完成解密的，其磋商响应文件不予开标、唱标。每位</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的解密时间为开标时间起30分钟内完成。</w:t>
      </w:r>
    </w:p>
    <w:p w14:paraId="2A83D0F3">
      <w:pPr>
        <w:keepNext w:val="0"/>
        <w:keepLines w:val="0"/>
        <w:pageBreakBefore w:val="0"/>
        <w:kinsoku/>
        <w:wordWrap/>
        <w:overflowPunct/>
        <w:topLinePunct w:val="0"/>
        <w:autoSpaceDE/>
        <w:autoSpaceDN/>
        <w:bidi w:val="0"/>
        <w:snapToGrid/>
        <w:spacing w:line="540" w:lineRule="exact"/>
        <w:ind w:firstLine="241" w:firstLineChars="1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5.3 电子化磋商响应文件解密异常的处理</w:t>
      </w:r>
    </w:p>
    <w:p w14:paraId="11DCE477">
      <w:pPr>
        <w:keepNext w:val="0"/>
        <w:keepLines w:val="0"/>
        <w:pageBreakBefore w:val="0"/>
        <w:kinsoku/>
        <w:wordWrap/>
        <w:overflowPunct/>
        <w:topLinePunct w:val="0"/>
        <w:autoSpaceDE/>
        <w:autoSpaceDN/>
        <w:bidi w:val="0"/>
        <w:snapToGrid/>
        <w:spacing w:line="540" w:lineRule="exact"/>
        <w:ind w:firstLine="422" w:firstLine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的电子磋商响应文件无法解密等异常情况，</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应及时致电中介服务机构说明。磋商响应文件异常，按以下步骤进行处理：</w:t>
      </w:r>
    </w:p>
    <w:p w14:paraId="79F2732D">
      <w:pPr>
        <w:keepNext w:val="0"/>
        <w:keepLines w:val="0"/>
        <w:pageBreakBefore w:val="0"/>
        <w:kinsoku/>
        <w:wordWrap/>
        <w:overflowPunct/>
        <w:topLinePunct w:val="0"/>
        <w:autoSpaceDE/>
        <w:autoSpaceDN/>
        <w:bidi w:val="0"/>
        <w:snapToGrid/>
        <w:spacing w:line="540" w:lineRule="exact"/>
        <w:ind w:firstLine="422" w:firstLine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7FB176EE">
      <w:pPr>
        <w:keepNext w:val="0"/>
        <w:keepLines w:val="0"/>
        <w:pageBreakBefore w:val="0"/>
        <w:kinsoku/>
        <w:wordWrap/>
        <w:overflowPunct/>
        <w:topLinePunct w:val="0"/>
        <w:autoSpaceDE/>
        <w:autoSpaceDN/>
        <w:bidi w:val="0"/>
        <w:snapToGrid/>
        <w:spacing w:line="540" w:lineRule="exact"/>
        <w:ind w:firstLine="422" w:firstLine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文件自身问题导致磋商响应文件无法解密的，该磋商响应文件将不予接收、解密和唱标。开标会议继续进行。</w:t>
      </w:r>
    </w:p>
    <w:p w14:paraId="2770F6BF">
      <w:pPr>
        <w:keepNext w:val="0"/>
        <w:keepLines w:val="0"/>
        <w:pageBreakBefore w:val="0"/>
        <w:kinsoku/>
        <w:wordWrap/>
        <w:overflowPunct/>
        <w:topLinePunct w:val="0"/>
        <w:autoSpaceDE/>
        <w:autoSpaceDN/>
        <w:bidi w:val="0"/>
        <w:snapToGrid/>
        <w:spacing w:line="540" w:lineRule="exact"/>
        <w:ind w:firstLine="422" w:firstLine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90"/>
    <w:bookmarkEnd w:id="291"/>
    <w:bookmarkEnd w:id="292"/>
    <w:bookmarkEnd w:id="293"/>
    <w:bookmarkEnd w:id="294"/>
    <w:bookmarkEnd w:id="295"/>
    <w:bookmarkEnd w:id="296"/>
    <w:bookmarkEnd w:id="297"/>
    <w:bookmarkEnd w:id="298"/>
    <w:bookmarkEnd w:id="299"/>
    <w:bookmarkEnd w:id="300"/>
    <w:bookmarkEnd w:id="301"/>
    <w:p w14:paraId="75630A79">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02" w:name="_Toc77586847"/>
      <w:bookmarkStart w:id="303" w:name="_Toc152042339"/>
      <w:bookmarkStart w:id="304" w:name="_Toc152045563"/>
      <w:bookmarkStart w:id="305" w:name="_Toc246996207"/>
      <w:bookmarkStart w:id="306" w:name="_Toc246996950"/>
      <w:bookmarkStart w:id="307" w:name="_Toc77586940"/>
      <w:bookmarkStart w:id="308" w:name="_Toc23032"/>
      <w:bookmarkStart w:id="309" w:name="_Toc144974531"/>
      <w:bookmarkStart w:id="310" w:name="_Toc296602452"/>
      <w:bookmarkStart w:id="311" w:name="_Toc247085721"/>
      <w:bookmarkStart w:id="312" w:name="_Toc179632581"/>
      <w:r>
        <w:rPr>
          <w:rFonts w:hint="eastAsia" w:ascii="宋体" w:hAnsi="宋体" w:eastAsia="宋体" w:cs="宋体"/>
          <w:color w:val="auto"/>
          <w:sz w:val="24"/>
          <w:szCs w:val="24"/>
          <w:highlight w:val="none"/>
        </w:rPr>
        <w:t>5.4 磋商小组</w:t>
      </w:r>
      <w:bookmarkEnd w:id="302"/>
      <w:bookmarkEnd w:id="303"/>
      <w:bookmarkEnd w:id="304"/>
      <w:bookmarkEnd w:id="305"/>
      <w:bookmarkEnd w:id="306"/>
      <w:bookmarkEnd w:id="307"/>
      <w:bookmarkEnd w:id="308"/>
      <w:bookmarkEnd w:id="309"/>
      <w:bookmarkEnd w:id="310"/>
      <w:bookmarkEnd w:id="311"/>
      <w:bookmarkEnd w:id="312"/>
    </w:p>
    <w:p w14:paraId="2452E9B2">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5.4.1磋商小组构成：由采购人代表及有关经济、技术等方面的专家共3人组成，其中采购人代表1人，经济、技术等有关方面的专家2人。</w:t>
      </w:r>
    </w:p>
    <w:p w14:paraId="28D765DC">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评标专家确定方式：参加评标的专家由采购人、监督人在灵宝市公共资源交易中心抽取终端随机抽取确定。</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代表不得担任磋商小组组长。</w:t>
      </w:r>
    </w:p>
    <w:p w14:paraId="564377E9">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5.4.2磋商小组对所有</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的磋商响应文件进行评审，按评审后得分由高到低顺序排列，递交给</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w:t>
      </w:r>
    </w:p>
    <w:p w14:paraId="5DFE970B">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3CD1859">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3AC46EB7">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5.4.4磋商小组成员有下列情形之一的，应当回避：</w:t>
      </w:r>
    </w:p>
    <w:p w14:paraId="4839E069">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主要负责人的近亲属；</w:t>
      </w:r>
    </w:p>
    <w:p w14:paraId="2AB96BD7">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78CDE7BA">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有经济利益关系；</w:t>
      </w:r>
    </w:p>
    <w:p w14:paraId="2D67A531">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（4）曾因在招标、评标以及其他与招标投标有关活动中从事违法行为而受过行政处罚或刑事处罚的；</w:t>
      </w:r>
    </w:p>
    <w:p w14:paraId="72FCC3F5">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有其他利害关系。</w:t>
      </w:r>
    </w:p>
    <w:p w14:paraId="504D5153">
      <w:pPr>
        <w:keepNext w:val="0"/>
        <w:keepLines w:val="0"/>
        <w:pageBreakBefore w:val="0"/>
        <w:kinsoku/>
        <w:wordWrap/>
        <w:overflowPunct/>
        <w:topLinePunct w:val="0"/>
        <w:autoSpaceDE/>
        <w:autoSpaceDN/>
        <w:bidi w:val="0"/>
        <w:snapToGrid/>
        <w:spacing w:line="540" w:lineRule="exact"/>
        <w:ind w:firstLine="241" w:firstLineChars="100"/>
        <w:textAlignment w:val="auto"/>
        <w:rPr>
          <w:rFonts w:hint="eastAsia" w:ascii="宋体" w:hAnsi="宋体" w:eastAsia="宋体" w:cs="宋体"/>
          <w:b/>
          <w:bCs/>
          <w:sz w:val="24"/>
          <w:szCs w:val="24"/>
          <w:highlight w:val="none"/>
        </w:rPr>
      </w:pPr>
      <w:bookmarkStart w:id="313" w:name="_Toc246996208"/>
      <w:bookmarkStart w:id="314" w:name="_Toc296602453"/>
      <w:bookmarkStart w:id="315" w:name="_Toc152045564"/>
      <w:bookmarkStart w:id="316" w:name="_Toc246996951"/>
      <w:bookmarkStart w:id="317" w:name="_Toc152042340"/>
      <w:bookmarkStart w:id="318" w:name="_Toc247085722"/>
      <w:bookmarkStart w:id="319" w:name="_Toc144974532"/>
      <w:bookmarkStart w:id="320" w:name="_Toc179632582"/>
      <w:r>
        <w:rPr>
          <w:rFonts w:hint="eastAsia" w:ascii="宋体" w:hAnsi="宋体" w:eastAsia="宋体" w:cs="宋体"/>
          <w:b/>
          <w:bCs/>
          <w:sz w:val="24"/>
          <w:szCs w:val="24"/>
          <w:highlight w:val="none"/>
        </w:rPr>
        <w:t>5.5磋商原则和方法</w:t>
      </w:r>
    </w:p>
    <w:p w14:paraId="5C17A012">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5.5.1坚持公开、公平、公正的原则。</w:t>
      </w:r>
    </w:p>
    <w:p w14:paraId="43304AEE">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5.5.2磋商在磋商小组应当集中与单一</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分别进行磋商，磋商小组将遵照磋商原则，公正、平等地对待所有</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w:t>
      </w:r>
    </w:p>
    <w:p w14:paraId="766A2093">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5.5.3评审方法</w:t>
      </w:r>
    </w:p>
    <w:p w14:paraId="08A2CA47">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（1）初步评审（是否响应竞争性磋商文件的要求），确定合格的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w:t>
      </w:r>
    </w:p>
    <w:p w14:paraId="30E75D0A">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依据各自情况进行最后报价。</w:t>
      </w:r>
    </w:p>
    <w:p w14:paraId="102481FC">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b/>
          <w:bCs/>
          <w:kern w:val="28"/>
          <w:sz w:val="24"/>
          <w:szCs w:val="24"/>
          <w:highlight w:val="none"/>
        </w:rPr>
      </w:pPr>
      <w:r>
        <w:rPr>
          <w:rFonts w:hint="eastAsia" w:ascii="宋体" w:hAnsi="宋体" w:eastAsia="宋体" w:cs="宋体"/>
          <w:sz w:val="24"/>
          <w:szCs w:val="24"/>
          <w:highlight w:val="none"/>
        </w:rPr>
        <w:t>（3）磋商小组采用综合评分法对提交最后报价的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的响应文件和最后报价进行综合评分。</w:t>
      </w:r>
    </w:p>
    <w:p w14:paraId="192AC118">
      <w:pPr>
        <w:keepNext w:val="0"/>
        <w:keepLines w:val="0"/>
        <w:pageBreakBefore w:val="0"/>
        <w:kinsoku/>
        <w:wordWrap/>
        <w:overflowPunct/>
        <w:topLinePunct w:val="0"/>
        <w:autoSpaceDE/>
        <w:autoSpaceDN/>
        <w:bidi w:val="0"/>
        <w:snapToGrid/>
        <w:spacing w:line="540" w:lineRule="exact"/>
        <w:ind w:firstLine="241" w:firstLineChars="100"/>
        <w:textAlignment w:val="auto"/>
        <w:rPr>
          <w:rFonts w:hint="eastAsia" w:ascii="宋体" w:hAnsi="宋体" w:eastAsia="宋体" w:cs="宋体"/>
          <w:b/>
          <w:bCs/>
          <w:kern w:val="28"/>
          <w:sz w:val="24"/>
          <w:szCs w:val="24"/>
          <w:highlight w:val="none"/>
        </w:rPr>
      </w:pPr>
      <w:r>
        <w:rPr>
          <w:rFonts w:hint="eastAsia" w:ascii="宋体" w:hAnsi="宋体" w:eastAsia="宋体" w:cs="宋体"/>
          <w:b/>
          <w:bCs/>
          <w:kern w:val="28"/>
          <w:sz w:val="24"/>
          <w:szCs w:val="24"/>
          <w:highlight w:val="none"/>
        </w:rPr>
        <w:t>5.6对</w:t>
      </w:r>
      <w:r>
        <w:rPr>
          <w:rFonts w:hint="eastAsia" w:ascii="宋体" w:hAnsi="宋体" w:cs="宋体"/>
          <w:b/>
          <w:bCs/>
          <w:kern w:val="28"/>
          <w:sz w:val="24"/>
          <w:szCs w:val="24"/>
          <w:highlight w:val="none"/>
          <w:lang w:eastAsia="zh-CN"/>
        </w:rPr>
        <w:t>供应商</w:t>
      </w:r>
      <w:r>
        <w:rPr>
          <w:rFonts w:hint="eastAsia" w:ascii="宋体" w:hAnsi="宋体" w:eastAsia="宋体" w:cs="宋体"/>
          <w:b/>
          <w:bCs/>
          <w:kern w:val="28"/>
          <w:sz w:val="24"/>
          <w:szCs w:val="24"/>
          <w:highlight w:val="none"/>
        </w:rPr>
        <w:t>的评价</w:t>
      </w:r>
    </w:p>
    <w:p w14:paraId="3ABC9506">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5.6.1磋商小组只对已判定为实质性响应且通过初步审查的磋商响应文件进行详细评价和比较。</w:t>
      </w:r>
    </w:p>
    <w:p w14:paraId="125A2E4E">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5.6.2磋商小组所有成员应当集中与单一</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分别进行磋商，并给予所有参加磋商的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平等的磋商机会。磋商完成后，要求其在规定时间内提交最后报价，提交最后报价的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可以为两家。</w:t>
      </w:r>
    </w:p>
    <w:p w14:paraId="2A5A550F">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5.6.3经磋商确定最终</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需求和提交最后报价的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后，磋商小组采用综合评分法对提交最后报价的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的磋商响应文件和最后报价进行综合评分。</w:t>
      </w:r>
    </w:p>
    <w:p w14:paraId="61885BB7">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C52B792">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5.6.5如果第一名</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放弃成交资格或因不可抗力提出不能履行合同、竞争性磋商文件规定应当提交履约担保而在规定的期限内未能提交的，</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可以按照评审报告推荐的成交候选人名单，确定下一成交候选人为成交人，也可以重新开展采购活动。</w:t>
      </w:r>
    </w:p>
    <w:bookmarkEnd w:id="313"/>
    <w:bookmarkEnd w:id="314"/>
    <w:bookmarkEnd w:id="315"/>
    <w:bookmarkEnd w:id="316"/>
    <w:bookmarkEnd w:id="317"/>
    <w:bookmarkEnd w:id="318"/>
    <w:bookmarkEnd w:id="319"/>
    <w:bookmarkEnd w:id="320"/>
    <w:p w14:paraId="7F954AD1">
      <w:pPr>
        <w:keepNext w:val="0"/>
        <w:keepLines w:val="0"/>
        <w:pageBreakBefore w:val="0"/>
        <w:kinsoku/>
        <w:wordWrap/>
        <w:overflowPunct/>
        <w:topLinePunct w:val="0"/>
        <w:autoSpaceDE/>
        <w:autoSpaceDN/>
        <w:bidi w:val="0"/>
        <w:snapToGrid/>
        <w:spacing w:line="540" w:lineRule="exact"/>
        <w:ind w:firstLine="241" w:firstLineChars="100"/>
        <w:textAlignment w:val="auto"/>
        <w:rPr>
          <w:rFonts w:hint="eastAsia" w:ascii="宋体" w:hAnsi="宋体" w:eastAsia="宋体" w:cs="宋体"/>
          <w:b/>
          <w:bCs/>
          <w:sz w:val="24"/>
          <w:szCs w:val="24"/>
          <w:highlight w:val="none"/>
        </w:rPr>
      </w:pPr>
      <w:bookmarkStart w:id="321" w:name="_Toc152042342"/>
      <w:bookmarkStart w:id="322" w:name="_Toc296602455"/>
      <w:bookmarkStart w:id="323" w:name="_Toc179632584"/>
      <w:bookmarkStart w:id="324" w:name="_Toc144974534"/>
      <w:bookmarkStart w:id="325" w:name="_Toc152045566"/>
      <w:bookmarkStart w:id="326" w:name="_Toc246996953"/>
      <w:bookmarkStart w:id="327" w:name="_Toc247085724"/>
      <w:bookmarkStart w:id="328" w:name="_Toc246996210"/>
      <w:r>
        <w:rPr>
          <w:rFonts w:hint="eastAsia" w:ascii="宋体" w:hAnsi="宋体" w:eastAsia="宋体" w:cs="宋体"/>
          <w:b/>
          <w:bCs/>
          <w:sz w:val="24"/>
          <w:szCs w:val="24"/>
          <w:highlight w:val="none"/>
        </w:rPr>
        <w:t>5.7确定成交人</w:t>
      </w:r>
    </w:p>
    <w:p w14:paraId="55A0A076">
      <w:pPr>
        <w:keepNext w:val="0"/>
        <w:keepLines w:val="0"/>
        <w:pageBreakBefore w:val="0"/>
        <w:kinsoku/>
        <w:wordWrap/>
        <w:overflowPunct/>
        <w:topLinePunct w:val="0"/>
        <w:autoSpaceDE/>
        <w:autoSpaceDN/>
        <w:bidi w:val="0"/>
        <w:snapToGrid/>
        <w:spacing w:line="540" w:lineRule="exact"/>
        <w:ind w:firstLine="410" w:firstLineChars="17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磋商小组应当根据综合评分情况，按照评审有高到低的顺序推荐成交候选人，并编写评标报告。</w:t>
      </w:r>
    </w:p>
    <w:p w14:paraId="4A7B62D0">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29" w:name="_Toc77586848"/>
      <w:bookmarkStart w:id="330" w:name="_Toc13806"/>
      <w:bookmarkStart w:id="331" w:name="_Toc77586941"/>
      <w:r>
        <w:rPr>
          <w:rFonts w:hint="eastAsia" w:ascii="宋体" w:hAnsi="宋体" w:eastAsia="宋体" w:cs="宋体"/>
          <w:color w:val="auto"/>
          <w:sz w:val="24"/>
          <w:szCs w:val="24"/>
          <w:highlight w:val="none"/>
        </w:rPr>
        <w:t>6. 合同授予</w:t>
      </w:r>
      <w:bookmarkEnd w:id="321"/>
      <w:bookmarkEnd w:id="322"/>
      <w:bookmarkEnd w:id="323"/>
      <w:bookmarkEnd w:id="324"/>
      <w:bookmarkEnd w:id="325"/>
      <w:bookmarkEnd w:id="326"/>
      <w:bookmarkEnd w:id="327"/>
      <w:bookmarkEnd w:id="328"/>
      <w:bookmarkEnd w:id="329"/>
      <w:bookmarkEnd w:id="330"/>
      <w:bookmarkEnd w:id="331"/>
    </w:p>
    <w:p w14:paraId="5E5B44D0">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32" w:name="_Toc246996954"/>
      <w:bookmarkStart w:id="333" w:name="_Toc77586849"/>
      <w:bookmarkStart w:id="334" w:name="_Toc24472"/>
      <w:bookmarkStart w:id="335" w:name="_Toc247085725"/>
      <w:bookmarkStart w:id="336" w:name="_Toc144974535"/>
      <w:bookmarkStart w:id="337" w:name="_Toc179632585"/>
      <w:bookmarkStart w:id="338" w:name="_Toc296602456"/>
      <w:bookmarkStart w:id="339" w:name="_Toc152045567"/>
      <w:bookmarkStart w:id="340" w:name="_Toc77586942"/>
      <w:bookmarkStart w:id="341" w:name="_Toc152042343"/>
      <w:bookmarkStart w:id="342" w:name="_Toc246996211"/>
      <w:r>
        <w:rPr>
          <w:rFonts w:hint="eastAsia" w:ascii="宋体" w:hAnsi="宋体" w:eastAsia="宋体" w:cs="宋体"/>
          <w:color w:val="auto"/>
          <w:sz w:val="24"/>
          <w:szCs w:val="24"/>
          <w:highlight w:val="none"/>
        </w:rPr>
        <w:t>6.1 定标方式</w:t>
      </w:r>
      <w:bookmarkEnd w:id="332"/>
      <w:bookmarkEnd w:id="333"/>
      <w:bookmarkEnd w:id="334"/>
      <w:bookmarkEnd w:id="335"/>
      <w:bookmarkEnd w:id="336"/>
      <w:bookmarkEnd w:id="337"/>
      <w:bookmarkEnd w:id="338"/>
      <w:bookmarkEnd w:id="339"/>
      <w:bookmarkEnd w:id="340"/>
      <w:bookmarkEnd w:id="341"/>
      <w:bookmarkEnd w:id="342"/>
    </w:p>
    <w:p w14:paraId="5A078643">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依据磋商小组推荐的成交候选人确定成交人。</w:t>
      </w:r>
    </w:p>
    <w:p w14:paraId="2F474C2D">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43" w:name="_Toc296602457"/>
      <w:bookmarkStart w:id="344" w:name="_Toc23715"/>
      <w:bookmarkStart w:id="345" w:name="_Toc77586850"/>
      <w:bookmarkStart w:id="346" w:name="_Toc77586943"/>
      <w:r>
        <w:rPr>
          <w:rFonts w:hint="eastAsia" w:ascii="宋体" w:hAnsi="宋体" w:eastAsia="宋体" w:cs="宋体"/>
          <w:color w:val="auto"/>
          <w:sz w:val="24"/>
          <w:szCs w:val="24"/>
          <w:highlight w:val="none"/>
        </w:rPr>
        <w:t>6.2 成交候选人公示</w:t>
      </w:r>
      <w:bookmarkEnd w:id="343"/>
      <w:bookmarkEnd w:id="344"/>
      <w:bookmarkEnd w:id="345"/>
      <w:bookmarkEnd w:id="346"/>
    </w:p>
    <w:p w14:paraId="5B9F6026">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须知前附表规定的媒介公示成交候选人。</w:t>
      </w:r>
    </w:p>
    <w:p w14:paraId="7F6FC8A7">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47" w:name="_Toc179632586"/>
      <w:bookmarkStart w:id="348" w:name="_Toc246996955"/>
      <w:bookmarkStart w:id="349" w:name="_Toc77586944"/>
      <w:bookmarkStart w:id="350" w:name="_Toc247085726"/>
      <w:bookmarkStart w:id="351" w:name="_Toc152045568"/>
      <w:bookmarkStart w:id="352" w:name="_Toc152042344"/>
      <w:bookmarkStart w:id="353" w:name="_Toc8023"/>
      <w:bookmarkStart w:id="354" w:name="_Toc77586851"/>
      <w:bookmarkStart w:id="355" w:name="_Toc246996212"/>
      <w:bookmarkStart w:id="356" w:name="_Toc144974536"/>
      <w:bookmarkStart w:id="357" w:name="_Toc296602458"/>
      <w:r>
        <w:rPr>
          <w:rFonts w:hint="eastAsia" w:ascii="宋体" w:hAnsi="宋体" w:eastAsia="宋体" w:cs="宋体"/>
          <w:color w:val="auto"/>
          <w:sz w:val="24"/>
          <w:szCs w:val="24"/>
          <w:highlight w:val="none"/>
        </w:rPr>
        <w:t>6.3 成交通知</w:t>
      </w:r>
      <w:bookmarkEnd w:id="347"/>
      <w:bookmarkEnd w:id="348"/>
      <w:bookmarkEnd w:id="349"/>
      <w:bookmarkEnd w:id="350"/>
      <w:bookmarkEnd w:id="351"/>
      <w:bookmarkEnd w:id="352"/>
      <w:bookmarkEnd w:id="353"/>
      <w:bookmarkEnd w:id="354"/>
      <w:bookmarkEnd w:id="355"/>
      <w:bookmarkEnd w:id="356"/>
      <w:bookmarkEnd w:id="357"/>
    </w:p>
    <w:p w14:paraId="3A78EB6D">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在本章第3.3款规定的投标有效期内，</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以书面形式向成交人发出成交通知书，同时将成交结果通知未成交的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w:t>
      </w:r>
    </w:p>
    <w:p w14:paraId="7D408113">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58" w:name="_Toc77586945"/>
      <w:bookmarkStart w:id="359" w:name="_Toc152045569"/>
      <w:bookmarkStart w:id="360" w:name="_Toc29168"/>
      <w:bookmarkStart w:id="361" w:name="_Toc296602459"/>
      <w:bookmarkStart w:id="362" w:name="_Toc144974537"/>
      <w:bookmarkStart w:id="363" w:name="_Toc152042345"/>
      <w:bookmarkStart w:id="364" w:name="_Toc179632587"/>
      <w:bookmarkStart w:id="365" w:name="_Toc77586852"/>
      <w:bookmarkStart w:id="366" w:name="_Toc246996956"/>
      <w:bookmarkStart w:id="367" w:name="_Toc246996213"/>
      <w:bookmarkStart w:id="368" w:name="_Toc247085727"/>
      <w:r>
        <w:rPr>
          <w:rFonts w:hint="eastAsia" w:ascii="宋体" w:hAnsi="宋体" w:eastAsia="宋体" w:cs="宋体"/>
          <w:color w:val="auto"/>
          <w:sz w:val="24"/>
          <w:szCs w:val="24"/>
          <w:highlight w:val="none"/>
        </w:rPr>
        <w:t>6.4 履约、支付担保</w:t>
      </w:r>
      <w:bookmarkEnd w:id="358"/>
      <w:bookmarkEnd w:id="359"/>
      <w:bookmarkEnd w:id="360"/>
      <w:bookmarkEnd w:id="361"/>
      <w:bookmarkEnd w:id="362"/>
      <w:bookmarkEnd w:id="363"/>
      <w:bookmarkEnd w:id="364"/>
      <w:bookmarkEnd w:id="365"/>
      <w:bookmarkEnd w:id="366"/>
      <w:bookmarkEnd w:id="367"/>
      <w:bookmarkEnd w:id="368"/>
    </w:p>
    <w:p w14:paraId="21046701">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6.4.1履约担保金额：见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须知前附表，与前附表一致。</w:t>
      </w:r>
    </w:p>
    <w:p w14:paraId="1BE28412">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6.4.2</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支付担保的提交与释放程序：见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须知前附表，与前附表一致。</w:t>
      </w:r>
    </w:p>
    <w:p w14:paraId="72A521C0">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6.4.3 成交人不能按</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须知前附表第6.4.1项要求提交履约担保的，视为放弃成交，给</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造成的损失应当予以赔偿。</w:t>
      </w:r>
    </w:p>
    <w:p w14:paraId="52030699">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69" w:name="_Toc77586853"/>
      <w:bookmarkStart w:id="370" w:name="_Toc296602460"/>
      <w:bookmarkStart w:id="371" w:name="_Toc144974538"/>
      <w:bookmarkStart w:id="372" w:name="_Toc179632588"/>
      <w:bookmarkStart w:id="373" w:name="_Toc152042346"/>
      <w:bookmarkStart w:id="374" w:name="_Toc77586946"/>
      <w:bookmarkStart w:id="375" w:name="_Toc246996957"/>
      <w:bookmarkStart w:id="376" w:name="_Toc246996214"/>
      <w:bookmarkStart w:id="377" w:name="_Toc4476"/>
      <w:bookmarkStart w:id="378" w:name="_Toc247085728"/>
      <w:bookmarkStart w:id="379" w:name="_Toc152045570"/>
      <w:r>
        <w:rPr>
          <w:rFonts w:hint="eastAsia" w:ascii="宋体" w:hAnsi="宋体" w:eastAsia="宋体" w:cs="宋体"/>
          <w:color w:val="auto"/>
          <w:sz w:val="24"/>
          <w:szCs w:val="24"/>
          <w:highlight w:val="none"/>
        </w:rPr>
        <w:t>6.5 签订合同</w:t>
      </w:r>
      <w:bookmarkEnd w:id="369"/>
      <w:bookmarkEnd w:id="370"/>
      <w:bookmarkEnd w:id="371"/>
      <w:bookmarkEnd w:id="372"/>
      <w:bookmarkEnd w:id="373"/>
      <w:bookmarkEnd w:id="374"/>
      <w:bookmarkEnd w:id="375"/>
      <w:bookmarkEnd w:id="376"/>
      <w:bookmarkEnd w:id="377"/>
      <w:bookmarkEnd w:id="378"/>
      <w:bookmarkEnd w:id="379"/>
    </w:p>
    <w:p w14:paraId="45E9B8D8">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6.5.1自成交通知书发出之日起30天内，</w:t>
      </w:r>
      <w:r>
        <w:rPr>
          <w:rFonts w:hint="eastAsia" w:ascii="宋体" w:hAnsi="宋体" w:cs="宋体"/>
          <w:sz w:val="24"/>
          <w:szCs w:val="24"/>
          <w:highlight w:val="none"/>
          <w:lang w:val="en-US" w:eastAsia="zh-CN"/>
        </w:rPr>
        <w:t>由灵宝市豫灵镇第一初级中学与成交单位签订合同</w:t>
      </w:r>
      <w:r>
        <w:rPr>
          <w:rFonts w:hint="eastAsia" w:ascii="宋体" w:hAnsi="宋体" w:eastAsia="宋体" w:cs="宋体"/>
          <w:sz w:val="24"/>
          <w:szCs w:val="24"/>
          <w:highlight w:val="none"/>
        </w:rPr>
        <w:t>。成交人无正当理由拒签合同的，</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取消其成交资格，给</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造成的损失应当予以赔偿。</w:t>
      </w:r>
    </w:p>
    <w:p w14:paraId="672381AB">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80" w:name="_Toc30338"/>
      <w:bookmarkStart w:id="381" w:name="_Toc77586947"/>
      <w:bookmarkStart w:id="382" w:name="_Toc77586854"/>
      <w:bookmarkStart w:id="383" w:name="_Toc296602461"/>
      <w:r>
        <w:rPr>
          <w:rFonts w:hint="eastAsia" w:ascii="宋体" w:hAnsi="宋体" w:eastAsia="宋体" w:cs="宋体"/>
          <w:color w:val="auto"/>
          <w:sz w:val="24"/>
          <w:szCs w:val="24"/>
          <w:highlight w:val="none"/>
        </w:rPr>
        <w:t>7. 纪律和监督</w:t>
      </w:r>
      <w:bookmarkEnd w:id="380"/>
      <w:bookmarkEnd w:id="381"/>
      <w:bookmarkEnd w:id="382"/>
      <w:bookmarkEnd w:id="383"/>
    </w:p>
    <w:p w14:paraId="4C2E7D4F">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84" w:name="_Toc247085733"/>
      <w:bookmarkStart w:id="385" w:name="_Toc77586948"/>
      <w:bookmarkStart w:id="386" w:name="_Toc296590983"/>
      <w:bookmarkStart w:id="387" w:name="_Toc296602462"/>
      <w:bookmarkStart w:id="388" w:name="_Toc144974543"/>
      <w:bookmarkStart w:id="389" w:name="_Toc77586855"/>
      <w:bookmarkStart w:id="390" w:name="_Toc152045575"/>
      <w:bookmarkStart w:id="391" w:name="_Toc152042351"/>
      <w:bookmarkStart w:id="392" w:name="_Toc8028"/>
      <w:bookmarkStart w:id="393" w:name="_Toc246996962"/>
      <w:bookmarkStart w:id="394" w:name="_Toc179632593"/>
      <w:bookmarkStart w:id="395" w:name="_Toc246996219"/>
      <w:r>
        <w:rPr>
          <w:rFonts w:hint="eastAsia" w:ascii="宋体" w:hAnsi="宋体" w:eastAsia="宋体" w:cs="宋体"/>
          <w:color w:val="auto"/>
          <w:sz w:val="24"/>
          <w:szCs w:val="24"/>
          <w:highlight w:val="none"/>
        </w:rPr>
        <w:t>7.1 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的纪律要求</w:t>
      </w:r>
      <w:bookmarkEnd w:id="384"/>
      <w:bookmarkEnd w:id="385"/>
      <w:bookmarkEnd w:id="386"/>
      <w:bookmarkEnd w:id="387"/>
      <w:bookmarkEnd w:id="388"/>
      <w:bookmarkEnd w:id="389"/>
      <w:bookmarkEnd w:id="390"/>
      <w:bookmarkEnd w:id="391"/>
      <w:bookmarkEnd w:id="392"/>
      <w:bookmarkEnd w:id="393"/>
      <w:bookmarkEnd w:id="394"/>
      <w:bookmarkEnd w:id="395"/>
    </w:p>
    <w:p w14:paraId="5DB815B5">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不得泄漏招标投标活动中应当保密的情况和资料，不得与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串通损害国家利益、社会公共利益或者他人合法权益。</w:t>
      </w:r>
    </w:p>
    <w:p w14:paraId="2E536516">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396" w:name="_Toc152045576"/>
      <w:bookmarkStart w:id="397" w:name="_Toc246996963"/>
      <w:bookmarkStart w:id="398" w:name="_Toc152042352"/>
      <w:bookmarkStart w:id="399" w:name="_Toc296602463"/>
      <w:bookmarkStart w:id="400" w:name="_Toc247085734"/>
      <w:bookmarkStart w:id="401" w:name="_Toc179632594"/>
      <w:bookmarkStart w:id="402" w:name="_Toc29754"/>
      <w:bookmarkStart w:id="403" w:name="_Toc246996220"/>
      <w:bookmarkStart w:id="404" w:name="_Toc77586856"/>
      <w:bookmarkStart w:id="405" w:name="_Toc144974544"/>
      <w:bookmarkStart w:id="406" w:name="_Toc77586949"/>
      <w:r>
        <w:rPr>
          <w:rFonts w:hint="eastAsia" w:ascii="宋体" w:hAnsi="宋体" w:eastAsia="宋体" w:cs="宋体"/>
          <w:color w:val="auto"/>
          <w:sz w:val="24"/>
          <w:szCs w:val="24"/>
          <w:highlight w:val="none"/>
        </w:rPr>
        <w:t>7.2 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的纪律要求</w:t>
      </w:r>
      <w:bookmarkEnd w:id="396"/>
      <w:bookmarkEnd w:id="397"/>
      <w:bookmarkEnd w:id="398"/>
      <w:bookmarkEnd w:id="399"/>
      <w:bookmarkEnd w:id="400"/>
      <w:bookmarkEnd w:id="401"/>
      <w:bookmarkEnd w:id="402"/>
      <w:bookmarkEnd w:id="403"/>
      <w:bookmarkEnd w:id="404"/>
      <w:bookmarkEnd w:id="405"/>
      <w:bookmarkEnd w:id="406"/>
    </w:p>
    <w:p w14:paraId="11F4D825">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不得相互串通投标或者与</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串通投标，不得向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或者磋商小组成员行贿谋取成交，不得以他人名义投标或者以其他方式弄虚作假骗取成交；</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不得以任何方式干扰、影响评标工作。</w:t>
      </w:r>
    </w:p>
    <w:p w14:paraId="56036583">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407" w:name="_Toc77586950"/>
      <w:bookmarkStart w:id="408" w:name="_Toc16844"/>
      <w:bookmarkStart w:id="409" w:name="_Toc77586857"/>
      <w:bookmarkStart w:id="410" w:name="_Toc152042353"/>
      <w:bookmarkStart w:id="411" w:name="_Toc247085735"/>
      <w:bookmarkStart w:id="412" w:name="_Toc246996221"/>
      <w:bookmarkStart w:id="413" w:name="_Toc152045577"/>
      <w:bookmarkStart w:id="414" w:name="_Toc179632595"/>
      <w:bookmarkStart w:id="415" w:name="_Toc296602464"/>
      <w:bookmarkStart w:id="416" w:name="_Toc144974545"/>
      <w:bookmarkStart w:id="417" w:name="_Toc246996964"/>
      <w:r>
        <w:rPr>
          <w:rFonts w:hint="eastAsia" w:ascii="宋体" w:hAnsi="宋体" w:eastAsia="宋体" w:cs="宋体"/>
          <w:color w:val="auto"/>
          <w:sz w:val="24"/>
          <w:szCs w:val="24"/>
          <w:highlight w:val="none"/>
        </w:rPr>
        <w:t>7.3 对磋商小组成员的纪律要求</w:t>
      </w:r>
      <w:bookmarkEnd w:id="407"/>
      <w:bookmarkEnd w:id="408"/>
      <w:bookmarkEnd w:id="409"/>
      <w:bookmarkEnd w:id="410"/>
      <w:bookmarkEnd w:id="411"/>
      <w:bookmarkEnd w:id="412"/>
      <w:bookmarkEnd w:id="413"/>
      <w:bookmarkEnd w:id="414"/>
      <w:bookmarkEnd w:id="415"/>
      <w:bookmarkEnd w:id="416"/>
      <w:bookmarkEnd w:id="417"/>
    </w:p>
    <w:p w14:paraId="49F0B356">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4D44F576">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418" w:name="_Toc246996965"/>
      <w:bookmarkStart w:id="419" w:name="_Toc296602465"/>
      <w:bookmarkStart w:id="420" w:name="_Toc77586951"/>
      <w:bookmarkStart w:id="421" w:name="_Toc179632596"/>
      <w:bookmarkStart w:id="422" w:name="_Toc246996222"/>
      <w:bookmarkStart w:id="423" w:name="_Toc152042354"/>
      <w:bookmarkStart w:id="424" w:name="_Toc247085736"/>
      <w:bookmarkStart w:id="425" w:name="_Toc152045578"/>
      <w:bookmarkStart w:id="426" w:name="_Toc77586858"/>
      <w:bookmarkStart w:id="427" w:name="_Toc1347"/>
      <w:bookmarkStart w:id="428" w:name="_Toc144974546"/>
      <w:r>
        <w:rPr>
          <w:rFonts w:hint="eastAsia" w:ascii="宋体" w:hAnsi="宋体" w:eastAsia="宋体" w:cs="宋体"/>
          <w:color w:val="auto"/>
          <w:sz w:val="24"/>
          <w:szCs w:val="24"/>
          <w:highlight w:val="none"/>
        </w:rPr>
        <w:t>7.4 对与评标活动有关的工作人员的纪律要求</w:t>
      </w:r>
      <w:bookmarkEnd w:id="418"/>
      <w:bookmarkEnd w:id="419"/>
      <w:bookmarkEnd w:id="420"/>
      <w:bookmarkEnd w:id="421"/>
      <w:bookmarkEnd w:id="422"/>
      <w:bookmarkEnd w:id="423"/>
      <w:bookmarkEnd w:id="424"/>
      <w:bookmarkEnd w:id="425"/>
      <w:bookmarkEnd w:id="426"/>
      <w:bookmarkEnd w:id="427"/>
    </w:p>
    <w:p w14:paraId="27DAC05E">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bookmarkStart w:id="429" w:name="_Toc152042355"/>
      <w:r>
        <w:rPr>
          <w:rFonts w:hint="eastAsia" w:ascii="宋体" w:hAnsi="宋体" w:eastAsia="宋体" w:cs="宋体"/>
          <w:sz w:val="24"/>
          <w:szCs w:val="24"/>
          <w:highlight w:val="none"/>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29"/>
    </w:p>
    <w:p w14:paraId="292F5666">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430" w:name="_Toc246996966"/>
      <w:bookmarkStart w:id="431" w:name="_Toc17485"/>
      <w:bookmarkStart w:id="432" w:name="_Toc152042356"/>
      <w:bookmarkStart w:id="433" w:name="_Toc77586859"/>
      <w:bookmarkStart w:id="434" w:name="_Toc247085737"/>
      <w:bookmarkStart w:id="435" w:name="_Toc152045579"/>
      <w:bookmarkStart w:id="436" w:name="_Toc246996223"/>
      <w:bookmarkStart w:id="437" w:name="_Toc179632597"/>
      <w:bookmarkStart w:id="438" w:name="_Toc296602466"/>
      <w:bookmarkStart w:id="439" w:name="_Toc77586952"/>
      <w:r>
        <w:rPr>
          <w:rFonts w:hint="eastAsia" w:ascii="宋体" w:hAnsi="宋体" w:eastAsia="宋体" w:cs="宋体"/>
          <w:color w:val="auto"/>
          <w:sz w:val="24"/>
          <w:szCs w:val="24"/>
          <w:highlight w:val="none"/>
        </w:rPr>
        <w:t>7.5 投诉</w:t>
      </w:r>
      <w:bookmarkEnd w:id="428"/>
      <w:bookmarkEnd w:id="430"/>
      <w:bookmarkEnd w:id="431"/>
      <w:bookmarkEnd w:id="432"/>
      <w:bookmarkEnd w:id="433"/>
      <w:bookmarkEnd w:id="434"/>
      <w:bookmarkEnd w:id="435"/>
      <w:bookmarkEnd w:id="436"/>
      <w:bookmarkEnd w:id="437"/>
      <w:bookmarkEnd w:id="438"/>
      <w:bookmarkEnd w:id="439"/>
    </w:p>
    <w:p w14:paraId="440332E6">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和其他利害关系人认为本次招标活动违反法律、法规和规章规定的，有权向有关行政监督部门投诉。</w:t>
      </w:r>
    </w:p>
    <w:p w14:paraId="4A01370D">
      <w:pPr>
        <w:pStyle w:val="4"/>
        <w:keepNext w:val="0"/>
        <w:keepLines w:val="0"/>
        <w:pageBreakBefore w:val="0"/>
        <w:kinsoku/>
        <w:wordWrap/>
        <w:overflowPunct/>
        <w:topLinePunct w:val="0"/>
        <w:autoSpaceDE/>
        <w:autoSpaceDN/>
        <w:bidi w:val="0"/>
        <w:snapToGrid/>
        <w:spacing w:before="0" w:after="0" w:afterAutospacing="0" w:line="540" w:lineRule="exact"/>
        <w:ind w:firstLine="241" w:firstLineChars="100"/>
        <w:jc w:val="left"/>
        <w:textAlignment w:val="auto"/>
        <w:rPr>
          <w:rFonts w:hint="eastAsia" w:ascii="宋体" w:hAnsi="宋体" w:eastAsia="宋体" w:cs="宋体"/>
          <w:color w:val="auto"/>
          <w:sz w:val="24"/>
          <w:szCs w:val="24"/>
          <w:highlight w:val="none"/>
        </w:rPr>
      </w:pPr>
      <w:bookmarkStart w:id="440" w:name="_Toc179632598"/>
      <w:bookmarkStart w:id="441" w:name="_Toc246996224"/>
      <w:bookmarkStart w:id="442" w:name="_Toc77586953"/>
      <w:bookmarkStart w:id="443" w:name="_Toc246996967"/>
      <w:bookmarkStart w:id="444" w:name="_Toc77586860"/>
      <w:bookmarkStart w:id="445" w:name="_Toc144974547"/>
      <w:bookmarkStart w:id="446" w:name="_Toc152045580"/>
      <w:bookmarkStart w:id="447" w:name="_Toc296602467"/>
      <w:bookmarkStart w:id="448" w:name="_Toc271"/>
      <w:bookmarkStart w:id="449" w:name="_Toc247085738"/>
      <w:bookmarkStart w:id="450" w:name="_Toc152042357"/>
      <w:r>
        <w:rPr>
          <w:rFonts w:hint="eastAsia" w:ascii="宋体" w:hAnsi="宋体" w:eastAsia="宋体" w:cs="宋体"/>
          <w:color w:val="auto"/>
          <w:sz w:val="24"/>
          <w:szCs w:val="24"/>
          <w:highlight w:val="none"/>
        </w:rPr>
        <w:t>8.需要补充的其他内容</w:t>
      </w:r>
      <w:bookmarkEnd w:id="440"/>
      <w:bookmarkEnd w:id="441"/>
      <w:bookmarkEnd w:id="442"/>
      <w:bookmarkEnd w:id="443"/>
      <w:bookmarkEnd w:id="444"/>
      <w:bookmarkEnd w:id="445"/>
      <w:bookmarkEnd w:id="446"/>
      <w:bookmarkEnd w:id="447"/>
      <w:bookmarkEnd w:id="448"/>
      <w:bookmarkEnd w:id="449"/>
      <w:bookmarkEnd w:id="450"/>
    </w:p>
    <w:p w14:paraId="1104FD0A">
      <w:pPr>
        <w:keepNext w:val="0"/>
        <w:keepLines w:val="0"/>
        <w:pageBreakBefore w:val="0"/>
        <w:kinsoku/>
        <w:wordWrap/>
        <w:overflowPunct/>
        <w:topLinePunct w:val="0"/>
        <w:autoSpaceDE/>
        <w:autoSpaceDN/>
        <w:bidi w:val="0"/>
        <w:snapToGrid/>
        <w:spacing w:line="540" w:lineRule="exact"/>
        <w:ind w:firstLine="480" w:firstLineChars="200"/>
        <w:textAlignment w:val="auto"/>
        <w:rPr>
          <w:rFonts w:cs="宋体" w:asciiTheme="majorEastAsia" w:hAnsiTheme="majorEastAsia" w:eastAsiaTheme="majorEastAsia"/>
          <w:b/>
          <w:sz w:val="24"/>
          <w:szCs w:val="24"/>
          <w:highlight w:val="none"/>
        </w:rPr>
      </w:pPr>
      <w:r>
        <w:rPr>
          <w:rFonts w:hint="eastAsia" w:ascii="宋体" w:hAnsi="宋体" w:eastAsia="宋体" w:cs="宋体"/>
          <w:sz w:val="24"/>
          <w:szCs w:val="24"/>
          <w:highlight w:val="none"/>
        </w:rPr>
        <w:t>需要补充的其他内容：见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533F4599">
      <w:pPr>
        <w:pStyle w:val="3"/>
        <w:bidi w:val="0"/>
        <w:jc w:val="center"/>
        <w:rPr>
          <w:rFonts w:ascii="宋体" w:hAnsi="宋体" w:cs="宋体"/>
          <w:highlight w:val="none"/>
        </w:rPr>
      </w:pPr>
      <w:r>
        <w:rPr>
          <w:rFonts w:ascii="宋体" w:hAnsi="宋体" w:cs="宋体"/>
          <w:b/>
          <w:szCs w:val="36"/>
          <w:highlight w:val="none"/>
        </w:rPr>
        <w:br w:type="page"/>
      </w:r>
      <w:bookmarkStart w:id="451" w:name="_Toc77586954"/>
      <w:bookmarkStart w:id="452" w:name="_Toc23193"/>
      <w:r>
        <w:rPr>
          <w:rFonts w:hint="eastAsia"/>
        </w:rPr>
        <w:t>第三章  评标办法（综合评分法）</w:t>
      </w:r>
      <w:bookmarkEnd w:id="451"/>
      <w:bookmarkEnd w:id="452"/>
    </w:p>
    <w:p w14:paraId="3C316673">
      <w:pPr>
        <w:pageBreakBefore w:val="0"/>
        <w:kinsoku/>
        <w:wordWrap/>
        <w:overflowPunct/>
        <w:topLinePunct w:val="0"/>
        <w:bidi w:val="0"/>
        <w:spacing w:beforeAutospacing="0" w:line="5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评标办法前附表</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23"/>
        <w:gridCol w:w="1336"/>
        <w:gridCol w:w="2877"/>
        <w:gridCol w:w="5684"/>
      </w:tblGrid>
      <w:tr w14:paraId="1A919B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892" w:type="pct"/>
            <w:gridSpan w:val="2"/>
            <w:vAlign w:val="center"/>
          </w:tcPr>
          <w:p w14:paraId="2543B605">
            <w:pPr>
              <w:pageBreakBefore w:val="0"/>
              <w:kinsoku/>
              <w:wordWrap/>
              <w:overflowPunct/>
              <w:topLinePunct w:val="0"/>
              <w:bidi w:val="0"/>
              <w:spacing w:beforeAutospacing="0" w:line="540" w:lineRule="exact"/>
              <w:jc w:val="center"/>
              <w:textAlignment w:val="auto"/>
              <w:rPr>
                <w:rFonts w:hint="eastAsia" w:ascii="宋体" w:hAnsi="宋体" w:eastAsia="宋体" w:cs="宋体"/>
                <w:b/>
                <w:spacing w:val="-9"/>
                <w:sz w:val="24"/>
                <w:szCs w:val="24"/>
                <w:highlight w:val="none"/>
              </w:rPr>
            </w:pPr>
            <w:r>
              <w:rPr>
                <w:rFonts w:hint="eastAsia" w:ascii="宋体" w:hAnsi="宋体" w:eastAsia="宋体" w:cs="宋体"/>
                <w:b/>
                <w:spacing w:val="-9"/>
                <w:sz w:val="24"/>
                <w:szCs w:val="24"/>
                <w:highlight w:val="none"/>
              </w:rPr>
              <w:t>条款号</w:t>
            </w:r>
          </w:p>
        </w:tc>
        <w:tc>
          <w:tcPr>
            <w:tcW w:w="1380" w:type="pct"/>
            <w:vAlign w:val="center"/>
          </w:tcPr>
          <w:p w14:paraId="4A9E373C">
            <w:pPr>
              <w:pageBreakBefore w:val="0"/>
              <w:kinsoku/>
              <w:wordWrap/>
              <w:overflowPunct/>
              <w:topLinePunct w:val="0"/>
              <w:bidi w:val="0"/>
              <w:spacing w:beforeAutospacing="0" w:line="540" w:lineRule="exact"/>
              <w:jc w:val="center"/>
              <w:textAlignment w:val="auto"/>
              <w:rPr>
                <w:rFonts w:hint="eastAsia" w:ascii="宋体" w:hAnsi="宋体" w:eastAsia="宋体" w:cs="宋体"/>
                <w:b/>
                <w:spacing w:val="-9"/>
                <w:sz w:val="24"/>
                <w:szCs w:val="24"/>
                <w:highlight w:val="none"/>
              </w:rPr>
            </w:pPr>
            <w:r>
              <w:rPr>
                <w:rFonts w:hint="eastAsia" w:ascii="宋体" w:hAnsi="宋体" w:eastAsia="宋体" w:cs="宋体"/>
                <w:b/>
                <w:spacing w:val="-9"/>
                <w:sz w:val="24"/>
                <w:szCs w:val="24"/>
                <w:highlight w:val="none"/>
              </w:rPr>
              <w:t>评审因素</w:t>
            </w:r>
          </w:p>
        </w:tc>
        <w:tc>
          <w:tcPr>
            <w:tcW w:w="2726" w:type="pct"/>
            <w:vAlign w:val="center"/>
          </w:tcPr>
          <w:p w14:paraId="16A5A635">
            <w:pPr>
              <w:pageBreakBefore w:val="0"/>
              <w:kinsoku/>
              <w:wordWrap/>
              <w:overflowPunct/>
              <w:topLinePunct w:val="0"/>
              <w:bidi w:val="0"/>
              <w:spacing w:beforeAutospacing="0" w:line="540" w:lineRule="exact"/>
              <w:jc w:val="center"/>
              <w:textAlignment w:val="auto"/>
              <w:rPr>
                <w:rFonts w:hint="eastAsia" w:ascii="宋体" w:hAnsi="宋体" w:eastAsia="宋体" w:cs="宋体"/>
                <w:b/>
                <w:spacing w:val="-9"/>
                <w:sz w:val="24"/>
                <w:szCs w:val="24"/>
                <w:highlight w:val="none"/>
              </w:rPr>
            </w:pPr>
            <w:r>
              <w:rPr>
                <w:rFonts w:hint="eastAsia" w:ascii="宋体" w:hAnsi="宋体" w:eastAsia="宋体" w:cs="宋体"/>
                <w:b/>
                <w:spacing w:val="-9"/>
                <w:sz w:val="24"/>
                <w:szCs w:val="24"/>
                <w:highlight w:val="none"/>
              </w:rPr>
              <w:t>评审标准</w:t>
            </w:r>
          </w:p>
        </w:tc>
      </w:tr>
      <w:tr w14:paraId="3C76E0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251" w:type="pct"/>
            <w:vMerge w:val="restart"/>
            <w:vAlign w:val="center"/>
          </w:tcPr>
          <w:p w14:paraId="68BE10CB">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1</w:t>
            </w:r>
          </w:p>
        </w:tc>
        <w:tc>
          <w:tcPr>
            <w:tcW w:w="641" w:type="pct"/>
            <w:vMerge w:val="restart"/>
            <w:vAlign w:val="center"/>
          </w:tcPr>
          <w:p w14:paraId="33F54F36">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符合性</w:t>
            </w:r>
          </w:p>
          <w:p w14:paraId="525EFCF0">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评审标准</w:t>
            </w:r>
          </w:p>
        </w:tc>
        <w:tc>
          <w:tcPr>
            <w:tcW w:w="1380" w:type="pct"/>
            <w:vAlign w:val="center"/>
          </w:tcPr>
          <w:p w14:paraId="22AA5C69">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r>
              <w:rPr>
                <w:rFonts w:hint="eastAsia" w:ascii="宋体" w:hAnsi="宋体" w:cs="宋体"/>
                <w:spacing w:val="-9"/>
                <w:sz w:val="24"/>
                <w:szCs w:val="24"/>
                <w:highlight w:val="none"/>
                <w:lang w:eastAsia="zh-CN"/>
              </w:rPr>
              <w:t>供应商</w:t>
            </w:r>
            <w:r>
              <w:rPr>
                <w:rFonts w:hint="eastAsia" w:ascii="宋体" w:hAnsi="宋体" w:eastAsia="宋体" w:cs="宋体"/>
                <w:spacing w:val="-9"/>
                <w:sz w:val="24"/>
                <w:szCs w:val="24"/>
                <w:highlight w:val="none"/>
              </w:rPr>
              <w:t>名称</w:t>
            </w:r>
          </w:p>
        </w:tc>
        <w:tc>
          <w:tcPr>
            <w:tcW w:w="2726" w:type="pct"/>
            <w:vAlign w:val="center"/>
          </w:tcPr>
          <w:p w14:paraId="5996E53E">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与营业执照一致</w:t>
            </w:r>
          </w:p>
        </w:tc>
      </w:tr>
      <w:tr w14:paraId="75E9CD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251" w:type="pct"/>
            <w:vMerge w:val="continue"/>
            <w:vAlign w:val="center"/>
          </w:tcPr>
          <w:p w14:paraId="3631A2BE">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492AC062">
            <w:pPr>
              <w:pageBreakBefore w:val="0"/>
              <w:kinsoku/>
              <w:wordWrap/>
              <w:overflowPunct/>
              <w:topLinePunct w:val="0"/>
              <w:bidi w:val="0"/>
              <w:spacing w:beforeAutospacing="0" w:line="540" w:lineRule="exact"/>
              <w:textAlignment w:val="auto"/>
              <w:rPr>
                <w:rFonts w:hint="eastAsia" w:ascii="宋体" w:hAnsi="宋体" w:eastAsia="宋体" w:cs="宋体"/>
                <w:spacing w:val="-9"/>
                <w:sz w:val="24"/>
                <w:szCs w:val="24"/>
                <w:highlight w:val="none"/>
              </w:rPr>
            </w:pPr>
          </w:p>
        </w:tc>
        <w:tc>
          <w:tcPr>
            <w:tcW w:w="1380" w:type="pct"/>
            <w:vAlign w:val="center"/>
          </w:tcPr>
          <w:p w14:paraId="15F970E5">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投标函签字盖章</w:t>
            </w:r>
          </w:p>
        </w:tc>
        <w:tc>
          <w:tcPr>
            <w:tcW w:w="2726" w:type="pct"/>
            <w:vAlign w:val="center"/>
          </w:tcPr>
          <w:p w14:paraId="517E363E">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须知前附表”规定</w:t>
            </w:r>
          </w:p>
        </w:tc>
      </w:tr>
      <w:tr w14:paraId="410BB7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251" w:type="pct"/>
            <w:vMerge w:val="continue"/>
            <w:vAlign w:val="center"/>
          </w:tcPr>
          <w:p w14:paraId="68AE4A09">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4EAA2698">
            <w:pPr>
              <w:pageBreakBefore w:val="0"/>
              <w:kinsoku/>
              <w:wordWrap/>
              <w:overflowPunct/>
              <w:topLinePunct w:val="0"/>
              <w:bidi w:val="0"/>
              <w:spacing w:beforeAutospacing="0" w:line="540" w:lineRule="exact"/>
              <w:textAlignment w:val="auto"/>
              <w:rPr>
                <w:rFonts w:hint="eastAsia" w:ascii="宋体" w:hAnsi="宋体" w:eastAsia="宋体" w:cs="宋体"/>
                <w:spacing w:val="-9"/>
                <w:sz w:val="24"/>
                <w:szCs w:val="24"/>
                <w:highlight w:val="none"/>
              </w:rPr>
            </w:pPr>
          </w:p>
        </w:tc>
        <w:tc>
          <w:tcPr>
            <w:tcW w:w="1380" w:type="pct"/>
            <w:vAlign w:val="center"/>
          </w:tcPr>
          <w:p w14:paraId="5D3DDCFA">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响应文件格式</w:t>
            </w:r>
          </w:p>
        </w:tc>
        <w:tc>
          <w:tcPr>
            <w:tcW w:w="2726" w:type="pct"/>
            <w:vAlign w:val="center"/>
          </w:tcPr>
          <w:p w14:paraId="2C2B983C">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符合第七章“响应文件格式”的要求</w:t>
            </w:r>
          </w:p>
        </w:tc>
      </w:tr>
      <w:tr w14:paraId="7DC4ED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251" w:type="pct"/>
            <w:vMerge w:val="continue"/>
            <w:vAlign w:val="center"/>
          </w:tcPr>
          <w:p w14:paraId="4E6949A7">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0DFACE61">
            <w:pPr>
              <w:pageBreakBefore w:val="0"/>
              <w:kinsoku/>
              <w:wordWrap/>
              <w:overflowPunct/>
              <w:topLinePunct w:val="0"/>
              <w:bidi w:val="0"/>
              <w:spacing w:beforeAutospacing="0" w:line="540" w:lineRule="exact"/>
              <w:textAlignment w:val="auto"/>
              <w:rPr>
                <w:rFonts w:hint="eastAsia" w:ascii="宋体" w:hAnsi="宋体" w:eastAsia="宋体" w:cs="宋体"/>
                <w:spacing w:val="-9"/>
                <w:sz w:val="24"/>
                <w:szCs w:val="24"/>
                <w:highlight w:val="none"/>
              </w:rPr>
            </w:pPr>
          </w:p>
        </w:tc>
        <w:tc>
          <w:tcPr>
            <w:tcW w:w="1380" w:type="pct"/>
            <w:vAlign w:val="center"/>
          </w:tcPr>
          <w:p w14:paraId="2653DDA3">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报价唯一</w:t>
            </w:r>
          </w:p>
        </w:tc>
        <w:tc>
          <w:tcPr>
            <w:tcW w:w="2726" w:type="pct"/>
            <w:vAlign w:val="center"/>
          </w:tcPr>
          <w:p w14:paraId="721545EC">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只能有一个有效报价</w:t>
            </w:r>
          </w:p>
        </w:tc>
      </w:tr>
      <w:tr w14:paraId="1BB10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87" w:hRule="atLeast"/>
          <w:jc w:val="center"/>
        </w:trPr>
        <w:tc>
          <w:tcPr>
            <w:tcW w:w="251" w:type="pct"/>
            <w:vMerge w:val="restart"/>
            <w:vAlign w:val="center"/>
          </w:tcPr>
          <w:p w14:paraId="6FD477D1">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w:t>
            </w:r>
          </w:p>
        </w:tc>
        <w:tc>
          <w:tcPr>
            <w:tcW w:w="641" w:type="pct"/>
            <w:vMerge w:val="restart"/>
            <w:vAlign w:val="center"/>
          </w:tcPr>
          <w:p w14:paraId="546A9911">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资格评审</w:t>
            </w:r>
          </w:p>
          <w:p w14:paraId="46AEE4C9">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标准</w:t>
            </w:r>
          </w:p>
        </w:tc>
        <w:tc>
          <w:tcPr>
            <w:tcW w:w="1380" w:type="pct"/>
            <w:vAlign w:val="center"/>
          </w:tcPr>
          <w:p w14:paraId="7C39FCBD">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2726" w:type="pct"/>
            <w:vAlign w:val="center"/>
          </w:tcPr>
          <w:p w14:paraId="7CFF8AB4">
            <w:pPr>
              <w:pageBreakBefore w:val="0"/>
              <w:kinsoku/>
              <w:wordWrap/>
              <w:overflowPunct/>
              <w:topLinePunct w:val="0"/>
              <w:bidi w:val="0"/>
              <w:spacing w:beforeAutospacing="0" w:line="540" w:lineRule="exact"/>
              <w:jc w:val="center"/>
              <w:textAlignment w:val="auto"/>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具有独立承担民事责任能力的法人或其他组织，同时具有有效的营业执照、税务登记证、组织机构代码证或三证合一的营业执照</w:t>
            </w:r>
          </w:p>
        </w:tc>
      </w:tr>
      <w:tr w14:paraId="7A1ECE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89" w:hRule="atLeast"/>
          <w:jc w:val="center"/>
        </w:trPr>
        <w:tc>
          <w:tcPr>
            <w:tcW w:w="251" w:type="pct"/>
            <w:vMerge w:val="continue"/>
            <w:vAlign w:val="center"/>
          </w:tcPr>
          <w:p w14:paraId="073475D5">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6FFA0AD1">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p>
        </w:tc>
        <w:tc>
          <w:tcPr>
            <w:tcW w:w="1380" w:type="pct"/>
            <w:vAlign w:val="center"/>
          </w:tcPr>
          <w:p w14:paraId="5A20118D">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具有履行合同所必需的设备和专业技术能力</w:t>
            </w:r>
          </w:p>
        </w:tc>
        <w:tc>
          <w:tcPr>
            <w:tcW w:w="2726" w:type="pct"/>
            <w:vAlign w:val="center"/>
          </w:tcPr>
          <w:p w14:paraId="05B0E078">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Times New Roman"/>
                <w:color w:val="auto"/>
                <w:sz w:val="24"/>
                <w:szCs w:val="28"/>
                <w:highlight w:val="none"/>
              </w:rPr>
              <w:t>自行作出承诺，格式自拟</w:t>
            </w:r>
          </w:p>
        </w:tc>
      </w:tr>
      <w:tr w14:paraId="7EBD83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89" w:hRule="atLeast"/>
          <w:jc w:val="center"/>
        </w:trPr>
        <w:tc>
          <w:tcPr>
            <w:tcW w:w="251" w:type="pct"/>
            <w:vMerge w:val="continue"/>
            <w:vAlign w:val="center"/>
          </w:tcPr>
          <w:p w14:paraId="661F3C19">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1D07F306">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p>
        </w:tc>
        <w:tc>
          <w:tcPr>
            <w:tcW w:w="1380" w:type="pct"/>
            <w:vAlign w:val="center"/>
          </w:tcPr>
          <w:p w14:paraId="5A163E65">
            <w:pPr>
              <w:pageBreakBefore w:val="0"/>
              <w:kinsoku/>
              <w:wordWrap/>
              <w:overflowPunct/>
              <w:topLinePunct w:val="0"/>
              <w:bidi w:val="0"/>
              <w:spacing w:beforeAutospacing="0" w:line="540" w:lineRule="exact"/>
              <w:jc w:val="left"/>
              <w:textAlignment w:val="auto"/>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参加政府采购活动近三年内，在经营活动中没有重大违法记录</w:t>
            </w:r>
          </w:p>
        </w:tc>
        <w:tc>
          <w:tcPr>
            <w:tcW w:w="2726" w:type="pct"/>
            <w:vAlign w:val="center"/>
          </w:tcPr>
          <w:p w14:paraId="48C2B713">
            <w:pPr>
              <w:pageBreakBefore w:val="0"/>
              <w:kinsoku/>
              <w:wordWrap/>
              <w:overflowPunct/>
              <w:topLinePunct w:val="0"/>
              <w:bidi w:val="0"/>
              <w:spacing w:beforeAutospacing="0" w:line="540" w:lineRule="exact"/>
              <w:jc w:val="center"/>
              <w:textAlignment w:val="auto"/>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自行作出承诺，格式自拟</w:t>
            </w:r>
          </w:p>
        </w:tc>
      </w:tr>
      <w:tr w14:paraId="77ACB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56" w:hRule="atLeast"/>
          <w:jc w:val="center"/>
        </w:trPr>
        <w:tc>
          <w:tcPr>
            <w:tcW w:w="251" w:type="pct"/>
            <w:vMerge w:val="continue"/>
            <w:vAlign w:val="center"/>
          </w:tcPr>
          <w:p w14:paraId="6B95F261">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7B4F370B">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p>
        </w:tc>
        <w:tc>
          <w:tcPr>
            <w:tcW w:w="1380" w:type="pct"/>
            <w:vAlign w:val="center"/>
          </w:tcPr>
          <w:p w14:paraId="014BBF64">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Times New Roman"/>
                <w:color w:val="auto"/>
                <w:sz w:val="24"/>
                <w:szCs w:val="28"/>
                <w:highlight w:val="none"/>
                <w:lang w:val="en-US" w:eastAsia="zh-CN"/>
              </w:rPr>
              <w:t>无商业贿赂及无不正当竞争行为</w:t>
            </w:r>
          </w:p>
        </w:tc>
        <w:tc>
          <w:tcPr>
            <w:tcW w:w="2726" w:type="pct"/>
            <w:vAlign w:val="center"/>
          </w:tcPr>
          <w:p w14:paraId="46F51EA3">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供应商出具本单位无商业贿赂及无不正当竞争行为的承诺书（</w:t>
            </w:r>
            <w:r>
              <w:rPr>
                <w:rFonts w:hint="eastAsia" w:ascii="宋体" w:hAnsi="宋体" w:eastAsia="宋体" w:cs="宋体"/>
                <w:sz w:val="24"/>
                <w:szCs w:val="24"/>
                <w:highlight w:val="none"/>
              </w:rPr>
              <w:t>自行作出承诺，格式自拟</w:t>
            </w:r>
            <w:r>
              <w:rPr>
                <w:rFonts w:hint="eastAsia" w:ascii="宋体" w:hAnsi="宋体" w:eastAsia="宋体" w:cs="宋体"/>
                <w:sz w:val="24"/>
                <w:szCs w:val="24"/>
                <w:highlight w:val="none"/>
                <w:lang w:eastAsia="zh-CN"/>
              </w:rPr>
              <w:t>）</w:t>
            </w:r>
          </w:p>
        </w:tc>
      </w:tr>
      <w:tr w14:paraId="432B8C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1" w:hRule="atLeast"/>
          <w:jc w:val="center"/>
        </w:trPr>
        <w:tc>
          <w:tcPr>
            <w:tcW w:w="251" w:type="pct"/>
            <w:vMerge w:val="continue"/>
            <w:vAlign w:val="center"/>
          </w:tcPr>
          <w:p w14:paraId="253665A0">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3734D31E">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p>
        </w:tc>
        <w:tc>
          <w:tcPr>
            <w:tcW w:w="1380" w:type="pct"/>
            <w:vAlign w:val="center"/>
          </w:tcPr>
          <w:p w14:paraId="2A703E8A">
            <w:pPr>
              <w:pageBreakBefore w:val="0"/>
              <w:kinsoku/>
              <w:wordWrap/>
              <w:overflowPunct/>
              <w:topLinePunct w:val="0"/>
              <w:bidi w:val="0"/>
              <w:spacing w:beforeAutospacing="0" w:line="540" w:lineRule="exact"/>
              <w:jc w:val="center"/>
              <w:textAlignment w:val="auto"/>
              <w:rPr>
                <w:rFonts w:hint="eastAsia" w:ascii="宋体" w:hAnsi="宋体" w:eastAsia="宋体" w:cs="Times New Roman"/>
                <w:color w:val="auto"/>
                <w:sz w:val="24"/>
                <w:szCs w:val="28"/>
                <w:highlight w:val="none"/>
                <w:lang w:val="en-US" w:eastAsia="zh-CN"/>
              </w:rPr>
            </w:pPr>
            <w:r>
              <w:rPr>
                <w:rFonts w:hint="eastAsia" w:ascii="宋体" w:hAnsi="宋体" w:eastAsia="宋体" w:cs="Times New Roman"/>
                <w:color w:val="auto"/>
                <w:sz w:val="24"/>
                <w:szCs w:val="28"/>
                <w:highlight w:val="none"/>
                <w:lang w:val="en-US" w:eastAsia="zh-CN"/>
              </w:rPr>
              <w:t>无行贿犯罪记录</w:t>
            </w:r>
          </w:p>
        </w:tc>
        <w:tc>
          <w:tcPr>
            <w:tcW w:w="2726" w:type="pct"/>
            <w:vAlign w:val="center"/>
          </w:tcPr>
          <w:p w14:paraId="1CE0B26B">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供应商出具无行贿犯罪记录在中国裁判文书网自行查询结果或自行承诺（查询/承诺对象：企业、法定代表人）</w:t>
            </w:r>
          </w:p>
        </w:tc>
      </w:tr>
      <w:tr w14:paraId="3BBE8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05" w:hRule="atLeast"/>
          <w:jc w:val="center"/>
        </w:trPr>
        <w:tc>
          <w:tcPr>
            <w:tcW w:w="251" w:type="pct"/>
            <w:vMerge w:val="continue"/>
            <w:vAlign w:val="center"/>
          </w:tcPr>
          <w:p w14:paraId="43082614">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1C3B403F">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p>
        </w:tc>
        <w:tc>
          <w:tcPr>
            <w:tcW w:w="1380" w:type="pct"/>
            <w:vAlign w:val="center"/>
          </w:tcPr>
          <w:p w14:paraId="715FE792">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信用要求</w:t>
            </w:r>
          </w:p>
        </w:tc>
        <w:tc>
          <w:tcPr>
            <w:tcW w:w="2726" w:type="pct"/>
            <w:vAlign w:val="center"/>
          </w:tcPr>
          <w:p w14:paraId="0D86D81A">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政府采购网（www.ccgp.gov.cn）】（查询时间为公告发出之后）</w:t>
            </w:r>
          </w:p>
        </w:tc>
      </w:tr>
      <w:tr w14:paraId="4181A7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96" w:hRule="atLeast"/>
          <w:jc w:val="center"/>
        </w:trPr>
        <w:tc>
          <w:tcPr>
            <w:tcW w:w="251" w:type="pct"/>
            <w:vMerge w:val="continue"/>
            <w:vAlign w:val="center"/>
          </w:tcPr>
          <w:p w14:paraId="256F4D6D">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0BD15BA5">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p>
        </w:tc>
        <w:tc>
          <w:tcPr>
            <w:tcW w:w="1380" w:type="pct"/>
            <w:vAlign w:val="center"/>
          </w:tcPr>
          <w:p w14:paraId="754F2D09">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国家企业信用</w:t>
            </w:r>
          </w:p>
        </w:tc>
        <w:tc>
          <w:tcPr>
            <w:tcW w:w="2726" w:type="pct"/>
            <w:vAlign w:val="center"/>
          </w:tcPr>
          <w:p w14:paraId="298DA42D">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供“国家企业信用信息公示系统”中查询打印的相关信息并加盖公章；查询信息需包含公司基本信息、股东信息及股权变更信息等相关信息，查询起始日期为本项目公告发布之后，查询截止时间为开标时间同一时间</w:t>
            </w:r>
          </w:p>
        </w:tc>
      </w:tr>
      <w:tr w14:paraId="61BEFC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51" w:type="pct"/>
            <w:vMerge w:val="continue"/>
            <w:vAlign w:val="center"/>
          </w:tcPr>
          <w:p w14:paraId="67387810">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3E7718F7">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p>
        </w:tc>
        <w:tc>
          <w:tcPr>
            <w:tcW w:w="1380" w:type="pct"/>
            <w:vAlign w:val="center"/>
          </w:tcPr>
          <w:p w14:paraId="72D8A92A">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联合体</w:t>
            </w:r>
          </w:p>
        </w:tc>
        <w:tc>
          <w:tcPr>
            <w:tcW w:w="2726" w:type="pct"/>
            <w:vAlign w:val="center"/>
          </w:tcPr>
          <w:p w14:paraId="572B2A39">
            <w:pPr>
              <w:pageBreakBefore w:val="0"/>
              <w:kinsoku/>
              <w:wordWrap/>
              <w:overflowPunct/>
              <w:topLinePunct w:val="0"/>
              <w:bidi w:val="0"/>
              <w:spacing w:beforeAutospacing="0" w:line="5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提供非联合体投标承诺书（自行作出承诺，格式自拟）</w:t>
            </w:r>
          </w:p>
        </w:tc>
      </w:tr>
      <w:tr w14:paraId="461CBB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251" w:type="pct"/>
            <w:vMerge w:val="restart"/>
            <w:vAlign w:val="center"/>
          </w:tcPr>
          <w:p w14:paraId="3113A0D8">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3</w:t>
            </w:r>
          </w:p>
        </w:tc>
        <w:tc>
          <w:tcPr>
            <w:tcW w:w="641" w:type="pct"/>
            <w:vMerge w:val="restart"/>
            <w:vAlign w:val="center"/>
          </w:tcPr>
          <w:p w14:paraId="11886FDD">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lang w:eastAsia="zh-CN"/>
              </w:rPr>
            </w:pPr>
            <w:r>
              <w:rPr>
                <w:rFonts w:hint="eastAsia" w:ascii="宋体" w:hAnsi="宋体" w:cs="宋体"/>
                <w:kern w:val="1"/>
                <w:sz w:val="24"/>
                <w:szCs w:val="24"/>
                <w:highlight w:val="none"/>
                <w:lang w:eastAsia="zh-CN"/>
              </w:rPr>
              <w:t>实质性响应评审</w:t>
            </w:r>
          </w:p>
        </w:tc>
        <w:tc>
          <w:tcPr>
            <w:tcW w:w="1380" w:type="pct"/>
            <w:vAlign w:val="center"/>
          </w:tcPr>
          <w:p w14:paraId="2BFDCB96">
            <w:pPr>
              <w:spacing w:line="480" w:lineRule="exact"/>
              <w:jc w:val="center"/>
              <w:rPr>
                <w:rFonts w:hint="eastAsia" w:ascii="宋体" w:hAnsi="宋体" w:eastAsia="宋体" w:cs="宋体"/>
                <w:spacing w:val="-9"/>
                <w:sz w:val="24"/>
                <w:szCs w:val="24"/>
                <w:highlight w:val="none"/>
              </w:rPr>
            </w:pPr>
            <w:r>
              <w:rPr>
                <w:rFonts w:hint="eastAsia" w:ascii="宋体" w:hAnsi="宋体" w:eastAsia="宋体" w:cs="Times New Roman"/>
                <w:sz w:val="24"/>
                <w:szCs w:val="24"/>
              </w:rPr>
              <w:t>交货期</w:t>
            </w:r>
          </w:p>
        </w:tc>
        <w:tc>
          <w:tcPr>
            <w:tcW w:w="2726" w:type="pct"/>
            <w:vAlign w:val="center"/>
          </w:tcPr>
          <w:p w14:paraId="6502EA83">
            <w:pPr>
              <w:spacing w:line="480" w:lineRule="exact"/>
              <w:jc w:val="center"/>
              <w:rPr>
                <w:rFonts w:hint="eastAsia" w:ascii="宋体" w:hAnsi="宋体" w:eastAsia="宋体" w:cs="宋体"/>
                <w:spacing w:val="-9"/>
                <w:sz w:val="24"/>
                <w:szCs w:val="24"/>
                <w:highlight w:val="none"/>
              </w:rPr>
            </w:pPr>
            <w:r>
              <w:rPr>
                <w:rFonts w:hint="eastAsia" w:ascii="宋体" w:hAnsi="宋体" w:eastAsia="宋体" w:cs="Times New Roman"/>
                <w:sz w:val="24"/>
                <w:szCs w:val="24"/>
              </w:rPr>
              <w:t>符合或优于招标文件要求</w:t>
            </w:r>
          </w:p>
        </w:tc>
      </w:tr>
      <w:tr w14:paraId="3F7B8A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251" w:type="pct"/>
            <w:vMerge w:val="continue"/>
            <w:vAlign w:val="center"/>
          </w:tcPr>
          <w:p w14:paraId="6C513FE1">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7A96A65F">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1380" w:type="pct"/>
            <w:vAlign w:val="center"/>
          </w:tcPr>
          <w:p w14:paraId="0CA2E0EB">
            <w:pPr>
              <w:spacing w:line="480" w:lineRule="exact"/>
              <w:jc w:val="center"/>
              <w:rPr>
                <w:rFonts w:hint="eastAsia" w:ascii="宋体" w:hAnsi="宋体" w:eastAsia="宋体" w:cs="宋体"/>
                <w:spacing w:val="-9"/>
                <w:sz w:val="24"/>
                <w:szCs w:val="24"/>
                <w:highlight w:val="none"/>
                <w:lang w:eastAsia="zh-CN"/>
              </w:rPr>
            </w:pPr>
            <w:r>
              <w:rPr>
                <w:rFonts w:hint="eastAsia" w:ascii="宋体" w:hAnsi="宋体" w:eastAsia="宋体" w:cs="Times New Roman"/>
                <w:kern w:val="0"/>
                <w:sz w:val="24"/>
                <w:szCs w:val="24"/>
              </w:rPr>
              <w:t>质保期</w:t>
            </w:r>
          </w:p>
        </w:tc>
        <w:tc>
          <w:tcPr>
            <w:tcW w:w="2726" w:type="pct"/>
            <w:vAlign w:val="center"/>
          </w:tcPr>
          <w:p w14:paraId="4CCD139B">
            <w:pPr>
              <w:spacing w:line="480" w:lineRule="exact"/>
              <w:jc w:val="center"/>
              <w:rPr>
                <w:rFonts w:hint="eastAsia" w:ascii="宋体" w:hAnsi="宋体" w:eastAsia="宋体" w:cs="宋体"/>
                <w:spacing w:val="-9"/>
                <w:sz w:val="24"/>
                <w:szCs w:val="24"/>
                <w:highlight w:val="none"/>
              </w:rPr>
            </w:pPr>
            <w:r>
              <w:rPr>
                <w:rFonts w:hint="eastAsia" w:ascii="宋体" w:hAnsi="宋体" w:eastAsia="宋体" w:cs="Times New Roman"/>
                <w:sz w:val="24"/>
                <w:szCs w:val="24"/>
              </w:rPr>
              <w:t>符合或优于招标文件要求</w:t>
            </w:r>
          </w:p>
        </w:tc>
      </w:tr>
      <w:tr w14:paraId="3F19BA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251" w:type="pct"/>
            <w:vMerge w:val="continue"/>
            <w:vAlign w:val="center"/>
          </w:tcPr>
          <w:p w14:paraId="43B97DB6">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51654FEE">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1380" w:type="pct"/>
            <w:vAlign w:val="center"/>
          </w:tcPr>
          <w:p w14:paraId="23A28F6D">
            <w:pPr>
              <w:spacing w:line="480" w:lineRule="exact"/>
              <w:jc w:val="center"/>
              <w:rPr>
                <w:rFonts w:hint="eastAsia" w:ascii="宋体" w:hAnsi="宋体" w:eastAsia="宋体" w:cs="宋体"/>
                <w:spacing w:val="-9"/>
                <w:sz w:val="24"/>
                <w:szCs w:val="24"/>
                <w:highlight w:val="none"/>
              </w:rPr>
            </w:pPr>
            <w:r>
              <w:rPr>
                <w:rFonts w:hint="eastAsia" w:ascii="宋体" w:hAnsi="宋体" w:eastAsia="宋体" w:cs="Times New Roman"/>
                <w:sz w:val="24"/>
                <w:szCs w:val="24"/>
              </w:rPr>
              <w:t>质量要求</w:t>
            </w:r>
          </w:p>
        </w:tc>
        <w:tc>
          <w:tcPr>
            <w:tcW w:w="2726" w:type="pct"/>
            <w:vAlign w:val="center"/>
          </w:tcPr>
          <w:p w14:paraId="0DDA68A1">
            <w:pPr>
              <w:spacing w:line="480" w:lineRule="exact"/>
              <w:jc w:val="center"/>
              <w:rPr>
                <w:rFonts w:hint="eastAsia" w:ascii="宋体" w:hAnsi="宋体" w:eastAsia="宋体" w:cs="宋体"/>
                <w:spacing w:val="-9"/>
                <w:sz w:val="24"/>
                <w:szCs w:val="24"/>
                <w:highlight w:val="none"/>
              </w:rPr>
            </w:pPr>
            <w:r>
              <w:rPr>
                <w:rFonts w:hint="eastAsia" w:ascii="宋体" w:hAnsi="宋体" w:eastAsia="宋体" w:cs="Times New Roman"/>
                <w:sz w:val="24"/>
                <w:szCs w:val="24"/>
              </w:rPr>
              <w:t>符合或优于招标文件要求</w:t>
            </w:r>
          </w:p>
        </w:tc>
      </w:tr>
      <w:tr w14:paraId="66C7B9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251" w:type="pct"/>
            <w:vMerge w:val="continue"/>
            <w:vAlign w:val="center"/>
          </w:tcPr>
          <w:p w14:paraId="0104B5F0">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0E4882F1">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1380" w:type="pct"/>
            <w:vAlign w:val="center"/>
          </w:tcPr>
          <w:p w14:paraId="6F9F1B44">
            <w:pPr>
              <w:spacing w:line="480" w:lineRule="exact"/>
              <w:jc w:val="center"/>
              <w:rPr>
                <w:rFonts w:hint="eastAsia" w:ascii="宋体" w:hAnsi="宋体" w:eastAsia="宋体" w:cs="宋体"/>
                <w:spacing w:val="-9"/>
                <w:sz w:val="24"/>
                <w:szCs w:val="24"/>
                <w:highlight w:val="none"/>
              </w:rPr>
            </w:pPr>
            <w:r>
              <w:rPr>
                <w:rFonts w:hint="eastAsia" w:ascii="宋体" w:hAnsi="宋体" w:eastAsia="宋体" w:cs="Times New Roman"/>
                <w:sz w:val="24"/>
                <w:szCs w:val="24"/>
              </w:rPr>
              <w:t>投标有效期</w:t>
            </w:r>
          </w:p>
        </w:tc>
        <w:tc>
          <w:tcPr>
            <w:tcW w:w="2726" w:type="pct"/>
            <w:vAlign w:val="center"/>
          </w:tcPr>
          <w:p w14:paraId="0867C474">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60日历天（从响应文件递交截止时间起）</w:t>
            </w:r>
          </w:p>
        </w:tc>
      </w:tr>
      <w:tr w14:paraId="1DF5AE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251" w:type="pct"/>
            <w:vMerge w:val="continue"/>
            <w:vAlign w:val="center"/>
          </w:tcPr>
          <w:p w14:paraId="16A08B79">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641" w:type="pct"/>
            <w:vMerge w:val="continue"/>
            <w:vAlign w:val="center"/>
          </w:tcPr>
          <w:p w14:paraId="6871E1B7">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p>
        </w:tc>
        <w:tc>
          <w:tcPr>
            <w:tcW w:w="1380" w:type="pct"/>
            <w:vAlign w:val="center"/>
          </w:tcPr>
          <w:p w14:paraId="1E92F727">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磋商报价</w:t>
            </w:r>
          </w:p>
        </w:tc>
        <w:tc>
          <w:tcPr>
            <w:tcW w:w="2726" w:type="pct"/>
            <w:vAlign w:val="center"/>
          </w:tcPr>
          <w:p w14:paraId="58439B9B">
            <w:pPr>
              <w:pageBreakBefore w:val="0"/>
              <w:kinsoku/>
              <w:wordWrap/>
              <w:overflowPunct/>
              <w:topLinePunct w:val="0"/>
              <w:bidi w:val="0"/>
              <w:spacing w:beforeAutospacing="0" w:line="540" w:lineRule="exact"/>
              <w:jc w:val="center"/>
              <w:textAlignment w:val="auto"/>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低于第二章“</w:t>
            </w:r>
            <w:r>
              <w:rPr>
                <w:rFonts w:hint="eastAsia" w:ascii="宋体" w:hAnsi="宋体" w:cs="宋体"/>
                <w:spacing w:val="-9"/>
                <w:sz w:val="24"/>
                <w:szCs w:val="24"/>
                <w:highlight w:val="none"/>
                <w:lang w:eastAsia="zh-CN"/>
              </w:rPr>
              <w:t>供应商</w:t>
            </w:r>
            <w:r>
              <w:rPr>
                <w:rFonts w:hint="eastAsia" w:ascii="宋体" w:hAnsi="宋体" w:eastAsia="宋体" w:cs="宋体"/>
                <w:spacing w:val="-9"/>
                <w:sz w:val="24"/>
                <w:szCs w:val="24"/>
                <w:highlight w:val="none"/>
              </w:rPr>
              <w:t>须知前附表”载明的预算金额</w:t>
            </w:r>
          </w:p>
        </w:tc>
      </w:tr>
    </w:tbl>
    <w:p w14:paraId="4ECE30CD">
      <w:pPr>
        <w:rPr>
          <w:rFonts w:hint="eastAsia"/>
        </w:rPr>
      </w:pPr>
      <w:r>
        <w:rPr>
          <w:rFonts w:hint="eastAsia"/>
        </w:rPr>
        <w:br w:type="page"/>
      </w:r>
    </w:p>
    <w:tbl>
      <w:tblPr>
        <w:tblStyle w:val="24"/>
        <w:tblW w:w="5000" w:type="pct"/>
        <w:jc w:val="center"/>
        <w:tblLayout w:type="autofit"/>
        <w:tblCellMar>
          <w:top w:w="0" w:type="dxa"/>
          <w:left w:w="108" w:type="dxa"/>
          <w:bottom w:w="0" w:type="dxa"/>
          <w:right w:w="108" w:type="dxa"/>
        </w:tblCellMar>
      </w:tblPr>
      <w:tblGrid>
        <w:gridCol w:w="1329"/>
        <w:gridCol w:w="1374"/>
        <w:gridCol w:w="7719"/>
      </w:tblGrid>
      <w:tr w14:paraId="720A57D2">
        <w:tblPrEx>
          <w:tblCellMar>
            <w:top w:w="0" w:type="dxa"/>
            <w:left w:w="108" w:type="dxa"/>
            <w:bottom w:w="0" w:type="dxa"/>
            <w:right w:w="108" w:type="dxa"/>
          </w:tblCellMar>
        </w:tblPrEx>
        <w:trPr>
          <w:trHeight w:val="518" w:hRule="atLeast"/>
          <w:jc w:val="center"/>
        </w:trPr>
        <w:tc>
          <w:tcPr>
            <w:tcW w:w="5000" w:type="pct"/>
            <w:gridSpan w:val="3"/>
            <w:tcBorders>
              <w:top w:val="single" w:color="000000" w:sz="6" w:space="0"/>
              <w:left w:val="single" w:color="000000" w:sz="12" w:space="0"/>
              <w:bottom w:val="single" w:color="000000" w:sz="6" w:space="0"/>
              <w:right w:val="single" w:color="000000" w:sz="12" w:space="0"/>
            </w:tcBorders>
            <w:vAlign w:val="center"/>
          </w:tcPr>
          <w:p w14:paraId="39E7DA51">
            <w:pPr>
              <w:pageBreakBefore w:val="0"/>
              <w:kinsoku/>
              <w:wordWrap/>
              <w:overflowPunct/>
              <w:topLinePunct w:val="0"/>
              <w:bidi w:val="0"/>
              <w:spacing w:beforeAutospacing="0" w:line="360" w:lineRule="auto"/>
              <w:jc w:val="center"/>
              <w:textAlignment w:val="auto"/>
              <w:rPr>
                <w:rFonts w:hint="eastAsia" w:ascii="宋体" w:hAnsi="宋体" w:eastAsia="宋体" w:cs="宋体"/>
                <w:kern w:val="1"/>
                <w:sz w:val="24"/>
                <w:szCs w:val="24"/>
                <w:highlight w:val="none"/>
              </w:rPr>
            </w:pPr>
            <w:r>
              <w:rPr>
                <w:rFonts w:hint="eastAsia" w:ascii="宋体" w:hAnsi="宋体" w:eastAsia="宋体" w:cs="宋体"/>
                <w:b/>
                <w:kern w:val="1"/>
                <w:sz w:val="24"/>
                <w:szCs w:val="24"/>
                <w:highlight w:val="none"/>
              </w:rPr>
              <w:t>综合评分部分（满分100分）</w:t>
            </w:r>
          </w:p>
        </w:tc>
      </w:tr>
      <w:tr w14:paraId="27E643B1">
        <w:tblPrEx>
          <w:tblCellMar>
            <w:top w:w="0" w:type="dxa"/>
            <w:left w:w="108" w:type="dxa"/>
            <w:bottom w:w="0" w:type="dxa"/>
            <w:right w:w="108" w:type="dxa"/>
          </w:tblCellMar>
        </w:tblPrEx>
        <w:trPr>
          <w:trHeight w:val="691" w:hRule="atLeast"/>
          <w:jc w:val="center"/>
        </w:trPr>
        <w:tc>
          <w:tcPr>
            <w:tcW w:w="1297" w:type="pct"/>
            <w:gridSpan w:val="2"/>
            <w:tcBorders>
              <w:top w:val="single" w:color="000000" w:sz="6" w:space="0"/>
              <w:left w:val="single" w:color="000000" w:sz="6" w:space="0"/>
              <w:bottom w:val="single" w:color="000000" w:sz="6" w:space="0"/>
              <w:right w:val="single" w:color="000000" w:sz="6" w:space="0"/>
            </w:tcBorders>
            <w:vAlign w:val="center"/>
          </w:tcPr>
          <w:p w14:paraId="43D6DAA3">
            <w:pPr>
              <w:pageBreakBefore w:val="0"/>
              <w:kinsoku/>
              <w:wordWrap/>
              <w:overflowPunct/>
              <w:topLinePunct w:val="0"/>
              <w:bidi w:val="0"/>
              <w:spacing w:beforeAutospacing="0" w:line="360" w:lineRule="auto"/>
              <w:ind w:hanging="210"/>
              <w:jc w:val="center"/>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分值构成</w:t>
            </w:r>
          </w:p>
          <w:p w14:paraId="69981767">
            <w:pPr>
              <w:pageBreakBefore w:val="0"/>
              <w:kinsoku/>
              <w:wordWrap/>
              <w:overflowPunct/>
              <w:topLinePunct w:val="0"/>
              <w:bidi w:val="0"/>
              <w:spacing w:beforeAutospacing="0" w:line="360" w:lineRule="auto"/>
              <w:ind w:hanging="210"/>
              <w:jc w:val="center"/>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(总分100分)</w:t>
            </w:r>
          </w:p>
        </w:tc>
        <w:tc>
          <w:tcPr>
            <w:tcW w:w="3702" w:type="pct"/>
            <w:tcBorders>
              <w:top w:val="single" w:color="000000" w:sz="6" w:space="0"/>
              <w:left w:val="single" w:color="000000" w:sz="6" w:space="0"/>
              <w:bottom w:val="single" w:color="000000" w:sz="6" w:space="0"/>
              <w:right w:val="single" w:color="000000" w:sz="12" w:space="0"/>
            </w:tcBorders>
            <w:vAlign w:val="center"/>
          </w:tcPr>
          <w:p w14:paraId="5759B882">
            <w:pPr>
              <w:pageBreakBefore w:val="0"/>
              <w:kinsoku/>
              <w:wordWrap/>
              <w:overflowPunct/>
              <w:topLinePunct w:val="0"/>
              <w:bidi w:val="0"/>
              <w:spacing w:beforeAutospacing="0" w:line="360" w:lineRule="auto"/>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商务标：</w:t>
            </w:r>
            <w:r>
              <w:rPr>
                <w:rFonts w:hint="eastAsia" w:ascii="宋体" w:hAnsi="宋体" w:eastAsia="宋体" w:cs="宋体"/>
                <w:kern w:val="1"/>
                <w:sz w:val="24"/>
                <w:szCs w:val="24"/>
                <w:highlight w:val="none"/>
                <w:u w:val="single"/>
              </w:rPr>
              <w:t>30</w:t>
            </w:r>
            <w:r>
              <w:rPr>
                <w:rFonts w:hint="eastAsia" w:ascii="宋体" w:hAnsi="宋体" w:eastAsia="宋体" w:cs="宋体"/>
                <w:kern w:val="1"/>
                <w:sz w:val="24"/>
                <w:szCs w:val="24"/>
                <w:highlight w:val="none"/>
              </w:rPr>
              <w:t>分</w:t>
            </w:r>
          </w:p>
          <w:p w14:paraId="4F63CA10">
            <w:pPr>
              <w:pageBreakBefore w:val="0"/>
              <w:kinsoku/>
              <w:wordWrap/>
              <w:overflowPunct/>
              <w:topLinePunct w:val="0"/>
              <w:bidi w:val="0"/>
              <w:spacing w:beforeAutospacing="0" w:line="360" w:lineRule="auto"/>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技术标：</w:t>
            </w:r>
            <w:r>
              <w:rPr>
                <w:rFonts w:hint="eastAsia" w:ascii="宋体" w:hAnsi="宋体" w:cs="宋体"/>
                <w:kern w:val="1"/>
                <w:sz w:val="24"/>
                <w:szCs w:val="24"/>
                <w:highlight w:val="none"/>
                <w:u w:val="single"/>
                <w:lang w:val="en-US" w:eastAsia="zh-CN"/>
              </w:rPr>
              <w:t>50</w:t>
            </w:r>
            <w:r>
              <w:rPr>
                <w:rFonts w:hint="eastAsia" w:ascii="宋体" w:hAnsi="宋体" w:eastAsia="宋体" w:cs="宋体"/>
                <w:kern w:val="1"/>
                <w:sz w:val="24"/>
                <w:szCs w:val="24"/>
                <w:highlight w:val="none"/>
              </w:rPr>
              <w:t>分</w:t>
            </w:r>
          </w:p>
          <w:p w14:paraId="1D92643C">
            <w:pPr>
              <w:pageBreakBefore w:val="0"/>
              <w:kinsoku/>
              <w:wordWrap/>
              <w:overflowPunct/>
              <w:topLinePunct w:val="0"/>
              <w:bidi w:val="0"/>
              <w:spacing w:beforeAutospacing="0" w:line="360" w:lineRule="auto"/>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综合标：</w:t>
            </w:r>
            <w:r>
              <w:rPr>
                <w:rFonts w:hint="eastAsia" w:ascii="宋体" w:hAnsi="宋体" w:eastAsia="宋体" w:cs="宋体"/>
                <w:kern w:val="1"/>
                <w:sz w:val="24"/>
                <w:szCs w:val="24"/>
                <w:highlight w:val="none"/>
                <w:u w:val="single"/>
              </w:rPr>
              <w:t>2</w:t>
            </w:r>
            <w:r>
              <w:rPr>
                <w:rFonts w:hint="eastAsia" w:ascii="宋体" w:hAnsi="宋体" w:cs="宋体"/>
                <w:kern w:val="1"/>
                <w:sz w:val="24"/>
                <w:szCs w:val="24"/>
                <w:highlight w:val="none"/>
                <w:u w:val="single"/>
                <w:lang w:val="en-US" w:eastAsia="zh-CN"/>
              </w:rPr>
              <w:t>0</w:t>
            </w:r>
            <w:r>
              <w:rPr>
                <w:rFonts w:hint="eastAsia" w:ascii="宋体" w:hAnsi="宋体" w:eastAsia="宋体" w:cs="宋体"/>
                <w:kern w:val="1"/>
                <w:sz w:val="24"/>
                <w:szCs w:val="24"/>
                <w:highlight w:val="none"/>
              </w:rPr>
              <w:t>分</w:t>
            </w:r>
          </w:p>
        </w:tc>
      </w:tr>
      <w:tr w14:paraId="5AFD6CFD">
        <w:tblPrEx>
          <w:tblCellMar>
            <w:top w:w="0" w:type="dxa"/>
            <w:left w:w="108" w:type="dxa"/>
            <w:bottom w:w="0" w:type="dxa"/>
            <w:right w:w="108" w:type="dxa"/>
          </w:tblCellMar>
        </w:tblPrEx>
        <w:trPr>
          <w:trHeight w:val="207" w:hRule="atLeast"/>
          <w:jc w:val="center"/>
        </w:trPr>
        <w:tc>
          <w:tcPr>
            <w:tcW w:w="1297" w:type="pct"/>
            <w:gridSpan w:val="2"/>
            <w:tcBorders>
              <w:top w:val="single" w:color="000000" w:sz="6" w:space="0"/>
              <w:left w:val="single" w:color="000000" w:sz="6" w:space="0"/>
              <w:bottom w:val="single" w:color="000000" w:sz="6" w:space="0"/>
              <w:right w:val="single" w:color="000000" w:sz="6" w:space="0"/>
            </w:tcBorders>
            <w:vAlign w:val="center"/>
          </w:tcPr>
          <w:p w14:paraId="5A05D572">
            <w:pPr>
              <w:pageBreakBefore w:val="0"/>
              <w:kinsoku/>
              <w:wordWrap/>
              <w:overflowPunct/>
              <w:topLinePunct w:val="0"/>
              <w:bidi w:val="0"/>
              <w:spacing w:beforeAutospacing="0" w:line="360" w:lineRule="auto"/>
              <w:jc w:val="center"/>
              <w:textAlignment w:val="auto"/>
              <w:rPr>
                <w:rFonts w:hint="eastAsia" w:ascii="宋体" w:hAnsi="宋体" w:eastAsia="宋体" w:cs="宋体"/>
                <w:b/>
                <w:kern w:val="1"/>
                <w:sz w:val="24"/>
                <w:szCs w:val="24"/>
                <w:highlight w:val="none"/>
              </w:rPr>
            </w:pPr>
            <w:r>
              <w:rPr>
                <w:rFonts w:hint="eastAsia" w:ascii="宋体" w:hAnsi="宋体" w:eastAsia="宋体" w:cs="宋体"/>
                <w:b/>
                <w:kern w:val="1"/>
                <w:sz w:val="24"/>
                <w:szCs w:val="24"/>
                <w:highlight w:val="none"/>
              </w:rPr>
              <w:t>评分因素</w:t>
            </w:r>
          </w:p>
        </w:tc>
        <w:tc>
          <w:tcPr>
            <w:tcW w:w="3702" w:type="pct"/>
            <w:tcBorders>
              <w:top w:val="single" w:color="000000" w:sz="6" w:space="0"/>
              <w:left w:val="single" w:color="000000" w:sz="6" w:space="0"/>
              <w:bottom w:val="single" w:color="000000" w:sz="6" w:space="0"/>
              <w:right w:val="single" w:color="000000" w:sz="12" w:space="0"/>
            </w:tcBorders>
            <w:vAlign w:val="center"/>
          </w:tcPr>
          <w:p w14:paraId="64B5BD4C">
            <w:pPr>
              <w:pageBreakBefore w:val="0"/>
              <w:kinsoku/>
              <w:wordWrap/>
              <w:overflowPunct/>
              <w:topLinePunct w:val="0"/>
              <w:bidi w:val="0"/>
              <w:spacing w:beforeAutospacing="0" w:line="360" w:lineRule="auto"/>
              <w:jc w:val="center"/>
              <w:textAlignment w:val="auto"/>
              <w:rPr>
                <w:rFonts w:hint="eastAsia" w:ascii="宋体" w:hAnsi="宋体" w:eastAsia="宋体" w:cs="宋体"/>
                <w:b/>
                <w:kern w:val="1"/>
                <w:sz w:val="24"/>
                <w:szCs w:val="24"/>
                <w:highlight w:val="none"/>
              </w:rPr>
            </w:pPr>
            <w:r>
              <w:rPr>
                <w:rFonts w:hint="eastAsia" w:ascii="宋体" w:hAnsi="宋体" w:eastAsia="宋体" w:cs="宋体"/>
                <w:b/>
                <w:kern w:val="1"/>
                <w:sz w:val="24"/>
                <w:szCs w:val="24"/>
                <w:highlight w:val="none"/>
              </w:rPr>
              <w:t>评分标准</w:t>
            </w:r>
          </w:p>
        </w:tc>
      </w:tr>
      <w:tr w14:paraId="6B68859E">
        <w:tblPrEx>
          <w:tblCellMar>
            <w:top w:w="0" w:type="dxa"/>
            <w:left w:w="108" w:type="dxa"/>
            <w:bottom w:w="0" w:type="dxa"/>
            <w:right w:w="108" w:type="dxa"/>
          </w:tblCellMar>
        </w:tblPrEx>
        <w:trPr>
          <w:trHeight w:val="1971" w:hRule="atLeast"/>
          <w:jc w:val="center"/>
        </w:trPr>
        <w:tc>
          <w:tcPr>
            <w:tcW w:w="638" w:type="pct"/>
            <w:tcBorders>
              <w:top w:val="single" w:color="000000" w:sz="6" w:space="0"/>
              <w:left w:val="single" w:color="000000" w:sz="4" w:space="0"/>
              <w:bottom w:val="single" w:color="000000" w:sz="6" w:space="0"/>
              <w:right w:val="single" w:color="000000" w:sz="6" w:space="0"/>
            </w:tcBorders>
            <w:vAlign w:val="center"/>
          </w:tcPr>
          <w:p w14:paraId="0F69B8DA">
            <w:pPr>
              <w:pageBreakBefore w:val="0"/>
              <w:kinsoku/>
              <w:wordWrap/>
              <w:overflowPunct/>
              <w:topLinePunct w:val="0"/>
              <w:bidi w:val="0"/>
              <w:spacing w:beforeAutospacing="0" w:line="360" w:lineRule="auto"/>
              <w:jc w:val="center"/>
              <w:textAlignment w:val="auto"/>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商务标评分标准（30分）</w:t>
            </w:r>
          </w:p>
        </w:tc>
        <w:tc>
          <w:tcPr>
            <w:tcW w:w="659" w:type="pct"/>
            <w:tcBorders>
              <w:top w:val="single" w:color="000000" w:sz="6" w:space="0"/>
              <w:left w:val="single" w:color="000000" w:sz="4" w:space="0"/>
              <w:bottom w:val="single" w:color="000000" w:sz="6" w:space="0"/>
              <w:right w:val="single" w:color="000000" w:sz="6" w:space="0"/>
            </w:tcBorders>
            <w:vAlign w:val="center"/>
          </w:tcPr>
          <w:p w14:paraId="7EEACA24">
            <w:pPr>
              <w:pageBreakBefore w:val="0"/>
              <w:kinsoku/>
              <w:wordWrap/>
              <w:overflowPunct/>
              <w:topLinePunct w:val="0"/>
              <w:bidi w:val="0"/>
              <w:spacing w:beforeAutospacing="0" w:line="360" w:lineRule="auto"/>
              <w:jc w:val="center"/>
              <w:textAlignment w:val="auto"/>
              <w:rPr>
                <w:rFonts w:hint="eastAsia" w:ascii="宋体" w:hAnsi="宋体" w:eastAsia="宋体" w:cs="宋体"/>
                <w:kern w:val="1"/>
                <w:sz w:val="24"/>
                <w:szCs w:val="24"/>
                <w:highlight w:val="yellow"/>
              </w:rPr>
            </w:pPr>
            <w:r>
              <w:rPr>
                <w:rFonts w:hint="eastAsia" w:ascii="宋体" w:hAnsi="宋体" w:eastAsia="宋体" w:cs="宋体"/>
                <w:kern w:val="0"/>
                <w:sz w:val="24"/>
                <w:szCs w:val="24"/>
                <w:highlight w:val="none"/>
              </w:rPr>
              <w:t>磋商报价</w:t>
            </w:r>
            <w:r>
              <w:rPr>
                <w:rFonts w:hint="eastAsia" w:ascii="宋体" w:hAnsi="宋体" w:eastAsia="宋体" w:cs="宋体"/>
                <w:kern w:val="1"/>
                <w:sz w:val="24"/>
                <w:szCs w:val="24"/>
                <w:highlight w:val="none"/>
              </w:rPr>
              <w:t>（30分）</w:t>
            </w:r>
          </w:p>
        </w:tc>
        <w:tc>
          <w:tcPr>
            <w:tcW w:w="3702" w:type="pct"/>
            <w:tcBorders>
              <w:top w:val="single" w:color="000000" w:sz="6" w:space="0"/>
              <w:left w:val="single" w:color="000000" w:sz="6" w:space="0"/>
              <w:bottom w:val="single" w:color="000000" w:sz="6" w:space="0"/>
              <w:right w:val="single" w:color="000000" w:sz="12" w:space="0"/>
            </w:tcBorders>
            <w:vAlign w:val="center"/>
          </w:tcPr>
          <w:p w14:paraId="371A4953">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1、价格分采用低价优先法计算，即满足磋商文件通过资格性和形式性审查且投标价格最低的投标报价为评标基准价，其价格得分为满分30分。</w:t>
            </w:r>
          </w:p>
          <w:p w14:paraId="4733165D">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2、其他供应商的价格分统一按照下列公式计算：</w:t>
            </w:r>
          </w:p>
          <w:p w14:paraId="586A11FE">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投标报价得分=(评标基准价／投标报价)×30</w:t>
            </w:r>
          </w:p>
          <w:p w14:paraId="202486C6">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3、价格扣除：</w:t>
            </w:r>
            <w:r>
              <w:rPr>
                <w:rFonts w:hint="eastAsia" w:ascii="宋体" w:hAnsi="宋体" w:eastAsia="宋体" w:cs="宋体"/>
                <w:kern w:val="0"/>
                <w:sz w:val="24"/>
                <w:szCs w:val="24"/>
                <w:highlight w:val="none"/>
              </w:rPr>
              <w:t>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提供证明材料</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按</w:t>
            </w: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%扣除，使用扣除后的价格参与评审。对于中型企业产品的价格不予扣除。</w:t>
            </w:r>
            <w:r>
              <w:rPr>
                <w:rFonts w:hint="eastAsia" w:ascii="宋体" w:hAnsi="宋体" w:eastAsia="宋体" w:cs="宋体"/>
                <w:kern w:val="0"/>
                <w:sz w:val="24"/>
                <w:szCs w:val="24"/>
                <w:highlight w:val="none"/>
                <w:lang w:val="en-US" w:eastAsia="zh-CN"/>
              </w:rPr>
              <w:t>小微企业需完整填写小微企业声明函并提供证明资料。</w:t>
            </w:r>
          </w:p>
          <w:p w14:paraId="28391313">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所投小微企业产品报价=所投小微企业产品报价×（1-</w:t>
            </w: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w:t>
            </w:r>
          </w:p>
          <w:p w14:paraId="443D809C">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05ACD3B3">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根据财政部民政部中国残疾人联合会《关于促进残疾人就业政府采购政策的通知》（财库〔2017〕141号）规定，对于残疾人福利性单位视同为小型、微型企业，价格给予</w:t>
            </w: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%的扣除</w:t>
            </w:r>
            <w:r>
              <w:rPr>
                <w:rFonts w:hint="eastAsia" w:ascii="宋体" w:hAnsi="宋体" w:eastAsia="宋体" w:cs="宋体"/>
                <w:kern w:val="0"/>
                <w:sz w:val="24"/>
                <w:szCs w:val="24"/>
                <w:highlight w:val="none"/>
                <w:lang w:val="en-US" w:eastAsia="zh-CN"/>
              </w:rPr>
              <w:t>。</w:t>
            </w:r>
          </w:p>
          <w:p w14:paraId="5623EAB9">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6、同一供应商，中小微企业产品和监狱企业产品价格扣除优惠只享受一次，不得重复享受。</w:t>
            </w:r>
          </w:p>
          <w:p w14:paraId="73AE0B47">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注：价格分计算保留小数点后二位。</w:t>
            </w:r>
          </w:p>
          <w:p w14:paraId="131E7B09">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none"/>
                <w:lang w:val="en-US" w:eastAsia="zh-CN"/>
              </w:rPr>
              <w:t>在评标过程中，磋商小组发现供应商的报价明显低于成本价时或明显低于其他通过初步审查供应商的报价，有可能影响产品质量或者不能诚信履约的，磋商小组可向该供应商提出询问， 要求该供应商作出书面说明并提供相关证明材料。供应商不能合理说明及不能提供相关证明材料的，磋商小组认定该供应商以低于成本价恶意竞标，其投标作废标处理。</w:t>
            </w:r>
          </w:p>
        </w:tc>
      </w:tr>
      <w:tr w14:paraId="079EAF31">
        <w:tblPrEx>
          <w:tblCellMar>
            <w:top w:w="0" w:type="dxa"/>
            <w:left w:w="108" w:type="dxa"/>
            <w:bottom w:w="0" w:type="dxa"/>
            <w:right w:w="108" w:type="dxa"/>
          </w:tblCellMar>
        </w:tblPrEx>
        <w:trPr>
          <w:trHeight w:val="90" w:hRule="atLeast"/>
          <w:jc w:val="center"/>
        </w:trPr>
        <w:tc>
          <w:tcPr>
            <w:tcW w:w="638" w:type="pct"/>
            <w:vMerge w:val="restart"/>
            <w:tcBorders>
              <w:top w:val="single" w:color="000000" w:sz="6" w:space="0"/>
              <w:left w:val="single" w:color="000000" w:sz="4" w:space="0"/>
              <w:right w:val="single" w:color="000000" w:sz="6" w:space="0"/>
            </w:tcBorders>
            <w:vAlign w:val="center"/>
          </w:tcPr>
          <w:p w14:paraId="7931479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03EDC11C">
            <w:pPr>
              <w:spacing w:line="360" w:lineRule="auto"/>
              <w:jc w:val="center"/>
              <w:rPr>
                <w:rFonts w:hint="eastAsia" w:ascii="宋体" w:hAnsi="宋体" w:eastAsia="宋体" w:cs="宋体"/>
                <w:kern w:val="1"/>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59" w:type="pct"/>
            <w:tcBorders>
              <w:top w:val="single" w:color="000000" w:sz="6" w:space="0"/>
              <w:left w:val="single" w:color="000000" w:sz="4" w:space="0"/>
              <w:bottom w:val="single" w:color="000000" w:sz="6" w:space="0"/>
              <w:right w:val="single" w:color="000000" w:sz="6" w:space="0"/>
            </w:tcBorders>
            <w:vAlign w:val="center"/>
          </w:tcPr>
          <w:p w14:paraId="55651274">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技术指标</w:t>
            </w:r>
          </w:p>
          <w:p w14:paraId="3050E124">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响应情况</w:t>
            </w:r>
          </w:p>
          <w:p w14:paraId="7BBF71ED">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lang w:val="en-US" w:eastAsia="zh-CN"/>
              </w:rPr>
              <w:t>分</w:t>
            </w:r>
            <w:r>
              <w:rPr>
                <w:rFonts w:hint="eastAsia" w:ascii="宋体" w:hAnsi="宋体" w:eastAsia="宋体" w:cs="宋体"/>
                <w:kern w:val="0"/>
                <w:sz w:val="24"/>
                <w:szCs w:val="24"/>
                <w:highlight w:val="none"/>
                <w:lang w:eastAsia="zh-CN"/>
              </w:rPr>
              <w:t>）</w:t>
            </w:r>
          </w:p>
        </w:tc>
        <w:tc>
          <w:tcPr>
            <w:tcW w:w="3702" w:type="pct"/>
            <w:tcBorders>
              <w:top w:val="single" w:color="000000" w:sz="6" w:space="0"/>
              <w:left w:val="single" w:color="000000" w:sz="6" w:space="0"/>
              <w:bottom w:val="single" w:color="000000" w:sz="6" w:space="0"/>
              <w:right w:val="single" w:color="000000" w:sz="12" w:space="0"/>
            </w:tcBorders>
            <w:vAlign w:val="center"/>
          </w:tcPr>
          <w:p w14:paraId="026B78DD">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供应商所投主要产品参数要求完全满足招标文件要求的，得满分。</w:t>
            </w:r>
          </w:p>
          <w:p w14:paraId="4BAFC2F1">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带“★” 为关键参数，需要提供相关证明文件。</w:t>
            </w:r>
          </w:p>
          <w:p w14:paraId="33EDDA70">
            <w:pPr>
              <w:pageBreakBefore w:val="0"/>
              <w:kinsoku/>
              <w:wordWrap/>
              <w:overflowPunct/>
              <w:topLinePunct w:val="0"/>
              <w:bidi w:val="0"/>
              <w:spacing w:beforeAutospacing="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参数要求带“★”每有一项</w:t>
            </w:r>
            <w:r>
              <w:rPr>
                <w:rFonts w:hint="eastAsia" w:ascii="宋体" w:hAnsi="宋体" w:cs="宋体"/>
                <w:kern w:val="0"/>
                <w:sz w:val="24"/>
                <w:szCs w:val="24"/>
                <w:highlight w:val="none"/>
                <w:lang w:val="en-US" w:eastAsia="zh-CN"/>
              </w:rPr>
              <w:t>未</w:t>
            </w:r>
            <w:r>
              <w:rPr>
                <w:rFonts w:hint="eastAsia" w:ascii="宋体" w:hAnsi="宋体" w:eastAsia="宋体" w:cs="宋体"/>
                <w:kern w:val="0"/>
                <w:sz w:val="24"/>
                <w:szCs w:val="24"/>
                <w:highlight w:val="none"/>
                <w:lang w:val="en-US" w:eastAsia="zh-CN"/>
              </w:rPr>
              <w:t>提供相关证明文件的扣2分，其它每有一项不满足的扣 1 分，扣完为止。</w:t>
            </w:r>
          </w:p>
        </w:tc>
      </w:tr>
      <w:tr w14:paraId="21A85EA3">
        <w:tblPrEx>
          <w:tblCellMar>
            <w:top w:w="0" w:type="dxa"/>
            <w:left w:w="108" w:type="dxa"/>
            <w:bottom w:w="0" w:type="dxa"/>
            <w:right w:w="108" w:type="dxa"/>
          </w:tblCellMar>
        </w:tblPrEx>
        <w:trPr>
          <w:trHeight w:val="1690" w:hRule="atLeast"/>
          <w:jc w:val="center"/>
        </w:trPr>
        <w:tc>
          <w:tcPr>
            <w:tcW w:w="638" w:type="pct"/>
            <w:vMerge w:val="continue"/>
            <w:tcBorders>
              <w:left w:val="single" w:color="000000" w:sz="4" w:space="0"/>
              <w:right w:val="single" w:color="000000" w:sz="6" w:space="0"/>
            </w:tcBorders>
            <w:vAlign w:val="center"/>
          </w:tcPr>
          <w:p w14:paraId="6CD54C7A">
            <w:pPr>
              <w:spacing w:line="360" w:lineRule="auto"/>
              <w:jc w:val="center"/>
              <w:rPr>
                <w:rFonts w:hint="eastAsia" w:ascii="宋体" w:hAnsi="宋体" w:eastAsia="宋体" w:cs="宋体"/>
                <w:kern w:val="1"/>
                <w:sz w:val="24"/>
                <w:szCs w:val="24"/>
                <w:highlight w:val="none"/>
              </w:rPr>
            </w:pPr>
          </w:p>
        </w:tc>
        <w:tc>
          <w:tcPr>
            <w:tcW w:w="659" w:type="pct"/>
            <w:tcBorders>
              <w:top w:val="single" w:color="000000" w:sz="6" w:space="0"/>
              <w:left w:val="single" w:color="000000" w:sz="4" w:space="0"/>
              <w:bottom w:val="single" w:color="000000" w:sz="6" w:space="0"/>
              <w:right w:val="single" w:color="000000" w:sz="6" w:space="0"/>
            </w:tcBorders>
            <w:vAlign w:val="center"/>
          </w:tcPr>
          <w:p w14:paraId="60B674CC">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供货方案</w:t>
            </w:r>
          </w:p>
          <w:p w14:paraId="096AB324">
            <w:pPr>
              <w:spacing w:line="360" w:lineRule="auto"/>
              <w:jc w:val="center"/>
              <w:rPr>
                <w:rFonts w:hint="eastAsia" w:ascii="宋体" w:hAnsi="宋体" w:eastAsia="宋体" w:cs="宋体"/>
                <w:kern w:val="1"/>
                <w:sz w:val="24"/>
                <w:szCs w:val="24"/>
                <w:highlight w:val="yellow"/>
              </w:rPr>
            </w:pPr>
            <w:r>
              <w:rPr>
                <w:rFonts w:hint="eastAsia" w:ascii="宋体" w:hAnsi="宋体" w:cs="宋体"/>
                <w:sz w:val="24"/>
                <w:szCs w:val="24"/>
                <w:highlight w:val="none"/>
              </w:rPr>
              <w:t>（10分）</w:t>
            </w:r>
          </w:p>
        </w:tc>
        <w:tc>
          <w:tcPr>
            <w:tcW w:w="3702" w:type="pct"/>
            <w:tcBorders>
              <w:top w:val="single" w:color="000000" w:sz="6" w:space="0"/>
              <w:left w:val="single" w:color="000000" w:sz="6" w:space="0"/>
              <w:bottom w:val="single" w:color="000000" w:sz="6" w:space="0"/>
              <w:right w:val="single" w:color="000000" w:sz="12" w:space="0"/>
            </w:tcBorders>
            <w:vAlign w:val="center"/>
          </w:tcPr>
          <w:p w14:paraId="54B107F7">
            <w:pPr>
              <w:spacing w:line="360" w:lineRule="auto"/>
              <w:jc w:val="left"/>
              <w:rPr>
                <w:rFonts w:ascii="宋体" w:hAnsi="宋体" w:cs="宋体"/>
                <w:sz w:val="24"/>
                <w:szCs w:val="24"/>
                <w:highlight w:val="none"/>
              </w:rPr>
            </w:pPr>
            <w:r>
              <w:rPr>
                <w:rFonts w:hint="eastAsia" w:ascii="宋体" w:hAnsi="宋体" w:cs="宋体"/>
                <w:sz w:val="24"/>
                <w:szCs w:val="24"/>
                <w:highlight w:val="none"/>
              </w:rPr>
              <w:t>根据供应商提供的</w:t>
            </w:r>
            <w:r>
              <w:rPr>
                <w:rFonts w:ascii="宋体" w:hAnsi="宋体" w:cs="宋体"/>
                <w:sz w:val="24"/>
                <w:szCs w:val="24"/>
                <w:highlight w:val="none"/>
              </w:rPr>
              <w:t>供货方案、供货时间、进度计划</w:t>
            </w:r>
            <w:r>
              <w:rPr>
                <w:rFonts w:hint="eastAsia" w:ascii="宋体" w:hAnsi="宋体" w:cs="宋体"/>
                <w:sz w:val="24"/>
                <w:szCs w:val="24"/>
                <w:highlight w:val="none"/>
              </w:rPr>
              <w:t>等，</w:t>
            </w:r>
            <w:r>
              <w:rPr>
                <w:rFonts w:hint="eastAsia" w:ascii="宋体" w:hAnsi="宋体" w:cs="仿宋"/>
                <w:sz w:val="24"/>
                <w:szCs w:val="24"/>
                <w:highlight w:val="none"/>
              </w:rPr>
              <w:t>是否科学、合理、可行。</w:t>
            </w:r>
          </w:p>
          <w:p w14:paraId="145B578C">
            <w:pPr>
              <w:spacing w:line="360" w:lineRule="auto"/>
              <w:jc w:val="left"/>
              <w:rPr>
                <w:rFonts w:ascii="宋体" w:hAnsi="宋体" w:cs="宋体"/>
                <w:sz w:val="24"/>
                <w:szCs w:val="24"/>
                <w:highlight w:val="none"/>
              </w:rPr>
            </w:pPr>
            <w:r>
              <w:rPr>
                <w:rFonts w:hint="eastAsia" w:ascii="宋体" w:hAnsi="宋体" w:cs="宋体"/>
                <w:sz w:val="24"/>
                <w:szCs w:val="24"/>
                <w:highlight w:val="none"/>
              </w:rPr>
              <w:t>供应商有针对于本项目提供的</w:t>
            </w:r>
            <w:r>
              <w:rPr>
                <w:rFonts w:ascii="宋体" w:hAnsi="宋体" w:cs="宋体"/>
                <w:sz w:val="24"/>
                <w:szCs w:val="24"/>
                <w:highlight w:val="none"/>
              </w:rPr>
              <w:t>供货方案</w:t>
            </w:r>
            <w:r>
              <w:rPr>
                <w:rFonts w:hint="eastAsia" w:ascii="宋体" w:hAnsi="宋体" w:cs="宋体"/>
                <w:sz w:val="24"/>
                <w:szCs w:val="24"/>
                <w:highlight w:val="none"/>
              </w:rPr>
              <w:t>，方案</w:t>
            </w:r>
            <w:r>
              <w:rPr>
                <w:rFonts w:hint="eastAsia" w:ascii="宋体" w:hAnsi="宋体" w:cs="仿宋"/>
                <w:sz w:val="24"/>
                <w:szCs w:val="24"/>
                <w:highlight w:val="none"/>
              </w:rPr>
              <w:t>便于实施、科学、合理、可行</w:t>
            </w:r>
            <w:r>
              <w:rPr>
                <w:rFonts w:hint="eastAsia" w:ascii="宋体" w:hAnsi="宋体" w:cs="宋体"/>
                <w:sz w:val="24"/>
                <w:szCs w:val="24"/>
                <w:highlight w:val="none"/>
              </w:rPr>
              <w:t>；有合理措施保障</w:t>
            </w:r>
            <w:r>
              <w:rPr>
                <w:rFonts w:ascii="宋体" w:hAnsi="宋体" w:cs="宋体"/>
                <w:sz w:val="24"/>
                <w:szCs w:val="24"/>
                <w:highlight w:val="none"/>
              </w:rPr>
              <w:t>供货时间</w:t>
            </w:r>
            <w:r>
              <w:rPr>
                <w:rFonts w:hint="eastAsia" w:ascii="宋体" w:hAnsi="宋体" w:cs="宋体"/>
                <w:sz w:val="24"/>
                <w:szCs w:val="24"/>
                <w:highlight w:val="none"/>
              </w:rPr>
              <w:t>及</w:t>
            </w:r>
            <w:r>
              <w:rPr>
                <w:rFonts w:ascii="宋体" w:hAnsi="宋体" w:cs="宋体"/>
                <w:sz w:val="24"/>
                <w:szCs w:val="24"/>
                <w:highlight w:val="none"/>
              </w:rPr>
              <w:t>进度计划</w:t>
            </w:r>
            <w:r>
              <w:rPr>
                <w:rFonts w:hint="eastAsia" w:ascii="宋体" w:hAnsi="宋体" w:cs="仿宋"/>
                <w:sz w:val="24"/>
                <w:szCs w:val="24"/>
                <w:highlight w:val="none"/>
              </w:rPr>
              <w:t>，完善程度高，得10分；</w:t>
            </w:r>
          </w:p>
          <w:p w14:paraId="16B67100">
            <w:pPr>
              <w:spacing w:line="360" w:lineRule="auto"/>
              <w:jc w:val="left"/>
              <w:rPr>
                <w:rFonts w:ascii="宋体" w:hAnsi="宋体" w:cs="宋体"/>
                <w:sz w:val="24"/>
                <w:szCs w:val="24"/>
                <w:highlight w:val="none"/>
              </w:rPr>
            </w:pPr>
            <w:r>
              <w:rPr>
                <w:rFonts w:hint="eastAsia" w:ascii="宋体" w:hAnsi="宋体" w:cs="宋体"/>
                <w:sz w:val="24"/>
                <w:szCs w:val="24"/>
                <w:highlight w:val="none"/>
              </w:rPr>
              <w:t>供应商有针对于本项目提供的</w:t>
            </w:r>
            <w:r>
              <w:rPr>
                <w:rFonts w:ascii="宋体" w:hAnsi="宋体" w:cs="宋体"/>
                <w:sz w:val="24"/>
                <w:szCs w:val="24"/>
                <w:highlight w:val="none"/>
              </w:rPr>
              <w:t>供货方案</w:t>
            </w:r>
            <w:r>
              <w:rPr>
                <w:rFonts w:hint="eastAsia" w:ascii="宋体" w:hAnsi="宋体" w:cs="宋体"/>
                <w:sz w:val="24"/>
                <w:szCs w:val="24"/>
                <w:highlight w:val="none"/>
              </w:rPr>
              <w:t>，方案</w:t>
            </w:r>
            <w:r>
              <w:rPr>
                <w:rFonts w:hint="eastAsia" w:ascii="宋体" w:hAnsi="宋体" w:cs="仿宋"/>
                <w:sz w:val="24"/>
                <w:szCs w:val="24"/>
                <w:highlight w:val="none"/>
              </w:rPr>
              <w:t>便于实施</w:t>
            </w:r>
            <w:r>
              <w:rPr>
                <w:rFonts w:hint="eastAsia" w:ascii="宋体" w:hAnsi="宋体" w:cs="宋体"/>
                <w:sz w:val="24"/>
                <w:szCs w:val="24"/>
                <w:highlight w:val="none"/>
              </w:rPr>
              <w:t>；有合理措施保障</w:t>
            </w:r>
            <w:r>
              <w:rPr>
                <w:rFonts w:ascii="宋体" w:hAnsi="宋体" w:cs="宋体"/>
                <w:sz w:val="24"/>
                <w:szCs w:val="24"/>
                <w:highlight w:val="none"/>
              </w:rPr>
              <w:t>供货时间</w:t>
            </w:r>
            <w:r>
              <w:rPr>
                <w:rFonts w:hint="eastAsia" w:ascii="宋体" w:hAnsi="宋体" w:cs="宋体"/>
                <w:sz w:val="24"/>
                <w:szCs w:val="24"/>
                <w:highlight w:val="none"/>
              </w:rPr>
              <w:t>及</w:t>
            </w:r>
            <w:r>
              <w:rPr>
                <w:rFonts w:ascii="宋体" w:hAnsi="宋体" w:cs="宋体"/>
                <w:sz w:val="24"/>
                <w:szCs w:val="24"/>
                <w:highlight w:val="none"/>
              </w:rPr>
              <w:t>进度计划</w:t>
            </w:r>
            <w:r>
              <w:rPr>
                <w:rFonts w:hint="eastAsia" w:ascii="宋体" w:hAnsi="宋体" w:cs="仿宋"/>
                <w:sz w:val="24"/>
                <w:szCs w:val="24"/>
                <w:highlight w:val="none"/>
              </w:rPr>
              <w:t>，完善程度不高，得7分；</w:t>
            </w:r>
          </w:p>
          <w:p w14:paraId="53860CF9">
            <w:pPr>
              <w:spacing w:line="360" w:lineRule="auto"/>
              <w:jc w:val="left"/>
              <w:rPr>
                <w:rFonts w:ascii="宋体" w:hAnsi="宋体" w:cs="仿宋"/>
                <w:sz w:val="24"/>
                <w:szCs w:val="24"/>
                <w:highlight w:val="none"/>
              </w:rPr>
            </w:pPr>
            <w:r>
              <w:rPr>
                <w:rFonts w:hint="eastAsia" w:ascii="宋体" w:hAnsi="宋体" w:cs="宋体"/>
                <w:sz w:val="24"/>
                <w:szCs w:val="24"/>
                <w:highlight w:val="none"/>
              </w:rPr>
              <w:t>供应商提供的</w:t>
            </w:r>
            <w:r>
              <w:rPr>
                <w:rFonts w:ascii="宋体" w:hAnsi="宋体" w:cs="宋体"/>
                <w:sz w:val="24"/>
                <w:szCs w:val="24"/>
                <w:highlight w:val="none"/>
              </w:rPr>
              <w:t>供货方案</w:t>
            </w:r>
            <w:r>
              <w:rPr>
                <w:rFonts w:hint="eastAsia" w:ascii="宋体" w:hAnsi="宋体" w:cs="仿宋"/>
                <w:sz w:val="24"/>
                <w:szCs w:val="24"/>
                <w:highlight w:val="none"/>
              </w:rPr>
              <w:t>合理性一般，不便于实施，完善程度一般，不够详尽的，得3分。</w:t>
            </w:r>
          </w:p>
          <w:p w14:paraId="051665B6">
            <w:pPr>
              <w:spacing w:line="360" w:lineRule="auto"/>
              <w:jc w:val="left"/>
              <w:rPr>
                <w:rFonts w:hint="eastAsia" w:ascii="宋体" w:hAnsi="宋体" w:eastAsia="宋体" w:cs="宋体"/>
                <w:kern w:val="0"/>
                <w:sz w:val="24"/>
                <w:szCs w:val="24"/>
                <w:highlight w:val="yellow"/>
                <w:lang w:eastAsia="zh-CN"/>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没有提供上述内容，或提供的不完整有缺项的得0 分</w:t>
            </w:r>
            <w:r>
              <w:rPr>
                <w:rFonts w:hint="eastAsia" w:ascii="宋体" w:hAnsi="宋体" w:cs="宋体"/>
                <w:sz w:val="24"/>
                <w:szCs w:val="24"/>
                <w:highlight w:val="none"/>
                <w:lang w:eastAsia="zh-CN"/>
              </w:rPr>
              <w:t>。</w:t>
            </w:r>
          </w:p>
        </w:tc>
      </w:tr>
      <w:tr w14:paraId="606C4046">
        <w:tblPrEx>
          <w:tblCellMar>
            <w:top w:w="0" w:type="dxa"/>
            <w:left w:w="108" w:type="dxa"/>
            <w:bottom w:w="0" w:type="dxa"/>
            <w:right w:w="108" w:type="dxa"/>
          </w:tblCellMar>
        </w:tblPrEx>
        <w:trPr>
          <w:trHeight w:val="1690" w:hRule="atLeast"/>
          <w:jc w:val="center"/>
        </w:trPr>
        <w:tc>
          <w:tcPr>
            <w:tcW w:w="638" w:type="pct"/>
            <w:vMerge w:val="continue"/>
            <w:tcBorders>
              <w:left w:val="single" w:color="000000" w:sz="4" w:space="0"/>
              <w:right w:val="single" w:color="000000" w:sz="6" w:space="0"/>
            </w:tcBorders>
            <w:vAlign w:val="center"/>
          </w:tcPr>
          <w:p w14:paraId="6D10DE9E">
            <w:pPr>
              <w:spacing w:line="360" w:lineRule="auto"/>
              <w:jc w:val="center"/>
              <w:rPr>
                <w:rFonts w:hint="eastAsia" w:ascii="宋体" w:hAnsi="宋体" w:eastAsia="宋体" w:cs="宋体"/>
                <w:kern w:val="1"/>
                <w:sz w:val="24"/>
                <w:szCs w:val="24"/>
                <w:highlight w:val="none"/>
              </w:rPr>
            </w:pPr>
          </w:p>
        </w:tc>
        <w:tc>
          <w:tcPr>
            <w:tcW w:w="659" w:type="pct"/>
            <w:tcBorders>
              <w:top w:val="single" w:color="000000" w:sz="6" w:space="0"/>
              <w:left w:val="single" w:color="000000" w:sz="4" w:space="0"/>
              <w:bottom w:val="single" w:color="000000" w:sz="6" w:space="0"/>
              <w:right w:val="single" w:color="000000" w:sz="6" w:space="0"/>
            </w:tcBorders>
            <w:vAlign w:val="center"/>
          </w:tcPr>
          <w:p w14:paraId="7E36CA8A">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质量保障措施</w:t>
            </w:r>
          </w:p>
          <w:p w14:paraId="70FAE3B8">
            <w:pPr>
              <w:spacing w:line="360" w:lineRule="auto"/>
              <w:jc w:val="center"/>
              <w:rPr>
                <w:rFonts w:hint="eastAsia" w:ascii="宋体" w:hAnsi="宋体" w:eastAsia="宋体" w:cs="宋体"/>
                <w:color w:val="auto"/>
                <w:sz w:val="24"/>
                <w:szCs w:val="24"/>
                <w:highlight w:val="yellow"/>
                <w:lang w:eastAsia="zh-CN"/>
              </w:rPr>
            </w:pPr>
            <w:r>
              <w:rPr>
                <w:rFonts w:hint="eastAsia" w:ascii="宋体" w:hAnsi="宋体" w:cs="宋体"/>
                <w:sz w:val="24"/>
                <w:szCs w:val="24"/>
                <w:highlight w:val="none"/>
              </w:rPr>
              <w:t>（10分）</w:t>
            </w:r>
          </w:p>
        </w:tc>
        <w:tc>
          <w:tcPr>
            <w:tcW w:w="3702" w:type="pct"/>
            <w:tcBorders>
              <w:top w:val="single" w:color="000000" w:sz="6" w:space="0"/>
              <w:left w:val="single" w:color="000000" w:sz="6" w:space="0"/>
              <w:bottom w:val="single" w:color="000000" w:sz="6" w:space="0"/>
              <w:right w:val="single" w:color="000000" w:sz="12" w:space="0"/>
            </w:tcBorders>
            <w:vAlign w:val="center"/>
          </w:tcPr>
          <w:p w14:paraId="23004657">
            <w:pPr>
              <w:spacing w:line="360" w:lineRule="auto"/>
              <w:jc w:val="left"/>
              <w:rPr>
                <w:rFonts w:ascii="宋体" w:hAnsi="宋体" w:cs="宋体"/>
                <w:sz w:val="24"/>
                <w:szCs w:val="24"/>
                <w:highlight w:val="none"/>
              </w:rPr>
            </w:pPr>
            <w:r>
              <w:rPr>
                <w:rFonts w:hint="eastAsia" w:ascii="宋体" w:hAnsi="宋体" w:cs="宋体"/>
                <w:sz w:val="24"/>
                <w:szCs w:val="24"/>
                <w:highlight w:val="none"/>
              </w:rPr>
              <w:t>根据供应商提供的质量保障措施</w:t>
            </w:r>
            <w:r>
              <w:rPr>
                <w:rFonts w:hint="eastAsia" w:ascii="宋体" w:hAnsi="宋体" w:cs="仿宋"/>
                <w:sz w:val="24"/>
                <w:szCs w:val="24"/>
                <w:highlight w:val="none"/>
              </w:rPr>
              <w:t>是否科学、合理、可行。</w:t>
            </w:r>
          </w:p>
          <w:p w14:paraId="23EB39A5">
            <w:pPr>
              <w:spacing w:line="360" w:lineRule="auto"/>
              <w:jc w:val="left"/>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提供的质量保证措施</w:t>
            </w:r>
            <w:r>
              <w:rPr>
                <w:rFonts w:hint="eastAsia" w:ascii="宋体" w:hAnsi="宋体" w:cs="仿宋"/>
                <w:sz w:val="24"/>
                <w:szCs w:val="24"/>
                <w:highlight w:val="none"/>
              </w:rPr>
              <w:t>便于实施、具有针对性、完善程度高得10分；</w:t>
            </w:r>
          </w:p>
          <w:p w14:paraId="77D9EBEB">
            <w:pPr>
              <w:spacing w:line="360" w:lineRule="auto"/>
              <w:jc w:val="left"/>
              <w:rPr>
                <w:rFonts w:ascii="宋体" w:hAnsi="宋体" w:cs="仿宋"/>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提供的质量保证措施</w:t>
            </w:r>
            <w:r>
              <w:rPr>
                <w:rFonts w:hint="eastAsia" w:ascii="宋体" w:hAnsi="宋体" w:cs="仿宋"/>
                <w:sz w:val="24"/>
                <w:szCs w:val="24"/>
                <w:highlight w:val="none"/>
              </w:rPr>
              <w:t>合理便于实施、但完善程度一般不够详尽的得7 分；</w:t>
            </w:r>
          </w:p>
          <w:p w14:paraId="4B1348F5">
            <w:pPr>
              <w:spacing w:line="360" w:lineRule="auto"/>
              <w:jc w:val="left"/>
              <w:rPr>
                <w:rFonts w:ascii="宋体" w:hAnsi="宋体" w:cs="仿宋"/>
                <w:sz w:val="24"/>
                <w:szCs w:val="24"/>
                <w:highlight w:val="none"/>
              </w:rPr>
            </w:pPr>
            <w:r>
              <w:rPr>
                <w:rFonts w:hint="eastAsia" w:ascii="宋体" w:hAnsi="宋体" w:cs="仿宋"/>
                <w:sz w:val="24"/>
                <w:szCs w:val="24"/>
                <w:highlight w:val="none"/>
                <w:lang w:eastAsia="zh-CN"/>
              </w:rPr>
              <w:t>供应商</w:t>
            </w:r>
            <w:r>
              <w:rPr>
                <w:rFonts w:hint="eastAsia" w:ascii="宋体" w:hAnsi="宋体" w:cs="仿宋"/>
                <w:sz w:val="24"/>
                <w:szCs w:val="24"/>
                <w:highlight w:val="none"/>
              </w:rPr>
              <w:t>提供的</w:t>
            </w:r>
            <w:r>
              <w:rPr>
                <w:rFonts w:hint="eastAsia" w:ascii="宋体" w:hAnsi="宋体" w:cs="宋体"/>
                <w:sz w:val="24"/>
                <w:szCs w:val="24"/>
                <w:highlight w:val="none"/>
              </w:rPr>
              <w:t>质量保证措施</w:t>
            </w:r>
            <w:r>
              <w:rPr>
                <w:rFonts w:hint="eastAsia" w:ascii="宋体" w:hAnsi="宋体" w:cs="仿宋"/>
                <w:sz w:val="24"/>
                <w:szCs w:val="24"/>
                <w:highlight w:val="none"/>
              </w:rPr>
              <w:t>合理性一般，不便于实施，完善程度一般不够详尽的得3分。</w:t>
            </w:r>
          </w:p>
          <w:p w14:paraId="06510EE9">
            <w:pPr>
              <w:spacing w:line="360" w:lineRule="auto"/>
              <w:jc w:val="left"/>
              <w:rPr>
                <w:rFonts w:hint="eastAsia" w:ascii="宋体" w:hAnsi="宋体" w:eastAsia="宋体" w:cs="宋体"/>
                <w:color w:val="auto"/>
                <w:sz w:val="24"/>
                <w:szCs w:val="24"/>
                <w:highlight w:val="yellow"/>
                <w:lang w:val="en-US" w:eastAsia="zh-CN"/>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没有提供上述内容，或提供的不完整有缺项的得0 分</w:t>
            </w:r>
            <w:r>
              <w:rPr>
                <w:rFonts w:hint="eastAsia" w:ascii="宋体" w:hAnsi="宋体" w:cs="宋体"/>
                <w:sz w:val="24"/>
                <w:szCs w:val="24"/>
                <w:highlight w:val="none"/>
                <w:lang w:eastAsia="zh-CN"/>
              </w:rPr>
              <w:t>。</w:t>
            </w:r>
          </w:p>
        </w:tc>
      </w:tr>
      <w:tr w14:paraId="4DFAF6A1">
        <w:tblPrEx>
          <w:tblCellMar>
            <w:top w:w="0" w:type="dxa"/>
            <w:left w:w="108" w:type="dxa"/>
            <w:bottom w:w="0" w:type="dxa"/>
            <w:right w:w="108" w:type="dxa"/>
          </w:tblCellMar>
        </w:tblPrEx>
        <w:trPr>
          <w:trHeight w:val="538" w:hRule="atLeast"/>
          <w:jc w:val="center"/>
        </w:trPr>
        <w:tc>
          <w:tcPr>
            <w:tcW w:w="638" w:type="pct"/>
            <w:vMerge w:val="continue"/>
            <w:tcBorders>
              <w:left w:val="single" w:color="000000" w:sz="4" w:space="0"/>
              <w:right w:val="single" w:color="000000" w:sz="6" w:space="0"/>
            </w:tcBorders>
            <w:vAlign w:val="center"/>
          </w:tcPr>
          <w:p w14:paraId="4BFE4E88">
            <w:pPr>
              <w:spacing w:line="360" w:lineRule="auto"/>
              <w:jc w:val="center"/>
              <w:rPr>
                <w:rFonts w:hint="eastAsia" w:ascii="宋体" w:hAnsi="宋体" w:eastAsia="宋体" w:cs="宋体"/>
                <w:kern w:val="1"/>
                <w:sz w:val="24"/>
                <w:szCs w:val="24"/>
                <w:highlight w:val="none"/>
              </w:rPr>
            </w:pPr>
          </w:p>
        </w:tc>
        <w:tc>
          <w:tcPr>
            <w:tcW w:w="659" w:type="pct"/>
            <w:tcBorders>
              <w:top w:val="single" w:color="000000" w:sz="6" w:space="0"/>
              <w:left w:val="single" w:color="000000" w:sz="4" w:space="0"/>
              <w:bottom w:val="single" w:color="000000" w:sz="6" w:space="0"/>
              <w:right w:val="single" w:color="000000" w:sz="6" w:space="0"/>
            </w:tcBorders>
            <w:vAlign w:val="center"/>
          </w:tcPr>
          <w:p w14:paraId="3DB6E58F">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yellow"/>
                <w:lang w:eastAsia="zh-CN"/>
              </w:rPr>
            </w:pP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宋体"/>
                <w:b w:val="0"/>
                <w:bCs w:val="0"/>
                <w:snapToGrid w:val="0"/>
                <w:kern w:val="2"/>
                <w:sz w:val="24"/>
                <w:szCs w:val="24"/>
                <w:highlight w:val="none"/>
                <w:lang w:val="en-US" w:eastAsia="zh-CN"/>
              </w:rPr>
              <w:t>5</w:t>
            </w:r>
            <w:r>
              <w:rPr>
                <w:rFonts w:hint="eastAsia" w:ascii="宋体" w:hAnsi="宋体" w:eastAsia="宋体" w:cs="宋体"/>
                <w:b w:val="0"/>
                <w:bCs w:val="0"/>
                <w:snapToGrid w:val="0"/>
                <w:kern w:val="2"/>
                <w:sz w:val="24"/>
                <w:szCs w:val="24"/>
                <w:highlight w:val="none"/>
                <w:lang w:val="en-US" w:eastAsia="zh-CN"/>
              </w:rPr>
              <w:t>分）</w:t>
            </w:r>
          </w:p>
        </w:tc>
        <w:tc>
          <w:tcPr>
            <w:tcW w:w="3702" w:type="pct"/>
            <w:tcBorders>
              <w:top w:val="single" w:color="000000" w:sz="6" w:space="0"/>
              <w:left w:val="single" w:color="000000" w:sz="6" w:space="0"/>
              <w:bottom w:val="single" w:color="000000" w:sz="6" w:space="0"/>
              <w:right w:val="single" w:color="000000" w:sz="12" w:space="0"/>
            </w:tcBorders>
            <w:vAlign w:val="center"/>
          </w:tcPr>
          <w:p w14:paraId="51384574">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对安装调试方案是否详尽、科学、合理，安装施工组织管理是否完整，人员配备，现场安装的安全保证措施是否合理、齐全；设备安装进度保证及措施；安装所用机械和测试设备是否适当、齐全进行综合评定。</w:t>
            </w:r>
          </w:p>
          <w:p w14:paraId="45224B85">
            <w:pPr>
              <w:spacing w:line="360" w:lineRule="auto"/>
              <w:jc w:val="left"/>
              <w:rPr>
                <w:rFonts w:ascii="宋体" w:hAnsi="宋体" w:cs="宋体"/>
                <w:sz w:val="24"/>
                <w:szCs w:val="24"/>
                <w:highlight w:val="none"/>
              </w:rPr>
            </w:pPr>
            <w:r>
              <w:rPr>
                <w:rFonts w:hint="eastAsia" w:ascii="宋体" w:hAnsi="宋体" w:cs="宋体"/>
                <w:sz w:val="24"/>
                <w:szCs w:val="24"/>
                <w:highlight w:val="none"/>
              </w:rPr>
              <w:t>供应商有针对于本项目提供的</w:t>
            </w: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宋体"/>
                <w:sz w:val="24"/>
                <w:szCs w:val="24"/>
                <w:highlight w:val="none"/>
              </w:rPr>
              <w:t>，方案</w:t>
            </w:r>
            <w:r>
              <w:rPr>
                <w:rFonts w:hint="eastAsia" w:ascii="宋体" w:hAnsi="宋体" w:cs="仿宋"/>
                <w:sz w:val="24"/>
                <w:szCs w:val="24"/>
                <w:highlight w:val="none"/>
              </w:rPr>
              <w:t>便于实施、科学、合理、可行</w:t>
            </w:r>
            <w:r>
              <w:rPr>
                <w:rFonts w:hint="eastAsia" w:ascii="宋体" w:hAnsi="宋体" w:cs="宋体"/>
                <w:sz w:val="24"/>
                <w:szCs w:val="24"/>
                <w:highlight w:val="none"/>
              </w:rPr>
              <w:t>；</w:t>
            </w:r>
            <w:r>
              <w:rPr>
                <w:rFonts w:hint="eastAsia" w:ascii="宋体" w:hAnsi="宋体" w:eastAsia="宋体" w:cs="宋体"/>
                <w:b w:val="0"/>
                <w:bCs w:val="0"/>
                <w:snapToGrid w:val="0"/>
                <w:kern w:val="2"/>
                <w:sz w:val="24"/>
                <w:szCs w:val="24"/>
                <w:highlight w:val="none"/>
                <w:lang w:val="en-US" w:eastAsia="zh-CN"/>
              </w:rPr>
              <w:t>安全保证措施</w:t>
            </w:r>
            <w:r>
              <w:rPr>
                <w:rFonts w:hint="eastAsia" w:ascii="宋体" w:hAnsi="宋体" w:cs="宋体"/>
                <w:b w:val="0"/>
                <w:bCs w:val="0"/>
                <w:snapToGrid w:val="0"/>
                <w:kern w:val="2"/>
                <w:sz w:val="24"/>
                <w:szCs w:val="24"/>
                <w:highlight w:val="none"/>
                <w:lang w:val="en-US" w:eastAsia="zh-CN"/>
              </w:rPr>
              <w:t>、</w:t>
            </w:r>
            <w:r>
              <w:rPr>
                <w:rFonts w:hint="eastAsia" w:ascii="宋体" w:hAnsi="宋体" w:eastAsia="宋体" w:cs="宋体"/>
                <w:b w:val="0"/>
                <w:bCs w:val="0"/>
                <w:snapToGrid w:val="0"/>
                <w:kern w:val="2"/>
                <w:sz w:val="24"/>
                <w:szCs w:val="24"/>
                <w:highlight w:val="none"/>
                <w:lang w:val="en-US" w:eastAsia="zh-CN"/>
              </w:rPr>
              <w:t>设备安装进度保证</w:t>
            </w:r>
            <w:r>
              <w:rPr>
                <w:rFonts w:hint="eastAsia" w:ascii="宋体" w:hAnsi="宋体" w:cs="宋体"/>
                <w:b w:val="0"/>
                <w:bCs w:val="0"/>
                <w:snapToGrid w:val="0"/>
                <w:kern w:val="2"/>
                <w:sz w:val="24"/>
                <w:szCs w:val="24"/>
                <w:highlight w:val="none"/>
                <w:lang w:val="en-US" w:eastAsia="zh-CN"/>
              </w:rPr>
              <w:t>及</w:t>
            </w:r>
            <w:r>
              <w:rPr>
                <w:rFonts w:hint="eastAsia" w:ascii="宋体" w:hAnsi="宋体" w:eastAsia="宋体" w:cs="宋体"/>
                <w:b w:val="0"/>
                <w:bCs w:val="0"/>
                <w:snapToGrid w:val="0"/>
                <w:kern w:val="2"/>
                <w:sz w:val="24"/>
                <w:szCs w:val="24"/>
                <w:highlight w:val="none"/>
                <w:lang w:val="en-US" w:eastAsia="zh-CN"/>
              </w:rPr>
              <w:t>措施合理、齐全</w:t>
            </w:r>
            <w:r>
              <w:rPr>
                <w:rFonts w:hint="eastAsia" w:ascii="宋体" w:hAnsi="宋体" w:cs="仿宋"/>
                <w:sz w:val="24"/>
                <w:szCs w:val="24"/>
                <w:highlight w:val="none"/>
              </w:rPr>
              <w:t>，</w:t>
            </w:r>
            <w:r>
              <w:rPr>
                <w:rFonts w:hint="eastAsia" w:ascii="宋体" w:hAnsi="宋体" w:eastAsia="宋体" w:cs="宋体"/>
                <w:b w:val="0"/>
                <w:bCs w:val="0"/>
                <w:snapToGrid w:val="0"/>
                <w:kern w:val="2"/>
                <w:sz w:val="24"/>
                <w:szCs w:val="24"/>
                <w:highlight w:val="none"/>
                <w:lang w:val="en-US" w:eastAsia="zh-CN"/>
              </w:rPr>
              <w:t>安装所用机械和测试设备齐全</w:t>
            </w:r>
            <w:r>
              <w:rPr>
                <w:rFonts w:hint="eastAsia" w:ascii="宋体" w:hAnsi="宋体" w:cs="仿宋"/>
                <w:sz w:val="24"/>
                <w:szCs w:val="24"/>
                <w:highlight w:val="none"/>
              </w:rPr>
              <w:t>，得</w:t>
            </w:r>
            <w:r>
              <w:rPr>
                <w:rFonts w:hint="eastAsia" w:ascii="宋体" w:hAnsi="宋体" w:cs="仿宋"/>
                <w:sz w:val="24"/>
                <w:szCs w:val="24"/>
                <w:highlight w:val="none"/>
                <w:lang w:val="en-US" w:eastAsia="zh-CN"/>
              </w:rPr>
              <w:t>5</w:t>
            </w:r>
            <w:r>
              <w:rPr>
                <w:rFonts w:hint="eastAsia" w:ascii="宋体" w:hAnsi="宋体" w:cs="仿宋"/>
                <w:sz w:val="24"/>
                <w:szCs w:val="24"/>
                <w:highlight w:val="none"/>
              </w:rPr>
              <w:t>分；</w:t>
            </w:r>
          </w:p>
          <w:p w14:paraId="58B77A8D">
            <w:pPr>
              <w:spacing w:line="360" w:lineRule="auto"/>
              <w:jc w:val="left"/>
              <w:rPr>
                <w:rFonts w:ascii="宋体" w:hAnsi="宋体" w:cs="宋体"/>
                <w:sz w:val="24"/>
                <w:szCs w:val="24"/>
                <w:highlight w:val="none"/>
              </w:rPr>
            </w:pPr>
            <w:r>
              <w:rPr>
                <w:rFonts w:hint="eastAsia" w:ascii="宋体" w:hAnsi="宋体" w:cs="宋体"/>
                <w:sz w:val="24"/>
                <w:szCs w:val="24"/>
                <w:highlight w:val="none"/>
              </w:rPr>
              <w:t>供应商有针对于本项目提供的</w:t>
            </w: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宋体"/>
                <w:sz w:val="24"/>
                <w:szCs w:val="24"/>
                <w:highlight w:val="none"/>
              </w:rPr>
              <w:t>，方案</w:t>
            </w:r>
            <w:r>
              <w:rPr>
                <w:rFonts w:hint="eastAsia" w:ascii="宋体" w:hAnsi="宋体" w:cs="仿宋"/>
                <w:sz w:val="24"/>
                <w:szCs w:val="24"/>
                <w:highlight w:val="none"/>
              </w:rPr>
              <w:t>便于实施</w:t>
            </w:r>
            <w:r>
              <w:rPr>
                <w:rFonts w:hint="eastAsia" w:ascii="宋体" w:hAnsi="宋体" w:cs="宋体"/>
                <w:sz w:val="24"/>
                <w:szCs w:val="24"/>
                <w:highlight w:val="none"/>
              </w:rPr>
              <w:t>；</w:t>
            </w:r>
            <w:r>
              <w:rPr>
                <w:rFonts w:hint="eastAsia" w:ascii="宋体" w:hAnsi="宋体" w:eastAsia="宋体" w:cs="宋体"/>
                <w:b w:val="0"/>
                <w:bCs w:val="0"/>
                <w:snapToGrid w:val="0"/>
                <w:kern w:val="2"/>
                <w:sz w:val="24"/>
                <w:szCs w:val="24"/>
                <w:highlight w:val="none"/>
                <w:lang w:val="en-US" w:eastAsia="zh-CN"/>
              </w:rPr>
              <w:t>安全保证措施</w:t>
            </w:r>
            <w:r>
              <w:rPr>
                <w:rFonts w:hint="eastAsia" w:ascii="宋体" w:hAnsi="宋体" w:cs="宋体"/>
                <w:b w:val="0"/>
                <w:bCs w:val="0"/>
                <w:snapToGrid w:val="0"/>
                <w:kern w:val="2"/>
                <w:sz w:val="24"/>
                <w:szCs w:val="24"/>
                <w:highlight w:val="none"/>
                <w:lang w:val="en-US" w:eastAsia="zh-CN"/>
              </w:rPr>
              <w:t>、</w:t>
            </w:r>
            <w:r>
              <w:rPr>
                <w:rFonts w:hint="eastAsia" w:ascii="宋体" w:hAnsi="宋体" w:eastAsia="宋体" w:cs="宋体"/>
                <w:b w:val="0"/>
                <w:bCs w:val="0"/>
                <w:snapToGrid w:val="0"/>
                <w:kern w:val="2"/>
                <w:sz w:val="24"/>
                <w:szCs w:val="24"/>
                <w:highlight w:val="none"/>
                <w:lang w:val="en-US" w:eastAsia="zh-CN"/>
              </w:rPr>
              <w:t>设备安装进度保证</w:t>
            </w:r>
            <w:r>
              <w:rPr>
                <w:rFonts w:hint="eastAsia" w:ascii="宋体" w:hAnsi="宋体" w:cs="宋体"/>
                <w:b w:val="0"/>
                <w:bCs w:val="0"/>
                <w:snapToGrid w:val="0"/>
                <w:kern w:val="2"/>
                <w:sz w:val="24"/>
                <w:szCs w:val="24"/>
                <w:highlight w:val="none"/>
                <w:lang w:val="en-US" w:eastAsia="zh-CN"/>
              </w:rPr>
              <w:t>及</w:t>
            </w:r>
            <w:r>
              <w:rPr>
                <w:rFonts w:hint="eastAsia" w:ascii="宋体" w:hAnsi="宋体" w:eastAsia="宋体" w:cs="宋体"/>
                <w:b w:val="0"/>
                <w:bCs w:val="0"/>
                <w:snapToGrid w:val="0"/>
                <w:kern w:val="2"/>
                <w:sz w:val="24"/>
                <w:szCs w:val="24"/>
                <w:highlight w:val="none"/>
                <w:lang w:val="en-US" w:eastAsia="zh-CN"/>
              </w:rPr>
              <w:t>措施</w:t>
            </w:r>
            <w:r>
              <w:rPr>
                <w:rFonts w:hint="eastAsia" w:ascii="宋体" w:hAnsi="宋体" w:cs="仿宋"/>
                <w:sz w:val="24"/>
                <w:szCs w:val="24"/>
                <w:highlight w:val="none"/>
              </w:rPr>
              <w:t>，完善程度不高，得</w:t>
            </w:r>
            <w:r>
              <w:rPr>
                <w:rFonts w:hint="eastAsia" w:ascii="宋体" w:hAnsi="宋体" w:cs="仿宋"/>
                <w:sz w:val="24"/>
                <w:szCs w:val="24"/>
                <w:highlight w:val="none"/>
                <w:lang w:val="en-US" w:eastAsia="zh-CN"/>
              </w:rPr>
              <w:t>3</w:t>
            </w:r>
            <w:r>
              <w:rPr>
                <w:rFonts w:hint="eastAsia" w:ascii="宋体" w:hAnsi="宋体" w:cs="仿宋"/>
                <w:sz w:val="24"/>
                <w:szCs w:val="24"/>
                <w:highlight w:val="none"/>
              </w:rPr>
              <w:t>分；</w:t>
            </w:r>
          </w:p>
          <w:p w14:paraId="76D3BD1B">
            <w:pPr>
              <w:spacing w:line="360" w:lineRule="auto"/>
              <w:jc w:val="left"/>
              <w:rPr>
                <w:rFonts w:ascii="宋体" w:hAnsi="宋体" w:cs="仿宋"/>
                <w:sz w:val="24"/>
                <w:szCs w:val="24"/>
                <w:highlight w:val="none"/>
              </w:rPr>
            </w:pPr>
            <w:r>
              <w:rPr>
                <w:rFonts w:hint="eastAsia" w:ascii="宋体" w:hAnsi="宋体" w:cs="宋体"/>
                <w:sz w:val="24"/>
                <w:szCs w:val="24"/>
                <w:highlight w:val="none"/>
              </w:rPr>
              <w:t>供应商提供的</w:t>
            </w: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仿宋"/>
                <w:sz w:val="24"/>
                <w:szCs w:val="24"/>
                <w:highlight w:val="none"/>
              </w:rPr>
              <w:t>合理性一般，不便于实施，完善程度一般，不够详尽的，得</w:t>
            </w:r>
            <w:r>
              <w:rPr>
                <w:rFonts w:hint="eastAsia" w:ascii="宋体" w:hAnsi="宋体" w:cs="仿宋"/>
                <w:sz w:val="24"/>
                <w:szCs w:val="24"/>
                <w:highlight w:val="none"/>
                <w:lang w:val="en-US" w:eastAsia="zh-CN"/>
              </w:rPr>
              <w:t>1</w:t>
            </w:r>
            <w:r>
              <w:rPr>
                <w:rFonts w:hint="eastAsia" w:ascii="宋体" w:hAnsi="宋体" w:cs="仿宋"/>
                <w:sz w:val="24"/>
                <w:szCs w:val="24"/>
                <w:highlight w:val="none"/>
              </w:rPr>
              <w:t>分。</w:t>
            </w:r>
          </w:p>
          <w:p w14:paraId="5804A149">
            <w:pPr>
              <w:pStyle w:val="23"/>
              <w:spacing w:line="360" w:lineRule="auto"/>
              <w:ind w:left="0" w:leftChars="0" w:firstLine="0" w:firstLineChars="0"/>
              <w:rPr>
                <w:rFonts w:hint="eastAsia" w:eastAsia="Arial Unicode MS"/>
                <w:sz w:val="24"/>
                <w:szCs w:val="24"/>
                <w:lang w:val="en-US" w:eastAsia="zh-CN"/>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没有提供上述内容，或提供的不完整有缺项的得0 分</w:t>
            </w:r>
            <w:r>
              <w:rPr>
                <w:rFonts w:hint="eastAsia" w:ascii="宋体" w:hAnsi="宋体" w:cs="宋体"/>
                <w:sz w:val="24"/>
                <w:szCs w:val="24"/>
                <w:highlight w:val="none"/>
                <w:lang w:eastAsia="zh-CN"/>
              </w:rPr>
              <w:t>。</w:t>
            </w:r>
          </w:p>
        </w:tc>
      </w:tr>
      <w:tr w14:paraId="08553878">
        <w:tblPrEx>
          <w:tblCellMar>
            <w:top w:w="0" w:type="dxa"/>
            <w:left w:w="108" w:type="dxa"/>
            <w:bottom w:w="0" w:type="dxa"/>
            <w:right w:w="108" w:type="dxa"/>
          </w:tblCellMar>
        </w:tblPrEx>
        <w:trPr>
          <w:trHeight w:val="605" w:hRule="atLeast"/>
          <w:jc w:val="center"/>
        </w:trPr>
        <w:tc>
          <w:tcPr>
            <w:tcW w:w="638" w:type="pct"/>
            <w:vMerge w:val="continue"/>
            <w:tcBorders>
              <w:left w:val="single" w:color="000000" w:sz="4" w:space="0"/>
              <w:right w:val="single" w:color="000000" w:sz="6" w:space="0"/>
            </w:tcBorders>
            <w:vAlign w:val="center"/>
          </w:tcPr>
          <w:p w14:paraId="26B0C51C">
            <w:pPr>
              <w:spacing w:line="360" w:lineRule="auto"/>
              <w:jc w:val="center"/>
              <w:rPr>
                <w:rFonts w:hint="eastAsia" w:ascii="宋体" w:hAnsi="宋体" w:eastAsia="宋体" w:cs="宋体"/>
                <w:kern w:val="1"/>
                <w:sz w:val="24"/>
                <w:szCs w:val="24"/>
                <w:highlight w:val="none"/>
              </w:rPr>
            </w:pPr>
          </w:p>
        </w:tc>
        <w:tc>
          <w:tcPr>
            <w:tcW w:w="659" w:type="pct"/>
            <w:tcBorders>
              <w:top w:val="single" w:color="000000" w:sz="6" w:space="0"/>
              <w:left w:val="single" w:color="000000" w:sz="4" w:space="0"/>
              <w:bottom w:val="single" w:color="000000" w:sz="6" w:space="0"/>
              <w:right w:val="single" w:color="000000" w:sz="6" w:space="0"/>
            </w:tcBorders>
            <w:vAlign w:val="center"/>
          </w:tcPr>
          <w:p w14:paraId="094CC1B5">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人员及培训方案</w:t>
            </w:r>
          </w:p>
          <w:p w14:paraId="5AF61753">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yellow"/>
                <w:lang w:eastAsia="zh-CN"/>
              </w:rPr>
            </w:pPr>
            <w:r>
              <w:rPr>
                <w:rFonts w:hint="eastAsia" w:ascii="宋体" w:hAnsi="宋体" w:eastAsia="宋体" w:cs="宋体"/>
                <w:b w:val="0"/>
                <w:bCs w:val="0"/>
                <w:snapToGrid w:val="0"/>
                <w:kern w:val="2"/>
                <w:sz w:val="24"/>
                <w:szCs w:val="24"/>
                <w:highlight w:val="none"/>
                <w:lang w:val="en-US" w:eastAsia="zh-CN"/>
              </w:rPr>
              <w:t>（</w:t>
            </w:r>
            <w:r>
              <w:rPr>
                <w:rFonts w:hint="eastAsia" w:ascii="宋体" w:hAnsi="宋体" w:cs="宋体"/>
                <w:b w:val="0"/>
                <w:bCs w:val="0"/>
                <w:snapToGrid w:val="0"/>
                <w:kern w:val="2"/>
                <w:sz w:val="24"/>
                <w:szCs w:val="24"/>
                <w:highlight w:val="none"/>
                <w:lang w:val="en-US" w:eastAsia="zh-CN"/>
              </w:rPr>
              <w:t>5</w:t>
            </w:r>
            <w:r>
              <w:rPr>
                <w:rFonts w:hint="eastAsia" w:ascii="宋体" w:hAnsi="宋体" w:eastAsia="宋体" w:cs="宋体"/>
                <w:b w:val="0"/>
                <w:bCs w:val="0"/>
                <w:snapToGrid w:val="0"/>
                <w:kern w:val="2"/>
                <w:sz w:val="24"/>
                <w:szCs w:val="24"/>
                <w:highlight w:val="none"/>
                <w:lang w:val="en-US" w:eastAsia="zh-CN"/>
              </w:rPr>
              <w:t>分）</w:t>
            </w:r>
          </w:p>
        </w:tc>
        <w:tc>
          <w:tcPr>
            <w:tcW w:w="3702" w:type="pct"/>
            <w:tcBorders>
              <w:top w:val="single" w:color="000000" w:sz="6" w:space="0"/>
              <w:left w:val="single" w:color="000000" w:sz="6" w:space="0"/>
              <w:bottom w:val="single" w:color="000000" w:sz="6" w:space="0"/>
              <w:right w:val="single" w:color="000000" w:sz="12" w:space="0"/>
            </w:tcBorders>
            <w:vAlign w:val="center"/>
          </w:tcPr>
          <w:p w14:paraId="209C4843">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能够提供详细、科学的培训方案，人员安排合理，管理机构健全，培训方案得当。</w:t>
            </w:r>
          </w:p>
          <w:p w14:paraId="024E8478">
            <w:pPr>
              <w:spacing w:line="360" w:lineRule="auto"/>
              <w:jc w:val="left"/>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便于实施、具有针对性、完善程度高得</w:t>
            </w:r>
            <w:r>
              <w:rPr>
                <w:rFonts w:hint="eastAsia" w:ascii="宋体" w:hAnsi="宋体" w:cs="仿宋"/>
                <w:sz w:val="24"/>
                <w:szCs w:val="24"/>
                <w:highlight w:val="none"/>
                <w:lang w:val="en-US" w:eastAsia="zh-CN"/>
              </w:rPr>
              <w:t>5</w:t>
            </w:r>
            <w:r>
              <w:rPr>
                <w:rFonts w:hint="eastAsia" w:ascii="宋体" w:hAnsi="宋体" w:cs="仿宋"/>
                <w:sz w:val="24"/>
                <w:szCs w:val="24"/>
                <w:highlight w:val="none"/>
              </w:rPr>
              <w:t>分；</w:t>
            </w:r>
          </w:p>
          <w:p w14:paraId="12810BA5">
            <w:pPr>
              <w:spacing w:line="360" w:lineRule="auto"/>
              <w:jc w:val="left"/>
              <w:rPr>
                <w:rFonts w:ascii="宋体" w:hAnsi="宋体" w:cs="仿宋"/>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合理便于实施、但完善程度一般不够详尽的得</w:t>
            </w:r>
            <w:r>
              <w:rPr>
                <w:rFonts w:hint="eastAsia" w:ascii="宋体" w:hAnsi="宋体" w:cs="仿宋"/>
                <w:sz w:val="24"/>
                <w:szCs w:val="24"/>
                <w:highlight w:val="none"/>
                <w:lang w:val="en-US" w:eastAsia="zh-CN"/>
              </w:rPr>
              <w:t>3</w:t>
            </w:r>
            <w:r>
              <w:rPr>
                <w:rFonts w:hint="eastAsia" w:ascii="宋体" w:hAnsi="宋体" w:cs="仿宋"/>
                <w:sz w:val="24"/>
                <w:szCs w:val="24"/>
                <w:highlight w:val="none"/>
              </w:rPr>
              <w:t xml:space="preserve"> 分；</w:t>
            </w:r>
          </w:p>
          <w:p w14:paraId="07B18E3E">
            <w:pPr>
              <w:spacing w:line="360" w:lineRule="auto"/>
              <w:jc w:val="left"/>
              <w:rPr>
                <w:rFonts w:ascii="宋体" w:hAnsi="宋体" w:cs="仿宋"/>
                <w:sz w:val="24"/>
                <w:szCs w:val="24"/>
                <w:highlight w:val="none"/>
              </w:rPr>
            </w:pPr>
            <w:r>
              <w:rPr>
                <w:rFonts w:hint="eastAsia" w:ascii="宋体" w:hAnsi="宋体" w:cs="仿宋"/>
                <w:sz w:val="24"/>
                <w:szCs w:val="24"/>
                <w:highlight w:val="none"/>
                <w:lang w:eastAsia="zh-CN"/>
              </w:rPr>
              <w:t>供应商</w:t>
            </w:r>
            <w:r>
              <w:rPr>
                <w:rFonts w:hint="eastAsia" w:ascii="宋体" w:hAnsi="宋体" w:cs="仿宋"/>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合理性一般，不便于实施，完善程度一般不够详尽的得</w:t>
            </w:r>
            <w:r>
              <w:rPr>
                <w:rFonts w:hint="eastAsia" w:ascii="宋体" w:hAnsi="宋体" w:cs="仿宋"/>
                <w:sz w:val="24"/>
                <w:szCs w:val="24"/>
                <w:highlight w:val="none"/>
                <w:lang w:val="en-US" w:eastAsia="zh-CN"/>
              </w:rPr>
              <w:t>1</w:t>
            </w:r>
            <w:r>
              <w:rPr>
                <w:rFonts w:hint="eastAsia" w:ascii="宋体" w:hAnsi="宋体" w:cs="仿宋"/>
                <w:sz w:val="24"/>
                <w:szCs w:val="24"/>
                <w:highlight w:val="none"/>
              </w:rPr>
              <w:t>分。</w:t>
            </w:r>
          </w:p>
          <w:p w14:paraId="0A4FCC96">
            <w:pPr>
              <w:pStyle w:val="23"/>
              <w:spacing w:line="360" w:lineRule="auto"/>
              <w:ind w:left="0" w:leftChars="0" w:firstLine="0" w:firstLineChars="0"/>
              <w:rPr>
                <w:rFonts w:hint="eastAsia" w:eastAsia="Arial Unicode MS"/>
                <w:sz w:val="24"/>
                <w:szCs w:val="24"/>
                <w:lang w:val="en-US" w:eastAsia="zh-CN"/>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没有提供上述内容，或提供的不完整有缺项的得0 分</w:t>
            </w:r>
            <w:r>
              <w:rPr>
                <w:rFonts w:hint="eastAsia" w:ascii="宋体" w:hAnsi="宋体" w:cs="宋体"/>
                <w:sz w:val="24"/>
                <w:szCs w:val="24"/>
                <w:highlight w:val="none"/>
                <w:lang w:eastAsia="zh-CN"/>
              </w:rPr>
              <w:t>。</w:t>
            </w:r>
          </w:p>
        </w:tc>
      </w:tr>
      <w:tr w14:paraId="1062B80A">
        <w:tblPrEx>
          <w:tblCellMar>
            <w:top w:w="0" w:type="dxa"/>
            <w:left w:w="108" w:type="dxa"/>
            <w:bottom w:w="0" w:type="dxa"/>
            <w:right w:w="108" w:type="dxa"/>
          </w:tblCellMar>
        </w:tblPrEx>
        <w:trPr>
          <w:trHeight w:val="90" w:hRule="atLeast"/>
          <w:jc w:val="center"/>
        </w:trPr>
        <w:tc>
          <w:tcPr>
            <w:tcW w:w="638" w:type="pct"/>
            <w:vMerge w:val="continue"/>
            <w:tcBorders>
              <w:left w:val="single" w:color="000000" w:sz="4" w:space="0"/>
              <w:bottom w:val="single" w:color="000000" w:sz="6" w:space="0"/>
              <w:right w:val="single" w:color="000000" w:sz="6" w:space="0"/>
            </w:tcBorders>
            <w:vAlign w:val="center"/>
          </w:tcPr>
          <w:p w14:paraId="1CC83A02">
            <w:pPr>
              <w:spacing w:line="360" w:lineRule="auto"/>
              <w:jc w:val="center"/>
              <w:rPr>
                <w:rFonts w:hint="eastAsia" w:ascii="宋体" w:hAnsi="宋体" w:eastAsia="宋体" w:cs="宋体"/>
                <w:kern w:val="1"/>
                <w:sz w:val="24"/>
                <w:szCs w:val="24"/>
                <w:highlight w:val="none"/>
              </w:rPr>
            </w:pPr>
          </w:p>
        </w:tc>
        <w:tc>
          <w:tcPr>
            <w:tcW w:w="659" w:type="pct"/>
            <w:tcBorders>
              <w:top w:val="single" w:color="000000" w:sz="6" w:space="0"/>
              <w:left w:val="single" w:color="000000" w:sz="4" w:space="0"/>
              <w:bottom w:val="single" w:color="000000" w:sz="6" w:space="0"/>
              <w:right w:val="single" w:color="000000" w:sz="6" w:space="0"/>
            </w:tcBorders>
            <w:vAlign w:val="center"/>
          </w:tcPr>
          <w:p w14:paraId="502FA5D1">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工作进度的安排</w:t>
            </w:r>
          </w:p>
          <w:p w14:paraId="35CE15B3">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yellow"/>
                <w:lang w:eastAsia="zh-CN"/>
              </w:rPr>
            </w:pPr>
            <w:r>
              <w:rPr>
                <w:rFonts w:hint="eastAsia" w:ascii="宋体" w:hAnsi="宋体" w:eastAsia="宋体" w:cs="宋体"/>
                <w:b w:val="0"/>
                <w:bCs w:val="0"/>
                <w:snapToGrid w:val="0"/>
                <w:kern w:val="2"/>
                <w:sz w:val="24"/>
                <w:szCs w:val="24"/>
                <w:highlight w:val="none"/>
                <w:lang w:val="en-US" w:eastAsia="zh-CN"/>
              </w:rPr>
              <w:t>（</w:t>
            </w:r>
            <w:r>
              <w:rPr>
                <w:rFonts w:hint="eastAsia" w:ascii="宋体" w:hAnsi="宋体" w:cs="宋体"/>
                <w:b w:val="0"/>
                <w:bCs w:val="0"/>
                <w:snapToGrid w:val="0"/>
                <w:kern w:val="2"/>
                <w:sz w:val="24"/>
                <w:szCs w:val="24"/>
                <w:highlight w:val="none"/>
                <w:lang w:val="en-US" w:eastAsia="zh-CN"/>
              </w:rPr>
              <w:t>5</w:t>
            </w:r>
            <w:r>
              <w:rPr>
                <w:rFonts w:hint="eastAsia" w:ascii="宋体" w:hAnsi="宋体" w:eastAsia="宋体" w:cs="宋体"/>
                <w:b w:val="0"/>
                <w:bCs w:val="0"/>
                <w:snapToGrid w:val="0"/>
                <w:kern w:val="2"/>
                <w:sz w:val="24"/>
                <w:szCs w:val="24"/>
                <w:highlight w:val="none"/>
                <w:lang w:val="en-US" w:eastAsia="zh-CN"/>
              </w:rPr>
              <w:t>分）</w:t>
            </w:r>
          </w:p>
        </w:tc>
        <w:tc>
          <w:tcPr>
            <w:tcW w:w="3702" w:type="pct"/>
            <w:tcBorders>
              <w:top w:val="single" w:color="000000" w:sz="6" w:space="0"/>
              <w:left w:val="single" w:color="000000" w:sz="6" w:space="0"/>
              <w:bottom w:val="single" w:color="000000" w:sz="6" w:space="0"/>
              <w:right w:val="single" w:color="000000" w:sz="12" w:space="0"/>
            </w:tcBorders>
            <w:vAlign w:val="center"/>
          </w:tcPr>
          <w:p w14:paraId="0A70B0E1">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根据工作进度安排的具体性、合理性、可行性进行比较打分。</w:t>
            </w:r>
          </w:p>
          <w:p w14:paraId="41615828">
            <w:pPr>
              <w:spacing w:line="360" w:lineRule="auto"/>
              <w:jc w:val="left"/>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w:t>
            </w:r>
            <w:r>
              <w:rPr>
                <w:rFonts w:hint="eastAsia" w:ascii="宋体" w:hAnsi="宋体" w:eastAsia="宋体" w:cs="宋体"/>
                <w:b w:val="0"/>
                <w:bCs w:val="0"/>
                <w:snapToGrid w:val="0"/>
                <w:kern w:val="2"/>
                <w:sz w:val="24"/>
                <w:szCs w:val="24"/>
                <w:highlight w:val="none"/>
                <w:lang w:val="en-US" w:eastAsia="zh-CN"/>
              </w:rPr>
              <w:t>工作进度的安排</w:t>
            </w:r>
            <w:r>
              <w:rPr>
                <w:rFonts w:hint="eastAsia" w:ascii="宋体" w:hAnsi="宋体" w:cs="仿宋"/>
                <w:sz w:val="24"/>
                <w:szCs w:val="24"/>
                <w:highlight w:val="none"/>
              </w:rPr>
              <w:t>便于实施、具有针对性、完善程度高得</w:t>
            </w:r>
            <w:r>
              <w:rPr>
                <w:rFonts w:hint="eastAsia" w:ascii="宋体" w:hAnsi="宋体" w:cs="仿宋"/>
                <w:sz w:val="24"/>
                <w:szCs w:val="24"/>
                <w:highlight w:val="none"/>
                <w:lang w:val="en-US" w:eastAsia="zh-CN"/>
              </w:rPr>
              <w:t>5</w:t>
            </w:r>
            <w:r>
              <w:rPr>
                <w:rFonts w:hint="eastAsia" w:ascii="宋体" w:hAnsi="宋体" w:cs="仿宋"/>
                <w:sz w:val="24"/>
                <w:szCs w:val="24"/>
                <w:highlight w:val="none"/>
              </w:rPr>
              <w:t>分；</w:t>
            </w:r>
          </w:p>
          <w:p w14:paraId="17574BF4">
            <w:pPr>
              <w:spacing w:line="360" w:lineRule="auto"/>
              <w:jc w:val="left"/>
              <w:rPr>
                <w:rFonts w:ascii="宋体" w:hAnsi="宋体" w:cs="仿宋"/>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w:t>
            </w:r>
            <w:r>
              <w:rPr>
                <w:rFonts w:hint="eastAsia" w:ascii="宋体" w:hAnsi="宋体" w:eastAsia="宋体" w:cs="宋体"/>
                <w:b w:val="0"/>
                <w:bCs w:val="0"/>
                <w:snapToGrid w:val="0"/>
                <w:kern w:val="2"/>
                <w:sz w:val="24"/>
                <w:szCs w:val="24"/>
                <w:highlight w:val="none"/>
                <w:lang w:val="en-US" w:eastAsia="zh-CN"/>
              </w:rPr>
              <w:t>工作进度的安排</w:t>
            </w:r>
            <w:r>
              <w:rPr>
                <w:rFonts w:hint="eastAsia" w:ascii="宋体" w:hAnsi="宋体" w:cs="仿宋"/>
                <w:sz w:val="24"/>
                <w:szCs w:val="24"/>
                <w:highlight w:val="none"/>
              </w:rPr>
              <w:t>合理便于实施、但完善程度一般不够详尽的得</w:t>
            </w:r>
            <w:r>
              <w:rPr>
                <w:rFonts w:hint="eastAsia" w:ascii="宋体" w:hAnsi="宋体" w:cs="仿宋"/>
                <w:sz w:val="24"/>
                <w:szCs w:val="24"/>
                <w:highlight w:val="none"/>
                <w:lang w:val="en-US" w:eastAsia="zh-CN"/>
              </w:rPr>
              <w:t>3</w:t>
            </w:r>
            <w:r>
              <w:rPr>
                <w:rFonts w:hint="eastAsia" w:ascii="宋体" w:hAnsi="宋体" w:cs="仿宋"/>
                <w:sz w:val="24"/>
                <w:szCs w:val="24"/>
                <w:highlight w:val="none"/>
              </w:rPr>
              <w:t xml:space="preserve"> 分；</w:t>
            </w:r>
          </w:p>
          <w:p w14:paraId="5EE62159">
            <w:pPr>
              <w:spacing w:line="360" w:lineRule="auto"/>
              <w:jc w:val="left"/>
              <w:rPr>
                <w:rFonts w:ascii="宋体" w:hAnsi="宋体" w:cs="仿宋"/>
                <w:sz w:val="24"/>
                <w:szCs w:val="24"/>
                <w:highlight w:val="none"/>
              </w:rPr>
            </w:pPr>
            <w:r>
              <w:rPr>
                <w:rFonts w:hint="eastAsia" w:ascii="宋体" w:hAnsi="宋体" w:cs="仿宋"/>
                <w:sz w:val="24"/>
                <w:szCs w:val="24"/>
                <w:highlight w:val="none"/>
                <w:lang w:eastAsia="zh-CN"/>
              </w:rPr>
              <w:t>供应商</w:t>
            </w:r>
            <w:r>
              <w:rPr>
                <w:rFonts w:hint="eastAsia" w:ascii="宋体" w:hAnsi="宋体" w:cs="仿宋"/>
                <w:sz w:val="24"/>
                <w:szCs w:val="24"/>
                <w:highlight w:val="none"/>
              </w:rPr>
              <w:t>提供的</w:t>
            </w:r>
            <w:r>
              <w:rPr>
                <w:rFonts w:hint="eastAsia" w:ascii="宋体" w:hAnsi="宋体" w:eastAsia="宋体" w:cs="宋体"/>
                <w:b w:val="0"/>
                <w:bCs w:val="0"/>
                <w:snapToGrid w:val="0"/>
                <w:kern w:val="2"/>
                <w:sz w:val="24"/>
                <w:szCs w:val="24"/>
                <w:highlight w:val="none"/>
                <w:lang w:val="en-US" w:eastAsia="zh-CN"/>
              </w:rPr>
              <w:t>工作进度的安排</w:t>
            </w:r>
            <w:r>
              <w:rPr>
                <w:rFonts w:hint="eastAsia" w:ascii="宋体" w:hAnsi="宋体" w:cs="仿宋"/>
                <w:sz w:val="24"/>
                <w:szCs w:val="24"/>
                <w:highlight w:val="none"/>
              </w:rPr>
              <w:t>合理性一般，不便于实施，完善程度一般不够详尽的得</w:t>
            </w:r>
            <w:r>
              <w:rPr>
                <w:rFonts w:hint="eastAsia" w:ascii="宋体" w:hAnsi="宋体" w:cs="仿宋"/>
                <w:sz w:val="24"/>
                <w:szCs w:val="24"/>
                <w:highlight w:val="none"/>
                <w:lang w:val="en-US" w:eastAsia="zh-CN"/>
              </w:rPr>
              <w:t>1</w:t>
            </w:r>
            <w:r>
              <w:rPr>
                <w:rFonts w:hint="eastAsia" w:ascii="宋体" w:hAnsi="宋体" w:cs="仿宋"/>
                <w:sz w:val="24"/>
                <w:szCs w:val="24"/>
                <w:highlight w:val="none"/>
              </w:rPr>
              <w:t>分。</w:t>
            </w:r>
          </w:p>
          <w:p w14:paraId="05757411">
            <w:pPr>
              <w:pStyle w:val="23"/>
              <w:spacing w:line="360" w:lineRule="auto"/>
              <w:ind w:left="0" w:leftChars="0" w:firstLine="0" w:firstLineChars="0"/>
              <w:rPr>
                <w:rFonts w:hint="eastAsia" w:eastAsia="Arial Unicode MS"/>
                <w:sz w:val="24"/>
                <w:szCs w:val="24"/>
                <w:lang w:val="en-US" w:eastAsia="zh-CN"/>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没有提供上述内容，或提供的不完整有缺项的得0 分</w:t>
            </w:r>
            <w:r>
              <w:rPr>
                <w:rFonts w:hint="eastAsia" w:ascii="宋体" w:hAnsi="宋体" w:cs="宋体"/>
                <w:sz w:val="24"/>
                <w:szCs w:val="24"/>
                <w:highlight w:val="none"/>
                <w:lang w:eastAsia="zh-CN"/>
              </w:rPr>
              <w:t>。</w:t>
            </w:r>
          </w:p>
        </w:tc>
      </w:tr>
      <w:tr w14:paraId="75F94EA8">
        <w:tblPrEx>
          <w:tblCellMar>
            <w:top w:w="0" w:type="dxa"/>
            <w:left w:w="108" w:type="dxa"/>
            <w:bottom w:w="0" w:type="dxa"/>
            <w:right w:w="108" w:type="dxa"/>
          </w:tblCellMar>
        </w:tblPrEx>
        <w:trPr>
          <w:trHeight w:val="1767" w:hRule="atLeast"/>
          <w:jc w:val="center"/>
        </w:trPr>
        <w:tc>
          <w:tcPr>
            <w:tcW w:w="638" w:type="pct"/>
            <w:vMerge w:val="restart"/>
            <w:tcBorders>
              <w:top w:val="single" w:color="000000" w:sz="6" w:space="0"/>
              <w:left w:val="single" w:color="000000" w:sz="4" w:space="0"/>
              <w:right w:val="single" w:color="000000" w:sz="6" w:space="0"/>
            </w:tcBorders>
            <w:vAlign w:val="center"/>
          </w:tcPr>
          <w:p w14:paraId="707727F4">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00E8315C">
            <w:pPr>
              <w:numPr>
                <w:ilvl w:val="0"/>
                <w:numId w:val="0"/>
              </w:numPr>
              <w:spacing w:line="360" w:lineRule="auto"/>
              <w:ind w:left="0" w:leftChars="0" w:firstLine="0" w:firstLineChars="0"/>
              <w:jc w:val="center"/>
              <w:rPr>
                <w:rFonts w:hint="eastAsia" w:ascii="宋体" w:hAnsi="宋体" w:eastAsia="宋体" w:cs="宋体"/>
                <w:kern w:val="1"/>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59" w:type="pct"/>
            <w:tcBorders>
              <w:top w:val="single" w:color="000000" w:sz="6" w:space="0"/>
              <w:left w:val="single" w:color="000000" w:sz="4" w:space="0"/>
              <w:bottom w:val="single" w:color="000000" w:sz="6" w:space="0"/>
              <w:right w:val="single" w:color="000000" w:sz="6" w:space="0"/>
            </w:tcBorders>
            <w:vAlign w:val="center"/>
          </w:tcPr>
          <w:p w14:paraId="1FBFC4FE">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b w:val="0"/>
                <w:bCs w:val="0"/>
                <w:snapToGrid w:val="0"/>
                <w:kern w:val="2"/>
                <w:sz w:val="24"/>
                <w:szCs w:val="24"/>
                <w:highlight w:val="none"/>
                <w:lang w:val="en-US" w:eastAsia="zh-CN"/>
              </w:rPr>
            </w:pPr>
          </w:p>
          <w:p w14:paraId="341D6FD2">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同类项目业绩</w:t>
            </w:r>
          </w:p>
          <w:p w14:paraId="68243761">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w:t>
            </w:r>
            <w:r>
              <w:rPr>
                <w:rFonts w:hint="eastAsia" w:ascii="宋体" w:hAnsi="宋体" w:cs="宋体"/>
                <w:b w:val="0"/>
                <w:bCs w:val="0"/>
                <w:snapToGrid w:val="0"/>
                <w:kern w:val="2"/>
                <w:sz w:val="24"/>
                <w:szCs w:val="24"/>
                <w:highlight w:val="none"/>
                <w:lang w:val="en-US" w:eastAsia="zh-CN"/>
              </w:rPr>
              <w:t>6</w:t>
            </w:r>
            <w:r>
              <w:rPr>
                <w:rFonts w:hint="eastAsia" w:ascii="宋体" w:hAnsi="宋体" w:eastAsia="宋体" w:cs="宋体"/>
                <w:b w:val="0"/>
                <w:bCs w:val="0"/>
                <w:snapToGrid w:val="0"/>
                <w:kern w:val="2"/>
                <w:sz w:val="24"/>
                <w:szCs w:val="24"/>
                <w:highlight w:val="none"/>
                <w:lang w:val="en-US" w:eastAsia="zh-CN"/>
              </w:rPr>
              <w:t>分)</w:t>
            </w:r>
          </w:p>
          <w:p w14:paraId="2AF06A5E">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kern w:val="1"/>
                <w:sz w:val="24"/>
                <w:szCs w:val="24"/>
                <w:highlight w:val="yellow"/>
              </w:rPr>
            </w:pPr>
          </w:p>
        </w:tc>
        <w:tc>
          <w:tcPr>
            <w:tcW w:w="3702" w:type="pct"/>
            <w:tcBorders>
              <w:top w:val="single" w:color="000000" w:sz="6" w:space="0"/>
              <w:left w:val="single" w:color="000000" w:sz="6" w:space="0"/>
              <w:bottom w:val="single" w:color="000000" w:sz="6" w:space="0"/>
              <w:right w:val="single" w:color="000000" w:sz="12" w:space="0"/>
            </w:tcBorders>
            <w:vAlign w:val="center"/>
          </w:tcPr>
          <w:p w14:paraId="0610AF0C">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供应商自2022年1月1日以来（以合同签订时间为准）承担过同类或相关项目的，得</w:t>
            </w:r>
            <w:r>
              <w:rPr>
                <w:rFonts w:hint="eastAsia" w:ascii="宋体" w:hAnsi="宋体" w:cs="宋体"/>
                <w:b w:val="0"/>
                <w:bCs w:val="0"/>
                <w:snapToGrid w:val="0"/>
                <w:kern w:val="2"/>
                <w:sz w:val="24"/>
                <w:szCs w:val="24"/>
                <w:highlight w:val="none"/>
                <w:lang w:val="en-US" w:eastAsia="zh-CN"/>
              </w:rPr>
              <w:t>2</w:t>
            </w:r>
            <w:r>
              <w:rPr>
                <w:rFonts w:hint="eastAsia" w:ascii="宋体" w:hAnsi="宋体" w:eastAsia="宋体" w:cs="宋体"/>
                <w:b w:val="0"/>
                <w:bCs w:val="0"/>
                <w:snapToGrid w:val="0"/>
                <w:kern w:val="2"/>
                <w:sz w:val="24"/>
                <w:szCs w:val="24"/>
                <w:highlight w:val="none"/>
                <w:lang w:val="en-US" w:eastAsia="zh-CN"/>
              </w:rPr>
              <w:t>分，最多</w:t>
            </w:r>
            <w:r>
              <w:rPr>
                <w:rFonts w:hint="eastAsia" w:ascii="宋体" w:hAnsi="宋体" w:cs="宋体"/>
                <w:b w:val="0"/>
                <w:bCs w:val="0"/>
                <w:snapToGrid w:val="0"/>
                <w:kern w:val="2"/>
                <w:sz w:val="24"/>
                <w:szCs w:val="24"/>
                <w:highlight w:val="none"/>
                <w:lang w:val="en-US" w:eastAsia="zh-CN"/>
              </w:rPr>
              <w:t>得6</w:t>
            </w:r>
            <w:r>
              <w:rPr>
                <w:rFonts w:hint="eastAsia" w:ascii="宋体" w:hAnsi="宋体" w:eastAsia="宋体" w:cs="宋体"/>
                <w:b w:val="0"/>
                <w:bCs w:val="0"/>
                <w:snapToGrid w:val="0"/>
                <w:kern w:val="2"/>
                <w:sz w:val="24"/>
                <w:szCs w:val="24"/>
                <w:highlight w:val="none"/>
                <w:lang w:val="en-US" w:eastAsia="zh-CN"/>
              </w:rPr>
              <w:t>分。</w:t>
            </w:r>
          </w:p>
          <w:p w14:paraId="1B2CEB05">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kern w:val="0"/>
                <w:sz w:val="24"/>
                <w:szCs w:val="24"/>
                <w:highlight w:val="yellow"/>
              </w:rPr>
            </w:pPr>
            <w:r>
              <w:rPr>
                <w:rFonts w:hint="eastAsia" w:ascii="宋体" w:hAnsi="宋体" w:eastAsia="宋体" w:cs="宋体"/>
                <w:b w:val="0"/>
                <w:bCs w:val="0"/>
                <w:snapToGrid w:val="0"/>
                <w:kern w:val="2"/>
                <w:sz w:val="24"/>
                <w:szCs w:val="24"/>
                <w:highlight w:val="none"/>
                <w:lang w:val="en-US" w:eastAsia="zh-CN"/>
              </w:rPr>
              <w:t>注：须提供中标通知书</w:t>
            </w:r>
            <w:r>
              <w:rPr>
                <w:rFonts w:hint="eastAsia" w:ascii="宋体" w:hAnsi="宋体" w:cs="宋体"/>
                <w:b w:val="0"/>
                <w:bCs w:val="0"/>
                <w:snapToGrid w:val="0"/>
                <w:kern w:val="2"/>
                <w:sz w:val="24"/>
                <w:szCs w:val="24"/>
                <w:highlight w:val="none"/>
                <w:lang w:val="en-US" w:eastAsia="zh-CN"/>
              </w:rPr>
              <w:t>和</w:t>
            </w:r>
            <w:r>
              <w:rPr>
                <w:rFonts w:hint="eastAsia" w:ascii="宋体" w:hAnsi="宋体" w:eastAsia="宋体" w:cs="宋体"/>
                <w:b w:val="0"/>
                <w:bCs w:val="0"/>
                <w:snapToGrid w:val="0"/>
                <w:kern w:val="2"/>
                <w:sz w:val="24"/>
                <w:szCs w:val="24"/>
                <w:highlight w:val="none"/>
                <w:lang w:val="en-US" w:eastAsia="zh-CN"/>
              </w:rPr>
              <w:t>合同协议书的扫描件。</w:t>
            </w:r>
          </w:p>
        </w:tc>
      </w:tr>
      <w:tr w14:paraId="0C0E428C">
        <w:tblPrEx>
          <w:tblCellMar>
            <w:top w:w="0" w:type="dxa"/>
            <w:left w:w="108" w:type="dxa"/>
            <w:bottom w:w="0" w:type="dxa"/>
            <w:right w:w="108" w:type="dxa"/>
          </w:tblCellMar>
        </w:tblPrEx>
        <w:trPr>
          <w:trHeight w:val="882" w:hRule="atLeast"/>
          <w:jc w:val="center"/>
        </w:trPr>
        <w:tc>
          <w:tcPr>
            <w:tcW w:w="638" w:type="pct"/>
            <w:vMerge w:val="continue"/>
            <w:tcBorders>
              <w:left w:val="single" w:color="000000" w:sz="4" w:space="0"/>
              <w:right w:val="single" w:color="000000" w:sz="6" w:space="0"/>
            </w:tcBorders>
            <w:vAlign w:val="center"/>
          </w:tcPr>
          <w:p w14:paraId="05183A44">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p>
        </w:tc>
        <w:tc>
          <w:tcPr>
            <w:tcW w:w="659" w:type="pct"/>
            <w:tcBorders>
              <w:top w:val="single" w:color="000000" w:sz="6" w:space="0"/>
              <w:left w:val="single" w:color="000000" w:sz="4" w:space="0"/>
              <w:bottom w:val="single" w:color="000000" w:sz="6" w:space="0"/>
              <w:right w:val="single" w:color="000000" w:sz="6" w:space="0"/>
            </w:tcBorders>
            <w:vAlign w:val="center"/>
          </w:tcPr>
          <w:p w14:paraId="4E69DC4E">
            <w:pPr>
              <w:pageBreakBefore w:val="0"/>
              <w:kinsoku/>
              <w:wordWrap/>
              <w:overflowPunct/>
              <w:topLinePunct w:val="0"/>
              <w:bidi w:val="0"/>
              <w:adjustRightInd w:val="0"/>
              <w:snapToGrid w:val="0"/>
              <w:spacing w:beforeAutospacing="0" w:afterAutospacing="0" w:line="360" w:lineRule="auto"/>
              <w:ind w:right="0" w:rightChars="0"/>
              <w:jc w:val="center"/>
              <w:rPr>
                <w:rFonts w:hint="eastAsia" w:ascii="宋体" w:hAnsi="宋体" w:cs="宋体"/>
                <w:b w:val="0"/>
                <w:bCs w:val="0"/>
                <w:snapToGrid w:val="0"/>
                <w:kern w:val="2"/>
                <w:sz w:val="24"/>
                <w:szCs w:val="24"/>
                <w:highlight w:val="none"/>
                <w:lang w:val="en-US" w:eastAsia="zh-CN"/>
              </w:rPr>
            </w:pPr>
            <w:r>
              <w:rPr>
                <w:rFonts w:hint="eastAsia" w:ascii="宋体" w:hAnsi="宋体" w:cs="宋体"/>
                <w:b w:val="0"/>
                <w:bCs w:val="0"/>
                <w:snapToGrid w:val="0"/>
                <w:kern w:val="2"/>
                <w:sz w:val="24"/>
                <w:szCs w:val="24"/>
                <w:highlight w:val="none"/>
                <w:lang w:val="en-US" w:eastAsia="zh-CN"/>
              </w:rPr>
              <w:t>质保期</w:t>
            </w:r>
          </w:p>
          <w:p w14:paraId="14032942">
            <w:pPr>
              <w:pageBreakBefore w:val="0"/>
              <w:kinsoku/>
              <w:wordWrap/>
              <w:overflowPunct/>
              <w:topLinePunct w:val="0"/>
              <w:bidi w:val="0"/>
              <w:adjustRightInd w:val="0"/>
              <w:snapToGrid w:val="0"/>
              <w:spacing w:beforeAutospacing="0" w:afterAutospacing="0" w:line="360" w:lineRule="auto"/>
              <w:ind w:right="0" w:rightChars="0"/>
              <w:jc w:val="center"/>
              <w:rPr>
                <w:rFonts w:hint="eastAsia" w:ascii="宋体" w:hAnsi="宋体" w:eastAsia="宋体" w:cs="宋体"/>
                <w:color w:val="auto"/>
                <w:kern w:val="0"/>
                <w:sz w:val="24"/>
                <w:szCs w:val="24"/>
                <w:highlight w:val="yellow"/>
              </w:rPr>
            </w:pPr>
            <w:r>
              <w:rPr>
                <w:rFonts w:hint="eastAsia" w:ascii="宋体" w:hAnsi="宋体" w:eastAsia="宋体" w:cs="宋体"/>
                <w:b w:val="0"/>
                <w:bCs w:val="0"/>
                <w:snapToGrid w:val="0"/>
                <w:kern w:val="2"/>
                <w:sz w:val="24"/>
                <w:szCs w:val="24"/>
                <w:highlight w:val="none"/>
                <w:lang w:val="en-US" w:eastAsia="zh-CN"/>
              </w:rPr>
              <w:t>(</w:t>
            </w:r>
            <w:r>
              <w:rPr>
                <w:rFonts w:hint="eastAsia" w:ascii="宋体" w:hAnsi="宋体" w:cs="宋体"/>
                <w:b w:val="0"/>
                <w:bCs w:val="0"/>
                <w:snapToGrid w:val="0"/>
                <w:kern w:val="2"/>
                <w:sz w:val="24"/>
                <w:szCs w:val="24"/>
                <w:highlight w:val="none"/>
                <w:lang w:val="en-US" w:eastAsia="zh-CN"/>
              </w:rPr>
              <w:t>4</w:t>
            </w:r>
            <w:r>
              <w:rPr>
                <w:rFonts w:hint="eastAsia" w:ascii="宋体" w:hAnsi="宋体" w:eastAsia="宋体" w:cs="宋体"/>
                <w:b w:val="0"/>
                <w:bCs w:val="0"/>
                <w:snapToGrid w:val="0"/>
                <w:kern w:val="2"/>
                <w:sz w:val="24"/>
                <w:szCs w:val="24"/>
                <w:highlight w:val="none"/>
                <w:lang w:val="en-US" w:eastAsia="zh-CN"/>
              </w:rPr>
              <w:t>分)</w:t>
            </w:r>
          </w:p>
        </w:tc>
        <w:tc>
          <w:tcPr>
            <w:tcW w:w="3702" w:type="pct"/>
            <w:tcBorders>
              <w:top w:val="single" w:color="000000" w:sz="6" w:space="0"/>
              <w:left w:val="single" w:color="000000" w:sz="6" w:space="0"/>
              <w:bottom w:val="single" w:color="000000" w:sz="6" w:space="0"/>
              <w:right w:val="single" w:color="000000" w:sz="12" w:space="0"/>
            </w:tcBorders>
            <w:vAlign w:val="center"/>
          </w:tcPr>
          <w:p w14:paraId="185AC55B">
            <w:pPr>
              <w:pageBreakBefore w:val="0"/>
              <w:kinsoku/>
              <w:wordWrap/>
              <w:overflowPunct/>
              <w:topLinePunct w:val="0"/>
              <w:bidi w:val="0"/>
              <w:adjustRightInd w:val="0"/>
              <w:snapToGrid w:val="0"/>
              <w:spacing w:beforeAutospacing="0" w:afterAutospacing="0" w:line="360" w:lineRule="auto"/>
              <w:ind w:right="0" w:rightChars="0"/>
              <w:jc w:val="both"/>
              <w:rPr>
                <w:rFonts w:hint="eastAsia" w:ascii="宋体" w:hAnsi="宋体" w:eastAsia="宋体" w:cs="宋体"/>
                <w:color w:val="auto"/>
                <w:kern w:val="0"/>
                <w:sz w:val="24"/>
                <w:szCs w:val="24"/>
                <w:highlight w:val="yellow"/>
                <w:lang w:val="en-US" w:eastAsia="zh-CN"/>
              </w:rPr>
            </w:pPr>
            <w:r>
              <w:rPr>
                <w:rFonts w:hint="eastAsia" w:ascii="宋体" w:hAnsi="宋体" w:eastAsia="宋体" w:cs="宋体"/>
                <w:b w:val="0"/>
                <w:bCs w:val="0"/>
                <w:snapToGrid w:val="0"/>
                <w:kern w:val="2"/>
                <w:sz w:val="24"/>
                <w:szCs w:val="24"/>
                <w:highlight w:val="none"/>
                <w:lang w:val="en-US" w:eastAsia="zh-CN"/>
              </w:rPr>
              <w:t>产品</w:t>
            </w:r>
            <w:r>
              <w:rPr>
                <w:rFonts w:hint="eastAsia" w:ascii="宋体" w:hAnsi="宋体" w:cs="宋体"/>
                <w:b w:val="0"/>
                <w:bCs w:val="0"/>
                <w:snapToGrid w:val="0"/>
                <w:kern w:val="2"/>
                <w:sz w:val="24"/>
                <w:szCs w:val="24"/>
                <w:highlight w:val="none"/>
                <w:lang w:val="en-US" w:eastAsia="zh-CN"/>
              </w:rPr>
              <w:t>质保期要求不少于三年。每增加一年得2分，最多得4分。</w:t>
            </w:r>
          </w:p>
        </w:tc>
      </w:tr>
      <w:tr w14:paraId="60865DCC">
        <w:tblPrEx>
          <w:tblCellMar>
            <w:top w:w="0" w:type="dxa"/>
            <w:left w:w="108" w:type="dxa"/>
            <w:bottom w:w="0" w:type="dxa"/>
            <w:right w:w="108" w:type="dxa"/>
          </w:tblCellMar>
        </w:tblPrEx>
        <w:trPr>
          <w:trHeight w:val="1354" w:hRule="atLeast"/>
          <w:jc w:val="center"/>
        </w:trPr>
        <w:tc>
          <w:tcPr>
            <w:tcW w:w="638" w:type="pct"/>
            <w:vMerge w:val="continue"/>
            <w:tcBorders>
              <w:left w:val="single" w:color="000000" w:sz="4" w:space="0"/>
              <w:right w:val="single" w:color="000000" w:sz="6" w:space="0"/>
            </w:tcBorders>
            <w:vAlign w:val="center"/>
          </w:tcPr>
          <w:p w14:paraId="6EE04797">
            <w:pPr>
              <w:numPr>
                <w:ilvl w:val="0"/>
                <w:numId w:val="0"/>
              </w:numPr>
              <w:spacing w:line="360" w:lineRule="auto"/>
              <w:ind w:left="0" w:leftChars="0" w:firstLine="0" w:firstLineChars="0"/>
              <w:jc w:val="left"/>
              <w:rPr>
                <w:rFonts w:hint="eastAsia" w:ascii="宋体" w:hAnsi="宋体" w:eastAsia="宋体" w:cs="宋体"/>
                <w:kern w:val="1"/>
                <w:sz w:val="24"/>
                <w:szCs w:val="24"/>
                <w:highlight w:val="none"/>
              </w:rPr>
            </w:pPr>
          </w:p>
        </w:tc>
        <w:tc>
          <w:tcPr>
            <w:tcW w:w="659" w:type="pct"/>
            <w:tcBorders>
              <w:top w:val="single" w:color="000000" w:sz="6" w:space="0"/>
              <w:left w:val="single" w:color="000000" w:sz="4" w:space="0"/>
              <w:bottom w:val="single" w:color="000000" w:sz="6" w:space="0"/>
              <w:right w:val="single" w:color="000000" w:sz="6" w:space="0"/>
            </w:tcBorders>
            <w:vAlign w:val="center"/>
          </w:tcPr>
          <w:p w14:paraId="561D4622">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w:t>
            </w:r>
          </w:p>
          <w:p w14:paraId="6F780D73">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kern w:val="1"/>
                <w:sz w:val="24"/>
                <w:szCs w:val="24"/>
                <w:highlight w:val="yellow"/>
              </w:rPr>
            </w:pPr>
            <w:r>
              <w:rPr>
                <w:rFonts w:hint="eastAsia" w:ascii="宋体" w:hAnsi="宋体" w:eastAsia="宋体" w:cs="宋体"/>
                <w:snapToGrid w:val="0"/>
                <w:kern w:val="2"/>
                <w:sz w:val="24"/>
                <w:szCs w:val="24"/>
                <w:highlight w:val="none"/>
                <w:lang w:val="en-US" w:eastAsia="zh-CN"/>
              </w:rPr>
              <w:t>(</w:t>
            </w:r>
            <w:r>
              <w:rPr>
                <w:rFonts w:hint="eastAsia" w:ascii="宋体" w:hAnsi="宋体" w:cs="宋体"/>
                <w:snapToGrid w:val="0"/>
                <w:kern w:val="2"/>
                <w:sz w:val="24"/>
                <w:szCs w:val="24"/>
                <w:highlight w:val="none"/>
                <w:lang w:val="en-US" w:eastAsia="zh-CN"/>
              </w:rPr>
              <w:t>5</w:t>
            </w:r>
            <w:r>
              <w:rPr>
                <w:rFonts w:hint="eastAsia" w:ascii="宋体" w:hAnsi="宋体" w:eastAsia="宋体" w:cs="宋体"/>
                <w:snapToGrid w:val="0"/>
                <w:kern w:val="2"/>
                <w:sz w:val="24"/>
                <w:szCs w:val="24"/>
                <w:highlight w:val="none"/>
                <w:lang w:val="en-US" w:eastAsia="zh-CN"/>
              </w:rPr>
              <w:t>分)</w:t>
            </w:r>
          </w:p>
        </w:tc>
        <w:tc>
          <w:tcPr>
            <w:tcW w:w="3702" w:type="pct"/>
            <w:tcBorders>
              <w:top w:val="single" w:color="000000" w:sz="6" w:space="0"/>
              <w:left w:val="single" w:color="000000" w:sz="6" w:space="0"/>
              <w:bottom w:val="single" w:color="000000" w:sz="6" w:space="0"/>
              <w:right w:val="single" w:color="000000" w:sz="12" w:space="0"/>
            </w:tcBorders>
            <w:vAlign w:val="center"/>
          </w:tcPr>
          <w:p w14:paraId="49208E64">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磋商小组根据</w:t>
            </w:r>
            <w:r>
              <w:rPr>
                <w:rFonts w:hint="eastAsia" w:ascii="宋体" w:hAnsi="宋体" w:eastAsia="宋体" w:cs="宋体"/>
                <w:b w:val="0"/>
                <w:bCs w:val="0"/>
                <w:snapToGrid w:val="0"/>
                <w:kern w:val="2"/>
                <w:sz w:val="24"/>
                <w:szCs w:val="24"/>
                <w:highlight w:val="none"/>
                <w:lang w:val="zh-CN" w:eastAsia="zh-CN"/>
              </w:rPr>
              <w:t>供应商</w:t>
            </w:r>
            <w:r>
              <w:rPr>
                <w:rFonts w:hint="eastAsia" w:ascii="宋体" w:hAnsi="宋体" w:eastAsia="宋体" w:cs="宋体"/>
                <w:b w:val="0"/>
                <w:bCs w:val="0"/>
                <w:snapToGrid w:val="0"/>
                <w:kern w:val="2"/>
                <w:sz w:val="24"/>
                <w:szCs w:val="24"/>
                <w:highlight w:val="none"/>
                <w:lang w:val="en-US" w:eastAsia="zh-CN"/>
              </w:rPr>
              <w:t>提供优惠承诺是否</w:t>
            </w:r>
            <w:r>
              <w:rPr>
                <w:rFonts w:hint="eastAsia" w:ascii="宋体" w:hAnsi="宋体" w:eastAsia="宋体" w:cs="宋体"/>
                <w:b w:val="0"/>
                <w:bCs w:val="0"/>
                <w:snapToGrid w:val="0"/>
                <w:kern w:val="2"/>
                <w:sz w:val="24"/>
                <w:szCs w:val="24"/>
                <w:highlight w:val="none"/>
                <w:lang w:val="zh-CN" w:eastAsia="zh-CN"/>
              </w:rPr>
              <w:t>内容详实、科学、合理，</w:t>
            </w:r>
            <w:r>
              <w:rPr>
                <w:rFonts w:hint="eastAsia" w:ascii="宋体" w:hAnsi="宋体" w:eastAsia="宋体" w:cs="宋体"/>
                <w:b w:val="0"/>
                <w:bCs w:val="0"/>
                <w:snapToGrid w:val="0"/>
                <w:kern w:val="2"/>
                <w:sz w:val="24"/>
                <w:szCs w:val="24"/>
                <w:highlight w:val="none"/>
                <w:lang w:val="en-US" w:eastAsia="zh-CN"/>
              </w:rPr>
              <w:t>是否</w:t>
            </w:r>
            <w:r>
              <w:rPr>
                <w:rFonts w:hint="eastAsia" w:ascii="宋体" w:hAnsi="宋体" w:eastAsia="宋体" w:cs="宋体"/>
                <w:b w:val="0"/>
                <w:bCs w:val="0"/>
                <w:snapToGrid w:val="0"/>
                <w:kern w:val="2"/>
                <w:sz w:val="24"/>
                <w:szCs w:val="24"/>
                <w:highlight w:val="none"/>
                <w:lang w:val="zh-CN" w:eastAsia="zh-CN"/>
              </w:rPr>
              <w:t>考虑周全、措施到位、针对性强</w:t>
            </w:r>
            <w:r>
              <w:rPr>
                <w:rFonts w:hint="eastAsia" w:ascii="宋体" w:hAnsi="宋体" w:eastAsia="宋体" w:cs="宋体"/>
                <w:b w:val="0"/>
                <w:bCs w:val="0"/>
                <w:snapToGrid w:val="0"/>
                <w:kern w:val="2"/>
                <w:sz w:val="24"/>
                <w:szCs w:val="24"/>
                <w:highlight w:val="none"/>
                <w:lang w:val="en-US" w:eastAsia="zh-CN"/>
              </w:rPr>
              <w:t>进行综合评定。</w:t>
            </w:r>
          </w:p>
          <w:p w14:paraId="2795CD89">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zh-CN" w:eastAsia="zh-CN"/>
              </w:rPr>
            </w:pPr>
            <w:r>
              <w:rPr>
                <w:rFonts w:hint="eastAsia" w:ascii="宋体" w:hAnsi="宋体" w:eastAsia="宋体" w:cs="宋体"/>
                <w:b w:val="0"/>
                <w:bCs w:val="0"/>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b w:val="0"/>
                <w:bCs w:val="0"/>
                <w:snapToGrid w:val="0"/>
                <w:kern w:val="2"/>
                <w:sz w:val="24"/>
                <w:szCs w:val="24"/>
                <w:highlight w:val="none"/>
                <w:lang w:val="en-US" w:eastAsia="zh-CN"/>
              </w:rPr>
              <w:t>得5分</w:t>
            </w:r>
            <w:r>
              <w:rPr>
                <w:rFonts w:hint="eastAsia" w:ascii="宋体" w:hAnsi="宋体" w:eastAsia="宋体" w:cs="宋体"/>
                <w:b w:val="0"/>
                <w:bCs w:val="0"/>
                <w:snapToGrid w:val="0"/>
                <w:kern w:val="2"/>
                <w:sz w:val="24"/>
                <w:szCs w:val="24"/>
                <w:highlight w:val="none"/>
                <w:lang w:val="zh-CN" w:eastAsia="zh-CN"/>
              </w:rPr>
              <w:t>；</w:t>
            </w:r>
          </w:p>
          <w:p w14:paraId="1C53068C">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zh-CN" w:eastAsia="zh-CN"/>
              </w:rPr>
              <w:t>内容详实、科学、合理，考虑</w:t>
            </w:r>
            <w:r>
              <w:rPr>
                <w:rFonts w:hint="eastAsia" w:ascii="宋体" w:hAnsi="宋体" w:eastAsia="宋体" w:cs="宋体"/>
                <w:b w:val="0"/>
                <w:bCs w:val="0"/>
                <w:snapToGrid w:val="0"/>
                <w:kern w:val="2"/>
                <w:sz w:val="24"/>
                <w:szCs w:val="24"/>
                <w:highlight w:val="none"/>
                <w:lang w:val="en-US" w:eastAsia="zh-CN"/>
              </w:rPr>
              <w:t>较</w:t>
            </w:r>
            <w:r>
              <w:rPr>
                <w:rFonts w:hint="eastAsia" w:ascii="宋体" w:hAnsi="宋体" w:eastAsia="宋体" w:cs="宋体"/>
                <w:b w:val="0"/>
                <w:bCs w:val="0"/>
                <w:snapToGrid w:val="0"/>
                <w:kern w:val="2"/>
                <w:sz w:val="24"/>
                <w:szCs w:val="24"/>
                <w:highlight w:val="none"/>
                <w:lang w:val="zh-CN" w:eastAsia="zh-CN"/>
              </w:rPr>
              <w:t>周全、措施</w:t>
            </w:r>
            <w:r>
              <w:rPr>
                <w:rFonts w:hint="eastAsia" w:ascii="宋体" w:hAnsi="宋体" w:eastAsia="宋体" w:cs="宋体"/>
                <w:b w:val="0"/>
                <w:bCs w:val="0"/>
                <w:snapToGrid w:val="0"/>
                <w:kern w:val="2"/>
                <w:sz w:val="24"/>
                <w:szCs w:val="24"/>
                <w:highlight w:val="none"/>
                <w:lang w:val="en-US" w:eastAsia="zh-CN"/>
              </w:rPr>
              <w:t>较</w:t>
            </w:r>
            <w:r>
              <w:rPr>
                <w:rFonts w:hint="eastAsia" w:ascii="宋体" w:hAnsi="宋体" w:eastAsia="宋体" w:cs="宋体"/>
                <w:b w:val="0"/>
                <w:bCs w:val="0"/>
                <w:snapToGrid w:val="0"/>
                <w:kern w:val="2"/>
                <w:sz w:val="24"/>
                <w:szCs w:val="24"/>
                <w:highlight w:val="none"/>
                <w:lang w:val="zh-CN" w:eastAsia="zh-CN"/>
              </w:rPr>
              <w:t>到位、针对性</w:t>
            </w:r>
            <w:r>
              <w:rPr>
                <w:rFonts w:hint="eastAsia" w:ascii="宋体" w:hAnsi="宋体" w:eastAsia="宋体" w:cs="宋体"/>
                <w:b w:val="0"/>
                <w:bCs w:val="0"/>
                <w:snapToGrid w:val="0"/>
                <w:kern w:val="2"/>
                <w:sz w:val="24"/>
                <w:szCs w:val="24"/>
                <w:highlight w:val="none"/>
                <w:lang w:val="en-US" w:eastAsia="zh-CN"/>
              </w:rPr>
              <w:t>较强</w:t>
            </w:r>
            <w:r>
              <w:rPr>
                <w:rFonts w:hint="eastAsia" w:ascii="宋体" w:hAnsi="宋体" w:eastAsia="宋体" w:cs="宋体"/>
                <w:b w:val="0"/>
                <w:bCs w:val="0"/>
                <w:snapToGrid w:val="0"/>
                <w:kern w:val="2"/>
                <w:sz w:val="24"/>
                <w:szCs w:val="24"/>
                <w:highlight w:val="none"/>
                <w:lang w:val="zh-CN" w:eastAsia="zh-CN"/>
              </w:rPr>
              <w:t>，能够满足项目的需要，</w:t>
            </w:r>
            <w:r>
              <w:rPr>
                <w:rFonts w:hint="eastAsia" w:ascii="宋体" w:hAnsi="宋体" w:eastAsia="宋体" w:cs="宋体"/>
                <w:b w:val="0"/>
                <w:bCs w:val="0"/>
                <w:snapToGrid w:val="0"/>
                <w:kern w:val="2"/>
                <w:sz w:val="24"/>
                <w:szCs w:val="24"/>
                <w:highlight w:val="none"/>
                <w:lang w:val="en-US" w:eastAsia="zh-CN"/>
              </w:rPr>
              <w:t>得3分；</w:t>
            </w:r>
          </w:p>
          <w:p w14:paraId="56A3487A">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zh-CN" w:eastAsia="zh-CN"/>
              </w:rPr>
              <w:t>内容</w:t>
            </w:r>
            <w:r>
              <w:rPr>
                <w:rFonts w:hint="eastAsia" w:ascii="宋体" w:hAnsi="宋体" w:eastAsia="宋体" w:cs="宋体"/>
                <w:b w:val="0"/>
                <w:bCs w:val="0"/>
                <w:snapToGrid w:val="0"/>
                <w:kern w:val="2"/>
                <w:sz w:val="24"/>
                <w:szCs w:val="24"/>
                <w:highlight w:val="none"/>
                <w:lang w:val="en-US" w:eastAsia="zh-CN"/>
              </w:rPr>
              <w:t>一般</w:t>
            </w:r>
            <w:r>
              <w:rPr>
                <w:rFonts w:hint="eastAsia" w:ascii="宋体" w:hAnsi="宋体" w:eastAsia="宋体" w:cs="宋体"/>
                <w:b w:val="0"/>
                <w:bCs w:val="0"/>
                <w:snapToGrid w:val="0"/>
                <w:kern w:val="2"/>
                <w:sz w:val="24"/>
                <w:szCs w:val="24"/>
                <w:highlight w:val="none"/>
                <w:lang w:val="zh-CN" w:eastAsia="zh-CN"/>
              </w:rPr>
              <w:t>详实、科学、合理，考虑</w:t>
            </w:r>
            <w:r>
              <w:rPr>
                <w:rFonts w:hint="eastAsia" w:ascii="宋体" w:hAnsi="宋体" w:eastAsia="宋体" w:cs="宋体"/>
                <w:b w:val="0"/>
                <w:bCs w:val="0"/>
                <w:snapToGrid w:val="0"/>
                <w:kern w:val="2"/>
                <w:sz w:val="24"/>
                <w:szCs w:val="24"/>
                <w:highlight w:val="none"/>
                <w:lang w:val="en-US" w:eastAsia="zh-CN"/>
              </w:rPr>
              <w:t>范围一般</w:t>
            </w:r>
            <w:r>
              <w:rPr>
                <w:rFonts w:hint="eastAsia" w:ascii="宋体" w:hAnsi="宋体" w:eastAsia="宋体" w:cs="宋体"/>
                <w:b w:val="0"/>
                <w:bCs w:val="0"/>
                <w:snapToGrid w:val="0"/>
                <w:kern w:val="2"/>
                <w:sz w:val="24"/>
                <w:szCs w:val="24"/>
                <w:highlight w:val="none"/>
                <w:lang w:val="zh-CN" w:eastAsia="zh-CN"/>
              </w:rPr>
              <w:t>、措施</w:t>
            </w:r>
            <w:r>
              <w:rPr>
                <w:rFonts w:hint="eastAsia" w:ascii="宋体" w:hAnsi="宋体" w:eastAsia="宋体" w:cs="宋体"/>
                <w:b w:val="0"/>
                <w:bCs w:val="0"/>
                <w:snapToGrid w:val="0"/>
                <w:kern w:val="2"/>
                <w:sz w:val="24"/>
                <w:szCs w:val="24"/>
                <w:highlight w:val="none"/>
                <w:lang w:val="en-US" w:eastAsia="zh-CN"/>
              </w:rPr>
              <w:t>一般</w:t>
            </w:r>
            <w:r>
              <w:rPr>
                <w:rFonts w:hint="eastAsia" w:ascii="宋体" w:hAnsi="宋体" w:eastAsia="宋体" w:cs="宋体"/>
                <w:b w:val="0"/>
                <w:bCs w:val="0"/>
                <w:snapToGrid w:val="0"/>
                <w:kern w:val="2"/>
                <w:sz w:val="24"/>
                <w:szCs w:val="24"/>
                <w:highlight w:val="none"/>
                <w:lang w:val="zh-CN" w:eastAsia="zh-CN"/>
              </w:rPr>
              <w:t>、针对性</w:t>
            </w:r>
            <w:r>
              <w:rPr>
                <w:rFonts w:hint="eastAsia" w:ascii="宋体" w:hAnsi="宋体" w:eastAsia="宋体" w:cs="宋体"/>
                <w:b w:val="0"/>
                <w:bCs w:val="0"/>
                <w:snapToGrid w:val="0"/>
                <w:kern w:val="2"/>
                <w:sz w:val="24"/>
                <w:szCs w:val="24"/>
                <w:highlight w:val="none"/>
                <w:lang w:val="en-US" w:eastAsia="zh-CN"/>
              </w:rPr>
              <w:t>一般得1分；</w:t>
            </w:r>
          </w:p>
          <w:p w14:paraId="59FAA205">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没有提供上述内容，或提供的不完整有缺项的得0 分</w:t>
            </w:r>
            <w:r>
              <w:rPr>
                <w:rFonts w:hint="eastAsia" w:ascii="宋体" w:hAnsi="宋体" w:cs="宋体"/>
                <w:sz w:val="24"/>
                <w:szCs w:val="24"/>
                <w:highlight w:val="none"/>
                <w:lang w:eastAsia="zh-CN"/>
              </w:rPr>
              <w:t>。</w:t>
            </w:r>
          </w:p>
        </w:tc>
      </w:tr>
      <w:tr w14:paraId="57AA922A">
        <w:tblPrEx>
          <w:tblCellMar>
            <w:top w:w="0" w:type="dxa"/>
            <w:left w:w="108" w:type="dxa"/>
            <w:bottom w:w="0" w:type="dxa"/>
            <w:right w:w="108" w:type="dxa"/>
          </w:tblCellMar>
        </w:tblPrEx>
        <w:trPr>
          <w:trHeight w:val="1605" w:hRule="atLeast"/>
          <w:jc w:val="center"/>
        </w:trPr>
        <w:tc>
          <w:tcPr>
            <w:tcW w:w="638" w:type="pct"/>
            <w:vMerge w:val="continue"/>
            <w:tcBorders>
              <w:left w:val="single" w:color="000000" w:sz="4" w:space="0"/>
              <w:bottom w:val="single" w:color="000000" w:sz="6" w:space="0"/>
              <w:right w:val="single" w:color="000000" w:sz="6" w:space="0"/>
            </w:tcBorders>
            <w:vAlign w:val="center"/>
          </w:tcPr>
          <w:p w14:paraId="7C1B4F88">
            <w:pPr>
              <w:numPr>
                <w:ilvl w:val="0"/>
                <w:numId w:val="0"/>
              </w:numPr>
              <w:spacing w:line="360" w:lineRule="auto"/>
              <w:ind w:left="0" w:leftChars="0" w:firstLine="0" w:firstLineChars="0"/>
              <w:jc w:val="left"/>
              <w:rPr>
                <w:rFonts w:hint="eastAsia" w:ascii="宋体" w:hAnsi="宋体" w:eastAsia="宋体" w:cs="宋体"/>
                <w:kern w:val="1"/>
                <w:sz w:val="24"/>
                <w:szCs w:val="24"/>
                <w:highlight w:val="none"/>
              </w:rPr>
            </w:pPr>
          </w:p>
        </w:tc>
        <w:tc>
          <w:tcPr>
            <w:tcW w:w="659" w:type="pct"/>
            <w:tcBorders>
              <w:top w:val="single" w:color="000000" w:sz="6" w:space="0"/>
              <w:left w:val="single" w:color="000000" w:sz="4" w:space="0"/>
              <w:bottom w:val="single" w:color="000000" w:sz="6" w:space="0"/>
              <w:right w:val="single" w:color="000000" w:sz="6" w:space="0"/>
            </w:tcBorders>
            <w:vAlign w:val="center"/>
          </w:tcPr>
          <w:p w14:paraId="0CAF5015">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default"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售后服务方案</w:t>
            </w:r>
          </w:p>
          <w:p w14:paraId="0B73A876">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kern w:val="1"/>
                <w:sz w:val="24"/>
                <w:szCs w:val="24"/>
                <w:highlight w:val="yellow"/>
              </w:rPr>
            </w:pPr>
            <w:r>
              <w:rPr>
                <w:rFonts w:hint="eastAsia" w:ascii="宋体" w:hAnsi="宋体" w:eastAsia="宋体" w:cs="宋体"/>
                <w:snapToGrid w:val="0"/>
                <w:kern w:val="2"/>
                <w:sz w:val="24"/>
                <w:szCs w:val="24"/>
                <w:highlight w:val="none"/>
                <w:lang w:val="en-US" w:eastAsia="zh-CN"/>
              </w:rPr>
              <w:t>（</w:t>
            </w:r>
            <w:r>
              <w:rPr>
                <w:rFonts w:hint="eastAsia" w:ascii="宋体" w:hAnsi="宋体" w:cs="宋体"/>
                <w:snapToGrid w:val="0"/>
                <w:kern w:val="2"/>
                <w:sz w:val="24"/>
                <w:szCs w:val="24"/>
                <w:highlight w:val="none"/>
                <w:lang w:val="en-US" w:eastAsia="zh-CN"/>
              </w:rPr>
              <w:t>5</w:t>
            </w:r>
            <w:r>
              <w:rPr>
                <w:rFonts w:hint="eastAsia" w:ascii="宋体" w:hAnsi="宋体" w:eastAsia="宋体" w:cs="宋体"/>
                <w:snapToGrid w:val="0"/>
                <w:kern w:val="2"/>
                <w:sz w:val="24"/>
                <w:szCs w:val="24"/>
                <w:highlight w:val="none"/>
                <w:lang w:val="en-US" w:eastAsia="zh-CN"/>
              </w:rPr>
              <w:t>分）</w:t>
            </w:r>
          </w:p>
        </w:tc>
        <w:tc>
          <w:tcPr>
            <w:tcW w:w="3702" w:type="pct"/>
            <w:tcBorders>
              <w:top w:val="single" w:color="000000" w:sz="6" w:space="0"/>
              <w:left w:val="single" w:color="000000" w:sz="6" w:space="0"/>
              <w:bottom w:val="single" w:color="000000" w:sz="6" w:space="0"/>
              <w:right w:val="single" w:color="000000" w:sz="12" w:space="0"/>
            </w:tcBorders>
            <w:vAlign w:val="center"/>
          </w:tcPr>
          <w:p w14:paraId="50887737">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详细说明售后服务方案(售后质保期内外服务的内容、形式、免费维修时间、解决质量或操作问题的响应时间、解决问题时间、地点，及上门维修人员安排)全面、详细、可行进行综合评定。</w:t>
            </w:r>
          </w:p>
          <w:p w14:paraId="79D2186B">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zh-CN" w:eastAsia="zh-CN"/>
              </w:rPr>
            </w:pPr>
            <w:r>
              <w:rPr>
                <w:rFonts w:hint="eastAsia" w:ascii="宋体" w:hAnsi="宋体" w:eastAsia="宋体" w:cs="宋体"/>
                <w:b w:val="0"/>
                <w:bCs w:val="0"/>
                <w:snapToGrid w:val="0"/>
                <w:kern w:val="2"/>
                <w:sz w:val="24"/>
                <w:szCs w:val="24"/>
                <w:highlight w:val="none"/>
                <w:lang w:val="zh-CN" w:eastAsia="zh-CN"/>
              </w:rPr>
              <w:t>供应商提供的</w:t>
            </w:r>
            <w:r>
              <w:rPr>
                <w:rFonts w:hint="eastAsia" w:ascii="宋体" w:hAnsi="宋体" w:eastAsia="宋体" w:cs="宋体"/>
                <w:b w:val="0"/>
                <w:bCs w:val="0"/>
                <w:snapToGrid w:val="0"/>
                <w:kern w:val="2"/>
                <w:sz w:val="24"/>
                <w:szCs w:val="24"/>
                <w:highlight w:val="none"/>
                <w:lang w:val="en-US" w:eastAsia="zh-CN"/>
              </w:rPr>
              <w:t>售后服务方案全面、详细、可行的</w:t>
            </w:r>
            <w:r>
              <w:rPr>
                <w:rFonts w:hint="eastAsia" w:ascii="宋体" w:hAnsi="宋体" w:eastAsia="宋体" w:cs="宋体"/>
                <w:b w:val="0"/>
                <w:bCs w:val="0"/>
                <w:snapToGrid w:val="0"/>
                <w:kern w:val="2"/>
                <w:sz w:val="24"/>
                <w:szCs w:val="24"/>
                <w:highlight w:val="none"/>
                <w:lang w:val="zh-CN" w:eastAsia="zh-CN"/>
              </w:rPr>
              <w:t>得</w:t>
            </w:r>
            <w:r>
              <w:rPr>
                <w:rFonts w:hint="eastAsia" w:ascii="宋体" w:hAnsi="宋体" w:eastAsia="宋体" w:cs="宋体"/>
                <w:b w:val="0"/>
                <w:bCs w:val="0"/>
                <w:snapToGrid w:val="0"/>
                <w:kern w:val="2"/>
                <w:sz w:val="24"/>
                <w:szCs w:val="24"/>
                <w:highlight w:val="none"/>
                <w:lang w:val="en-US" w:eastAsia="zh-CN"/>
              </w:rPr>
              <w:t>5</w:t>
            </w:r>
            <w:r>
              <w:rPr>
                <w:rFonts w:hint="eastAsia" w:ascii="宋体" w:hAnsi="宋体" w:eastAsia="宋体" w:cs="宋体"/>
                <w:b w:val="0"/>
                <w:bCs w:val="0"/>
                <w:snapToGrid w:val="0"/>
                <w:kern w:val="2"/>
                <w:sz w:val="24"/>
                <w:szCs w:val="24"/>
                <w:highlight w:val="none"/>
                <w:lang w:val="zh-CN" w:eastAsia="zh-CN"/>
              </w:rPr>
              <w:t>分；</w:t>
            </w:r>
          </w:p>
          <w:p w14:paraId="647111BF">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zh-CN" w:eastAsia="zh-CN"/>
              </w:rPr>
            </w:pPr>
            <w:r>
              <w:rPr>
                <w:rFonts w:hint="eastAsia" w:ascii="宋体" w:hAnsi="宋体" w:eastAsia="宋体" w:cs="宋体"/>
                <w:b w:val="0"/>
                <w:bCs w:val="0"/>
                <w:snapToGrid w:val="0"/>
                <w:kern w:val="2"/>
                <w:sz w:val="24"/>
                <w:szCs w:val="24"/>
                <w:highlight w:val="none"/>
                <w:lang w:val="zh-CN" w:eastAsia="zh-CN"/>
              </w:rPr>
              <w:t>供应商提供的</w:t>
            </w:r>
            <w:r>
              <w:rPr>
                <w:rFonts w:hint="eastAsia" w:ascii="宋体" w:hAnsi="宋体" w:eastAsia="宋体" w:cs="宋体"/>
                <w:b w:val="0"/>
                <w:bCs w:val="0"/>
                <w:snapToGrid w:val="0"/>
                <w:kern w:val="2"/>
                <w:sz w:val="24"/>
                <w:szCs w:val="24"/>
                <w:highlight w:val="none"/>
                <w:lang w:val="en-US" w:eastAsia="zh-CN"/>
              </w:rPr>
              <w:t>售后服务方案较全面、较详细、较可行的</w:t>
            </w:r>
            <w:r>
              <w:rPr>
                <w:rFonts w:hint="eastAsia" w:ascii="宋体" w:hAnsi="宋体" w:eastAsia="宋体" w:cs="宋体"/>
                <w:b w:val="0"/>
                <w:bCs w:val="0"/>
                <w:snapToGrid w:val="0"/>
                <w:kern w:val="2"/>
                <w:sz w:val="24"/>
                <w:szCs w:val="24"/>
                <w:highlight w:val="none"/>
                <w:lang w:val="zh-CN" w:eastAsia="zh-CN"/>
              </w:rPr>
              <w:t>得</w:t>
            </w:r>
            <w:r>
              <w:rPr>
                <w:rFonts w:hint="eastAsia" w:ascii="宋体" w:hAnsi="宋体" w:eastAsia="宋体" w:cs="宋体"/>
                <w:b w:val="0"/>
                <w:bCs w:val="0"/>
                <w:snapToGrid w:val="0"/>
                <w:kern w:val="2"/>
                <w:sz w:val="24"/>
                <w:szCs w:val="24"/>
                <w:highlight w:val="none"/>
                <w:lang w:val="en-US" w:eastAsia="zh-CN"/>
              </w:rPr>
              <w:t>3</w:t>
            </w:r>
            <w:r>
              <w:rPr>
                <w:rFonts w:hint="eastAsia" w:ascii="宋体" w:hAnsi="宋体" w:eastAsia="宋体" w:cs="宋体"/>
                <w:b w:val="0"/>
                <w:bCs w:val="0"/>
                <w:snapToGrid w:val="0"/>
                <w:kern w:val="2"/>
                <w:sz w:val="24"/>
                <w:szCs w:val="24"/>
                <w:highlight w:val="none"/>
                <w:lang w:val="zh-CN" w:eastAsia="zh-CN"/>
              </w:rPr>
              <w:t>分；</w:t>
            </w:r>
          </w:p>
          <w:p w14:paraId="4A4BCA49">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zh-CN" w:eastAsia="zh-CN"/>
              </w:rPr>
            </w:pPr>
            <w:r>
              <w:rPr>
                <w:rFonts w:hint="eastAsia" w:ascii="宋体" w:hAnsi="宋体" w:eastAsia="宋体" w:cs="宋体"/>
                <w:b w:val="0"/>
                <w:bCs w:val="0"/>
                <w:snapToGrid w:val="0"/>
                <w:kern w:val="2"/>
                <w:sz w:val="24"/>
                <w:szCs w:val="24"/>
                <w:highlight w:val="none"/>
                <w:lang w:val="zh-CN" w:eastAsia="zh-CN"/>
              </w:rPr>
              <w:t>供应商提供的</w:t>
            </w:r>
            <w:r>
              <w:rPr>
                <w:rFonts w:hint="eastAsia" w:ascii="宋体" w:hAnsi="宋体" w:eastAsia="宋体" w:cs="宋体"/>
                <w:b w:val="0"/>
                <w:bCs w:val="0"/>
                <w:snapToGrid w:val="0"/>
                <w:kern w:val="2"/>
                <w:sz w:val="24"/>
                <w:szCs w:val="24"/>
                <w:highlight w:val="none"/>
                <w:lang w:val="en-US" w:eastAsia="zh-CN"/>
              </w:rPr>
              <w:t>售后服务方案一般的</w:t>
            </w:r>
            <w:r>
              <w:rPr>
                <w:rFonts w:hint="eastAsia" w:ascii="宋体" w:hAnsi="宋体" w:eastAsia="宋体" w:cs="宋体"/>
                <w:b w:val="0"/>
                <w:bCs w:val="0"/>
                <w:snapToGrid w:val="0"/>
                <w:kern w:val="2"/>
                <w:sz w:val="24"/>
                <w:szCs w:val="24"/>
                <w:highlight w:val="none"/>
                <w:lang w:val="zh-CN" w:eastAsia="zh-CN"/>
              </w:rPr>
              <w:t>得</w:t>
            </w:r>
            <w:r>
              <w:rPr>
                <w:rFonts w:hint="eastAsia" w:ascii="宋体" w:hAnsi="宋体" w:eastAsia="宋体" w:cs="宋体"/>
                <w:b w:val="0"/>
                <w:bCs w:val="0"/>
                <w:snapToGrid w:val="0"/>
                <w:kern w:val="2"/>
                <w:sz w:val="24"/>
                <w:szCs w:val="24"/>
                <w:highlight w:val="none"/>
                <w:lang w:val="en-US" w:eastAsia="zh-CN"/>
              </w:rPr>
              <w:t>1</w:t>
            </w:r>
            <w:r>
              <w:rPr>
                <w:rFonts w:hint="eastAsia" w:ascii="宋体" w:hAnsi="宋体" w:eastAsia="宋体" w:cs="宋体"/>
                <w:b w:val="0"/>
                <w:bCs w:val="0"/>
                <w:snapToGrid w:val="0"/>
                <w:kern w:val="2"/>
                <w:sz w:val="24"/>
                <w:szCs w:val="24"/>
                <w:highlight w:val="none"/>
                <w:lang w:val="zh-CN" w:eastAsia="zh-CN"/>
              </w:rPr>
              <w:t>分。</w:t>
            </w:r>
          </w:p>
          <w:p w14:paraId="506635EC">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zh-CN" w:eastAsia="zh-CN"/>
              </w:rPr>
              <w:t>供应商没有提供上述内容，或提供的不完整有缺项的得0 分。</w:t>
            </w:r>
          </w:p>
        </w:tc>
      </w:tr>
      <w:tr w14:paraId="4EA05850">
        <w:tblPrEx>
          <w:tblCellMar>
            <w:top w:w="0" w:type="dxa"/>
            <w:left w:w="108" w:type="dxa"/>
            <w:bottom w:w="0" w:type="dxa"/>
            <w:right w:w="108" w:type="dxa"/>
          </w:tblCellMar>
        </w:tblPrEx>
        <w:trPr>
          <w:trHeight w:val="1009" w:hRule="atLeast"/>
          <w:jc w:val="center"/>
        </w:trPr>
        <w:tc>
          <w:tcPr>
            <w:tcW w:w="5000" w:type="pct"/>
            <w:gridSpan w:val="3"/>
            <w:tcBorders>
              <w:top w:val="single" w:color="000000" w:sz="4" w:space="0"/>
              <w:left w:val="single" w:color="000000" w:sz="12" w:space="0"/>
              <w:bottom w:val="single" w:color="000000" w:sz="12" w:space="0"/>
              <w:right w:val="single" w:color="000000" w:sz="6" w:space="0"/>
            </w:tcBorders>
            <w:vAlign w:val="center"/>
          </w:tcPr>
          <w:p w14:paraId="14E28C65">
            <w:pPr>
              <w:pageBreakBefore w:val="0"/>
              <w:kinsoku/>
              <w:wordWrap/>
              <w:overflowPunct/>
              <w:topLinePunct w:val="0"/>
              <w:bidi w:val="0"/>
              <w:spacing w:beforeAutospacing="0" w:line="360" w:lineRule="auto"/>
              <w:jc w:val="left"/>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综合得分=技术标得分+商务标得分+综合标得分</w:t>
            </w:r>
          </w:p>
          <w:p w14:paraId="3BBEC7CA">
            <w:pPr>
              <w:pageBreakBefore w:val="0"/>
              <w:kinsoku/>
              <w:wordWrap/>
              <w:overflowPunct/>
              <w:topLinePunct w:val="0"/>
              <w:bidi w:val="0"/>
              <w:spacing w:beforeAutospacing="0" w:line="360" w:lineRule="auto"/>
              <w:jc w:val="left"/>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的报价应包含</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所承诺的应达到的质量标准及其他承诺应达到的标准所包含的所有费用。</w:t>
            </w:r>
          </w:p>
          <w:p w14:paraId="39C325D0">
            <w:pPr>
              <w:pageBreakBefore w:val="0"/>
              <w:kinsoku/>
              <w:wordWrap/>
              <w:overflowPunct/>
              <w:topLinePunct w:val="0"/>
              <w:bidi w:val="0"/>
              <w:spacing w:beforeAutospacing="0"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磋商小组对</w:t>
            </w:r>
            <w:r>
              <w:rPr>
                <w:rFonts w:hint="eastAsia" w:ascii="宋体" w:hAnsi="宋体" w:cs="宋体"/>
                <w:b/>
                <w:sz w:val="24"/>
                <w:szCs w:val="24"/>
                <w:highlight w:val="none"/>
                <w:lang w:val="en-US" w:eastAsia="zh-CN"/>
              </w:rPr>
              <w:t>实施方案</w:t>
            </w:r>
            <w:r>
              <w:rPr>
                <w:rFonts w:hint="eastAsia" w:ascii="宋体" w:hAnsi="宋体" w:eastAsia="宋体" w:cs="宋体"/>
                <w:b/>
                <w:sz w:val="24"/>
                <w:szCs w:val="24"/>
                <w:highlight w:val="none"/>
              </w:rPr>
              <w:t>、企业实力、磋商报价、其他因素得分进行汇总，计算过程和最终结果按四舍五入保留两位小数。以各磋商小组打分的算术平均值作为该</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的最终得分。</w:t>
            </w:r>
          </w:p>
        </w:tc>
      </w:tr>
    </w:tbl>
    <w:p w14:paraId="771AE7E1">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713A6D2">
      <w:pPr>
        <w:pageBreakBefore w:val="0"/>
        <w:kinsoku/>
        <w:wordWrap/>
        <w:overflowPunct/>
        <w:topLinePunct w:val="0"/>
        <w:bidi w:val="0"/>
        <w:spacing w:beforeAutospacing="0" w:line="360" w:lineRule="auto"/>
        <w:ind w:firstLine="241" w:firstLineChars="1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 评标方法</w:t>
      </w:r>
    </w:p>
    <w:p w14:paraId="467FFFF7">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分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4A35DA92">
      <w:pPr>
        <w:pStyle w:val="4"/>
        <w:pageBreakBefore w:val="0"/>
        <w:kinsoku/>
        <w:wordWrap/>
        <w:overflowPunct/>
        <w:topLinePunct w:val="0"/>
        <w:bidi w:val="0"/>
        <w:spacing w:before="0" w:beforeAutospacing="0" w:after="0" w:afterAutospacing="0" w:line="360" w:lineRule="auto"/>
        <w:ind w:firstLine="241" w:firstLineChars="100"/>
        <w:jc w:val="left"/>
        <w:textAlignment w:val="auto"/>
        <w:rPr>
          <w:rFonts w:hint="eastAsia" w:ascii="宋体" w:hAnsi="宋体" w:eastAsia="宋体" w:cs="宋体"/>
          <w:color w:val="auto"/>
          <w:sz w:val="24"/>
          <w:szCs w:val="24"/>
          <w:highlight w:val="none"/>
        </w:rPr>
      </w:pPr>
      <w:bookmarkStart w:id="453" w:name="_Toc296602489"/>
      <w:bookmarkStart w:id="454" w:name="_Toc152042378"/>
      <w:bookmarkStart w:id="455" w:name="_Toc247085759"/>
      <w:bookmarkStart w:id="456" w:name="_Toc246996244"/>
      <w:bookmarkStart w:id="457" w:name="_Toc179632619"/>
      <w:bookmarkStart w:id="458" w:name="_Toc144974568"/>
      <w:bookmarkStart w:id="459" w:name="_Toc26176"/>
      <w:bookmarkStart w:id="460" w:name="_Toc77586955"/>
      <w:bookmarkStart w:id="461" w:name="_Toc152045601"/>
      <w:bookmarkStart w:id="462" w:name="_Toc246996987"/>
      <w:bookmarkStart w:id="463" w:name="_Toc77586861"/>
      <w:r>
        <w:rPr>
          <w:rFonts w:hint="eastAsia" w:ascii="宋体" w:hAnsi="宋体" w:eastAsia="宋体" w:cs="宋体"/>
          <w:color w:val="auto"/>
          <w:sz w:val="24"/>
          <w:szCs w:val="24"/>
          <w:highlight w:val="none"/>
        </w:rPr>
        <w:t>2. 评审标准</w:t>
      </w:r>
      <w:bookmarkEnd w:id="453"/>
      <w:bookmarkEnd w:id="454"/>
      <w:bookmarkEnd w:id="455"/>
      <w:bookmarkEnd w:id="456"/>
      <w:bookmarkEnd w:id="457"/>
      <w:bookmarkEnd w:id="458"/>
      <w:bookmarkEnd w:id="459"/>
      <w:bookmarkEnd w:id="460"/>
      <w:bookmarkEnd w:id="461"/>
      <w:bookmarkEnd w:id="462"/>
      <w:bookmarkEnd w:id="463"/>
      <w:bookmarkStart w:id="464" w:name="_Toc246996988"/>
      <w:bookmarkStart w:id="465" w:name="_Toc152042379"/>
      <w:bookmarkStart w:id="466" w:name="_Toc296602490"/>
      <w:bookmarkStart w:id="467" w:name="_Toc247085760"/>
      <w:bookmarkStart w:id="468" w:name="_Toc179632620"/>
      <w:bookmarkStart w:id="469" w:name="_Toc246996245"/>
      <w:bookmarkStart w:id="470" w:name="_Toc144974569"/>
      <w:bookmarkStart w:id="471" w:name="_Toc152045602"/>
    </w:p>
    <w:p w14:paraId="0E75726A">
      <w:pPr>
        <w:pStyle w:val="4"/>
        <w:pageBreakBefore w:val="0"/>
        <w:kinsoku/>
        <w:wordWrap/>
        <w:overflowPunct/>
        <w:topLinePunct w:val="0"/>
        <w:bidi w:val="0"/>
        <w:spacing w:before="0" w:beforeAutospacing="0" w:after="0" w:afterAutospacing="0" w:line="360" w:lineRule="auto"/>
        <w:ind w:firstLine="241" w:firstLineChars="100"/>
        <w:jc w:val="left"/>
        <w:textAlignment w:val="auto"/>
        <w:rPr>
          <w:rFonts w:hint="eastAsia" w:ascii="宋体" w:hAnsi="宋体" w:eastAsia="宋体" w:cs="宋体"/>
          <w:color w:val="auto"/>
          <w:sz w:val="24"/>
          <w:szCs w:val="24"/>
          <w:highlight w:val="none"/>
        </w:rPr>
      </w:pPr>
      <w:bookmarkStart w:id="472" w:name="_Toc77586862"/>
      <w:bookmarkStart w:id="473" w:name="_Toc25449"/>
      <w:bookmarkStart w:id="474" w:name="_Toc77586956"/>
      <w:r>
        <w:rPr>
          <w:rFonts w:hint="eastAsia" w:ascii="宋体" w:hAnsi="宋体" w:eastAsia="宋体" w:cs="宋体"/>
          <w:color w:val="auto"/>
          <w:sz w:val="24"/>
          <w:szCs w:val="24"/>
          <w:highlight w:val="none"/>
        </w:rPr>
        <w:t>2.1 初步评审标准</w:t>
      </w:r>
      <w:bookmarkEnd w:id="464"/>
      <w:bookmarkEnd w:id="465"/>
      <w:bookmarkEnd w:id="466"/>
      <w:bookmarkEnd w:id="467"/>
      <w:bookmarkEnd w:id="468"/>
      <w:bookmarkEnd w:id="469"/>
      <w:bookmarkEnd w:id="470"/>
      <w:bookmarkEnd w:id="471"/>
      <w:bookmarkEnd w:id="472"/>
      <w:bookmarkEnd w:id="473"/>
      <w:bookmarkEnd w:id="474"/>
    </w:p>
    <w:p w14:paraId="2CB5A513">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形式评审标准：见评标办法前附表。</w:t>
      </w:r>
    </w:p>
    <w:p w14:paraId="4530AF72">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B3F372F">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2.1.3 </w:t>
      </w:r>
      <w:r>
        <w:rPr>
          <w:rFonts w:hint="eastAsia" w:ascii="宋体" w:hAnsi="宋体" w:cs="宋体"/>
          <w:sz w:val="24"/>
          <w:szCs w:val="24"/>
          <w:highlight w:val="none"/>
          <w:lang w:eastAsia="zh-CN"/>
        </w:rPr>
        <w:t>实质性响应评审</w:t>
      </w:r>
      <w:r>
        <w:rPr>
          <w:rFonts w:hint="eastAsia" w:ascii="宋体" w:hAnsi="宋体" w:eastAsia="宋体" w:cs="宋体"/>
          <w:sz w:val="24"/>
          <w:szCs w:val="24"/>
          <w:highlight w:val="none"/>
        </w:rPr>
        <w:t>：见评标办法前附表。</w:t>
      </w:r>
    </w:p>
    <w:p w14:paraId="13F9F489">
      <w:pPr>
        <w:pStyle w:val="5"/>
        <w:pageBreakBefore w:val="0"/>
        <w:kinsoku/>
        <w:wordWrap/>
        <w:overflowPunct/>
        <w:topLinePunct w:val="0"/>
        <w:bidi w:val="0"/>
        <w:spacing w:before="0" w:beforeAutospacing="0" w:after="0" w:line="360" w:lineRule="auto"/>
        <w:ind w:firstLine="241" w:firstLineChars="100"/>
        <w:textAlignment w:val="auto"/>
        <w:rPr>
          <w:rFonts w:hint="eastAsia" w:ascii="宋体" w:hAnsi="宋体" w:eastAsia="宋体" w:cs="宋体"/>
          <w:sz w:val="24"/>
          <w:szCs w:val="24"/>
          <w:highlight w:val="none"/>
        </w:rPr>
      </w:pPr>
      <w:bookmarkStart w:id="475" w:name="_Toc246996989"/>
      <w:bookmarkStart w:id="476" w:name="_Toc77586863"/>
      <w:bookmarkStart w:id="477" w:name="_Toc152042380"/>
      <w:bookmarkStart w:id="478" w:name="_Toc246996246"/>
      <w:bookmarkStart w:id="479" w:name="_Toc179632621"/>
      <w:bookmarkStart w:id="480" w:name="_Toc152045603"/>
      <w:bookmarkStart w:id="481" w:name="_Toc4288"/>
      <w:bookmarkStart w:id="482" w:name="_Toc77586957"/>
      <w:bookmarkStart w:id="483" w:name="_Toc144974570"/>
      <w:bookmarkStart w:id="484" w:name="_Toc247085761"/>
      <w:bookmarkStart w:id="485" w:name="_Toc296602491"/>
      <w:r>
        <w:rPr>
          <w:rFonts w:hint="eastAsia" w:ascii="宋体" w:hAnsi="宋体" w:eastAsia="宋体" w:cs="宋体"/>
          <w:sz w:val="24"/>
          <w:szCs w:val="24"/>
          <w:highlight w:val="none"/>
        </w:rPr>
        <w:t>2.2 分值构成与评分标准</w:t>
      </w:r>
      <w:bookmarkEnd w:id="475"/>
      <w:bookmarkEnd w:id="476"/>
      <w:bookmarkEnd w:id="477"/>
      <w:bookmarkEnd w:id="478"/>
      <w:bookmarkEnd w:id="479"/>
      <w:bookmarkEnd w:id="480"/>
      <w:bookmarkEnd w:id="481"/>
      <w:bookmarkEnd w:id="482"/>
      <w:bookmarkEnd w:id="483"/>
      <w:bookmarkEnd w:id="484"/>
      <w:bookmarkEnd w:id="485"/>
    </w:p>
    <w:p w14:paraId="734E0981">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 分值构成</w:t>
      </w:r>
    </w:p>
    <w:p w14:paraId="5D57F21F">
      <w:pPr>
        <w:pageBreakBefore w:val="0"/>
        <w:kinsoku/>
        <w:wordWrap/>
        <w:overflowPunct/>
        <w:topLinePunct w:val="0"/>
        <w:bidi w:val="0"/>
        <w:spacing w:beforeAutospacing="0" w:line="360" w:lineRule="auto"/>
        <w:ind w:firstLine="820" w:firstLineChars="34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（1）技术标：见评标办法前附表；</w:t>
      </w:r>
    </w:p>
    <w:p w14:paraId="4B976794">
      <w:pPr>
        <w:pageBreakBefore w:val="0"/>
        <w:kinsoku/>
        <w:wordWrap/>
        <w:overflowPunct/>
        <w:topLinePunct w:val="0"/>
        <w:bidi w:val="0"/>
        <w:spacing w:beforeAutospacing="0" w:line="360" w:lineRule="auto"/>
        <w:ind w:firstLine="820" w:firstLineChars="34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（2）商务标：见评标办法前附表；</w:t>
      </w:r>
    </w:p>
    <w:p w14:paraId="6850AF1C">
      <w:pPr>
        <w:pageBreakBefore w:val="0"/>
        <w:kinsoku/>
        <w:wordWrap/>
        <w:overflowPunct/>
        <w:topLinePunct w:val="0"/>
        <w:bidi w:val="0"/>
        <w:spacing w:beforeAutospacing="0" w:line="360" w:lineRule="auto"/>
        <w:ind w:firstLine="820" w:firstLineChars="34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（3）综合标：见评标办法前附表。</w:t>
      </w:r>
    </w:p>
    <w:p w14:paraId="0F75C740">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 评分标准</w:t>
      </w:r>
    </w:p>
    <w:p w14:paraId="76378E8E">
      <w:pPr>
        <w:pageBreakBefore w:val="0"/>
        <w:kinsoku/>
        <w:wordWrap/>
        <w:overflowPunct/>
        <w:topLinePunct w:val="0"/>
        <w:bidi w:val="0"/>
        <w:spacing w:beforeAutospacing="0" w:line="360" w:lineRule="auto"/>
        <w:ind w:firstLine="820" w:firstLineChars="34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（1）技术标评分标准：见评标办法前附表；</w:t>
      </w:r>
    </w:p>
    <w:p w14:paraId="577499A2">
      <w:pPr>
        <w:pageBreakBefore w:val="0"/>
        <w:kinsoku/>
        <w:wordWrap/>
        <w:overflowPunct/>
        <w:topLinePunct w:val="0"/>
        <w:bidi w:val="0"/>
        <w:spacing w:beforeAutospacing="0" w:line="360" w:lineRule="auto"/>
        <w:ind w:firstLine="820" w:firstLineChars="34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（2）商务标评分标准：见评标办法前附表；</w:t>
      </w:r>
    </w:p>
    <w:p w14:paraId="447620D8">
      <w:pPr>
        <w:pageBreakBefore w:val="0"/>
        <w:kinsoku/>
        <w:wordWrap/>
        <w:overflowPunct/>
        <w:topLinePunct w:val="0"/>
        <w:bidi w:val="0"/>
        <w:spacing w:beforeAutospacing="0" w:line="360" w:lineRule="auto"/>
        <w:ind w:firstLine="820" w:firstLineChars="34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（3）综合标评分标准：见评标办法前附表。</w:t>
      </w:r>
      <w:bookmarkStart w:id="486" w:name="_Toc246996990"/>
      <w:bookmarkStart w:id="487" w:name="_Toc152045604"/>
      <w:bookmarkStart w:id="488" w:name="_Toc246996247"/>
      <w:bookmarkStart w:id="489" w:name="_Toc179632622"/>
      <w:bookmarkStart w:id="490" w:name="_Toc152042381"/>
      <w:bookmarkStart w:id="491" w:name="_Toc296602492"/>
      <w:bookmarkStart w:id="492" w:name="_Toc144974571"/>
      <w:bookmarkStart w:id="493" w:name="_Toc247085762"/>
    </w:p>
    <w:p w14:paraId="548A78AF">
      <w:pPr>
        <w:pageBreakBefore w:val="0"/>
        <w:kinsoku/>
        <w:wordWrap/>
        <w:overflowPunct/>
        <w:topLinePunct w:val="0"/>
        <w:bidi w:val="0"/>
        <w:spacing w:beforeAutospacing="0" w:line="360" w:lineRule="auto"/>
        <w:ind w:firstLine="241" w:firstLineChars="1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 评标程序</w:t>
      </w:r>
      <w:bookmarkEnd w:id="486"/>
      <w:bookmarkEnd w:id="487"/>
      <w:bookmarkEnd w:id="488"/>
      <w:bookmarkEnd w:id="489"/>
      <w:bookmarkEnd w:id="490"/>
      <w:bookmarkEnd w:id="491"/>
      <w:bookmarkEnd w:id="492"/>
      <w:bookmarkEnd w:id="493"/>
    </w:p>
    <w:p w14:paraId="5858E95B">
      <w:pPr>
        <w:pStyle w:val="5"/>
        <w:pageBreakBefore w:val="0"/>
        <w:kinsoku/>
        <w:wordWrap/>
        <w:overflowPunct/>
        <w:topLinePunct w:val="0"/>
        <w:bidi w:val="0"/>
        <w:spacing w:before="0" w:beforeAutospacing="0" w:after="0" w:line="360" w:lineRule="auto"/>
        <w:ind w:firstLine="241" w:firstLineChars="100"/>
        <w:textAlignment w:val="auto"/>
        <w:rPr>
          <w:rFonts w:hint="eastAsia" w:ascii="宋体" w:hAnsi="宋体" w:eastAsia="宋体" w:cs="宋体"/>
          <w:sz w:val="24"/>
          <w:szCs w:val="24"/>
          <w:highlight w:val="none"/>
        </w:rPr>
      </w:pPr>
      <w:bookmarkStart w:id="494" w:name="_Toc247085763"/>
      <w:bookmarkStart w:id="495" w:name="_Toc179632623"/>
      <w:bookmarkStart w:id="496" w:name="_Toc296602493"/>
      <w:bookmarkStart w:id="497" w:name="_Toc77586864"/>
      <w:bookmarkStart w:id="498" w:name="_Toc77586958"/>
      <w:bookmarkStart w:id="499" w:name="_Toc152045605"/>
      <w:bookmarkStart w:id="500" w:name="_Toc152042382"/>
      <w:bookmarkStart w:id="501" w:name="_Toc246996991"/>
      <w:bookmarkStart w:id="502" w:name="_Toc246996248"/>
      <w:bookmarkStart w:id="503" w:name="_Toc144974572"/>
      <w:bookmarkStart w:id="504" w:name="_Toc19128"/>
      <w:r>
        <w:rPr>
          <w:rFonts w:hint="eastAsia" w:ascii="宋体" w:hAnsi="宋体" w:eastAsia="宋体" w:cs="宋体"/>
          <w:sz w:val="24"/>
          <w:szCs w:val="24"/>
          <w:highlight w:val="none"/>
        </w:rPr>
        <w:t>3.1 初步评审</w:t>
      </w:r>
      <w:bookmarkEnd w:id="494"/>
      <w:bookmarkEnd w:id="495"/>
      <w:bookmarkEnd w:id="496"/>
      <w:bookmarkEnd w:id="497"/>
      <w:bookmarkEnd w:id="498"/>
      <w:bookmarkEnd w:id="499"/>
      <w:bookmarkEnd w:id="500"/>
      <w:bookmarkEnd w:id="501"/>
      <w:bookmarkEnd w:id="502"/>
      <w:bookmarkEnd w:id="503"/>
      <w:bookmarkEnd w:id="504"/>
    </w:p>
    <w:p w14:paraId="0D786B23">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3.1.1磋商小组依据本章第2.1款规定的标准对磋商响应文件进行初步评审。有一项不符合评审标准的，磋商小组应当否决其投标。</w:t>
      </w:r>
    </w:p>
    <w:p w14:paraId="093768DC">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3.1.2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有以下情形之一的，磋商小组应当否决其投标：</w:t>
      </w:r>
    </w:p>
    <w:p w14:paraId="64A45540">
      <w:pPr>
        <w:pageBreakBefore w:val="0"/>
        <w:kinsoku/>
        <w:wordWrap/>
        <w:overflowPunct/>
        <w:topLinePunct w:val="0"/>
        <w:bidi w:val="0"/>
        <w:spacing w:beforeAutospacing="0" w:line="360" w:lineRule="auto"/>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（1）第二章“</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须知”第1.4.2项、第1.4.3项规定的任何一种情形的；</w:t>
      </w:r>
    </w:p>
    <w:p w14:paraId="3D4E1E4C">
      <w:pPr>
        <w:pageBreakBefore w:val="0"/>
        <w:kinsoku/>
        <w:wordWrap/>
        <w:overflowPunct/>
        <w:topLinePunct w:val="0"/>
        <w:bidi w:val="0"/>
        <w:spacing w:beforeAutospacing="0" w:line="360" w:lineRule="auto"/>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（2）串通投标或弄虚作假或有其他违法行为的；</w:t>
      </w:r>
    </w:p>
    <w:p w14:paraId="7AA54571">
      <w:pPr>
        <w:pageBreakBefore w:val="0"/>
        <w:kinsoku/>
        <w:wordWrap/>
        <w:overflowPunct/>
        <w:topLinePunct w:val="0"/>
        <w:bidi w:val="0"/>
        <w:spacing w:beforeAutospacing="0" w:line="360" w:lineRule="auto"/>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（3）不按磋商小组要求澄清、说明或补正的。</w:t>
      </w:r>
    </w:p>
    <w:p w14:paraId="2951D134">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3.1.3投标报价有算术错误的，磋商小组按以下原则对投标报价进行修正，修正的价格经</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书面确认后具有约束力。</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不接受修正价格的，磋商小组应当否决其投标。</w:t>
      </w:r>
    </w:p>
    <w:p w14:paraId="09069A15">
      <w:pPr>
        <w:pageBreakBefore w:val="0"/>
        <w:kinsoku/>
        <w:wordWrap/>
        <w:overflowPunct/>
        <w:topLinePunct w:val="0"/>
        <w:bidi w:val="0"/>
        <w:spacing w:beforeAutospacing="0" w:line="360" w:lineRule="auto"/>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（1）磋商响应文件中的大写金额与小写金额不一致的，以大写金额为准；</w:t>
      </w:r>
    </w:p>
    <w:p w14:paraId="12B2B918">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14:paraId="1F608CA9">
      <w:pPr>
        <w:pStyle w:val="5"/>
        <w:pageBreakBefore w:val="0"/>
        <w:kinsoku/>
        <w:wordWrap/>
        <w:overflowPunct/>
        <w:topLinePunct w:val="0"/>
        <w:bidi w:val="0"/>
        <w:spacing w:before="0" w:beforeAutospacing="0" w:after="0" w:line="360" w:lineRule="auto"/>
        <w:textAlignment w:val="auto"/>
        <w:rPr>
          <w:rFonts w:hint="eastAsia" w:ascii="宋体" w:hAnsi="宋体" w:eastAsia="宋体" w:cs="宋体"/>
          <w:sz w:val="24"/>
          <w:szCs w:val="24"/>
          <w:highlight w:val="none"/>
        </w:rPr>
      </w:pPr>
      <w:bookmarkStart w:id="505" w:name="_Toc77586865"/>
      <w:bookmarkStart w:id="506" w:name="_Toc247085764"/>
      <w:bookmarkStart w:id="507" w:name="_Toc152045606"/>
      <w:bookmarkStart w:id="508" w:name="_Toc296602494"/>
      <w:bookmarkStart w:id="509" w:name="_Toc246996992"/>
      <w:bookmarkStart w:id="510" w:name="_Toc1420"/>
      <w:bookmarkStart w:id="511" w:name="_Toc77586959"/>
      <w:bookmarkStart w:id="512" w:name="_Toc144974573"/>
      <w:bookmarkStart w:id="513" w:name="_Toc179632624"/>
      <w:bookmarkStart w:id="514" w:name="_Toc246996249"/>
      <w:bookmarkStart w:id="515" w:name="_Toc152042384"/>
      <w:r>
        <w:rPr>
          <w:rFonts w:hint="eastAsia" w:ascii="宋体" w:hAnsi="宋体" w:eastAsia="宋体" w:cs="宋体"/>
          <w:sz w:val="24"/>
          <w:szCs w:val="24"/>
          <w:highlight w:val="none"/>
        </w:rPr>
        <w:t>3.2 详细评审</w:t>
      </w:r>
      <w:bookmarkEnd w:id="505"/>
      <w:bookmarkEnd w:id="506"/>
      <w:bookmarkEnd w:id="507"/>
      <w:bookmarkEnd w:id="508"/>
      <w:bookmarkEnd w:id="509"/>
      <w:bookmarkEnd w:id="510"/>
      <w:bookmarkEnd w:id="511"/>
      <w:bookmarkEnd w:id="512"/>
      <w:bookmarkEnd w:id="513"/>
      <w:bookmarkEnd w:id="514"/>
      <w:bookmarkEnd w:id="515"/>
    </w:p>
    <w:p w14:paraId="0F1DAD38">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 磋商小组按本章第2.2款规定的量化因素和分值进行打分，并计算出综合评估得分。</w:t>
      </w:r>
    </w:p>
    <w:p w14:paraId="6B4C8E9F">
      <w:pPr>
        <w:pageBreakBefore w:val="0"/>
        <w:kinsoku/>
        <w:wordWrap/>
        <w:overflowPunct/>
        <w:topLinePunct w:val="0"/>
        <w:bidi w:val="0"/>
        <w:spacing w:beforeAutospacing="0"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（1）按本章第2.2.2（1）目规定的评审因素和分值对技术标计算出得分；</w:t>
      </w:r>
    </w:p>
    <w:p w14:paraId="434B7417">
      <w:pPr>
        <w:pageBreakBefore w:val="0"/>
        <w:kinsoku/>
        <w:wordWrap/>
        <w:overflowPunct/>
        <w:topLinePunct w:val="0"/>
        <w:bidi w:val="0"/>
        <w:spacing w:beforeAutospacing="0"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（2）按本章第2.2.2（2）目规定的评审因素和分值对商务标计算出得分；</w:t>
      </w:r>
    </w:p>
    <w:p w14:paraId="00CF1C88">
      <w:pPr>
        <w:pageBreakBefore w:val="0"/>
        <w:kinsoku/>
        <w:wordWrap/>
        <w:overflowPunct/>
        <w:topLinePunct w:val="0"/>
        <w:bidi w:val="0"/>
        <w:spacing w:beforeAutospacing="0"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（3）按本章第2.2.2（3）目规定的评审因素和分值对综合标计算出得分；</w:t>
      </w:r>
    </w:p>
    <w:p w14:paraId="777EC890">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 评分分值计算过程中保留小数点后三位，最后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得分汇总时保留小数点后两位，小数点后第三位“四舍五入”。</w:t>
      </w:r>
    </w:p>
    <w:p w14:paraId="67B81A7A">
      <w:pPr>
        <w:pageBreakBefore w:val="0"/>
        <w:tabs>
          <w:tab w:val="center" w:pos="4677"/>
        </w:tabs>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3.2.3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得分=技术标+商务标+综合标。</w:t>
      </w:r>
    </w:p>
    <w:p w14:paraId="38768B7A">
      <w:pPr>
        <w:pageBreakBefore w:val="0"/>
        <w:kinsoku/>
        <w:wordWrap/>
        <w:overflowPunct/>
        <w:topLinePunct w:val="0"/>
        <w:bidi w:val="0"/>
        <w:spacing w:before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3.2.4在磋商小组完成对技术标、商务标和综合标的汇总后取平均值，作为该</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的最终得分。</w:t>
      </w:r>
    </w:p>
    <w:p w14:paraId="177B38E2">
      <w:pPr>
        <w:pageBreakBefore w:val="0"/>
        <w:tabs>
          <w:tab w:val="center" w:pos="4677"/>
        </w:tabs>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3.2.5磋商小组发现</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做出书面说明并提供相应的证明材料。</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以低于成本报价竞标，否决其投标。</w:t>
      </w:r>
    </w:p>
    <w:p w14:paraId="56DD6D58">
      <w:pPr>
        <w:pStyle w:val="5"/>
        <w:pageBreakBefore w:val="0"/>
        <w:kinsoku/>
        <w:wordWrap/>
        <w:overflowPunct/>
        <w:topLinePunct w:val="0"/>
        <w:bidi w:val="0"/>
        <w:spacing w:before="0" w:beforeAutospacing="0" w:after="0" w:line="360" w:lineRule="auto"/>
        <w:ind w:firstLine="241" w:firstLineChars="100"/>
        <w:textAlignment w:val="auto"/>
        <w:rPr>
          <w:rFonts w:hint="eastAsia" w:ascii="宋体" w:hAnsi="宋体" w:eastAsia="宋体" w:cs="宋体"/>
          <w:sz w:val="24"/>
          <w:szCs w:val="24"/>
          <w:highlight w:val="none"/>
        </w:rPr>
      </w:pPr>
      <w:bookmarkStart w:id="516" w:name="_Toc144974575"/>
      <w:bookmarkStart w:id="517" w:name="_Toc152045607"/>
      <w:bookmarkStart w:id="518" w:name="_Toc179632625"/>
      <w:bookmarkStart w:id="519" w:name="_Toc246996993"/>
      <w:bookmarkStart w:id="520" w:name="_Toc296602495"/>
      <w:bookmarkStart w:id="521" w:name="_Toc77586866"/>
      <w:bookmarkStart w:id="522" w:name="_Toc20172"/>
      <w:bookmarkStart w:id="523" w:name="_Toc246996250"/>
      <w:bookmarkStart w:id="524" w:name="_Toc152042385"/>
      <w:bookmarkStart w:id="525" w:name="_Toc247085765"/>
      <w:bookmarkStart w:id="526" w:name="_Toc77586960"/>
      <w:r>
        <w:rPr>
          <w:rFonts w:hint="eastAsia" w:ascii="宋体" w:hAnsi="宋体" w:eastAsia="宋体" w:cs="宋体"/>
          <w:sz w:val="24"/>
          <w:szCs w:val="24"/>
          <w:highlight w:val="none"/>
        </w:rPr>
        <w:t>3.3 磋商响应文件的澄清</w:t>
      </w:r>
      <w:bookmarkEnd w:id="516"/>
      <w:r>
        <w:rPr>
          <w:rFonts w:hint="eastAsia" w:ascii="宋体" w:hAnsi="宋体" w:eastAsia="宋体" w:cs="宋体"/>
          <w:sz w:val="24"/>
          <w:szCs w:val="24"/>
          <w:highlight w:val="none"/>
        </w:rPr>
        <w:t>和补正</w:t>
      </w:r>
      <w:bookmarkEnd w:id="517"/>
      <w:bookmarkEnd w:id="518"/>
      <w:bookmarkEnd w:id="519"/>
      <w:bookmarkEnd w:id="520"/>
      <w:bookmarkEnd w:id="521"/>
      <w:bookmarkEnd w:id="522"/>
      <w:bookmarkEnd w:id="523"/>
      <w:bookmarkEnd w:id="524"/>
      <w:bookmarkEnd w:id="525"/>
      <w:bookmarkEnd w:id="526"/>
    </w:p>
    <w:p w14:paraId="6773A0DC">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3.3.1在评标过程中，磋商小组可以书面形式要求</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对所提交磋商响应文件中不明确的内容进行书面澄清或说明，或者对细微偏差进行补正。磋商小组不接受</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主动提出的澄清、说明或补正。</w:t>
      </w:r>
    </w:p>
    <w:p w14:paraId="75F413CA">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 澄清、说明和补正不得改变磋商响应文件的实质性内容。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的书面澄清、说明和补正属于磋商响应文件的组成部分。</w:t>
      </w:r>
    </w:p>
    <w:p w14:paraId="4C19A378">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 磋商小组对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提交的澄清、说明或补正有疑问的，可以要求</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进一步澄清、说明或补正，直至满足磋商小组的要求。</w:t>
      </w:r>
    </w:p>
    <w:p w14:paraId="5452688A">
      <w:pPr>
        <w:pStyle w:val="5"/>
        <w:pageBreakBefore w:val="0"/>
        <w:kinsoku/>
        <w:wordWrap/>
        <w:overflowPunct/>
        <w:topLinePunct w:val="0"/>
        <w:bidi w:val="0"/>
        <w:spacing w:before="0" w:beforeAutospacing="0" w:after="0" w:line="360" w:lineRule="auto"/>
        <w:textAlignment w:val="auto"/>
        <w:rPr>
          <w:rFonts w:hint="eastAsia" w:ascii="宋体" w:hAnsi="宋体" w:eastAsia="宋体" w:cs="宋体"/>
          <w:sz w:val="24"/>
          <w:szCs w:val="24"/>
          <w:highlight w:val="none"/>
        </w:rPr>
      </w:pPr>
      <w:bookmarkStart w:id="527" w:name="_Toc246996251"/>
      <w:bookmarkStart w:id="528" w:name="_Toc247085766"/>
      <w:bookmarkStart w:id="529" w:name="_Toc152045608"/>
      <w:bookmarkStart w:id="530" w:name="_Toc10762"/>
      <w:bookmarkStart w:id="531" w:name="_Toc144974576"/>
      <w:bookmarkStart w:id="532" w:name="_Toc246996994"/>
      <w:bookmarkStart w:id="533" w:name="_Toc296602496"/>
      <w:bookmarkStart w:id="534" w:name="_Toc77586961"/>
      <w:bookmarkStart w:id="535" w:name="_Toc152042386"/>
      <w:bookmarkStart w:id="536" w:name="_Toc77586867"/>
      <w:bookmarkStart w:id="537" w:name="_Toc179632626"/>
      <w:r>
        <w:rPr>
          <w:rFonts w:hint="eastAsia" w:ascii="宋体" w:hAnsi="宋体" w:eastAsia="宋体" w:cs="宋体"/>
          <w:sz w:val="24"/>
          <w:szCs w:val="24"/>
          <w:highlight w:val="none"/>
        </w:rPr>
        <w:t>3.4 评标结果</w:t>
      </w:r>
      <w:bookmarkEnd w:id="527"/>
      <w:bookmarkEnd w:id="528"/>
      <w:bookmarkEnd w:id="529"/>
      <w:bookmarkEnd w:id="530"/>
      <w:bookmarkEnd w:id="531"/>
      <w:bookmarkEnd w:id="532"/>
      <w:bookmarkEnd w:id="533"/>
      <w:bookmarkEnd w:id="534"/>
      <w:bookmarkEnd w:id="535"/>
      <w:bookmarkEnd w:id="536"/>
      <w:bookmarkEnd w:id="537"/>
    </w:p>
    <w:p w14:paraId="45B661C8">
      <w:pPr>
        <w:pageBreakBefore w:val="0"/>
        <w:kinsoku/>
        <w:wordWrap/>
        <w:overflowPunct/>
        <w:topLinePunct w:val="0"/>
        <w:bidi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3.4.1磋商小组按照得分由高到低的顺序推荐成交候选人。</w:t>
      </w:r>
    </w:p>
    <w:p w14:paraId="64DB52A5">
      <w:pPr>
        <w:pageBreakBefore w:val="0"/>
        <w:kinsoku/>
        <w:wordWrap/>
        <w:overflowPunct/>
        <w:topLinePunct w:val="0"/>
        <w:bidi w:val="0"/>
        <w:spacing w:beforeAutospacing="0" w:line="360" w:lineRule="auto"/>
        <w:ind w:firstLine="480" w:firstLineChars="200"/>
        <w:textAlignment w:val="auto"/>
        <w:rPr>
          <w:rFonts w:ascii="宋体" w:hAnsi="宋体" w:cs="宋体"/>
          <w:sz w:val="24"/>
          <w:szCs w:val="24"/>
          <w:highlight w:val="none"/>
        </w:rPr>
      </w:pPr>
      <w:r>
        <w:rPr>
          <w:rFonts w:hint="eastAsia" w:ascii="宋体" w:hAnsi="宋体" w:eastAsia="宋体" w:cs="宋体"/>
          <w:sz w:val="24"/>
          <w:szCs w:val="24"/>
          <w:highlight w:val="none"/>
        </w:rPr>
        <w:t>3.4.2磋商小组完成评标后，应当向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提交书面评标报告。</w:t>
      </w:r>
    </w:p>
    <w:p w14:paraId="463DFEC7">
      <w:pPr>
        <w:pStyle w:val="3"/>
        <w:bidi w:val="0"/>
        <w:jc w:val="center"/>
        <w:rPr>
          <w:rFonts w:ascii="宋体" w:hAnsi="宋体" w:cs="宋体"/>
          <w:b/>
          <w:bCs/>
          <w:szCs w:val="32"/>
          <w:highlight w:val="none"/>
        </w:rPr>
      </w:pPr>
      <w:r>
        <w:rPr>
          <w:rFonts w:hint="eastAsia" w:ascii="宋体" w:hAnsi="宋体" w:cs="宋体"/>
          <w:b/>
          <w:szCs w:val="40"/>
          <w:highlight w:val="none"/>
        </w:rPr>
        <w:br w:type="page"/>
      </w:r>
      <w:bookmarkStart w:id="538" w:name="_Toc18117"/>
      <w:bookmarkStart w:id="539" w:name="_Toc77586962"/>
      <w:r>
        <w:rPr>
          <w:rFonts w:hint="eastAsia"/>
        </w:rPr>
        <w:t>第四章  合同条款及格式</w:t>
      </w:r>
      <w:bookmarkEnd w:id="538"/>
      <w:bookmarkEnd w:id="539"/>
    </w:p>
    <w:p w14:paraId="6EE53B85">
      <w:pPr>
        <w:autoSpaceDE w:val="0"/>
        <w:autoSpaceDN w:val="0"/>
        <w:spacing w:line="360" w:lineRule="auto"/>
        <w:jc w:val="center"/>
        <w:rPr>
          <w:rFonts w:hint="eastAsia" w:ascii="宋体" w:hAnsi="宋体" w:eastAsia="宋体" w:cs="宋体"/>
          <w:sz w:val="24"/>
          <w:szCs w:val="24"/>
          <w:highlight w:val="none"/>
        </w:rPr>
      </w:pPr>
      <w:bookmarkStart w:id="540" w:name="_Toc23473"/>
      <w:bookmarkStart w:id="541" w:name="_Toc5342"/>
      <w:bookmarkStart w:id="542" w:name="_Toc69718835"/>
      <w:bookmarkStart w:id="543" w:name="_Toc77586963"/>
      <w:bookmarkStart w:id="544" w:name="_Toc246997093"/>
      <w:bookmarkStart w:id="545" w:name="_Toc247085866"/>
      <w:bookmarkStart w:id="546" w:name="_Toc247096438"/>
      <w:bookmarkStart w:id="547" w:name="_Toc246996350"/>
      <w:bookmarkStart w:id="548" w:name="_Toc152045782"/>
      <w:bookmarkStart w:id="549" w:name="_Toc144974851"/>
      <w:bookmarkStart w:id="550" w:name="_Toc152042571"/>
      <w:bookmarkStart w:id="551" w:name="_Toc296602596"/>
      <w:bookmarkStart w:id="552" w:name="_Toc179632800"/>
      <w:r>
        <w:rPr>
          <w:rFonts w:hint="eastAsia" w:ascii="宋体" w:hAnsi="宋体" w:eastAsia="宋体" w:cs="宋体"/>
          <w:sz w:val="24"/>
          <w:szCs w:val="24"/>
          <w:highlight w:val="none"/>
        </w:rPr>
        <w:t>此合同仅供参考。以最终采购人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灵宝市豫灵镇第一初级中学）</w:t>
      </w:r>
      <w:r>
        <w:rPr>
          <w:rFonts w:hint="eastAsia" w:ascii="宋体" w:hAnsi="宋体" w:eastAsia="宋体" w:cs="宋体"/>
          <w:sz w:val="24"/>
          <w:szCs w:val="24"/>
          <w:highlight w:val="none"/>
        </w:rPr>
        <w:t>与成交人签定的合同条款为准</w:t>
      </w:r>
    </w:p>
    <w:p w14:paraId="2EEC6673">
      <w:pPr>
        <w:autoSpaceDE w:val="0"/>
        <w:autoSpaceDN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进行公示</w:t>
      </w:r>
      <w:bookmarkEnd w:id="540"/>
      <w:bookmarkEnd w:id="541"/>
    </w:p>
    <w:bookmarkEnd w:id="542"/>
    <w:p w14:paraId="023A631B">
      <w:pPr>
        <w:autoSpaceDE w:val="0"/>
        <w:autoSpaceDN w:val="0"/>
        <w:spacing w:line="440" w:lineRule="exact"/>
        <w:jc w:val="left"/>
        <w:rPr>
          <w:rFonts w:ascii="宋体" w:hAnsi="宋体" w:eastAsia="宋体" w:cs="宋体"/>
          <w:sz w:val="24"/>
          <w:szCs w:val="24"/>
          <w:u w:val="single"/>
          <w:lang w:val="zh-CN"/>
        </w:rPr>
      </w:pPr>
      <w:r>
        <w:rPr>
          <w:rFonts w:hint="eastAsia" w:ascii="宋体" w:hAnsi="宋体" w:eastAsia="宋体" w:cs="宋体"/>
          <w:sz w:val="24"/>
          <w:szCs w:val="24"/>
          <w:lang w:val="zh-CN"/>
        </w:rPr>
        <w:t>合同编号：</w:t>
      </w:r>
    </w:p>
    <w:p w14:paraId="79BB0220">
      <w:pPr>
        <w:autoSpaceDE w:val="0"/>
        <w:autoSpaceDN w:val="0"/>
        <w:spacing w:line="360" w:lineRule="auto"/>
        <w:rPr>
          <w:rFonts w:ascii="宋体" w:hAnsi="宋体" w:eastAsia="宋体" w:cs="宋体"/>
          <w:sz w:val="24"/>
          <w:szCs w:val="24"/>
          <w:u w:val="single"/>
          <w:lang w:val="zh-CN"/>
        </w:rPr>
      </w:pPr>
      <w:r>
        <w:rPr>
          <w:rFonts w:hint="eastAsia" w:ascii="宋体" w:hAnsi="宋体" w:eastAsia="宋体" w:cs="宋体"/>
          <w:sz w:val="24"/>
          <w:szCs w:val="24"/>
          <w:lang w:val="zh-CN"/>
        </w:rPr>
        <w:t>供方（中标供应商全称）：</w:t>
      </w:r>
      <w:r>
        <w:rPr>
          <w:rFonts w:hint="eastAsia" w:ascii="宋体" w:hAnsi="宋体" w:eastAsia="宋体" w:cs="宋体"/>
          <w:sz w:val="24"/>
          <w:szCs w:val="24"/>
          <w:u w:val="single"/>
          <w:lang w:val="zh-CN"/>
        </w:rPr>
        <w:t xml:space="preserve">             </w:t>
      </w:r>
    </w:p>
    <w:p w14:paraId="53754B07">
      <w:pPr>
        <w:autoSpaceDE w:val="0"/>
        <w:autoSpaceDN w:val="0"/>
        <w:spacing w:line="360" w:lineRule="auto"/>
        <w:rPr>
          <w:rFonts w:ascii="宋体" w:hAnsi="宋体" w:eastAsia="宋体" w:cs="宋体"/>
          <w:sz w:val="24"/>
          <w:szCs w:val="24"/>
          <w:u w:val="single"/>
          <w:lang w:val="zh-CN"/>
        </w:rPr>
      </w:pPr>
      <w:r>
        <w:rPr>
          <w:rFonts w:hint="eastAsia" w:ascii="宋体" w:hAnsi="宋体" w:eastAsia="宋体" w:cs="宋体"/>
          <w:sz w:val="24"/>
          <w:szCs w:val="24"/>
          <w:lang w:val="zh-CN"/>
        </w:rPr>
        <w:t>需方（采购人全称）：</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zh-CN" w:eastAsia="zh-CN"/>
        </w:rPr>
        <w:t>灵宝市豫灵镇第一初级中学</w:t>
      </w:r>
      <w:r>
        <w:rPr>
          <w:rFonts w:hint="eastAsia" w:ascii="宋体" w:hAnsi="宋体" w:eastAsia="宋体" w:cs="宋体"/>
          <w:sz w:val="24"/>
          <w:szCs w:val="24"/>
          <w:u w:val="single"/>
          <w:lang w:val="zh-CN"/>
        </w:rPr>
        <w:t xml:space="preserve">  </w:t>
      </w:r>
    </w:p>
    <w:p w14:paraId="034D1C6E">
      <w:pPr>
        <w:autoSpaceDE w:val="0"/>
        <w:autoSpaceDN w:val="0"/>
        <w:spacing w:line="360" w:lineRule="auto"/>
        <w:ind w:firstLine="645"/>
        <w:rPr>
          <w:rFonts w:ascii="宋体" w:hAnsi="宋体" w:eastAsia="宋体" w:cs="宋体"/>
          <w:sz w:val="24"/>
          <w:szCs w:val="24"/>
          <w:lang w:val="zh-CN"/>
        </w:rPr>
      </w:pPr>
      <w:r>
        <w:rPr>
          <w:rFonts w:hint="eastAsia" w:ascii="宋体" w:hAnsi="宋体" w:eastAsia="宋体" w:cs="宋体"/>
          <w:sz w:val="24"/>
          <w:szCs w:val="24"/>
          <w:lang w:val="zh-CN"/>
        </w:rPr>
        <w:t>供方持中标</w:t>
      </w:r>
      <w:r>
        <w:rPr>
          <w:rFonts w:ascii="宋体" w:hAnsi="宋体" w:eastAsia="宋体" w:cs="宋体"/>
          <w:sz w:val="24"/>
          <w:szCs w:val="24"/>
          <w:lang w:val="zh-CN"/>
        </w:rPr>
        <w:t>/</w:t>
      </w:r>
      <w:r>
        <w:rPr>
          <w:rFonts w:hint="eastAsia" w:ascii="宋体" w:hAnsi="宋体" w:eastAsia="宋体" w:cs="宋体"/>
          <w:sz w:val="24"/>
          <w:szCs w:val="24"/>
          <w:lang w:val="zh-CN"/>
        </w:rPr>
        <w:t>成交通知书，根据招标文件、供方的投标</w:t>
      </w:r>
      <w:r>
        <w:rPr>
          <w:rFonts w:ascii="宋体" w:hAnsi="宋体" w:eastAsia="宋体" w:cs="宋体"/>
          <w:sz w:val="24"/>
          <w:szCs w:val="24"/>
          <w:lang w:val="zh-CN"/>
        </w:rPr>
        <w:t>/</w:t>
      </w:r>
      <w:r>
        <w:rPr>
          <w:rFonts w:hint="eastAsia" w:ascii="宋体" w:hAnsi="宋体" w:eastAsia="宋体" w:cs="宋体"/>
          <w:sz w:val="24"/>
          <w:szCs w:val="24"/>
          <w:lang w:val="zh-CN"/>
        </w:rPr>
        <w:t>报价等文件</w:t>
      </w:r>
      <w:r>
        <w:rPr>
          <w:rFonts w:ascii="宋体" w:hAnsi="宋体" w:eastAsia="宋体" w:cs="宋体"/>
          <w:sz w:val="24"/>
          <w:szCs w:val="24"/>
          <w:lang w:val="zh-CN"/>
        </w:rPr>
        <w:t>[</w:t>
      </w:r>
      <w:r>
        <w:rPr>
          <w:rFonts w:hint="eastAsia" w:ascii="宋体" w:hAnsi="宋体" w:eastAsia="宋体" w:cs="宋体"/>
          <w:sz w:val="24"/>
          <w:szCs w:val="24"/>
          <w:lang w:val="zh-CN"/>
        </w:rPr>
        <w:t>项目编号：</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w:t>
      </w:r>
      <w:r>
        <w:rPr>
          <w:rFonts w:hint="eastAsia" w:ascii="宋体" w:hAnsi="宋体" w:eastAsia="宋体" w:cs="宋体"/>
          <w:sz w:val="24"/>
          <w:szCs w:val="24"/>
          <w:lang w:val="zh-CN"/>
        </w:rPr>
        <w:t>，按照《政府采购法》、《中华人民共和国民法典》等有关法律、法规，供需双方经协商一致，达成以下合同条款：</w:t>
      </w:r>
    </w:p>
    <w:p w14:paraId="1ABA5B40">
      <w:pPr>
        <w:autoSpaceDE w:val="0"/>
        <w:autoSpaceDN w:val="0"/>
        <w:spacing w:line="360" w:lineRule="auto"/>
        <w:ind w:firstLine="538"/>
        <w:rPr>
          <w:rFonts w:ascii="宋体" w:hAnsi="宋体" w:eastAsia="宋体" w:cs="宋体"/>
          <w:sz w:val="24"/>
          <w:szCs w:val="24"/>
          <w:lang w:val="zh-CN"/>
        </w:rPr>
      </w:pPr>
      <w:r>
        <w:rPr>
          <w:rFonts w:hint="eastAsia" w:ascii="宋体" w:hAnsi="宋体" w:eastAsia="宋体" w:cs="宋体"/>
          <w:sz w:val="24"/>
          <w:szCs w:val="24"/>
          <w:lang w:val="zh-CN"/>
        </w:rPr>
        <w:t>一、本合同名称：</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5187052D">
      <w:pPr>
        <w:autoSpaceDE w:val="0"/>
        <w:autoSpaceDN w:val="0"/>
        <w:spacing w:line="360" w:lineRule="auto"/>
        <w:ind w:firstLine="538"/>
        <w:rPr>
          <w:rFonts w:ascii="宋体" w:hAnsi="宋体" w:eastAsia="宋体" w:cs="宋体"/>
          <w:sz w:val="24"/>
          <w:szCs w:val="24"/>
          <w:lang w:val="zh-CN"/>
        </w:rPr>
      </w:pPr>
      <w:r>
        <w:rPr>
          <w:rFonts w:hint="eastAsia" w:ascii="宋体" w:hAnsi="宋体" w:eastAsia="宋体" w:cs="宋体"/>
          <w:sz w:val="24"/>
          <w:szCs w:val="24"/>
          <w:lang w:val="zh-CN"/>
        </w:rPr>
        <w:t>二、本合同总价为人民币</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元（大写：</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1E57B3FD">
      <w:pPr>
        <w:autoSpaceDE w:val="0"/>
        <w:autoSpaceDN w:val="0"/>
        <w:spacing w:line="360" w:lineRule="auto"/>
        <w:ind w:firstLine="538"/>
        <w:rPr>
          <w:rFonts w:ascii="宋体" w:hAnsi="宋体" w:eastAsia="宋体" w:cs="宋体"/>
          <w:sz w:val="24"/>
          <w:szCs w:val="24"/>
          <w:lang w:val="zh-CN"/>
        </w:rPr>
      </w:pPr>
      <w:r>
        <w:rPr>
          <w:rFonts w:hint="eastAsia" w:ascii="宋体" w:hAnsi="宋体" w:eastAsia="宋体" w:cs="宋体"/>
          <w:sz w:val="24"/>
          <w:szCs w:val="24"/>
          <w:lang w:val="zh-CN"/>
        </w:rPr>
        <w:t xml:space="preserve">供货范围、技术规格、及分项价格如下：                           </w:t>
      </w:r>
    </w:p>
    <w:p w14:paraId="4B63B2CC">
      <w:pPr>
        <w:autoSpaceDE w:val="0"/>
        <w:autoSpaceDN w:val="0"/>
        <w:spacing w:line="440" w:lineRule="exact"/>
        <w:ind w:firstLine="538"/>
        <w:jc w:val="right"/>
        <w:rPr>
          <w:rFonts w:ascii="宋体" w:hAnsi="宋体" w:eastAsia="宋体" w:cs="宋体"/>
          <w:sz w:val="24"/>
          <w:szCs w:val="24"/>
          <w:lang w:val="zh-CN"/>
        </w:rPr>
      </w:pPr>
      <w:r>
        <w:rPr>
          <w:rFonts w:hint="eastAsia" w:ascii="宋体" w:hAnsi="宋体" w:eastAsia="宋体" w:cs="宋体"/>
          <w:sz w:val="24"/>
          <w:szCs w:val="24"/>
          <w:lang w:val="zh-CN"/>
        </w:rPr>
        <w:t>单位：人民币元</w:t>
      </w:r>
    </w:p>
    <w:tbl>
      <w:tblPr>
        <w:tblStyle w:val="24"/>
        <w:tblW w:w="9547" w:type="dxa"/>
        <w:jc w:val="center"/>
        <w:tblLayout w:type="autofit"/>
        <w:tblCellMar>
          <w:top w:w="0" w:type="dxa"/>
          <w:left w:w="10" w:type="dxa"/>
          <w:bottom w:w="0" w:type="dxa"/>
          <w:right w:w="10" w:type="dxa"/>
        </w:tblCellMar>
      </w:tblPr>
      <w:tblGrid>
        <w:gridCol w:w="1090"/>
        <w:gridCol w:w="1276"/>
        <w:gridCol w:w="1275"/>
        <w:gridCol w:w="709"/>
        <w:gridCol w:w="567"/>
        <w:gridCol w:w="709"/>
        <w:gridCol w:w="567"/>
        <w:gridCol w:w="850"/>
        <w:gridCol w:w="1276"/>
        <w:gridCol w:w="1228"/>
      </w:tblGrid>
      <w:tr w14:paraId="66C36E0E">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33A06D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名称</w:t>
            </w: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70E8721">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品牌/规格/型号</w:t>
            </w: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34F3B8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技术参数</w:t>
            </w:r>
          </w:p>
          <w:p w14:paraId="1621912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(详细配置)</w:t>
            </w: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1CC6150">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单位</w:t>
            </w: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C59DB0">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单价</w:t>
            </w: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6C0FB0">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数量</w:t>
            </w: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1DC313">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合计</w:t>
            </w:r>
          </w:p>
          <w:p w14:paraId="7E25E2B8">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BECA875">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免费质保期</w:t>
            </w: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4841063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政府采购节能产品认证证书编号</w:t>
            </w: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72EA4ED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环保标专产品认证证书编号</w:t>
            </w:r>
          </w:p>
        </w:tc>
      </w:tr>
      <w:tr w14:paraId="00D84541">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378A36">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F63475">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E90523">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1B851B">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C78E4DA">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16FF0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393CC2">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26EB5F93">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1752F0F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2F38740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r>
      <w:tr w14:paraId="373A7895">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592A1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ECA1A9">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074FD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C7EF75E">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E194DF">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0DC834">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36B4B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3B7CFF7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3E06741E">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71C58E8B">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r>
      <w:tr w14:paraId="7F05F111">
        <w:tblPrEx>
          <w:tblCellMar>
            <w:top w:w="0" w:type="dxa"/>
            <w:left w:w="10" w:type="dxa"/>
            <w:bottom w:w="0" w:type="dxa"/>
            <w:right w:w="10" w:type="dxa"/>
          </w:tblCellMar>
        </w:tblPrEx>
        <w:trPr>
          <w:jc w:val="center"/>
        </w:trPr>
        <w:tc>
          <w:tcPr>
            <w:tcW w:w="10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6D11C8">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F742F02">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A7999C">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DC744E4">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B87C2D1">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70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2EAFA1D">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56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EC51D97">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85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14:paraId="1AB156D3">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7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tcPr>
          <w:p w14:paraId="1B1C8531">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c>
          <w:tcPr>
            <w:tcW w:w="1228"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tcPr>
          <w:p w14:paraId="4A8BF1BE">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p>
        </w:tc>
      </w:tr>
      <w:tr w14:paraId="0F08AAF0">
        <w:tblPrEx>
          <w:tblCellMar>
            <w:top w:w="0" w:type="dxa"/>
            <w:left w:w="10" w:type="dxa"/>
            <w:bottom w:w="0" w:type="dxa"/>
            <w:right w:w="10" w:type="dxa"/>
          </w:tblCellMar>
        </w:tblPrEx>
        <w:trPr>
          <w:trHeight w:val="352" w:hRule="atLeast"/>
          <w:jc w:val="center"/>
        </w:trPr>
        <w:tc>
          <w:tcPr>
            <w:tcW w:w="109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7060E9">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ascii="宋体" w:hAnsi="宋体" w:eastAsia="宋体" w:cs="宋体"/>
                <w:kern w:val="1"/>
                <w:sz w:val="24"/>
                <w:szCs w:val="24"/>
              </w:rPr>
            </w:pPr>
            <w:r>
              <w:rPr>
                <w:rFonts w:hint="eastAsia" w:ascii="宋体" w:hAnsi="宋体" w:eastAsia="宋体" w:cs="宋体"/>
                <w:kern w:val="1"/>
                <w:sz w:val="24"/>
                <w:szCs w:val="24"/>
              </w:rPr>
              <w:t>总价（人民币）</w:t>
            </w:r>
          </w:p>
        </w:tc>
        <w:tc>
          <w:tcPr>
            <w:tcW w:w="8457"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91AEA1">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eastAsia="宋体" w:cs="宋体"/>
                <w:kern w:val="1"/>
                <w:sz w:val="24"/>
                <w:szCs w:val="24"/>
              </w:rPr>
            </w:pPr>
            <w:r>
              <w:rPr>
                <w:rFonts w:hint="eastAsia" w:ascii="宋体" w:hAnsi="宋体" w:eastAsia="宋体" w:cs="宋体"/>
                <w:kern w:val="1"/>
                <w:sz w:val="24"/>
                <w:szCs w:val="24"/>
              </w:rPr>
              <w:t>小写：</w:t>
            </w:r>
          </w:p>
        </w:tc>
      </w:tr>
      <w:tr w14:paraId="25DDC3FB">
        <w:tblPrEx>
          <w:tblCellMar>
            <w:top w:w="0" w:type="dxa"/>
            <w:left w:w="10" w:type="dxa"/>
            <w:bottom w:w="0" w:type="dxa"/>
            <w:right w:w="10" w:type="dxa"/>
          </w:tblCellMar>
        </w:tblPrEx>
        <w:trPr>
          <w:trHeight w:val="432" w:hRule="atLeast"/>
          <w:jc w:val="center"/>
        </w:trPr>
        <w:tc>
          <w:tcPr>
            <w:tcW w:w="109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92DE2A">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eastAsia="宋体" w:cs="宋体"/>
                <w:kern w:val="1"/>
                <w:sz w:val="24"/>
                <w:szCs w:val="24"/>
              </w:rPr>
            </w:pPr>
          </w:p>
        </w:tc>
        <w:tc>
          <w:tcPr>
            <w:tcW w:w="8457" w:type="dxa"/>
            <w:gridSpan w:val="9"/>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7E159F2">
            <w:pPr>
              <w:pBdr>
                <w:top w:val="none" w:color="000000" w:sz="0" w:space="0"/>
                <w:left w:val="none" w:color="000000" w:sz="0" w:space="0"/>
                <w:bottom w:val="none" w:color="000000" w:sz="0" w:space="0"/>
                <w:right w:val="none" w:color="000000" w:sz="0" w:space="0"/>
                <w:between w:val="none" w:color="000000" w:sz="0" w:space="0"/>
              </w:pBdr>
              <w:spacing w:line="360" w:lineRule="auto"/>
              <w:rPr>
                <w:rFonts w:ascii="宋体" w:hAnsi="宋体" w:eastAsia="宋体" w:cs="宋体"/>
                <w:kern w:val="1"/>
                <w:sz w:val="24"/>
                <w:szCs w:val="24"/>
              </w:rPr>
            </w:pPr>
            <w:r>
              <w:rPr>
                <w:rFonts w:hint="eastAsia" w:ascii="宋体" w:hAnsi="宋体" w:eastAsia="宋体" w:cs="宋体"/>
                <w:kern w:val="1"/>
                <w:sz w:val="24"/>
                <w:szCs w:val="24"/>
              </w:rPr>
              <w:t>大写： 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万</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仟</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佰</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拾</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rPr>
              <w:t>元   角   分</w:t>
            </w:r>
          </w:p>
        </w:tc>
      </w:tr>
    </w:tbl>
    <w:p w14:paraId="08CECA05">
      <w:pPr>
        <w:autoSpaceDE w:val="0"/>
        <w:autoSpaceDN w:val="0"/>
        <w:spacing w:line="360" w:lineRule="auto"/>
        <w:ind w:firstLine="480" w:firstLineChars="200"/>
        <w:rPr>
          <w:rFonts w:ascii="宋体" w:hAnsi="宋体" w:eastAsia="宋体" w:cs="宋体"/>
          <w:sz w:val="24"/>
          <w:szCs w:val="24"/>
          <w:lang w:val="zh-CN"/>
        </w:rPr>
      </w:pPr>
    </w:p>
    <w:p w14:paraId="3865FCB6">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三、质量要求及供方对质量负责条件和期限：</w:t>
      </w:r>
    </w:p>
    <w:p w14:paraId="2C388866">
      <w:pPr>
        <w:autoSpaceDE w:val="0"/>
        <w:autoSpaceDN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Times New Roman"/>
          <w:sz w:val="24"/>
          <w:szCs w:val="24"/>
        </w:rPr>
        <w:t>所供货物必须首先符合有关国家强制性规定、国家（行业）标准或相关法律法规要求</w:t>
      </w:r>
      <w:r>
        <w:rPr>
          <w:rFonts w:hint="eastAsia" w:ascii="宋体" w:hAnsi="宋体" w:eastAsia="宋体" w:cs="宋体"/>
          <w:sz w:val="24"/>
          <w:szCs w:val="24"/>
          <w:lang w:val="zh-CN"/>
        </w:rPr>
        <w:t>，同时符合招标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w:t>
      </w:r>
      <w:r>
        <w:rPr>
          <w:rFonts w:ascii="宋体" w:hAnsi="宋体" w:eastAsia="宋体" w:cs="宋体"/>
          <w:sz w:val="24"/>
          <w:szCs w:val="24"/>
          <w:lang w:val="zh-CN"/>
        </w:rPr>
        <w:t>15</w:t>
      </w:r>
      <w:r>
        <w:rPr>
          <w:rFonts w:hint="eastAsia" w:ascii="宋体" w:hAnsi="宋体" w:eastAsia="宋体" w:cs="宋体"/>
          <w:sz w:val="24"/>
          <w:szCs w:val="24"/>
          <w:lang w:val="zh-CN"/>
        </w:rPr>
        <w:t>日内以书面形式向供方提出，需安装调试成套设备的提出异议的期限为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none"/>
          <w:lang w:val="en-US" w:eastAsia="zh-CN"/>
        </w:rPr>
        <w:t xml:space="preserve">      </w:t>
      </w:r>
    </w:p>
    <w:p w14:paraId="325BBECC">
      <w:pPr>
        <w:autoSpaceDE w:val="0"/>
        <w:autoSpaceDN w:val="0"/>
        <w:spacing w:line="360" w:lineRule="auto"/>
        <w:rPr>
          <w:rFonts w:ascii="宋体" w:hAnsi="宋体" w:eastAsia="宋体" w:cs="宋体"/>
          <w:sz w:val="24"/>
          <w:szCs w:val="24"/>
          <w:lang w:val="zh-CN"/>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p>
    <w:p w14:paraId="6A6EE179">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四、售后服务承诺：</w:t>
      </w:r>
    </w:p>
    <w:p w14:paraId="3578DF37">
      <w:pPr>
        <w:numPr>
          <w:ilvl w:val="0"/>
          <w:numId w:val="3"/>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售后服务响应时间：</w:t>
      </w:r>
      <w:r>
        <w:rPr>
          <w:rFonts w:hint="eastAsia" w:ascii="宋体" w:hAnsi="宋体" w:eastAsia="宋体" w:cs="宋体"/>
          <w:sz w:val="24"/>
          <w:szCs w:val="24"/>
          <w:u w:val="single"/>
          <w:lang w:val="zh-CN"/>
        </w:rPr>
        <w:t xml:space="preserve">          </w:t>
      </w:r>
    </w:p>
    <w:p w14:paraId="2B6682F3">
      <w:pPr>
        <w:numPr>
          <w:ilvl w:val="0"/>
          <w:numId w:val="3"/>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解决问题时间：</w:t>
      </w:r>
      <w:r>
        <w:rPr>
          <w:rFonts w:hint="eastAsia" w:ascii="宋体" w:hAnsi="宋体" w:eastAsia="宋体" w:cs="宋体"/>
          <w:sz w:val="24"/>
          <w:szCs w:val="24"/>
          <w:u w:val="single"/>
          <w:lang w:val="zh-CN"/>
        </w:rPr>
        <w:t xml:space="preserve">                  </w:t>
      </w:r>
    </w:p>
    <w:p w14:paraId="7DBCFCB9">
      <w:pPr>
        <w:numPr>
          <w:ilvl w:val="0"/>
          <w:numId w:val="3"/>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售后服务机构名称、地址及联系方式：</w:t>
      </w:r>
      <w:r>
        <w:rPr>
          <w:rFonts w:hint="eastAsia" w:ascii="宋体" w:hAnsi="宋体" w:eastAsia="宋体" w:cs="宋体"/>
          <w:sz w:val="24"/>
          <w:szCs w:val="24"/>
          <w:u w:val="single"/>
          <w:lang w:val="zh-CN"/>
        </w:rPr>
        <w:t xml:space="preserve">                </w:t>
      </w:r>
    </w:p>
    <w:p w14:paraId="152D6370">
      <w:pPr>
        <w:numPr>
          <w:ilvl w:val="0"/>
          <w:numId w:val="3"/>
        </w:num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sz w:val="24"/>
          <w:szCs w:val="24"/>
          <w:lang w:val="zh-CN"/>
        </w:rPr>
        <w:t>其他服务承诺：</w:t>
      </w:r>
      <w:r>
        <w:rPr>
          <w:rFonts w:hint="eastAsia" w:ascii="宋体" w:hAnsi="宋体" w:eastAsia="宋体" w:cs="宋体"/>
          <w:sz w:val="24"/>
          <w:szCs w:val="24"/>
          <w:u w:val="single"/>
          <w:lang w:val="zh-CN"/>
        </w:rPr>
        <w:t xml:space="preserve">               </w:t>
      </w:r>
    </w:p>
    <w:p w14:paraId="62617197">
      <w:pPr>
        <w:autoSpaceDE w:val="0"/>
        <w:autoSpaceDN w:val="0"/>
        <w:adjustRightIn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五、合同履行地点及进度：合同生效后，供方应于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日前按需方要求</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需方指定的地点）完成本项目的交货、安装、调试（或施工）。货物运送的费用由供方负责。需方应在货物到达指定地点后，提供符合安装条件的场地、电源、环境等。</w:t>
      </w:r>
    </w:p>
    <w:p w14:paraId="282C7454">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六、供方在交付货物时应向需方提供货物的使用说明、合格证书及其它相关资料，否则按不能交货对待。</w:t>
      </w:r>
    </w:p>
    <w:p w14:paraId="546A556F">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七、人员培训：供方免费对需方人员进行技术培训，直到需方人员熟练操作或掌握为准。</w:t>
      </w:r>
    </w:p>
    <w:p w14:paraId="08B11D9E">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培训地点：</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5F9918F3">
      <w:pPr>
        <w:autoSpaceDE w:val="0"/>
        <w:autoSpaceDN w:val="0"/>
        <w:spacing w:line="360" w:lineRule="auto"/>
        <w:ind w:firstLine="480" w:firstLineChars="200"/>
        <w:rPr>
          <w:rFonts w:ascii="宋体" w:hAnsi="宋体" w:eastAsia="宋体" w:cs="宋体"/>
          <w:sz w:val="24"/>
          <w:szCs w:val="24"/>
          <w:u w:val="single"/>
          <w:lang w:val="zh-CN"/>
        </w:rPr>
      </w:pPr>
      <w:r>
        <w:rPr>
          <w:rFonts w:hint="eastAsia" w:ascii="宋体" w:hAnsi="宋体" w:eastAsia="宋体" w:cs="宋体"/>
          <w:sz w:val="24"/>
          <w:szCs w:val="24"/>
          <w:lang w:val="zh-CN"/>
        </w:rPr>
        <w:t>培训时间：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676BEC4A">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培训方式：</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14:paraId="3CC4A015">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八、验收要求：</w:t>
      </w:r>
    </w:p>
    <w:p w14:paraId="0D70E6C6">
      <w:pPr>
        <w:autoSpaceDE w:val="0"/>
        <w:autoSpaceDN w:val="0"/>
        <w:spacing w:line="360" w:lineRule="auto"/>
        <w:ind w:firstLine="560"/>
        <w:rPr>
          <w:rFonts w:ascii="宋体" w:hAnsi="宋体" w:eastAsia="宋体" w:cs="宋体"/>
          <w:sz w:val="24"/>
          <w:szCs w:val="24"/>
          <w:lang w:val="zh-CN"/>
        </w:rPr>
      </w:pPr>
      <w:r>
        <w:rPr>
          <w:rFonts w:hint="eastAsia" w:ascii="宋体" w:hAnsi="宋体" w:eastAsia="宋体" w:cs="宋体"/>
          <w:sz w:val="24"/>
          <w:szCs w:val="24"/>
          <w:lang w:val="zh-CN"/>
        </w:rPr>
        <w:t>1、供方履约完毕及时向需方提出验收申请。</w:t>
      </w:r>
    </w:p>
    <w:p w14:paraId="62DAEDF2">
      <w:pPr>
        <w:autoSpaceDE w:val="0"/>
        <w:autoSpaceDN w:val="0"/>
        <w:spacing w:line="360" w:lineRule="auto"/>
        <w:ind w:firstLine="560"/>
        <w:rPr>
          <w:rFonts w:ascii="宋体" w:hAnsi="宋体" w:eastAsia="宋体" w:cs="宋体"/>
          <w:sz w:val="24"/>
          <w:szCs w:val="24"/>
          <w:lang w:val="zh-CN"/>
        </w:rPr>
      </w:pPr>
      <w:r>
        <w:rPr>
          <w:rFonts w:hint="eastAsia" w:ascii="宋体" w:hAnsi="宋体" w:eastAsia="宋体" w:cs="宋体"/>
          <w:sz w:val="24"/>
          <w:szCs w:val="24"/>
          <w:lang w:val="zh-CN"/>
        </w:rPr>
        <w:t>2、需方在收到供方验收申请后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个工作日内组织验收。需方成立3人以上验收工作组，按照招标文件规定、中标供应商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460C90BC">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九、付款程序、方式及期限：</w:t>
      </w:r>
    </w:p>
    <w:p w14:paraId="2A80F890">
      <w:pPr>
        <w:autoSpaceDE w:val="0"/>
        <w:autoSpaceDN w:val="0"/>
        <w:spacing w:line="360" w:lineRule="auto"/>
        <w:ind w:firstLine="480" w:firstLineChars="200"/>
        <w:rPr>
          <w:rFonts w:ascii="宋体" w:hAnsi="宋体" w:eastAsia="宋体" w:cs="宋体"/>
          <w:sz w:val="24"/>
          <w:szCs w:val="24"/>
          <w:lang w:val="zh-CN"/>
        </w:rPr>
      </w:pPr>
      <w:r>
        <w:rPr>
          <w:rFonts w:ascii="宋体" w:hAnsi="宋体" w:eastAsia="宋体" w:cs="宋体"/>
          <w:sz w:val="24"/>
          <w:szCs w:val="24"/>
          <w:lang w:val="zh-CN"/>
        </w:rPr>
        <w:t>1</w:t>
      </w:r>
      <w:r>
        <w:rPr>
          <w:rFonts w:hint="eastAsia" w:ascii="宋体" w:hAnsi="宋体" w:eastAsia="宋体" w:cs="宋体"/>
          <w:sz w:val="24"/>
          <w:szCs w:val="24"/>
          <w:lang w:val="zh-CN"/>
        </w:rPr>
        <w:t>、供方开具以需方单位名称为抬头的发票。</w:t>
      </w:r>
    </w:p>
    <w:p w14:paraId="4A0C8252">
      <w:pPr>
        <w:autoSpaceDE w:val="0"/>
        <w:autoSpaceDN w:val="0"/>
        <w:spacing w:line="360" w:lineRule="auto"/>
        <w:ind w:firstLine="480" w:firstLineChars="200"/>
        <w:rPr>
          <w:rFonts w:ascii="宋体" w:hAnsi="宋体" w:eastAsia="宋体" w:cs="宋体"/>
          <w:sz w:val="24"/>
          <w:szCs w:val="24"/>
          <w:u w:val="single"/>
          <w:lang w:val="zh-CN"/>
        </w:rPr>
      </w:pPr>
      <w:r>
        <w:rPr>
          <w:rFonts w:ascii="宋体" w:hAnsi="宋体" w:eastAsia="宋体" w:cs="宋体"/>
          <w:sz w:val="24"/>
          <w:szCs w:val="24"/>
          <w:lang w:val="zh-CN"/>
        </w:rPr>
        <w:t>2</w:t>
      </w:r>
      <w:r>
        <w:rPr>
          <w:rFonts w:hint="eastAsia" w:ascii="宋体" w:hAnsi="宋体" w:eastAsia="宋体" w:cs="宋体"/>
          <w:sz w:val="24"/>
          <w:szCs w:val="24"/>
          <w:lang w:val="zh-CN"/>
        </w:rPr>
        <w:t>、</w:t>
      </w:r>
      <w:r>
        <w:rPr>
          <w:rFonts w:hint="eastAsia" w:ascii="宋体" w:hAnsi="宋体" w:eastAsia="宋体" w:cs="宋体"/>
          <w:sz w:val="24"/>
          <w:szCs w:val="24"/>
          <w:u w:val="single"/>
          <w:lang w:val="zh-CN"/>
        </w:rPr>
        <w:t xml:space="preserve">    甲乙双方具体协商                 </w:t>
      </w:r>
    </w:p>
    <w:p w14:paraId="3AC5979F">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十、违约责任：</w:t>
      </w:r>
    </w:p>
    <w:p w14:paraId="021E4340">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供方所交付的货物品种、型号、规格、质量不符合国家规定标准及合同要求的，或者供方不能交付货物的，供方应向需方支付合同金额总值</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的违约金，需方有权解除合同，并要求赔偿损失。供方如逾期完成的，每逾期一日供方应向需方支付合同金额的</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违约金。</w:t>
      </w:r>
    </w:p>
    <w:p w14:paraId="601C4D7E">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需方无正当理由拒收货物、拒付货款，需方应向供方偿付拒收拒付部分设备款总额</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的违约金；需方如逾期付款的，每逾期付款一日的需方应向供方偿付所欠合同金额</w:t>
      </w:r>
      <w:r>
        <w:rPr>
          <w:rFonts w:hint="eastAsia" w:ascii="宋体" w:hAnsi="宋体" w:eastAsia="宋体" w:cs="宋体"/>
          <w:sz w:val="24"/>
          <w:szCs w:val="24"/>
          <w:u w:val="single"/>
          <w:lang w:val="zh-CN"/>
        </w:rPr>
        <w:t xml:space="preserve">      </w:t>
      </w:r>
      <w:r>
        <w:rPr>
          <w:rFonts w:ascii="宋体" w:hAnsi="宋体" w:eastAsia="宋体" w:cs="宋体"/>
          <w:sz w:val="24"/>
          <w:szCs w:val="24"/>
          <w:lang w:val="zh-CN"/>
        </w:rPr>
        <w:t xml:space="preserve"> %</w:t>
      </w:r>
      <w:r>
        <w:rPr>
          <w:rFonts w:hint="eastAsia" w:ascii="宋体" w:hAnsi="宋体" w:eastAsia="宋体" w:cs="宋体"/>
          <w:sz w:val="24"/>
          <w:szCs w:val="24"/>
          <w:lang w:val="zh-CN"/>
        </w:rPr>
        <w:t>的违约金。</w:t>
      </w:r>
    </w:p>
    <w:p w14:paraId="1BF0E04F">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十一、供需双方应严格遵守招标文件要求，如有违反，按招标文件的规定处理。</w:t>
      </w:r>
    </w:p>
    <w:p w14:paraId="2C601B5B">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十二、因货物的质量问题发生争议，由灵宝市法定的质量检测机构进行质量检测或鉴定。</w:t>
      </w:r>
    </w:p>
    <w:p w14:paraId="2C6B3DD7">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十三、项目招标文件及其修改和澄清、及供方投标文件、供方在投标中的有关承诺及声明均为本合同的组成部分。</w:t>
      </w:r>
    </w:p>
    <w:p w14:paraId="6B0ECC5C">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十四、本合同签订和履行适用中华人民共和国法律，因履行合同发生的争议，由供需双方友好协商解决，如协商不成的，任何一方均可向签订合同地人民法院提起诉讼。</w:t>
      </w:r>
    </w:p>
    <w:p w14:paraId="20730041">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十五、本合同未尽事宜，供需双方可签订补充协议，与本合同具有同等法律效力，但不能违反招标文件及供方的投标或报价文件所规定的实质性条款。</w:t>
      </w:r>
    </w:p>
    <w:p w14:paraId="5FB2362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十六、知识产权：</w:t>
      </w:r>
    </w:p>
    <w:p w14:paraId="6BDC4094">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Times New Roman"/>
          <w:color w:val="000000"/>
          <w:sz w:val="24"/>
          <w:szCs w:val="24"/>
        </w:rPr>
        <w:t>供方须保障需方在使用该项目或其任何一部分时不受到第三方关于侵犯专利权、商标权或工业设计</w:t>
      </w:r>
      <w:r>
        <w:rPr>
          <w:rFonts w:hint="eastAsia" w:ascii="宋体" w:hAnsi="宋体" w:eastAsia="宋体" w:cs="宋体"/>
          <w:sz w:val="24"/>
          <w:szCs w:val="24"/>
          <w:lang w:val="zh-CN"/>
        </w:rPr>
        <w:t>权的指控。如果任何第三方提出侵权指控，供方须与第三方交涉并承担可能发生的一切费用。如需方因此而遭致损失的，供方应赔偿该损失。</w:t>
      </w:r>
    </w:p>
    <w:p w14:paraId="381FF3CD">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十七、合同生效、备案及其它</w:t>
      </w:r>
    </w:p>
    <w:p w14:paraId="5BFF830D">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1、本合同经双方代表签字并加盖公章后生效。</w:t>
      </w:r>
    </w:p>
    <w:p w14:paraId="112EFCF8">
      <w:pPr>
        <w:autoSpaceDE w:val="0"/>
        <w:autoSpaceDN w:val="0"/>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val="zh-CN"/>
        </w:rPr>
        <w:t>2、本合同一式六份，供需双方各持三份</w:t>
      </w:r>
      <w:r>
        <w:rPr>
          <w:rFonts w:hint="eastAsia" w:ascii="宋体" w:hAnsi="宋体" w:eastAsia="宋体" w:cs="Times New Roman"/>
          <w:sz w:val="24"/>
          <w:szCs w:val="24"/>
        </w:rPr>
        <w:t>。</w:t>
      </w:r>
    </w:p>
    <w:p w14:paraId="44D882BC">
      <w:pPr>
        <w:rPr>
          <w:rFonts w:hint="eastAsia" w:ascii="宋体" w:hAnsi="宋体" w:eastAsia="宋体" w:cs="Times New Roman"/>
          <w:sz w:val="24"/>
          <w:szCs w:val="24"/>
        </w:rPr>
      </w:pPr>
    </w:p>
    <w:p w14:paraId="0D7CE2DE">
      <w:pPr>
        <w:spacing w:line="360" w:lineRule="auto"/>
        <w:rPr>
          <w:rFonts w:ascii="宋体" w:hAnsi="宋体" w:eastAsia="宋体" w:cs="Times New Roman"/>
          <w:sz w:val="24"/>
          <w:szCs w:val="24"/>
        </w:rPr>
      </w:pPr>
      <w:r>
        <w:rPr>
          <w:rFonts w:hint="eastAsia" w:ascii="宋体" w:hAnsi="宋体" w:eastAsia="宋体" w:cs="Times New Roman"/>
          <w:sz w:val="24"/>
          <w:szCs w:val="24"/>
        </w:rPr>
        <w:t>供方（公章）：                          需方（公章）：</w:t>
      </w:r>
    </w:p>
    <w:p w14:paraId="434C8113">
      <w:pPr>
        <w:spacing w:line="360" w:lineRule="auto"/>
        <w:rPr>
          <w:rFonts w:ascii="宋体" w:hAnsi="宋体" w:eastAsia="宋体" w:cs="Times New Roman"/>
          <w:sz w:val="24"/>
          <w:szCs w:val="24"/>
        </w:rPr>
      </w:pPr>
      <w:r>
        <w:rPr>
          <w:rFonts w:hint="eastAsia" w:ascii="宋体" w:hAnsi="宋体" w:eastAsia="宋体" w:cs="Times New Roman"/>
          <w:sz w:val="24"/>
          <w:szCs w:val="24"/>
        </w:rPr>
        <w:t>地址：                                  地址：</w:t>
      </w:r>
    </w:p>
    <w:p w14:paraId="5D626914">
      <w:pPr>
        <w:spacing w:line="360" w:lineRule="auto"/>
        <w:rPr>
          <w:rFonts w:ascii="宋体" w:hAnsi="宋体" w:eastAsia="宋体" w:cs="Times New Roman"/>
          <w:sz w:val="24"/>
          <w:szCs w:val="24"/>
        </w:rPr>
      </w:pPr>
      <w:r>
        <w:rPr>
          <w:rFonts w:hint="eastAsia" w:ascii="宋体" w:hAnsi="宋体" w:eastAsia="宋体" w:cs="Times New Roman"/>
          <w:sz w:val="24"/>
          <w:szCs w:val="24"/>
        </w:rPr>
        <w:t>法定代表人或授权委托                  法定代表人或授权委托</w:t>
      </w:r>
    </w:p>
    <w:p w14:paraId="27839D39">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人（签字）：                        人（签字）：</w:t>
      </w:r>
    </w:p>
    <w:p w14:paraId="1C5DFFEC">
      <w:pPr>
        <w:spacing w:line="360" w:lineRule="auto"/>
        <w:rPr>
          <w:rFonts w:ascii="宋体" w:hAnsi="宋体" w:eastAsia="宋体" w:cs="Times New Roman"/>
          <w:sz w:val="24"/>
          <w:szCs w:val="24"/>
        </w:rPr>
      </w:pPr>
      <w:r>
        <w:rPr>
          <w:rFonts w:hint="eastAsia" w:ascii="宋体" w:hAnsi="宋体" w:eastAsia="宋体" w:cs="Times New Roman"/>
          <w:sz w:val="24"/>
          <w:szCs w:val="24"/>
        </w:rPr>
        <w:t>电话：                                  电话：</w:t>
      </w:r>
    </w:p>
    <w:p w14:paraId="38AFF7DF">
      <w:pPr>
        <w:spacing w:line="440" w:lineRule="exact"/>
        <w:rPr>
          <w:rFonts w:ascii="宋体" w:hAnsi="宋体" w:eastAsia="宋体" w:cs="Times New Roman"/>
          <w:sz w:val="24"/>
          <w:szCs w:val="24"/>
        </w:rPr>
      </w:pPr>
      <w:r>
        <w:rPr>
          <w:rFonts w:hint="eastAsia" w:ascii="宋体" w:hAnsi="宋体" w:eastAsia="宋体" w:cs="Times New Roman"/>
          <w:sz w:val="24"/>
          <w:szCs w:val="24"/>
        </w:rPr>
        <w:t>开户银行：                              开户银行：</w:t>
      </w:r>
    </w:p>
    <w:p w14:paraId="2B0D1F1D">
      <w:pPr>
        <w:spacing w:line="440" w:lineRule="exact"/>
        <w:rPr>
          <w:rFonts w:ascii="宋体" w:hAnsi="宋体" w:eastAsia="宋体" w:cs="Times New Roman"/>
          <w:sz w:val="24"/>
          <w:szCs w:val="24"/>
        </w:rPr>
      </w:pPr>
      <w:r>
        <w:rPr>
          <w:rFonts w:hint="eastAsia" w:ascii="宋体" w:hAnsi="宋体" w:eastAsia="宋体" w:cs="Times New Roman"/>
          <w:sz w:val="24"/>
          <w:szCs w:val="24"/>
        </w:rPr>
        <w:t>账号：                                  账号:</w:t>
      </w:r>
    </w:p>
    <w:p w14:paraId="20AB7CEE">
      <w:pPr>
        <w:spacing w:line="440" w:lineRule="exact"/>
        <w:rPr>
          <w:rFonts w:cs="楷体" w:asciiTheme="majorEastAsia" w:hAnsiTheme="majorEastAsia" w:eastAsiaTheme="majorEastAsia"/>
          <w:sz w:val="24"/>
          <w:szCs w:val="24"/>
          <w:highlight w:val="none"/>
        </w:rPr>
      </w:pPr>
      <w:r>
        <w:rPr>
          <w:rFonts w:hint="eastAsia" w:ascii="宋体" w:hAnsi="宋体" w:eastAsia="宋体" w:cs="Times New Roman"/>
          <w:sz w:val="24"/>
          <w:szCs w:val="24"/>
        </w:rPr>
        <w:t>签约时间：   年    月     日</w:t>
      </w:r>
    </w:p>
    <w:p w14:paraId="3CD8FA00">
      <w:pPr>
        <w:rPr>
          <w:rFonts w:cs="楷体" w:asciiTheme="minorEastAsia" w:hAnsiTheme="minorEastAsia" w:eastAsiaTheme="minorEastAsia"/>
          <w:sz w:val="24"/>
          <w:szCs w:val="24"/>
          <w:highlight w:val="none"/>
        </w:rPr>
      </w:pPr>
      <w:r>
        <w:rPr>
          <w:rFonts w:cs="楷体" w:asciiTheme="minorEastAsia" w:hAnsiTheme="minorEastAsia" w:eastAsiaTheme="minorEastAsia"/>
          <w:sz w:val="24"/>
          <w:szCs w:val="24"/>
          <w:highlight w:val="none"/>
        </w:rPr>
        <w:br w:type="page"/>
      </w:r>
    </w:p>
    <w:p w14:paraId="109FEA80">
      <w:pPr>
        <w:pStyle w:val="3"/>
        <w:keepNext/>
        <w:keepLines/>
        <w:pageBreakBefore w:val="0"/>
        <w:widowControl w:val="0"/>
        <w:numPr>
          <w:ilvl w:val="0"/>
          <w:numId w:val="0"/>
        </w:numPr>
        <w:kinsoku/>
        <w:wordWrap/>
        <w:overflowPunct/>
        <w:topLinePunct w:val="0"/>
        <w:autoSpaceDE/>
        <w:autoSpaceDN/>
        <w:bidi w:val="0"/>
        <w:adjustRightInd/>
        <w:snapToGrid/>
        <w:spacing w:before="0" w:after="0" w:line="540" w:lineRule="exact"/>
        <w:jc w:val="center"/>
        <w:textAlignment w:val="auto"/>
        <w:rPr>
          <w:rFonts w:hint="eastAsia" w:ascii="宋体" w:hAnsi="宋体" w:cs="宋体"/>
          <w:b/>
          <w:bCs/>
          <w:szCs w:val="32"/>
          <w:highlight w:val="none"/>
        </w:rPr>
      </w:pPr>
      <w:bookmarkStart w:id="553" w:name="_Toc10977"/>
      <w:r>
        <w:rPr>
          <w:rFonts w:hint="eastAsia" w:ascii="宋体" w:hAnsi="宋体" w:eastAsia="宋体" w:cs="宋体"/>
          <w:b/>
          <w:bCs/>
          <w:kern w:val="44"/>
          <w:sz w:val="32"/>
          <w:szCs w:val="32"/>
          <w:lang w:val="en-US" w:eastAsia="zh-CN" w:bidi="ar-SA"/>
        </w:rPr>
        <w:t>第五章</w:t>
      </w:r>
      <w:r>
        <w:rPr>
          <w:rFonts w:hint="eastAsia" w:ascii="宋体" w:hAnsi="宋体" w:cs="宋体"/>
          <w:b/>
          <w:bCs/>
          <w:kern w:val="44"/>
          <w:sz w:val="32"/>
          <w:szCs w:val="32"/>
          <w:lang w:val="en-US" w:eastAsia="zh-CN" w:bidi="ar-SA"/>
        </w:rPr>
        <w:t xml:space="preserve">  </w:t>
      </w:r>
      <w:r>
        <w:rPr>
          <w:rFonts w:hint="eastAsia"/>
          <w:lang w:eastAsia="zh-CN"/>
        </w:rPr>
        <w:t>采购</w:t>
      </w:r>
      <w:r>
        <w:rPr>
          <w:rFonts w:hint="eastAsia"/>
        </w:rPr>
        <w:t>清单</w:t>
      </w:r>
      <w:bookmarkEnd w:id="543"/>
      <w:bookmarkEnd w:id="553"/>
    </w:p>
    <w:p w14:paraId="2CD9FF34">
      <w:pPr>
        <w:numPr>
          <w:ilvl w:val="0"/>
          <w:numId w:val="0"/>
        </w:numPr>
        <w:rPr>
          <w:rFonts w:hint="eastAsia" w:eastAsia="宋体"/>
          <w:lang w:eastAsia="zh-CN"/>
        </w:rPr>
      </w:pPr>
      <w:r>
        <w:rPr>
          <w:rFonts w:hint="eastAsia" w:eastAsia="宋体"/>
          <w:lang w:eastAsia="zh-CN"/>
        </w:rPr>
        <w:drawing>
          <wp:inline distT="0" distB="0" distL="114300" distR="114300">
            <wp:extent cx="6456680" cy="9238615"/>
            <wp:effectExtent l="0" t="0" r="1270" b="635"/>
            <wp:docPr id="3" name="图片 3" descr="628825678ad86eb7fa78a12626516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8825678ad86eb7fa78a126265161d"/>
                    <pic:cNvPicPr>
                      <a:picLocks noChangeAspect="1"/>
                    </pic:cNvPicPr>
                  </pic:nvPicPr>
                  <pic:blipFill>
                    <a:blip r:embed="rId9"/>
                    <a:stretch>
                      <a:fillRect/>
                    </a:stretch>
                  </pic:blipFill>
                  <pic:spPr>
                    <a:xfrm>
                      <a:off x="0" y="0"/>
                      <a:ext cx="6456680" cy="9238615"/>
                    </a:xfrm>
                    <a:prstGeom prst="rect">
                      <a:avLst/>
                    </a:prstGeom>
                  </pic:spPr>
                </pic:pic>
              </a:graphicData>
            </a:graphic>
          </wp:inline>
        </w:drawing>
      </w:r>
    </w:p>
    <w:bookmarkEnd w:id="544"/>
    <w:bookmarkEnd w:id="545"/>
    <w:bookmarkEnd w:id="546"/>
    <w:bookmarkEnd w:id="547"/>
    <w:bookmarkEnd w:id="548"/>
    <w:bookmarkEnd w:id="549"/>
    <w:bookmarkEnd w:id="550"/>
    <w:bookmarkEnd w:id="551"/>
    <w:bookmarkEnd w:id="552"/>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7"/>
        <w:gridCol w:w="4959"/>
        <w:gridCol w:w="1820"/>
        <w:gridCol w:w="1826"/>
      </w:tblGrid>
      <w:tr w14:paraId="4591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4"/>
            <w:tcBorders>
              <w:top w:val="nil"/>
              <w:left w:val="nil"/>
              <w:bottom w:val="nil"/>
              <w:right w:val="nil"/>
            </w:tcBorders>
            <w:shd w:val="clear" w:color="auto" w:fill="auto"/>
            <w:noWrap/>
            <w:vAlign w:val="center"/>
          </w:tcPr>
          <w:p w14:paraId="75E75B2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bookmarkStart w:id="554" w:name="_Toc77586965"/>
            <w:bookmarkStart w:id="555" w:name="_Toc144974854"/>
            <w:bookmarkStart w:id="556" w:name="_Toc246997096"/>
            <w:bookmarkStart w:id="557" w:name="_Toc247085870"/>
            <w:bookmarkStart w:id="558" w:name="_Toc152045785"/>
            <w:bookmarkStart w:id="559" w:name="_Toc246996353"/>
            <w:bookmarkStart w:id="560" w:name="_Toc296602599"/>
            <w:bookmarkStart w:id="561" w:name="_Toc179632804"/>
            <w:bookmarkStart w:id="562" w:name="_Toc152042574"/>
            <w:r>
              <w:rPr>
                <w:rFonts w:hint="eastAsia" w:ascii="宋体" w:hAnsi="宋体" w:eastAsia="宋体" w:cs="宋体"/>
                <w:b/>
                <w:bCs/>
                <w:i w:val="0"/>
                <w:iCs w:val="0"/>
                <w:color w:val="000000"/>
                <w:kern w:val="0"/>
                <w:sz w:val="28"/>
                <w:szCs w:val="28"/>
                <w:u w:val="none"/>
                <w:lang w:val="en-US" w:eastAsia="zh-CN" w:bidi="ar"/>
              </w:rPr>
              <w:t>灵宝市</w:t>
            </w:r>
            <w:r>
              <w:rPr>
                <w:rFonts w:hint="eastAsia" w:ascii="宋体" w:hAnsi="宋体" w:cs="宋体"/>
                <w:b/>
                <w:bCs/>
                <w:i w:val="0"/>
                <w:iCs w:val="0"/>
                <w:color w:val="000000"/>
                <w:kern w:val="0"/>
                <w:sz w:val="28"/>
                <w:szCs w:val="28"/>
                <w:u w:val="none"/>
                <w:lang w:val="en-US" w:eastAsia="zh-CN" w:bidi="ar"/>
              </w:rPr>
              <w:t>豫灵镇</w:t>
            </w:r>
            <w:r>
              <w:rPr>
                <w:rFonts w:hint="eastAsia" w:ascii="宋体" w:hAnsi="宋体" w:eastAsia="宋体" w:cs="宋体"/>
                <w:b/>
                <w:bCs/>
                <w:i w:val="0"/>
                <w:iCs w:val="0"/>
                <w:color w:val="000000"/>
                <w:kern w:val="0"/>
                <w:sz w:val="28"/>
                <w:szCs w:val="28"/>
                <w:u w:val="none"/>
                <w:lang w:val="en-US" w:eastAsia="zh-CN" w:bidi="ar"/>
              </w:rPr>
              <w:t>实验幼儿园设备采购项目汇总表</w:t>
            </w:r>
          </w:p>
        </w:tc>
      </w:tr>
      <w:tr w14:paraId="59A6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5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4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单项名称</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F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E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A55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B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2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教玩具</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F6C">
            <w:pPr>
              <w:jc w:val="center"/>
              <w:rPr>
                <w:rFonts w:hint="eastAsia" w:ascii="宋体" w:hAnsi="宋体" w:eastAsia="宋体" w:cs="宋体"/>
                <w:i w:val="0"/>
                <w:iCs w:val="0"/>
                <w:color w:val="000000"/>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050C">
            <w:pPr>
              <w:jc w:val="center"/>
              <w:rPr>
                <w:rFonts w:hint="eastAsia" w:ascii="宋体" w:hAnsi="宋体" w:eastAsia="宋体" w:cs="宋体"/>
                <w:i w:val="0"/>
                <w:iCs w:val="0"/>
                <w:color w:val="000000"/>
                <w:sz w:val="24"/>
                <w:szCs w:val="24"/>
                <w:u w:val="none"/>
              </w:rPr>
            </w:pPr>
          </w:p>
        </w:tc>
      </w:tr>
      <w:tr w14:paraId="31EE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F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4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大型玩具</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CF1F">
            <w:pPr>
              <w:jc w:val="center"/>
              <w:rPr>
                <w:rFonts w:hint="eastAsia" w:ascii="宋体" w:hAnsi="宋体" w:eastAsia="宋体" w:cs="宋体"/>
                <w:i w:val="0"/>
                <w:iCs w:val="0"/>
                <w:color w:val="000000"/>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EA91">
            <w:pPr>
              <w:jc w:val="center"/>
              <w:rPr>
                <w:rFonts w:hint="eastAsia" w:ascii="宋体" w:hAnsi="宋体" w:eastAsia="宋体" w:cs="宋体"/>
                <w:i w:val="0"/>
                <w:iCs w:val="0"/>
                <w:color w:val="000000"/>
                <w:sz w:val="24"/>
                <w:szCs w:val="24"/>
                <w:u w:val="none"/>
              </w:rPr>
            </w:pPr>
          </w:p>
        </w:tc>
      </w:tr>
      <w:tr w14:paraId="7103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2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C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办公设备</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9845">
            <w:pPr>
              <w:jc w:val="center"/>
              <w:rPr>
                <w:rFonts w:hint="eastAsia" w:ascii="宋体" w:hAnsi="宋体" w:eastAsia="宋体" w:cs="宋体"/>
                <w:i w:val="0"/>
                <w:iCs w:val="0"/>
                <w:color w:val="000000"/>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6EFA">
            <w:pPr>
              <w:jc w:val="center"/>
              <w:rPr>
                <w:rFonts w:hint="eastAsia" w:ascii="宋体" w:hAnsi="宋体" w:eastAsia="宋体" w:cs="宋体"/>
                <w:i w:val="0"/>
                <w:iCs w:val="0"/>
                <w:color w:val="000000"/>
                <w:sz w:val="24"/>
                <w:szCs w:val="24"/>
                <w:u w:val="none"/>
              </w:rPr>
            </w:pPr>
          </w:p>
        </w:tc>
      </w:tr>
      <w:tr w14:paraId="77B4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D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A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厨房设备</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930E">
            <w:pPr>
              <w:jc w:val="center"/>
              <w:rPr>
                <w:rFonts w:hint="eastAsia" w:ascii="宋体" w:hAnsi="宋体" w:eastAsia="宋体" w:cs="宋体"/>
                <w:i w:val="0"/>
                <w:iCs w:val="0"/>
                <w:color w:val="000000"/>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9A7E">
            <w:pPr>
              <w:jc w:val="center"/>
              <w:rPr>
                <w:rFonts w:hint="eastAsia" w:ascii="宋体" w:hAnsi="宋体" w:eastAsia="宋体" w:cs="宋体"/>
                <w:i w:val="0"/>
                <w:iCs w:val="0"/>
                <w:color w:val="000000"/>
                <w:sz w:val="24"/>
                <w:szCs w:val="24"/>
                <w:u w:val="none"/>
              </w:rPr>
            </w:pPr>
          </w:p>
        </w:tc>
      </w:tr>
      <w:tr w14:paraId="3D99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D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E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活动室设备</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D4AD">
            <w:pPr>
              <w:jc w:val="center"/>
              <w:rPr>
                <w:rFonts w:hint="eastAsia" w:ascii="宋体" w:hAnsi="宋体" w:eastAsia="宋体" w:cs="宋体"/>
                <w:i w:val="0"/>
                <w:iCs w:val="0"/>
                <w:color w:val="000000"/>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8B5E">
            <w:pPr>
              <w:jc w:val="center"/>
              <w:rPr>
                <w:rFonts w:hint="eastAsia" w:ascii="宋体" w:hAnsi="宋体" w:eastAsia="宋体" w:cs="宋体"/>
                <w:i w:val="0"/>
                <w:iCs w:val="0"/>
                <w:color w:val="000000"/>
                <w:sz w:val="24"/>
                <w:szCs w:val="24"/>
                <w:u w:val="none"/>
              </w:rPr>
            </w:pPr>
          </w:p>
        </w:tc>
      </w:tr>
      <w:tr w14:paraId="7CF0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1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4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消防及安保器材</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26E6">
            <w:pPr>
              <w:jc w:val="center"/>
              <w:rPr>
                <w:rFonts w:hint="eastAsia" w:ascii="宋体" w:hAnsi="宋体" w:eastAsia="宋体" w:cs="宋体"/>
                <w:i w:val="0"/>
                <w:iCs w:val="0"/>
                <w:color w:val="000000"/>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80BC">
            <w:pPr>
              <w:jc w:val="center"/>
              <w:rPr>
                <w:rFonts w:hint="eastAsia" w:ascii="宋体" w:hAnsi="宋体" w:eastAsia="宋体" w:cs="宋体"/>
                <w:i w:val="0"/>
                <w:iCs w:val="0"/>
                <w:color w:val="000000"/>
                <w:sz w:val="24"/>
                <w:szCs w:val="24"/>
                <w:u w:val="none"/>
              </w:rPr>
            </w:pPr>
          </w:p>
        </w:tc>
      </w:tr>
      <w:tr w14:paraId="7820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7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9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其他设备</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9B15">
            <w:pPr>
              <w:jc w:val="center"/>
              <w:rPr>
                <w:rFonts w:hint="eastAsia" w:ascii="宋体" w:hAnsi="宋体" w:eastAsia="宋体" w:cs="宋体"/>
                <w:i w:val="0"/>
                <w:iCs w:val="0"/>
                <w:color w:val="000000"/>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7399">
            <w:pPr>
              <w:jc w:val="center"/>
              <w:rPr>
                <w:rFonts w:hint="eastAsia" w:ascii="宋体" w:hAnsi="宋体" w:eastAsia="宋体" w:cs="宋体"/>
                <w:i w:val="0"/>
                <w:iCs w:val="0"/>
                <w:color w:val="000000"/>
                <w:sz w:val="24"/>
                <w:szCs w:val="24"/>
                <w:u w:val="none"/>
              </w:rPr>
            </w:pPr>
          </w:p>
        </w:tc>
      </w:tr>
      <w:tr w14:paraId="2CE3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4F92">
            <w:pPr>
              <w:jc w:val="center"/>
              <w:rPr>
                <w:rFonts w:hint="eastAsia" w:ascii="宋体" w:hAnsi="宋体" w:eastAsia="宋体" w:cs="宋体"/>
                <w:i w:val="0"/>
                <w:iCs w:val="0"/>
                <w:color w:val="000000"/>
                <w:sz w:val="24"/>
                <w:szCs w:val="24"/>
                <w:u w:val="none"/>
              </w:rPr>
            </w:pPr>
          </w:p>
        </w:tc>
        <w:tc>
          <w:tcPr>
            <w:tcW w:w="2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A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2970">
            <w:pPr>
              <w:jc w:val="center"/>
              <w:rPr>
                <w:rFonts w:hint="eastAsia" w:ascii="宋体" w:hAnsi="宋体" w:eastAsia="宋体" w:cs="宋体"/>
                <w:i w:val="0"/>
                <w:iCs w:val="0"/>
                <w:color w:val="000000"/>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955D">
            <w:pPr>
              <w:jc w:val="center"/>
              <w:rPr>
                <w:rFonts w:hint="eastAsia" w:ascii="宋体" w:hAnsi="宋体" w:eastAsia="宋体" w:cs="宋体"/>
                <w:i w:val="0"/>
                <w:iCs w:val="0"/>
                <w:color w:val="000000"/>
                <w:sz w:val="24"/>
                <w:szCs w:val="24"/>
                <w:u w:val="none"/>
              </w:rPr>
            </w:pPr>
          </w:p>
        </w:tc>
      </w:tr>
    </w:tbl>
    <w:p w14:paraId="6D88CCE4">
      <w:pPr>
        <w:rPr>
          <w:rFonts w:hint="eastAsia" w:ascii="宋体" w:hAnsi="宋体" w:cs="宋体"/>
          <w:b/>
          <w:bCs/>
          <w:color w:val="auto"/>
          <w:szCs w:val="32"/>
          <w:highlight w:val="none"/>
        </w:rPr>
      </w:pPr>
      <w:r>
        <w:rPr>
          <w:rFonts w:hint="eastAsia" w:ascii="宋体" w:hAnsi="宋体" w:cs="宋体"/>
          <w:b/>
          <w:bCs/>
          <w:color w:val="auto"/>
          <w:szCs w:val="32"/>
          <w:highlight w:val="none"/>
        </w:rPr>
        <w:br w:type="page"/>
      </w:r>
    </w:p>
    <w:tbl>
      <w:tblPr>
        <w:tblStyle w:val="24"/>
        <w:tblW w:w="10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833"/>
        <w:gridCol w:w="5038"/>
        <w:gridCol w:w="771"/>
        <w:gridCol w:w="698"/>
        <w:gridCol w:w="1421"/>
        <w:gridCol w:w="1421"/>
      </w:tblGrid>
      <w:tr w14:paraId="4C3A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80" w:type="dxa"/>
            <w:gridSpan w:val="7"/>
            <w:tcBorders>
              <w:top w:val="nil"/>
              <w:left w:val="nil"/>
              <w:bottom w:val="nil"/>
              <w:right w:val="nil"/>
            </w:tcBorders>
            <w:shd w:val="clear" w:color="auto" w:fill="auto"/>
            <w:noWrap/>
            <w:vAlign w:val="center"/>
          </w:tcPr>
          <w:p w14:paraId="656F777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灵宝市豫灵镇第一幼儿园设备采购项目清单</w:t>
            </w:r>
          </w:p>
        </w:tc>
      </w:tr>
      <w:tr w14:paraId="7065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C9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7C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38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规格及参数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69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05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D9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3D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4D7A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4F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03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F992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教玩具</w:t>
            </w:r>
          </w:p>
        </w:tc>
      </w:tr>
      <w:tr w14:paraId="588D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D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科学区小班</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7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动物及昆虫木质拼图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6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F8CE">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980B">
            <w:pPr>
              <w:jc w:val="center"/>
              <w:rPr>
                <w:rFonts w:hint="eastAsia" w:ascii="宋体" w:hAnsi="宋体" w:eastAsia="宋体" w:cs="宋体"/>
                <w:i w:val="0"/>
                <w:iCs w:val="0"/>
                <w:color w:val="000000"/>
                <w:sz w:val="20"/>
                <w:szCs w:val="20"/>
                <w:u w:val="none"/>
              </w:rPr>
            </w:pPr>
          </w:p>
        </w:tc>
      </w:tr>
      <w:tr w14:paraId="6F40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E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8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智力游戏区小班</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AB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空间图形拼搭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2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1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17C8">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4C">
            <w:pPr>
              <w:jc w:val="center"/>
              <w:rPr>
                <w:rFonts w:hint="eastAsia" w:ascii="宋体" w:hAnsi="宋体" w:eastAsia="宋体" w:cs="宋体"/>
                <w:i w:val="0"/>
                <w:iCs w:val="0"/>
                <w:color w:val="000000"/>
                <w:sz w:val="20"/>
                <w:szCs w:val="20"/>
                <w:u w:val="none"/>
              </w:rPr>
            </w:pPr>
          </w:p>
        </w:tc>
      </w:tr>
      <w:tr w14:paraId="30F3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9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0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建构区小班</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E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1.种类：积木、雪花片、环保砖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3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0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3918">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BF67">
            <w:pPr>
              <w:jc w:val="center"/>
              <w:rPr>
                <w:rFonts w:hint="eastAsia" w:ascii="宋体" w:hAnsi="宋体" w:eastAsia="宋体" w:cs="宋体"/>
                <w:i w:val="0"/>
                <w:iCs w:val="0"/>
                <w:color w:val="000000"/>
                <w:sz w:val="20"/>
                <w:szCs w:val="20"/>
                <w:u w:val="none"/>
              </w:rPr>
            </w:pPr>
          </w:p>
        </w:tc>
      </w:tr>
      <w:tr w14:paraId="0117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4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手摇车</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8A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1.规格：≥68*62*40cm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3.种类：红、黄、蓝、绿色</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F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D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E164">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4F73">
            <w:pPr>
              <w:jc w:val="center"/>
              <w:rPr>
                <w:rFonts w:hint="eastAsia" w:ascii="宋体" w:hAnsi="宋体" w:eastAsia="宋体" w:cs="宋体"/>
                <w:i w:val="0"/>
                <w:iCs w:val="0"/>
                <w:color w:val="000000"/>
                <w:sz w:val="20"/>
                <w:szCs w:val="20"/>
                <w:u w:val="none"/>
              </w:rPr>
            </w:pPr>
          </w:p>
        </w:tc>
      </w:tr>
      <w:tr w14:paraId="2F90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0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C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注塑带网轮胎</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2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1.规格：φ53*高17cm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2.材质：胶制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3.种类：红、黄、蓝、绿色大轮胎车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9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E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03BA">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B703">
            <w:pPr>
              <w:jc w:val="center"/>
              <w:rPr>
                <w:rFonts w:hint="eastAsia" w:ascii="宋体" w:hAnsi="宋体" w:eastAsia="宋体" w:cs="宋体"/>
                <w:i w:val="0"/>
                <w:iCs w:val="0"/>
                <w:color w:val="000000"/>
                <w:sz w:val="20"/>
                <w:szCs w:val="20"/>
                <w:u w:val="none"/>
              </w:rPr>
            </w:pPr>
          </w:p>
        </w:tc>
      </w:tr>
      <w:tr w14:paraId="4732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5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F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协力动物滑行车</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2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1.规格：144*62*25cm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3.种类：中国龙五座橘色、黄色</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1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0562">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E0F">
            <w:pPr>
              <w:jc w:val="center"/>
              <w:rPr>
                <w:rFonts w:hint="eastAsia" w:ascii="宋体" w:hAnsi="宋体" w:eastAsia="宋体" w:cs="宋体"/>
                <w:i w:val="0"/>
                <w:iCs w:val="0"/>
                <w:color w:val="000000"/>
                <w:sz w:val="20"/>
                <w:szCs w:val="20"/>
                <w:u w:val="none"/>
              </w:rPr>
            </w:pPr>
          </w:p>
        </w:tc>
      </w:tr>
      <w:tr w14:paraId="2215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0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2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落霞小屋</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F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1.规格：≥113*125*142cm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A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1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02C6">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00F1">
            <w:pPr>
              <w:jc w:val="center"/>
              <w:rPr>
                <w:rFonts w:hint="eastAsia" w:ascii="宋体" w:hAnsi="宋体" w:eastAsia="宋体" w:cs="宋体"/>
                <w:i w:val="0"/>
                <w:iCs w:val="0"/>
                <w:color w:val="000000"/>
                <w:sz w:val="20"/>
                <w:szCs w:val="20"/>
                <w:u w:val="none"/>
              </w:rPr>
            </w:pPr>
          </w:p>
        </w:tc>
      </w:tr>
      <w:tr w14:paraId="13C0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E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A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大滚球</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4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1.规格：φ80cm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9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D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7687">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753D">
            <w:pPr>
              <w:jc w:val="center"/>
              <w:rPr>
                <w:rFonts w:hint="eastAsia" w:ascii="宋体" w:hAnsi="宋体" w:eastAsia="宋体" w:cs="宋体"/>
                <w:i w:val="0"/>
                <w:iCs w:val="0"/>
                <w:color w:val="000000"/>
                <w:sz w:val="20"/>
                <w:szCs w:val="20"/>
                <w:u w:val="none"/>
              </w:rPr>
            </w:pPr>
          </w:p>
        </w:tc>
      </w:tr>
      <w:tr w14:paraId="2EFF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C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3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立体钻山洞</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C4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1.规格：8件套≥88*20*71cm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2.材质：PP（聚丙烯）环保材料，健康无异味。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6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A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5F1C">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D0B5">
            <w:pPr>
              <w:jc w:val="center"/>
              <w:rPr>
                <w:rFonts w:hint="eastAsia" w:ascii="宋体" w:hAnsi="宋体" w:eastAsia="宋体" w:cs="宋体"/>
                <w:i w:val="0"/>
                <w:iCs w:val="0"/>
                <w:color w:val="000000"/>
                <w:sz w:val="20"/>
                <w:szCs w:val="20"/>
                <w:u w:val="none"/>
              </w:rPr>
            </w:pPr>
          </w:p>
        </w:tc>
      </w:tr>
      <w:tr w14:paraId="0405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9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5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数字积木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7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环保材料，健康无异味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0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7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D75A">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0C0">
            <w:pPr>
              <w:jc w:val="center"/>
              <w:rPr>
                <w:rFonts w:hint="eastAsia" w:ascii="宋体" w:hAnsi="宋体" w:eastAsia="宋体" w:cs="宋体"/>
                <w:i w:val="0"/>
                <w:iCs w:val="0"/>
                <w:color w:val="000000"/>
                <w:sz w:val="20"/>
                <w:szCs w:val="20"/>
                <w:u w:val="none"/>
              </w:rPr>
            </w:pPr>
          </w:p>
        </w:tc>
      </w:tr>
      <w:tr w14:paraId="1B05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7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0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多用自行车</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6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1.车架材质：铝合金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2.可升降座椅、把手，车身可折叠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3.轮胎材质：减震耐磨免充气防爆轮胎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E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1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0FC9">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74C0">
            <w:pPr>
              <w:jc w:val="center"/>
              <w:rPr>
                <w:rFonts w:hint="eastAsia" w:ascii="宋体" w:hAnsi="宋体" w:eastAsia="宋体" w:cs="宋体"/>
                <w:i w:val="0"/>
                <w:iCs w:val="0"/>
                <w:color w:val="000000"/>
                <w:sz w:val="20"/>
                <w:szCs w:val="20"/>
                <w:u w:val="none"/>
              </w:rPr>
            </w:pPr>
          </w:p>
        </w:tc>
      </w:tr>
      <w:tr w14:paraId="2C7B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87CA">
            <w:pPr>
              <w:jc w:val="center"/>
              <w:rPr>
                <w:rFonts w:hint="eastAsia" w:ascii="宋体" w:hAnsi="宋体" w:eastAsia="宋体" w:cs="宋体"/>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1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603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E1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FC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D0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5EF8">
            <w:pPr>
              <w:jc w:val="center"/>
              <w:rPr>
                <w:rFonts w:hint="eastAsia" w:ascii="宋体" w:hAnsi="宋体" w:eastAsia="宋体" w:cs="宋体"/>
                <w:i w:val="0"/>
                <w:iCs w:val="0"/>
                <w:color w:val="000000"/>
                <w:sz w:val="20"/>
                <w:szCs w:val="20"/>
                <w:u w:val="none"/>
              </w:rPr>
            </w:pPr>
          </w:p>
        </w:tc>
      </w:tr>
      <w:tr w14:paraId="3F51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4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103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0B0B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大型玩具</w:t>
            </w:r>
          </w:p>
        </w:tc>
      </w:tr>
      <w:tr w14:paraId="0E44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5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6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定制大型玩具</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D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1.规格：多功能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2.材质：进口工程材料，加厚镀锌管。整体采用立体设计，扶手精细打磨，面磨防裂，不易褪色，拼接牢固安全性能高。粉末喷洒式外表加漆高温处理。（攀爬、秋千、蹦床、城堡）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C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F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B0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5035">
            <w:pPr>
              <w:jc w:val="center"/>
              <w:rPr>
                <w:rFonts w:hint="eastAsia" w:ascii="宋体" w:hAnsi="宋体" w:eastAsia="宋体" w:cs="宋体"/>
                <w:i w:val="0"/>
                <w:iCs w:val="0"/>
                <w:color w:val="000000"/>
                <w:sz w:val="20"/>
                <w:szCs w:val="20"/>
                <w:u w:val="none"/>
              </w:rPr>
            </w:pPr>
          </w:p>
        </w:tc>
      </w:tr>
      <w:tr w14:paraId="7B95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3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8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户外游戏套装</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1A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1.配件数量：907件（材料主件644件，操作卡片263件）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2.装箱数：36箱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3.主体材质：EPP、ABS、EVA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4.主要配件：大型磁力积木、辅助游戏材料、移动组合材料、游戏卡片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5.应用场景：幼儿园户外自主游戏区、建构区、主题游戏区；室内公共区域、主题活动室、音乐厅等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6.产品特点：1）基于“零起点·⾼发展”的理念，益咕·⼤世界在开放、融合、多样、⾼效的室内外多场景环创与游戏空间的⽅案下，辅以轻便、 灵活、动态的⼤型磁⼒思维积⽊，通过“⼀套材料、千种游戏、万种玩法”，让⼉童浸润在美育、情境、游戏三者整合的动态“⼤世界”⾥，进⾏持续地探索、合作与创造，⽀持每位⼉童的完整发展，以及对环境与⾃身从混沌状态到美好状态的转变，⽣发出独特的⼈⽂情怀与审美素养。2）材料本身采用食品级EPP和高性能ABS材料打造，环保绿色无毒，材质轻便，孩子可自主收纳，耐脏易洗，一冲即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7.教辅材料：《益咕|大世界—教师指导手册》、《建构游戏图卡》、《规则游戏图卡》、《运动游戏图卡》</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F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D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AF9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3D6D">
            <w:pPr>
              <w:jc w:val="center"/>
              <w:rPr>
                <w:rFonts w:hint="eastAsia" w:ascii="宋体" w:hAnsi="宋体" w:eastAsia="宋体" w:cs="宋体"/>
                <w:i w:val="0"/>
                <w:iCs w:val="0"/>
                <w:color w:val="000000"/>
                <w:sz w:val="20"/>
                <w:szCs w:val="20"/>
                <w:u w:val="none"/>
              </w:rPr>
            </w:pPr>
          </w:p>
        </w:tc>
      </w:tr>
      <w:tr w14:paraId="1282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8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3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木质搭建</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A6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1260件橡木（按现场实际勘测定制，满足甲方要求。）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0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C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83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F484">
            <w:pPr>
              <w:jc w:val="center"/>
              <w:rPr>
                <w:rFonts w:hint="eastAsia" w:ascii="宋体" w:hAnsi="宋体" w:eastAsia="宋体" w:cs="宋体"/>
                <w:i w:val="0"/>
                <w:iCs w:val="0"/>
                <w:color w:val="000000"/>
                <w:sz w:val="20"/>
                <w:szCs w:val="20"/>
                <w:u w:val="none"/>
              </w:rPr>
            </w:pPr>
          </w:p>
        </w:tc>
      </w:tr>
      <w:tr w14:paraId="2A84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6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8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定制玩具柜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4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2.材质：进口实木板材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E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D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B9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A2F0">
            <w:pPr>
              <w:jc w:val="center"/>
              <w:rPr>
                <w:rFonts w:hint="eastAsia" w:ascii="宋体" w:hAnsi="宋体" w:eastAsia="宋体" w:cs="宋体"/>
                <w:i w:val="0"/>
                <w:iCs w:val="0"/>
                <w:color w:val="000000"/>
                <w:sz w:val="20"/>
                <w:szCs w:val="20"/>
                <w:u w:val="none"/>
              </w:rPr>
            </w:pPr>
          </w:p>
        </w:tc>
      </w:tr>
      <w:tr w14:paraId="7C9F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C195">
            <w:pPr>
              <w:jc w:val="center"/>
              <w:rPr>
                <w:rFonts w:hint="eastAsia" w:ascii="宋体" w:hAnsi="宋体" w:eastAsia="宋体" w:cs="宋体"/>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CFA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89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2F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D5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59FC">
            <w:pPr>
              <w:jc w:val="center"/>
              <w:rPr>
                <w:rFonts w:hint="eastAsia" w:ascii="宋体" w:hAnsi="宋体" w:eastAsia="宋体" w:cs="宋体"/>
                <w:i w:val="0"/>
                <w:iCs w:val="0"/>
                <w:color w:val="000000"/>
                <w:sz w:val="20"/>
                <w:szCs w:val="20"/>
                <w:u w:val="none"/>
              </w:rPr>
            </w:pPr>
          </w:p>
        </w:tc>
      </w:tr>
      <w:tr w14:paraId="5DA5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1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103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723C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办公设备</w:t>
            </w:r>
          </w:p>
        </w:tc>
      </w:tr>
      <w:tr w14:paraId="4DE9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3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高拍扫描仪</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F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1800万象素，高清投影，AI图像清晰输出</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7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7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24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26B4">
            <w:pPr>
              <w:jc w:val="center"/>
              <w:rPr>
                <w:rFonts w:hint="eastAsia" w:ascii="宋体" w:hAnsi="宋体" w:eastAsia="宋体" w:cs="宋体"/>
                <w:i w:val="0"/>
                <w:iCs w:val="0"/>
                <w:color w:val="000000"/>
                <w:sz w:val="20"/>
                <w:szCs w:val="20"/>
                <w:u w:val="none"/>
              </w:rPr>
            </w:pPr>
          </w:p>
        </w:tc>
      </w:tr>
      <w:tr w14:paraId="7F60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B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6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9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1.规格：桌面：1.4m，椅子：90*45*45cm(含一桌一椅)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2.材质：桌面采用进口环保免漆板材，进口优质五金配件，椅子韩皮饰面，35#高弹重质海绵，耐久不变形</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0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0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A6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9812">
            <w:pPr>
              <w:jc w:val="center"/>
              <w:rPr>
                <w:rFonts w:hint="eastAsia" w:ascii="宋体" w:hAnsi="宋体" w:eastAsia="宋体" w:cs="宋体"/>
                <w:i w:val="0"/>
                <w:iCs w:val="0"/>
                <w:color w:val="000000"/>
                <w:sz w:val="20"/>
                <w:szCs w:val="20"/>
                <w:u w:val="none"/>
              </w:rPr>
            </w:pPr>
          </w:p>
        </w:tc>
      </w:tr>
      <w:tr w14:paraId="61A6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B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3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台式电脑</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1E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1.规格：i7、16G、256G、SSD+1T、23.8寸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2.含音箱</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7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6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48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7386">
            <w:pPr>
              <w:jc w:val="center"/>
              <w:rPr>
                <w:rFonts w:hint="eastAsia" w:ascii="宋体" w:hAnsi="宋体" w:eastAsia="宋体" w:cs="宋体"/>
                <w:i w:val="0"/>
                <w:iCs w:val="0"/>
                <w:color w:val="000000"/>
                <w:sz w:val="20"/>
                <w:szCs w:val="20"/>
                <w:u w:val="none"/>
              </w:rPr>
            </w:pPr>
          </w:p>
        </w:tc>
      </w:tr>
      <w:tr w14:paraId="6D21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9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7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8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1.规格：i7、16G、256G、SSD+1T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4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6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2DB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BF34">
            <w:pPr>
              <w:jc w:val="center"/>
              <w:rPr>
                <w:rFonts w:hint="eastAsia" w:ascii="宋体" w:hAnsi="宋体" w:eastAsia="宋体" w:cs="宋体"/>
                <w:i w:val="0"/>
                <w:iCs w:val="0"/>
                <w:color w:val="000000"/>
                <w:sz w:val="20"/>
                <w:szCs w:val="20"/>
                <w:u w:val="none"/>
              </w:rPr>
            </w:pPr>
          </w:p>
        </w:tc>
      </w:tr>
      <w:tr w14:paraId="33EB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E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5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激光打印复印机</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C7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A4黑白激光双面打印机,USB接口</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2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8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7A9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D0B0">
            <w:pPr>
              <w:jc w:val="center"/>
              <w:rPr>
                <w:rFonts w:hint="eastAsia" w:ascii="宋体" w:hAnsi="宋体" w:eastAsia="宋体" w:cs="宋体"/>
                <w:i w:val="0"/>
                <w:iCs w:val="0"/>
                <w:color w:val="000000"/>
                <w:sz w:val="20"/>
                <w:szCs w:val="20"/>
                <w:u w:val="none"/>
              </w:rPr>
            </w:pPr>
          </w:p>
        </w:tc>
      </w:tr>
      <w:tr w14:paraId="1870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8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D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茶吧机</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8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1.种类：冰热两用，童锁保护，智能触控，智能恒温，下置水桶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2.制热水能力：16L/h，≥90°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3.制冷水能力：0.5L/h，≤15°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4.产品尺寸：405*335*1200mm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5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2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99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336C">
            <w:pPr>
              <w:jc w:val="center"/>
              <w:rPr>
                <w:rFonts w:hint="eastAsia" w:ascii="宋体" w:hAnsi="宋体" w:eastAsia="宋体" w:cs="宋体"/>
                <w:i w:val="0"/>
                <w:iCs w:val="0"/>
                <w:color w:val="000000"/>
                <w:sz w:val="20"/>
                <w:szCs w:val="20"/>
                <w:u w:val="none"/>
              </w:rPr>
            </w:pPr>
          </w:p>
        </w:tc>
      </w:tr>
      <w:tr w14:paraId="75B8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B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6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定制会议桌</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E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1.规格：8米或10米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2.进口优质五金配件</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C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9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06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CDCF">
            <w:pPr>
              <w:jc w:val="center"/>
              <w:rPr>
                <w:rFonts w:hint="eastAsia" w:ascii="宋体" w:hAnsi="宋体" w:eastAsia="宋体" w:cs="宋体"/>
                <w:i w:val="0"/>
                <w:iCs w:val="0"/>
                <w:color w:val="000000"/>
                <w:sz w:val="20"/>
                <w:szCs w:val="20"/>
                <w:u w:val="none"/>
              </w:rPr>
            </w:pPr>
          </w:p>
        </w:tc>
      </w:tr>
      <w:tr w14:paraId="0BF4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9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5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3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材质：钢木结构可叠放</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6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9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E2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0F37">
            <w:pPr>
              <w:jc w:val="center"/>
              <w:rPr>
                <w:rFonts w:hint="eastAsia" w:ascii="宋体" w:hAnsi="宋体" w:eastAsia="宋体" w:cs="宋体"/>
                <w:i w:val="0"/>
                <w:iCs w:val="0"/>
                <w:color w:val="000000"/>
                <w:sz w:val="20"/>
                <w:szCs w:val="20"/>
                <w:u w:val="none"/>
              </w:rPr>
            </w:pPr>
          </w:p>
        </w:tc>
      </w:tr>
      <w:tr w14:paraId="7FA7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7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5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主席台桌</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2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3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D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E0F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2264">
            <w:pPr>
              <w:jc w:val="center"/>
              <w:rPr>
                <w:rFonts w:hint="eastAsia" w:ascii="宋体" w:hAnsi="宋体" w:eastAsia="宋体" w:cs="宋体"/>
                <w:i w:val="0"/>
                <w:iCs w:val="0"/>
                <w:color w:val="000000"/>
                <w:sz w:val="20"/>
                <w:szCs w:val="20"/>
                <w:u w:val="none"/>
              </w:rPr>
            </w:pPr>
          </w:p>
        </w:tc>
      </w:tr>
      <w:tr w14:paraId="21D4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D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办公沙发</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AB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茶几、圆桌，一大两小（按现场实际勘测定制，满足甲方要求。）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8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3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110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AC4E">
            <w:pPr>
              <w:jc w:val="center"/>
              <w:rPr>
                <w:rFonts w:hint="eastAsia" w:ascii="宋体" w:hAnsi="宋体" w:eastAsia="宋体" w:cs="宋体"/>
                <w:i w:val="0"/>
                <w:iCs w:val="0"/>
                <w:color w:val="000000"/>
                <w:sz w:val="20"/>
                <w:szCs w:val="20"/>
                <w:u w:val="none"/>
              </w:rPr>
            </w:pPr>
          </w:p>
        </w:tc>
      </w:tr>
      <w:tr w14:paraId="4A39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5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1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6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1.规格：≥180*85*40cm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2.材质：采用0.8mm优质冷轧钢板，上玻璃门对开内二可调活板，玻璃采用3mm浮法玻璃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3.种类：下铁门对开内二可调活板，门上有铝合金拉手、暗锁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4.颜色：灰白色</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9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D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DAE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F7EF">
            <w:pPr>
              <w:jc w:val="center"/>
              <w:rPr>
                <w:rFonts w:hint="eastAsia" w:ascii="宋体" w:hAnsi="宋体" w:eastAsia="宋体" w:cs="宋体"/>
                <w:i w:val="0"/>
                <w:iCs w:val="0"/>
                <w:color w:val="000000"/>
                <w:sz w:val="20"/>
                <w:szCs w:val="20"/>
                <w:u w:val="none"/>
              </w:rPr>
            </w:pPr>
          </w:p>
        </w:tc>
      </w:tr>
      <w:tr w14:paraId="7B15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D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带屏活动音箱</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超强音浪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5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C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2B5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B7D0">
            <w:pPr>
              <w:jc w:val="center"/>
              <w:rPr>
                <w:rFonts w:hint="eastAsia" w:ascii="宋体" w:hAnsi="宋体" w:eastAsia="宋体" w:cs="宋体"/>
                <w:i w:val="0"/>
                <w:iCs w:val="0"/>
                <w:color w:val="000000"/>
                <w:sz w:val="20"/>
                <w:szCs w:val="20"/>
                <w:u w:val="none"/>
              </w:rPr>
            </w:pPr>
          </w:p>
        </w:tc>
      </w:tr>
      <w:tr w14:paraId="178D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音响系统及功放</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C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寸音箱4只，专业调音台一个，配备音箱支架，一拖八麦克风，无氧铜音箱线，配套音频线，煲机用U盘一个，专业功放机柜一个，含安装调试。双磁重低音，新升级全频音响设计，拾音清晰，大功率大音量，频率稳定不串</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0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8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1A6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4A08">
            <w:pPr>
              <w:jc w:val="center"/>
              <w:rPr>
                <w:rFonts w:hint="eastAsia" w:ascii="宋体" w:hAnsi="宋体" w:eastAsia="宋体" w:cs="宋体"/>
                <w:i w:val="0"/>
                <w:iCs w:val="0"/>
                <w:color w:val="000000"/>
                <w:sz w:val="20"/>
                <w:szCs w:val="20"/>
                <w:u w:val="none"/>
              </w:rPr>
            </w:pPr>
          </w:p>
        </w:tc>
      </w:tr>
      <w:tr w14:paraId="0544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3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数码相机</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2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含标准镜头、备用电池、摄影三脚架、摄影UV镜、同品牌专用高速储存卡、高清摄影快门线、高清读卡器等其他必要配件</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E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9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08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E220">
            <w:pPr>
              <w:jc w:val="center"/>
              <w:rPr>
                <w:rFonts w:hint="eastAsia" w:ascii="宋体" w:hAnsi="宋体" w:eastAsia="宋体" w:cs="宋体"/>
                <w:i w:val="0"/>
                <w:iCs w:val="0"/>
                <w:color w:val="000000"/>
                <w:sz w:val="20"/>
                <w:szCs w:val="20"/>
                <w:u w:val="none"/>
              </w:rPr>
            </w:pPr>
          </w:p>
        </w:tc>
      </w:tr>
      <w:tr w14:paraId="16C3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7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500W功放</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6A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◆二路/三路话筒、三路线路输入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◆带屏显广播(五分区可以独立调节音量）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◆USB/SD接口实现直接控制读取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◆有优先（默音）功能，便于强插紧急广播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◆高低音调节，幅度高达±20dB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◆备有监听输出，也可扩展另一台功放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◆六单位LED电平指示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◆多种保护功能：短路、过载、延时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◆体积：480*390*88mm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8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2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3F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B327">
            <w:pPr>
              <w:jc w:val="center"/>
              <w:rPr>
                <w:rFonts w:hint="eastAsia" w:ascii="宋体" w:hAnsi="宋体" w:eastAsia="宋体" w:cs="宋体"/>
                <w:i w:val="0"/>
                <w:iCs w:val="0"/>
                <w:color w:val="000000"/>
                <w:sz w:val="20"/>
                <w:szCs w:val="20"/>
                <w:u w:val="none"/>
              </w:rPr>
            </w:pPr>
          </w:p>
        </w:tc>
      </w:tr>
      <w:tr w14:paraId="53C0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5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C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定时播放器</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灵活设置定时程序，满足各种时间、各种场合的使用需要；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可支持电脑联机编辑定时程序，全自动音乐播放、收听广播、电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源、广播分区管理；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高精度RTC时钟、定时可精确到秒；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支持消防联动功能，警报触发信号输入播放指定音乐文件；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支持外扩电源时序器，可输出短路信号，控制外围设备；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支持远距离遥控器（可选）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1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3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9F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4C8C">
            <w:pPr>
              <w:jc w:val="center"/>
              <w:rPr>
                <w:rFonts w:hint="eastAsia" w:ascii="宋体" w:hAnsi="宋体" w:eastAsia="宋体" w:cs="宋体"/>
                <w:i w:val="0"/>
                <w:iCs w:val="0"/>
                <w:color w:val="000000"/>
                <w:sz w:val="20"/>
                <w:szCs w:val="20"/>
                <w:u w:val="none"/>
              </w:rPr>
            </w:pPr>
          </w:p>
        </w:tc>
      </w:tr>
      <w:tr w14:paraId="29C8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E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3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远距离无线话筒</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36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◆红外自动对频                                                                                                                             ◆三级接收距离选择“H”“M”“L”                                                                                                                 ◆电子音量控制，杜绝传统机械式电位器出现杂音现象                                                                                              ◆单通道独电源开启和所有操作控制                                                                                                                 ◆整机使用了全静音带指示式控键开关，彰显高端大方                                                                                                          ◆本机配合增益放大器，能有效稳定信号和增加接收距离↘频率范围：740~790Mhz◆信道数目：200个预置频道,通道间隔250KHz↘综合信噪比：105db◆相邻通道抑制：≥70db（干扰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E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6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FB1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BEEC">
            <w:pPr>
              <w:jc w:val="center"/>
              <w:rPr>
                <w:rFonts w:hint="eastAsia" w:ascii="宋体" w:hAnsi="宋体" w:eastAsia="宋体" w:cs="宋体"/>
                <w:i w:val="0"/>
                <w:iCs w:val="0"/>
                <w:color w:val="000000"/>
                <w:sz w:val="20"/>
                <w:szCs w:val="20"/>
                <w:u w:val="none"/>
              </w:rPr>
            </w:pPr>
          </w:p>
        </w:tc>
      </w:tr>
      <w:tr w14:paraId="4662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5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室内音响</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B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灵敏度：98db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额定电压：110V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频率响应：110-12KHz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喇叭单元：6.5寸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尺寸:≥185*120*260mm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1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2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716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7681">
            <w:pPr>
              <w:jc w:val="center"/>
              <w:rPr>
                <w:rFonts w:hint="eastAsia" w:ascii="宋体" w:hAnsi="宋体" w:eastAsia="宋体" w:cs="宋体"/>
                <w:i w:val="0"/>
                <w:iCs w:val="0"/>
                <w:color w:val="000000"/>
                <w:sz w:val="20"/>
                <w:szCs w:val="20"/>
                <w:u w:val="none"/>
              </w:rPr>
            </w:pPr>
          </w:p>
        </w:tc>
      </w:tr>
      <w:tr w14:paraId="4146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9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4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80W音柱</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2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室外防水音柱（大型工程级）白色材料说明：铝合金上下盖铝合金网，产品型号ccxc-780额定功率80W定压输入70-100V频率响应200HZ-10000Hz灵敏度90dB扬声器6.536.5"*46.5"*56.5"*6外部尺寸≥127*810mm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4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0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4C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371A">
            <w:pPr>
              <w:jc w:val="center"/>
              <w:rPr>
                <w:rFonts w:hint="eastAsia" w:ascii="宋体" w:hAnsi="宋体" w:eastAsia="宋体" w:cs="宋体"/>
                <w:i w:val="0"/>
                <w:iCs w:val="0"/>
                <w:color w:val="000000"/>
                <w:sz w:val="20"/>
                <w:szCs w:val="20"/>
                <w:u w:val="none"/>
              </w:rPr>
            </w:pPr>
          </w:p>
        </w:tc>
      </w:tr>
      <w:tr w14:paraId="548E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D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1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广播线</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1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国标纯铜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A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A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BE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59BB">
            <w:pPr>
              <w:jc w:val="center"/>
              <w:rPr>
                <w:rFonts w:hint="eastAsia" w:ascii="宋体" w:hAnsi="宋体" w:eastAsia="宋体" w:cs="宋体"/>
                <w:i w:val="0"/>
                <w:iCs w:val="0"/>
                <w:color w:val="000000"/>
                <w:sz w:val="20"/>
                <w:szCs w:val="20"/>
                <w:u w:val="none"/>
              </w:rPr>
            </w:pPr>
          </w:p>
        </w:tc>
      </w:tr>
      <w:tr w14:paraId="00E1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2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移动式有源带屏音响</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2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P22高音喇叭：80磁3寸号角高音，低音喇叭：120磁35芯阻抗：4欧峰值功率：180W频率响应：20Hz-20kHz灵敏度：93dB铅酸电池：7Ah无线话筒频率：688.85Hz,678.25Hz,箱体尺寸：≥650x320x350，箱体材质：木箱加高强度塑胶装饰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5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7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6C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FFAD">
            <w:pPr>
              <w:jc w:val="center"/>
              <w:rPr>
                <w:rFonts w:hint="eastAsia" w:ascii="宋体" w:hAnsi="宋体" w:eastAsia="宋体" w:cs="宋体"/>
                <w:i w:val="0"/>
                <w:iCs w:val="0"/>
                <w:color w:val="000000"/>
                <w:sz w:val="20"/>
                <w:szCs w:val="20"/>
                <w:u w:val="none"/>
              </w:rPr>
            </w:pPr>
          </w:p>
        </w:tc>
      </w:tr>
      <w:tr w14:paraId="5F40E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5648">
            <w:pPr>
              <w:jc w:val="center"/>
              <w:rPr>
                <w:rFonts w:hint="eastAsia" w:ascii="宋体" w:hAnsi="宋体" w:eastAsia="宋体" w:cs="宋体"/>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8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0E8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58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825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0F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CDB1">
            <w:pPr>
              <w:jc w:val="center"/>
              <w:rPr>
                <w:rFonts w:hint="eastAsia" w:ascii="宋体" w:hAnsi="宋体" w:eastAsia="宋体" w:cs="宋体"/>
                <w:i w:val="0"/>
                <w:iCs w:val="0"/>
                <w:color w:val="000000"/>
                <w:sz w:val="20"/>
                <w:szCs w:val="20"/>
                <w:u w:val="none"/>
              </w:rPr>
            </w:pPr>
          </w:p>
        </w:tc>
      </w:tr>
      <w:tr w14:paraId="2AB7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F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w:t>
            </w:r>
          </w:p>
        </w:tc>
        <w:tc>
          <w:tcPr>
            <w:tcW w:w="103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DA27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厨房设备</w:t>
            </w:r>
          </w:p>
        </w:tc>
      </w:tr>
      <w:tr w14:paraId="3DB6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5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8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不锈钢排烟罩</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7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1.规格：≥4000*1400mm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2.材质：采用201不锈钢板，厚度为1.0mm材料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3.种类：设计可调节风量调节阀。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B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5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DC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6E59">
            <w:pPr>
              <w:jc w:val="center"/>
              <w:rPr>
                <w:rFonts w:hint="eastAsia" w:ascii="宋体" w:hAnsi="宋体" w:eastAsia="宋体" w:cs="宋体"/>
                <w:i w:val="0"/>
                <w:iCs w:val="0"/>
                <w:color w:val="000000"/>
                <w:sz w:val="20"/>
                <w:szCs w:val="20"/>
                <w:u w:val="none"/>
              </w:rPr>
            </w:pPr>
          </w:p>
        </w:tc>
      </w:tr>
      <w:tr w14:paraId="44CD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3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3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集烟箱</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F4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集烟箱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B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D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69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9BEF">
            <w:pPr>
              <w:jc w:val="center"/>
              <w:rPr>
                <w:rFonts w:hint="eastAsia" w:ascii="宋体" w:hAnsi="宋体" w:eastAsia="宋体" w:cs="宋体"/>
                <w:i w:val="0"/>
                <w:iCs w:val="0"/>
                <w:color w:val="000000"/>
                <w:sz w:val="20"/>
                <w:szCs w:val="20"/>
                <w:u w:val="none"/>
              </w:rPr>
            </w:pPr>
          </w:p>
        </w:tc>
      </w:tr>
      <w:tr w14:paraId="51BA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1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B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7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1.规格：≥500*500mm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2.材质：采用201不锈钢板，厚度为1.0mm材料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7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2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557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2BD4">
            <w:pPr>
              <w:jc w:val="center"/>
              <w:rPr>
                <w:rFonts w:hint="eastAsia" w:ascii="宋体" w:hAnsi="宋体" w:eastAsia="宋体" w:cs="宋体"/>
                <w:i w:val="0"/>
                <w:iCs w:val="0"/>
                <w:color w:val="000000"/>
                <w:sz w:val="20"/>
                <w:szCs w:val="20"/>
                <w:u w:val="none"/>
              </w:rPr>
            </w:pPr>
          </w:p>
        </w:tc>
      </w:tr>
      <w:tr w14:paraId="1649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D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0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1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1.规格：≥500*500mm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2.材质：采用201不锈钢板，厚度为1.0mm材料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8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6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66A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950F">
            <w:pPr>
              <w:jc w:val="center"/>
              <w:rPr>
                <w:rFonts w:hint="eastAsia" w:ascii="宋体" w:hAnsi="宋体" w:eastAsia="宋体" w:cs="宋体"/>
                <w:i w:val="0"/>
                <w:iCs w:val="0"/>
                <w:color w:val="000000"/>
                <w:sz w:val="20"/>
                <w:szCs w:val="20"/>
                <w:u w:val="none"/>
              </w:rPr>
            </w:pPr>
          </w:p>
        </w:tc>
      </w:tr>
      <w:tr w14:paraId="2477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9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净化器</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6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1.规格：外径：≥1400*960*680mm，风口尺寸：≥660*500mm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2.处理风量：1.8万风量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3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8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292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70A5">
            <w:pPr>
              <w:jc w:val="center"/>
              <w:rPr>
                <w:rFonts w:hint="eastAsia" w:ascii="宋体" w:hAnsi="宋体" w:eastAsia="宋体" w:cs="宋体"/>
                <w:i w:val="0"/>
                <w:iCs w:val="0"/>
                <w:color w:val="000000"/>
                <w:sz w:val="20"/>
                <w:szCs w:val="20"/>
                <w:u w:val="none"/>
              </w:rPr>
            </w:pPr>
          </w:p>
        </w:tc>
      </w:tr>
      <w:tr w14:paraId="3DCA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C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4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5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1.规格：进风口：≥1200*814mm，出风口尺寸：≥511*357mm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2.产生风量：1.8万风量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4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F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492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B7B2">
            <w:pPr>
              <w:jc w:val="center"/>
              <w:rPr>
                <w:rFonts w:hint="eastAsia" w:ascii="宋体" w:hAnsi="宋体" w:eastAsia="宋体" w:cs="宋体"/>
                <w:i w:val="0"/>
                <w:iCs w:val="0"/>
                <w:color w:val="000000"/>
                <w:sz w:val="20"/>
                <w:szCs w:val="20"/>
                <w:u w:val="none"/>
              </w:rPr>
            </w:pPr>
          </w:p>
        </w:tc>
      </w:tr>
      <w:tr w14:paraId="3EE7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E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B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冷藏冷冻四门柜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9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1.规格：≥1200*700*1900mm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3.种类：内胆拉伸回力门，机组独立模块化技术，全铜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4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2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3B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32C2">
            <w:pPr>
              <w:jc w:val="center"/>
              <w:rPr>
                <w:rFonts w:hint="eastAsia" w:ascii="宋体" w:hAnsi="宋体" w:eastAsia="宋体" w:cs="宋体"/>
                <w:i w:val="0"/>
                <w:iCs w:val="0"/>
                <w:color w:val="000000"/>
                <w:sz w:val="20"/>
                <w:szCs w:val="20"/>
                <w:u w:val="none"/>
              </w:rPr>
            </w:pPr>
          </w:p>
        </w:tc>
      </w:tr>
      <w:tr w14:paraId="6AFD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6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A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4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1.规格：≥1800*800*800mm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2.材质：不锈钢，厚度不低于1.2mm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B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8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FBB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DD11">
            <w:pPr>
              <w:jc w:val="center"/>
              <w:rPr>
                <w:rFonts w:hint="eastAsia" w:ascii="宋体" w:hAnsi="宋体" w:eastAsia="宋体" w:cs="宋体"/>
                <w:i w:val="0"/>
                <w:iCs w:val="0"/>
                <w:color w:val="000000"/>
                <w:sz w:val="20"/>
                <w:szCs w:val="20"/>
                <w:u w:val="none"/>
              </w:rPr>
            </w:pPr>
          </w:p>
        </w:tc>
      </w:tr>
      <w:tr w14:paraId="1A5F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E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E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100单头电磁大炒灶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B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1.规格：≥1000*1100*1200（800+400）mm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2.材质：整体采用SUS201不锈钢板制作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3.种类：进口机芯，18种保护电路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4.功率：380V/20KW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7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8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9EA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02F6">
            <w:pPr>
              <w:jc w:val="center"/>
              <w:rPr>
                <w:rFonts w:hint="eastAsia" w:ascii="宋体" w:hAnsi="宋体" w:eastAsia="宋体" w:cs="宋体"/>
                <w:i w:val="0"/>
                <w:iCs w:val="0"/>
                <w:color w:val="000000"/>
                <w:sz w:val="20"/>
                <w:szCs w:val="20"/>
                <w:u w:val="none"/>
              </w:rPr>
            </w:pPr>
          </w:p>
        </w:tc>
      </w:tr>
      <w:tr w14:paraId="3EBC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2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7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E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1.规格：≥1200*600*800mm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2.材质：整体采用SUS201不锈钢制作，平板厚度0.8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8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D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48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177D">
            <w:pPr>
              <w:jc w:val="center"/>
              <w:rPr>
                <w:rFonts w:hint="eastAsia" w:ascii="宋体" w:hAnsi="宋体" w:eastAsia="宋体" w:cs="宋体"/>
                <w:i w:val="0"/>
                <w:iCs w:val="0"/>
                <w:color w:val="000000"/>
                <w:sz w:val="20"/>
                <w:szCs w:val="20"/>
                <w:u w:val="none"/>
              </w:rPr>
            </w:pPr>
          </w:p>
        </w:tc>
      </w:tr>
      <w:tr w14:paraId="5B82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A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1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留样柜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B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1.规格：≥600*600*1200mm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2.种类：成品购置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7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F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A8F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1B66">
            <w:pPr>
              <w:jc w:val="center"/>
              <w:rPr>
                <w:rFonts w:hint="eastAsia" w:ascii="宋体" w:hAnsi="宋体" w:eastAsia="宋体" w:cs="宋体"/>
                <w:i w:val="0"/>
                <w:iCs w:val="0"/>
                <w:color w:val="000000"/>
                <w:sz w:val="20"/>
                <w:szCs w:val="20"/>
                <w:u w:val="none"/>
              </w:rPr>
            </w:pPr>
          </w:p>
        </w:tc>
      </w:tr>
      <w:tr w14:paraId="3A73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4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24盘电双门蒸车</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D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1.材质：整体采用SUS201不锈钢制作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2.种类：工程款配无磁不锈钢方盘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3.功率：380V/12KW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F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A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CB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17FF">
            <w:pPr>
              <w:jc w:val="center"/>
              <w:rPr>
                <w:rFonts w:hint="eastAsia" w:ascii="宋体" w:hAnsi="宋体" w:eastAsia="宋体" w:cs="宋体"/>
                <w:i w:val="0"/>
                <w:iCs w:val="0"/>
                <w:color w:val="000000"/>
                <w:sz w:val="20"/>
                <w:szCs w:val="20"/>
                <w:u w:val="none"/>
              </w:rPr>
            </w:pPr>
          </w:p>
        </w:tc>
      </w:tr>
      <w:tr w14:paraId="4760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2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C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蒸车托盘垫</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5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食品级硅胶笼垫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4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5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617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50B7">
            <w:pPr>
              <w:jc w:val="center"/>
              <w:rPr>
                <w:rFonts w:hint="eastAsia" w:ascii="宋体" w:hAnsi="宋体" w:eastAsia="宋体" w:cs="宋体"/>
                <w:i w:val="0"/>
                <w:iCs w:val="0"/>
                <w:color w:val="000000"/>
                <w:sz w:val="20"/>
                <w:szCs w:val="20"/>
                <w:u w:val="none"/>
              </w:rPr>
            </w:pPr>
          </w:p>
        </w:tc>
      </w:tr>
      <w:tr w14:paraId="7318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3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7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四层货架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E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1.规格：≥1500*500*1500mm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2.材质：整体采用SUS201不锈钢制作，平板厚度0.8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4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B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39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1051">
            <w:pPr>
              <w:jc w:val="center"/>
              <w:rPr>
                <w:rFonts w:hint="eastAsia" w:ascii="宋体" w:hAnsi="宋体" w:eastAsia="宋体" w:cs="宋体"/>
                <w:i w:val="0"/>
                <w:iCs w:val="0"/>
                <w:color w:val="000000"/>
                <w:sz w:val="20"/>
                <w:szCs w:val="20"/>
                <w:u w:val="none"/>
              </w:rPr>
            </w:pPr>
          </w:p>
        </w:tc>
      </w:tr>
      <w:tr w14:paraId="0625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E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双星水池</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8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2.材质：整体采用SUS201不锈钢制作，平板厚度0.8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1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A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C1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A14F">
            <w:pPr>
              <w:jc w:val="center"/>
              <w:rPr>
                <w:rFonts w:hint="eastAsia" w:ascii="宋体" w:hAnsi="宋体" w:eastAsia="宋体" w:cs="宋体"/>
                <w:i w:val="0"/>
                <w:iCs w:val="0"/>
                <w:color w:val="000000"/>
                <w:sz w:val="20"/>
                <w:szCs w:val="20"/>
                <w:u w:val="none"/>
              </w:rPr>
            </w:pPr>
          </w:p>
        </w:tc>
      </w:tr>
      <w:tr w14:paraId="58C1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A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9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主食底架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4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1.规格：≥1200*600*300mm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B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E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416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84FC">
            <w:pPr>
              <w:jc w:val="center"/>
              <w:rPr>
                <w:rFonts w:hint="eastAsia" w:ascii="宋体" w:hAnsi="宋体" w:eastAsia="宋体" w:cs="宋体"/>
                <w:i w:val="0"/>
                <w:iCs w:val="0"/>
                <w:color w:val="000000"/>
                <w:sz w:val="20"/>
                <w:szCs w:val="20"/>
                <w:u w:val="none"/>
              </w:rPr>
            </w:pPr>
          </w:p>
        </w:tc>
      </w:tr>
      <w:tr w14:paraId="28C6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B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3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净热水炉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B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1.种类：数显款12KW\130L-380V(200人)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3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D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53C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CDD7">
            <w:pPr>
              <w:jc w:val="center"/>
              <w:rPr>
                <w:rFonts w:hint="eastAsia" w:ascii="宋体" w:hAnsi="宋体" w:eastAsia="宋体" w:cs="宋体"/>
                <w:i w:val="0"/>
                <w:iCs w:val="0"/>
                <w:color w:val="000000"/>
                <w:sz w:val="20"/>
                <w:szCs w:val="20"/>
                <w:u w:val="none"/>
              </w:rPr>
            </w:pPr>
          </w:p>
        </w:tc>
      </w:tr>
      <w:tr w14:paraId="60A2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4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和面机</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B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1.容积：30公斤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3.材质：加厚不锈钢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0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6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D88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F8BC">
            <w:pPr>
              <w:jc w:val="center"/>
              <w:rPr>
                <w:rFonts w:hint="eastAsia" w:ascii="宋体" w:hAnsi="宋体" w:eastAsia="宋体" w:cs="宋体"/>
                <w:i w:val="0"/>
                <w:iCs w:val="0"/>
                <w:color w:val="000000"/>
                <w:sz w:val="20"/>
                <w:szCs w:val="20"/>
                <w:u w:val="none"/>
              </w:rPr>
            </w:pPr>
          </w:p>
        </w:tc>
      </w:tr>
      <w:tr w14:paraId="4BF2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5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6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烤箱</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D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4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D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55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2096">
            <w:pPr>
              <w:jc w:val="center"/>
              <w:rPr>
                <w:rFonts w:hint="eastAsia" w:ascii="宋体" w:hAnsi="宋体" w:eastAsia="宋体" w:cs="宋体"/>
                <w:i w:val="0"/>
                <w:iCs w:val="0"/>
                <w:color w:val="000000"/>
                <w:sz w:val="20"/>
                <w:szCs w:val="20"/>
                <w:u w:val="none"/>
              </w:rPr>
            </w:pPr>
          </w:p>
        </w:tc>
      </w:tr>
      <w:tr w14:paraId="579A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8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发酵箱</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0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1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1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F2F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B5AE">
            <w:pPr>
              <w:jc w:val="center"/>
              <w:rPr>
                <w:rFonts w:hint="eastAsia" w:ascii="宋体" w:hAnsi="宋体" w:eastAsia="宋体" w:cs="宋体"/>
                <w:i w:val="0"/>
                <w:iCs w:val="0"/>
                <w:color w:val="000000"/>
                <w:sz w:val="20"/>
                <w:szCs w:val="20"/>
                <w:u w:val="none"/>
              </w:rPr>
            </w:pPr>
          </w:p>
        </w:tc>
      </w:tr>
      <w:tr w14:paraId="0091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7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8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电饼铛</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A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1.材质：304不锈钢加厚款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2.规格：锅深可调69cm盘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3.功率：5.5KW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4.功能：双面加热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4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E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0C8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5CAC">
            <w:pPr>
              <w:jc w:val="center"/>
              <w:rPr>
                <w:rFonts w:hint="eastAsia" w:ascii="宋体" w:hAnsi="宋体" w:eastAsia="宋体" w:cs="宋体"/>
                <w:i w:val="0"/>
                <w:iCs w:val="0"/>
                <w:color w:val="000000"/>
                <w:sz w:val="20"/>
                <w:szCs w:val="20"/>
                <w:u w:val="none"/>
              </w:rPr>
            </w:pPr>
          </w:p>
        </w:tc>
      </w:tr>
      <w:tr w14:paraId="63D0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8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双门消毒柜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F5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1.规格：≥1200*500*1900mm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2.材质：高温热风循环无磁不锈钢门板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D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6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FC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D0B3">
            <w:pPr>
              <w:jc w:val="center"/>
              <w:rPr>
                <w:rFonts w:hint="eastAsia" w:ascii="宋体" w:hAnsi="宋体" w:eastAsia="宋体" w:cs="宋体"/>
                <w:i w:val="0"/>
                <w:iCs w:val="0"/>
                <w:color w:val="000000"/>
                <w:sz w:val="20"/>
                <w:szCs w:val="20"/>
                <w:u w:val="none"/>
              </w:rPr>
            </w:pPr>
          </w:p>
        </w:tc>
      </w:tr>
      <w:tr w14:paraId="65D6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7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61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厨房用具消毒组合柜</w:t>
            </w:r>
          </w:p>
        </w:tc>
        <w:tc>
          <w:tcPr>
            <w:tcW w:w="5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1F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2.规格：≥950*600*1700</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21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C6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1AC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6A33">
            <w:pPr>
              <w:jc w:val="center"/>
              <w:rPr>
                <w:rFonts w:hint="eastAsia" w:ascii="宋体" w:hAnsi="宋体" w:eastAsia="宋体" w:cs="宋体"/>
                <w:i w:val="0"/>
                <w:iCs w:val="0"/>
                <w:color w:val="000000"/>
                <w:sz w:val="20"/>
                <w:szCs w:val="20"/>
                <w:u w:val="none"/>
              </w:rPr>
            </w:pPr>
          </w:p>
        </w:tc>
      </w:tr>
      <w:tr w14:paraId="5733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F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2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格子餐车（带盖）</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C7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1.规格：≥80*65*65cm，1大4小盒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2.材质：优质食品级不锈钢，全钢质加热管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5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7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73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113B">
            <w:pPr>
              <w:jc w:val="center"/>
              <w:rPr>
                <w:rFonts w:hint="eastAsia" w:ascii="宋体" w:hAnsi="宋体" w:eastAsia="宋体" w:cs="宋体"/>
                <w:i w:val="0"/>
                <w:iCs w:val="0"/>
                <w:color w:val="000000"/>
                <w:sz w:val="20"/>
                <w:szCs w:val="20"/>
                <w:u w:val="none"/>
              </w:rPr>
            </w:pPr>
          </w:p>
        </w:tc>
      </w:tr>
      <w:tr w14:paraId="2B06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7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3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电汤粥桶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4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1.容积：60L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2.材质：食品级304不锈钢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6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4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13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0C32">
            <w:pPr>
              <w:jc w:val="center"/>
              <w:rPr>
                <w:rFonts w:hint="eastAsia" w:ascii="宋体" w:hAnsi="宋体" w:eastAsia="宋体" w:cs="宋体"/>
                <w:i w:val="0"/>
                <w:iCs w:val="0"/>
                <w:color w:val="000000"/>
                <w:sz w:val="20"/>
                <w:szCs w:val="20"/>
                <w:u w:val="none"/>
              </w:rPr>
            </w:pPr>
          </w:p>
        </w:tc>
      </w:tr>
      <w:tr w14:paraId="72F9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B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9E29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不锈钢碗</w:t>
            </w:r>
          </w:p>
        </w:tc>
        <w:tc>
          <w:tcPr>
            <w:tcW w:w="5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6CE4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材质：食品级304不锈钢材质</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2B52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360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599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BF159">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77939">
            <w:pPr>
              <w:jc w:val="center"/>
              <w:rPr>
                <w:rFonts w:hint="eastAsia" w:ascii="宋体" w:hAnsi="宋体" w:eastAsia="宋体" w:cs="宋体"/>
                <w:i w:val="0"/>
                <w:iCs w:val="0"/>
                <w:color w:val="000000"/>
                <w:sz w:val="20"/>
                <w:szCs w:val="20"/>
                <w:u w:val="none"/>
              </w:rPr>
            </w:pPr>
          </w:p>
        </w:tc>
      </w:tr>
      <w:tr w14:paraId="5239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4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873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勺子</w:t>
            </w:r>
          </w:p>
        </w:tc>
        <w:tc>
          <w:tcPr>
            <w:tcW w:w="5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18A7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材质：食品级304不锈钢材质</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404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360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DEA2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52EC0">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7E03">
            <w:pPr>
              <w:jc w:val="center"/>
              <w:rPr>
                <w:rFonts w:hint="eastAsia" w:ascii="宋体" w:hAnsi="宋体" w:eastAsia="宋体" w:cs="宋体"/>
                <w:i w:val="0"/>
                <w:iCs w:val="0"/>
                <w:color w:val="000000"/>
                <w:sz w:val="20"/>
                <w:szCs w:val="20"/>
                <w:u w:val="none"/>
              </w:rPr>
            </w:pPr>
          </w:p>
        </w:tc>
      </w:tr>
      <w:tr w14:paraId="7B25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978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口杯</w:t>
            </w:r>
          </w:p>
        </w:tc>
        <w:tc>
          <w:tcPr>
            <w:tcW w:w="5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6231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材质：食品级304不锈钢材质</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D92E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360</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114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1C454">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7A6CF">
            <w:pPr>
              <w:jc w:val="center"/>
              <w:rPr>
                <w:rFonts w:hint="eastAsia" w:ascii="宋体" w:hAnsi="宋体" w:eastAsia="宋体" w:cs="宋体"/>
                <w:i w:val="0"/>
                <w:iCs w:val="0"/>
                <w:color w:val="000000"/>
                <w:sz w:val="20"/>
                <w:szCs w:val="20"/>
                <w:u w:val="none"/>
              </w:rPr>
            </w:pPr>
          </w:p>
        </w:tc>
      </w:tr>
      <w:tr w14:paraId="3D29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3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59A3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40L保温桶</w:t>
            </w:r>
          </w:p>
        </w:tc>
        <w:tc>
          <w:tcPr>
            <w:tcW w:w="5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D83D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材质：食品级304不锈钢材质</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0F06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7CB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EE4FC">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F4661">
            <w:pPr>
              <w:jc w:val="center"/>
              <w:rPr>
                <w:rFonts w:hint="eastAsia" w:ascii="宋体" w:hAnsi="宋体" w:eastAsia="宋体" w:cs="宋体"/>
                <w:i w:val="0"/>
                <w:iCs w:val="0"/>
                <w:color w:val="000000"/>
                <w:sz w:val="20"/>
                <w:szCs w:val="20"/>
                <w:u w:val="none"/>
              </w:rPr>
            </w:pPr>
          </w:p>
        </w:tc>
      </w:tr>
      <w:tr w14:paraId="3F90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3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E7C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不锈钢桶</w:t>
            </w:r>
          </w:p>
        </w:tc>
        <w:tc>
          <w:tcPr>
            <w:tcW w:w="5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0DBF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1.规格：50CM</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2.材质：食品级304不锈钢材质</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A26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C50E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3E056">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B9CFD">
            <w:pPr>
              <w:jc w:val="center"/>
              <w:rPr>
                <w:rFonts w:hint="eastAsia" w:ascii="宋体" w:hAnsi="宋体" w:eastAsia="宋体" w:cs="宋体"/>
                <w:i w:val="0"/>
                <w:iCs w:val="0"/>
                <w:color w:val="000000"/>
                <w:sz w:val="20"/>
                <w:szCs w:val="20"/>
                <w:u w:val="none"/>
              </w:rPr>
            </w:pPr>
          </w:p>
        </w:tc>
      </w:tr>
      <w:tr w14:paraId="28B9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6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1BB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不锈钢</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手提桶</w:t>
            </w:r>
          </w:p>
        </w:tc>
        <w:tc>
          <w:tcPr>
            <w:tcW w:w="5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4DFF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1.规格：34CM</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2.材质：不锈钢材质</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58B4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F87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54E20">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8767D">
            <w:pPr>
              <w:jc w:val="center"/>
              <w:rPr>
                <w:rFonts w:hint="eastAsia" w:ascii="宋体" w:hAnsi="宋体" w:eastAsia="宋体" w:cs="宋体"/>
                <w:i w:val="0"/>
                <w:iCs w:val="0"/>
                <w:color w:val="000000"/>
                <w:sz w:val="20"/>
                <w:szCs w:val="20"/>
                <w:u w:val="none"/>
              </w:rPr>
            </w:pPr>
          </w:p>
        </w:tc>
      </w:tr>
      <w:tr w14:paraId="3514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B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6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四格深层卡通不锈钢餐盘</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F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1.规格：≥长230mm*宽200mm*高4mm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2.材质：食品级316不锈钢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9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5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95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F856">
            <w:pPr>
              <w:jc w:val="center"/>
              <w:rPr>
                <w:rFonts w:hint="eastAsia" w:ascii="宋体" w:hAnsi="宋体" w:eastAsia="宋体" w:cs="宋体"/>
                <w:i w:val="0"/>
                <w:iCs w:val="0"/>
                <w:color w:val="000000"/>
                <w:sz w:val="20"/>
                <w:szCs w:val="20"/>
                <w:u w:val="none"/>
              </w:rPr>
            </w:pPr>
          </w:p>
        </w:tc>
      </w:tr>
      <w:tr w14:paraId="2BAE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E395">
            <w:pPr>
              <w:jc w:val="center"/>
              <w:rPr>
                <w:rFonts w:hint="eastAsia" w:ascii="宋体" w:hAnsi="宋体" w:eastAsia="宋体" w:cs="宋体"/>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7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07B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56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B2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9E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7086">
            <w:pPr>
              <w:jc w:val="center"/>
              <w:rPr>
                <w:rFonts w:hint="eastAsia" w:ascii="宋体" w:hAnsi="宋体" w:eastAsia="宋体" w:cs="宋体"/>
                <w:i w:val="0"/>
                <w:iCs w:val="0"/>
                <w:color w:val="000000"/>
                <w:sz w:val="20"/>
                <w:szCs w:val="20"/>
                <w:u w:val="none"/>
              </w:rPr>
            </w:pPr>
          </w:p>
        </w:tc>
      </w:tr>
      <w:tr w14:paraId="0B43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7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w:t>
            </w:r>
          </w:p>
        </w:tc>
        <w:tc>
          <w:tcPr>
            <w:tcW w:w="103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3EEA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活动室设备</w:t>
            </w:r>
          </w:p>
        </w:tc>
      </w:tr>
      <w:tr w14:paraId="3231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9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4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恒温直饮机</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D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1.规格：数显款12KW\130L-380V(200人)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2.种类：5级过滤，RO膜反渗透，恒温</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7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C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E6BF">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BE18">
            <w:pPr>
              <w:jc w:val="center"/>
              <w:rPr>
                <w:rFonts w:hint="eastAsia" w:ascii="宋体" w:hAnsi="宋体" w:eastAsia="宋体" w:cs="宋体"/>
                <w:i w:val="0"/>
                <w:iCs w:val="0"/>
                <w:color w:val="000000"/>
                <w:sz w:val="20"/>
                <w:szCs w:val="20"/>
                <w:u w:val="none"/>
              </w:rPr>
            </w:pPr>
          </w:p>
        </w:tc>
      </w:tr>
      <w:tr w14:paraId="78F9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5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7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B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1.规格：≥110*30*92cm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2.材质：橡胶木，板材厚度16mm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0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8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0CC5">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9E39">
            <w:pPr>
              <w:jc w:val="center"/>
              <w:rPr>
                <w:rFonts w:hint="eastAsia" w:ascii="宋体" w:hAnsi="宋体" w:eastAsia="宋体" w:cs="宋体"/>
                <w:i w:val="0"/>
                <w:iCs w:val="0"/>
                <w:color w:val="000000"/>
                <w:sz w:val="20"/>
                <w:szCs w:val="20"/>
                <w:u w:val="none"/>
              </w:rPr>
            </w:pPr>
          </w:p>
        </w:tc>
      </w:tr>
      <w:tr w14:paraId="4D8F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C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3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C7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1.规格：≥80*40*90cm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2.材质：橡胶木，板材厚度16mm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4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3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8691">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5D92">
            <w:pPr>
              <w:jc w:val="center"/>
              <w:rPr>
                <w:rFonts w:hint="eastAsia" w:ascii="宋体" w:hAnsi="宋体" w:eastAsia="宋体" w:cs="宋体"/>
                <w:i w:val="0"/>
                <w:iCs w:val="0"/>
                <w:color w:val="000000"/>
                <w:sz w:val="20"/>
                <w:szCs w:val="20"/>
                <w:u w:val="none"/>
              </w:rPr>
            </w:pPr>
          </w:p>
        </w:tc>
      </w:tr>
      <w:tr w14:paraId="3F36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B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D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书包柜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D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2.材质：橡胶木，板材厚度16mm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8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1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3D13">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38D5">
            <w:pPr>
              <w:jc w:val="center"/>
              <w:rPr>
                <w:rFonts w:hint="eastAsia" w:ascii="宋体" w:hAnsi="宋体" w:eastAsia="宋体" w:cs="宋体"/>
                <w:i w:val="0"/>
                <w:iCs w:val="0"/>
                <w:color w:val="000000"/>
                <w:sz w:val="20"/>
                <w:szCs w:val="20"/>
                <w:u w:val="none"/>
              </w:rPr>
            </w:pPr>
          </w:p>
        </w:tc>
      </w:tr>
      <w:tr w14:paraId="3135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6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B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多媒体移动架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D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1.360°旋转轻音万向轮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2.升降高度：1600-1850mm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3.称重范围：120kg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4.适应尺寸：55-100英寸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5.材质：双层加厚横梁及支撑板，高强度冷轧钢，表面喷塑工艺，安全防腐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7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C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2CA9">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2752">
            <w:pPr>
              <w:jc w:val="center"/>
              <w:rPr>
                <w:rFonts w:hint="eastAsia" w:ascii="宋体" w:hAnsi="宋体" w:eastAsia="宋体" w:cs="宋体"/>
                <w:i w:val="0"/>
                <w:iCs w:val="0"/>
                <w:color w:val="000000"/>
                <w:sz w:val="20"/>
                <w:szCs w:val="20"/>
                <w:u w:val="none"/>
              </w:rPr>
            </w:pPr>
          </w:p>
        </w:tc>
      </w:tr>
      <w:tr w14:paraId="4EEE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9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5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多媒体一体机</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BB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一、硬件功能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1.整机屏幕采用≥86英寸超高清LED 液晶显示屏，屏幕支持≥3840*2160分辨率；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2.整机采用红外触控技术，可支持≥40点触控，便于多名孩子同时操作书写；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★3.整机采用内置非独立摄像头设计，像素≥1300W，支持拍摄4K视频，视场角≥120°；（提供权威第三方检测机构所出具的检测报告复印件并加盖厂家公章）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4.整机内置非独立外扩展的4阵列麦克风，可用于对教室环境音频进行采集，拾音距离≥12m;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5.嵌入式系统版本不低于Android 11，运行内存≥16GB，存储空间≥512GB。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★6.整机视网膜蓝光危害（蓝光加权辐射亮度LB）满足IEC TR 62778:2014蓝光危害RG0级别（提供权威第三方检测机构所出具的检测报告复印件并加盖厂家公章）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7.支持护眼模式，可开启/关闭护眼模式。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8.具备标准，节能，多媒体，智能模式；在智能模式下，整机可以根据显示内容自动调节，此模式可以进行开关；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★9.整机支持纸质护眼模式，可以在PC通道任意画面任意软件所有显示内容下实现画面纹理的实时调整；（提供权威第三方检测机构所出具的检测报告复印件并加盖厂家公章）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10.整机支持画屏模式；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11.整机内置 ≥2.1 声道扬声器，前朝向中高音≥2*10W，背朝向低音≥20W，额定总功率≥40W；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12.整机的内置扬声器采用覆盖式透声布，防止异物进入扬声器；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13.最低书写高度≤3mm，书写延时≤30ms；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14.在任意通道下支持手势识别调出板擦工具擦除批注内容，且能根据手与屏幕的接触面积自动调整板擦工具的大小；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★15.整机支持版本Wi-Fi6，满足IEEE 802.11 a/b/g/n/ac/ax标准;（提供权威第三方检测机构所出具的检测报告复印件并加盖厂家公章）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16.整机内置无线传输模块，无任何外接或转接天线,网卡，即可实现Wi-Fi无线上网连接，AP无线热点发射，WIFI支持2.4G/5G频段;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17.整机支持蓝牙 Bluetooth5.2标准；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18.整机内置NFC读卡模块；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19.前置接口：USB3.0*2;Type-c*1；侧置接口：HDMIIN*2，Audio out*1，touch USB*1， RS232*1，USB2.0*1；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20.整机具备前置Type-C接口，通过Type-C接口实现音视频输入，外接电脑设备经双头Type-C线连接至整机，即可把外接电脑设备画面投到整机上，同时在整机上操作画面，可实现触摸电脑的操作，无需再连接触控USB线。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21.节能模式未开启后，当设备在五分钟内处于无信号接收状态且无人操作时，设备自动关机；当打开自动节能模式后，在设备处于有信号状态下，遮住光感 1 分钟后自动息屏；在设备处于无信号状态下，1 分钟息屏，再过 2 分钟关机；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22.整机在任意信号源通道均可调出全通道触摸中控设置菜单，中控菜单具备声音、图像、设置、缩放以及亮度设置模块，其中支持开启/关闭自动节能和护眼模式；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23.支持无线智能遥控，人性化设计具备电视遥控功能和电脑键盘常用的F1—F12功能键及Alt+F4、Alt+Tab、Space、Enter、Win等快捷按键，可一键锁定/解锁触摸及整机实体按键，防止课间学生操作；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24.采用抽拉内置式模块化电脑，≥intel 12代 I5 CPU，内存≥16GB DDR4内存配置，硬盘≥512 GB 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二、含安装、教材及培训等服务，质保五年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6F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A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822">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75D8">
            <w:pPr>
              <w:jc w:val="center"/>
              <w:rPr>
                <w:rFonts w:hint="eastAsia" w:ascii="宋体" w:hAnsi="宋体" w:eastAsia="宋体" w:cs="宋体"/>
                <w:i w:val="0"/>
                <w:iCs w:val="0"/>
                <w:color w:val="000000"/>
                <w:sz w:val="20"/>
                <w:szCs w:val="20"/>
                <w:u w:val="none"/>
              </w:rPr>
            </w:pPr>
          </w:p>
        </w:tc>
      </w:tr>
      <w:tr w14:paraId="5A69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8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B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B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1.规格：25*32*3.3cm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2.材质：木质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1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1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6C05">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F09E">
            <w:pPr>
              <w:jc w:val="center"/>
              <w:rPr>
                <w:rFonts w:hint="eastAsia" w:ascii="宋体" w:hAnsi="宋体" w:eastAsia="宋体" w:cs="宋体"/>
                <w:i w:val="0"/>
                <w:iCs w:val="0"/>
                <w:color w:val="000000"/>
                <w:sz w:val="20"/>
                <w:szCs w:val="20"/>
                <w:u w:val="none"/>
              </w:rPr>
            </w:pPr>
          </w:p>
        </w:tc>
      </w:tr>
      <w:tr w14:paraId="7B67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0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1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长方形桌</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5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1.规格：≥120×60×56㎝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2.材质：进口环保橡木木材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3.种类：防潮抗裂，精品、加固、加厚桌腿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A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4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8081">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7FC2">
            <w:pPr>
              <w:jc w:val="center"/>
              <w:rPr>
                <w:rFonts w:hint="eastAsia" w:ascii="宋体" w:hAnsi="宋体" w:eastAsia="宋体" w:cs="宋体"/>
                <w:i w:val="0"/>
                <w:iCs w:val="0"/>
                <w:color w:val="000000"/>
                <w:sz w:val="20"/>
                <w:szCs w:val="20"/>
                <w:u w:val="none"/>
              </w:rPr>
            </w:pPr>
          </w:p>
        </w:tc>
      </w:tr>
      <w:tr w14:paraId="3639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F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0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方形桌</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3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1.规格：≥60×60×56㎝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2.材质：进口环保橡木木材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3.种类：防潮抗裂，精品、加固、加厚椅腿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9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D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769E">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740D">
            <w:pPr>
              <w:jc w:val="center"/>
              <w:rPr>
                <w:rFonts w:hint="eastAsia" w:ascii="宋体" w:hAnsi="宋体" w:eastAsia="宋体" w:cs="宋体"/>
                <w:i w:val="0"/>
                <w:iCs w:val="0"/>
                <w:color w:val="000000"/>
                <w:sz w:val="20"/>
                <w:szCs w:val="20"/>
                <w:u w:val="none"/>
              </w:rPr>
            </w:pPr>
          </w:p>
        </w:tc>
      </w:tr>
      <w:tr w14:paraId="75AC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8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E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1.规格：≥51×35×26㎝，可叠放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2.材质：进口环保橡木木材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3.种类：防潮抗裂，精品、加固、加厚椅腿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B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0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AEE0">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B32D">
            <w:pPr>
              <w:jc w:val="center"/>
              <w:rPr>
                <w:rFonts w:hint="eastAsia" w:ascii="宋体" w:hAnsi="宋体" w:eastAsia="宋体" w:cs="宋体"/>
                <w:i w:val="0"/>
                <w:iCs w:val="0"/>
                <w:color w:val="000000"/>
                <w:sz w:val="20"/>
                <w:szCs w:val="20"/>
                <w:u w:val="none"/>
              </w:rPr>
            </w:pPr>
          </w:p>
        </w:tc>
      </w:tr>
      <w:tr w14:paraId="1867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2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0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单层床</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0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1.规格：≥135*60*20cm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2.材质：进口橡木板材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3.种类：绿色环保，全封闭静电喷涂，精品、加固、加厚床体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F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D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C4EF">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8794">
            <w:pPr>
              <w:jc w:val="center"/>
              <w:rPr>
                <w:rFonts w:hint="eastAsia" w:ascii="宋体" w:hAnsi="宋体" w:eastAsia="宋体" w:cs="宋体"/>
                <w:i w:val="0"/>
                <w:iCs w:val="0"/>
                <w:color w:val="000000"/>
                <w:sz w:val="20"/>
                <w:szCs w:val="20"/>
                <w:u w:val="none"/>
              </w:rPr>
            </w:pPr>
          </w:p>
        </w:tc>
      </w:tr>
      <w:tr w14:paraId="4A96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F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造型组合展示柜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41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1.规格：≥360*30*110cm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2.材质：进口实木板材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3.种类：环保健康，超大容量，双重打磨工艺，材质加厚，安全无异味，美观大方，多种造型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E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2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EA57">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44CF">
            <w:pPr>
              <w:jc w:val="center"/>
              <w:rPr>
                <w:rFonts w:hint="eastAsia" w:ascii="宋体" w:hAnsi="宋体" w:eastAsia="宋体" w:cs="宋体"/>
                <w:i w:val="0"/>
                <w:iCs w:val="0"/>
                <w:color w:val="000000"/>
                <w:sz w:val="20"/>
                <w:szCs w:val="20"/>
                <w:u w:val="none"/>
              </w:rPr>
            </w:pPr>
          </w:p>
        </w:tc>
      </w:tr>
      <w:tr w14:paraId="6709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7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6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玩具柜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3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2.材质：进口实木板材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3.种类：环保健康，超大容量，双重打磨工艺，材质加厚，安全无异味，美观大方，多种造型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1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E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F8F8">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E69B">
            <w:pPr>
              <w:jc w:val="center"/>
              <w:rPr>
                <w:rFonts w:hint="eastAsia" w:ascii="宋体" w:hAnsi="宋体" w:eastAsia="宋体" w:cs="宋体"/>
                <w:i w:val="0"/>
                <w:iCs w:val="0"/>
                <w:color w:val="000000"/>
                <w:sz w:val="20"/>
                <w:szCs w:val="20"/>
                <w:u w:val="none"/>
              </w:rPr>
            </w:pPr>
          </w:p>
        </w:tc>
      </w:tr>
      <w:tr w14:paraId="39C6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6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6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26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2.材质：进口实木板材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3.种类：环保健康，超大容量，双重打磨工艺，材质加厚，安全无异味，美观大方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E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9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5342">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6DFB">
            <w:pPr>
              <w:jc w:val="center"/>
              <w:rPr>
                <w:rFonts w:hint="eastAsia" w:ascii="宋体" w:hAnsi="宋体" w:eastAsia="宋体" w:cs="宋体"/>
                <w:i w:val="0"/>
                <w:iCs w:val="0"/>
                <w:color w:val="000000"/>
                <w:sz w:val="20"/>
                <w:szCs w:val="20"/>
                <w:u w:val="none"/>
              </w:rPr>
            </w:pPr>
          </w:p>
        </w:tc>
      </w:tr>
      <w:tr w14:paraId="3B98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F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8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转角组合柜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1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1.规格：≥510*75*30cm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2.材质：进口实木板材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3.种类：环保健康，超大容量，边角打磨，材质加厚，安全无异味，美观大方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8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3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5A06">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E886">
            <w:pPr>
              <w:jc w:val="center"/>
              <w:rPr>
                <w:rFonts w:hint="eastAsia" w:ascii="宋体" w:hAnsi="宋体" w:eastAsia="宋体" w:cs="宋体"/>
                <w:i w:val="0"/>
                <w:iCs w:val="0"/>
                <w:color w:val="000000"/>
                <w:sz w:val="20"/>
                <w:szCs w:val="20"/>
                <w:u w:val="none"/>
              </w:rPr>
            </w:pPr>
          </w:p>
        </w:tc>
      </w:tr>
      <w:tr w14:paraId="098B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C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4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定制衣帽柜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7E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1.材质：进口优质加厚实木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2.种类：环保实用，双重打磨工艺，圆润边角无毛刺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2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6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1369">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CCE7">
            <w:pPr>
              <w:jc w:val="center"/>
              <w:rPr>
                <w:rFonts w:hint="eastAsia" w:ascii="宋体" w:hAnsi="宋体" w:eastAsia="宋体" w:cs="宋体"/>
                <w:i w:val="0"/>
                <w:iCs w:val="0"/>
                <w:color w:val="000000"/>
                <w:sz w:val="20"/>
                <w:szCs w:val="20"/>
                <w:u w:val="none"/>
              </w:rPr>
            </w:pPr>
          </w:p>
        </w:tc>
      </w:tr>
      <w:tr w14:paraId="05D1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8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3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学生口杯架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D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1.规格：70*90*30cm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2.材质：环保实木，加厚板材，健康无异味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5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A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452A">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35E4">
            <w:pPr>
              <w:jc w:val="center"/>
              <w:rPr>
                <w:rFonts w:hint="eastAsia" w:ascii="宋体" w:hAnsi="宋体" w:eastAsia="宋体" w:cs="宋体"/>
                <w:i w:val="0"/>
                <w:iCs w:val="0"/>
                <w:color w:val="000000"/>
                <w:sz w:val="20"/>
                <w:szCs w:val="20"/>
                <w:u w:val="none"/>
              </w:rPr>
            </w:pPr>
          </w:p>
        </w:tc>
      </w:tr>
      <w:tr w14:paraId="5E68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7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F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C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1.规格：≥105*40*115cm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2.材质：杉木，板材厚度20mm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0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6696">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933A">
            <w:pPr>
              <w:jc w:val="center"/>
              <w:rPr>
                <w:rFonts w:hint="eastAsia" w:ascii="宋体" w:hAnsi="宋体" w:eastAsia="宋体" w:cs="宋体"/>
                <w:i w:val="0"/>
                <w:iCs w:val="0"/>
                <w:color w:val="000000"/>
                <w:sz w:val="20"/>
                <w:szCs w:val="20"/>
                <w:u w:val="none"/>
              </w:rPr>
            </w:pPr>
          </w:p>
        </w:tc>
      </w:tr>
      <w:tr w14:paraId="226A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D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3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带轮可移动三层基础柜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4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1.规格：≥120*30*80cm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2.材质：橡胶木，板材厚度16mm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A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E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1CC3">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6E0C">
            <w:pPr>
              <w:jc w:val="center"/>
              <w:rPr>
                <w:rFonts w:hint="eastAsia" w:ascii="宋体" w:hAnsi="宋体" w:eastAsia="宋体" w:cs="宋体"/>
                <w:i w:val="0"/>
                <w:iCs w:val="0"/>
                <w:color w:val="000000"/>
                <w:sz w:val="20"/>
                <w:szCs w:val="20"/>
                <w:u w:val="none"/>
              </w:rPr>
            </w:pPr>
          </w:p>
        </w:tc>
      </w:tr>
      <w:tr w14:paraId="4FEB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5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8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阶梯式图书柜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1.规格：≥100×30×75㎝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2.材质：进口优质加厚实木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3.种类：环保实用，双重打 磨工艺，圆润边角无毛刺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3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F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8C9B">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B9AD">
            <w:pPr>
              <w:jc w:val="center"/>
              <w:rPr>
                <w:rFonts w:hint="eastAsia" w:ascii="宋体" w:hAnsi="宋体" w:eastAsia="宋体" w:cs="宋体"/>
                <w:i w:val="0"/>
                <w:iCs w:val="0"/>
                <w:color w:val="000000"/>
                <w:sz w:val="20"/>
                <w:szCs w:val="20"/>
                <w:u w:val="none"/>
              </w:rPr>
            </w:pPr>
          </w:p>
        </w:tc>
      </w:tr>
      <w:tr w14:paraId="40B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E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3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1.规格：≥1046*300*368mm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2.材质：橡胶木，板材厚度16mm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8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4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E4F4">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EC2C">
            <w:pPr>
              <w:jc w:val="center"/>
              <w:rPr>
                <w:rFonts w:hint="eastAsia" w:ascii="宋体" w:hAnsi="宋体" w:eastAsia="宋体" w:cs="宋体"/>
                <w:i w:val="0"/>
                <w:iCs w:val="0"/>
                <w:color w:val="000000"/>
                <w:sz w:val="20"/>
                <w:szCs w:val="20"/>
                <w:u w:val="none"/>
              </w:rPr>
            </w:pPr>
          </w:p>
        </w:tc>
      </w:tr>
      <w:tr w14:paraId="3FDB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5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8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建构桌</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42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1.规格：≥55*55*50cm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2.材质：橡胶木，板材厚度16mm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A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2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8707">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F8CE">
            <w:pPr>
              <w:jc w:val="center"/>
              <w:rPr>
                <w:rFonts w:hint="eastAsia" w:ascii="宋体" w:hAnsi="宋体" w:eastAsia="宋体" w:cs="宋体"/>
                <w:i w:val="0"/>
                <w:iCs w:val="0"/>
                <w:color w:val="000000"/>
                <w:sz w:val="20"/>
                <w:szCs w:val="20"/>
                <w:u w:val="none"/>
              </w:rPr>
            </w:pPr>
          </w:p>
        </w:tc>
      </w:tr>
      <w:tr w14:paraId="7741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2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A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小黑板</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0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2.种类：可升降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6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2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29D2">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4398">
            <w:pPr>
              <w:jc w:val="center"/>
              <w:rPr>
                <w:rFonts w:hint="eastAsia" w:ascii="宋体" w:hAnsi="宋体" w:eastAsia="宋体" w:cs="宋体"/>
                <w:i w:val="0"/>
                <w:iCs w:val="0"/>
                <w:color w:val="000000"/>
                <w:sz w:val="20"/>
                <w:szCs w:val="20"/>
                <w:u w:val="none"/>
              </w:rPr>
            </w:pPr>
          </w:p>
        </w:tc>
      </w:tr>
      <w:tr w14:paraId="2B34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C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9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青蛙箱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63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6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D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D85B">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3B17">
            <w:pPr>
              <w:jc w:val="center"/>
              <w:rPr>
                <w:rFonts w:hint="eastAsia" w:ascii="宋体" w:hAnsi="宋体" w:eastAsia="宋体" w:cs="宋体"/>
                <w:i w:val="0"/>
                <w:iCs w:val="0"/>
                <w:color w:val="000000"/>
                <w:sz w:val="20"/>
                <w:szCs w:val="20"/>
                <w:u w:val="none"/>
              </w:rPr>
            </w:pPr>
          </w:p>
        </w:tc>
      </w:tr>
      <w:tr w14:paraId="21C6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B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B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口杯消毒柜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E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1.规格：≥93*36.5*42cm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2.材质：全不锈钢层架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3.种类：热风循环消毒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6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9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4270">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DD59">
            <w:pPr>
              <w:jc w:val="center"/>
              <w:rPr>
                <w:rFonts w:hint="eastAsia" w:ascii="宋体" w:hAnsi="宋体" w:eastAsia="宋体" w:cs="宋体"/>
                <w:i w:val="0"/>
                <w:iCs w:val="0"/>
                <w:color w:val="000000"/>
                <w:sz w:val="20"/>
                <w:szCs w:val="20"/>
                <w:u w:val="none"/>
              </w:rPr>
            </w:pPr>
          </w:p>
        </w:tc>
      </w:tr>
      <w:tr w14:paraId="5E26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B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0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3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1.材质：布艺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2.种类：含罗马杆、挂钩等全套，遮光布，静音滑道，绿色卡通小鹿。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注：满足甲方要求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0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E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58E9">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6DCD">
            <w:pPr>
              <w:jc w:val="center"/>
              <w:rPr>
                <w:rFonts w:hint="eastAsia" w:ascii="宋体" w:hAnsi="宋体" w:eastAsia="宋体" w:cs="宋体"/>
                <w:i w:val="0"/>
                <w:iCs w:val="0"/>
                <w:color w:val="000000"/>
                <w:sz w:val="20"/>
                <w:szCs w:val="20"/>
                <w:u w:val="none"/>
              </w:rPr>
            </w:pPr>
          </w:p>
        </w:tc>
      </w:tr>
      <w:tr w14:paraId="43BC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F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电钢琴</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0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1.规格：珠江88键，≥121*45*82cm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2.材质：坚固木材质，实木喷制工艺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3.种类：黑色，288种主旋律音色，12组键盘打击乐（含钢琴凳、钢琴罩）</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D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6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968F">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B689">
            <w:pPr>
              <w:jc w:val="center"/>
              <w:rPr>
                <w:rFonts w:hint="eastAsia" w:ascii="宋体" w:hAnsi="宋体" w:eastAsia="宋体" w:cs="宋体"/>
                <w:i w:val="0"/>
                <w:iCs w:val="0"/>
                <w:color w:val="000000"/>
                <w:sz w:val="20"/>
                <w:szCs w:val="20"/>
                <w:u w:val="none"/>
              </w:rPr>
            </w:pPr>
          </w:p>
        </w:tc>
      </w:tr>
      <w:tr w14:paraId="15C2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1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3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电热水器（卫生间）</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7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1.种类：成品购置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2.加热功率：3500W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3.防水等级：IPX4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4.加热方式：三管加热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5.最大容积：60L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6.电压/频率：220V/50Hz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7.内胆材质：金刚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8.产品尺寸:≥长700mm；宽320mm；高565mm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7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6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6EA8">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767B">
            <w:pPr>
              <w:jc w:val="center"/>
              <w:rPr>
                <w:rFonts w:hint="eastAsia" w:ascii="宋体" w:hAnsi="宋体" w:eastAsia="宋体" w:cs="宋体"/>
                <w:i w:val="0"/>
                <w:iCs w:val="0"/>
                <w:color w:val="000000"/>
                <w:sz w:val="20"/>
                <w:szCs w:val="20"/>
                <w:u w:val="none"/>
              </w:rPr>
            </w:pPr>
          </w:p>
        </w:tc>
      </w:tr>
      <w:tr w14:paraId="633E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C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多功能室全彩LED显示屏</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5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1.像素间距3.0mm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2.模组尺寸320*160mm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3.模块采用高强度塑胶套件，产品轻巧安装精度高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1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5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1B7C">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C353">
            <w:pPr>
              <w:jc w:val="center"/>
              <w:rPr>
                <w:rFonts w:hint="eastAsia" w:ascii="宋体" w:hAnsi="宋体" w:eastAsia="宋体" w:cs="宋体"/>
                <w:i w:val="0"/>
                <w:iCs w:val="0"/>
                <w:color w:val="000000"/>
                <w:sz w:val="20"/>
                <w:szCs w:val="20"/>
                <w:u w:val="none"/>
              </w:rPr>
            </w:pPr>
          </w:p>
        </w:tc>
      </w:tr>
      <w:tr w14:paraId="4E72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6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5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接收卡</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0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1.支持带载512×512像素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2.自带12个75HUB接口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3.最大支持24组RGB并行数据输出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4.最支持3D功能，最大带载512×512像素（PWMIC）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5.支持灯板Flash存储信息管理。支持mapping功能、支持逐点亮色度校正、支持快速修缝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6.支持自身电压、温度监测，无需其他外设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7.支持网线通讯状态监测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8.支持双电源备份状态检测、支持环路备份、支持双程序备份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9.支持配置参数备份与回读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10.支持5Pin箱体液晶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11.支持误码率检测</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F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0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FFF6">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6103">
            <w:pPr>
              <w:jc w:val="center"/>
              <w:rPr>
                <w:rFonts w:hint="eastAsia" w:ascii="宋体" w:hAnsi="宋体" w:eastAsia="宋体" w:cs="宋体"/>
                <w:i w:val="0"/>
                <w:iCs w:val="0"/>
                <w:color w:val="000000"/>
                <w:sz w:val="20"/>
                <w:szCs w:val="20"/>
                <w:u w:val="none"/>
              </w:rPr>
            </w:pPr>
          </w:p>
        </w:tc>
      </w:tr>
      <w:tr w14:paraId="5DFB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3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7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6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1.AC输入：176-264V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2.DC输出：5V40A</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9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9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222E">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207E">
            <w:pPr>
              <w:jc w:val="center"/>
              <w:rPr>
                <w:rFonts w:hint="eastAsia" w:ascii="宋体" w:hAnsi="宋体" w:eastAsia="宋体" w:cs="宋体"/>
                <w:i w:val="0"/>
                <w:iCs w:val="0"/>
                <w:color w:val="000000"/>
                <w:sz w:val="20"/>
                <w:szCs w:val="20"/>
                <w:u w:val="none"/>
              </w:rPr>
            </w:pPr>
          </w:p>
        </w:tc>
      </w:tr>
      <w:tr w14:paraId="4CB7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5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F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7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带载690万、10网口</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2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B507">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627">
            <w:pPr>
              <w:jc w:val="center"/>
              <w:rPr>
                <w:rFonts w:hint="eastAsia" w:ascii="宋体" w:hAnsi="宋体" w:eastAsia="宋体" w:cs="宋体"/>
                <w:i w:val="0"/>
                <w:iCs w:val="0"/>
                <w:color w:val="000000"/>
                <w:sz w:val="20"/>
                <w:szCs w:val="20"/>
                <w:u w:val="none"/>
              </w:rPr>
            </w:pPr>
          </w:p>
        </w:tc>
      </w:tr>
      <w:tr w14:paraId="7F72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F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F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1.类型：15KW配电柜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2.输入电压：380V，三相五线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4.输出回路：3路220V电缆线到屏体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5.手动操作：通过配电柜门上的旋钮开关对每一路显示模组进行停送电操作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7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E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F55F">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4F36">
            <w:pPr>
              <w:jc w:val="center"/>
              <w:rPr>
                <w:rFonts w:hint="eastAsia" w:ascii="宋体" w:hAnsi="宋体" w:eastAsia="宋体" w:cs="宋体"/>
                <w:i w:val="0"/>
                <w:iCs w:val="0"/>
                <w:color w:val="000000"/>
                <w:sz w:val="20"/>
                <w:szCs w:val="20"/>
                <w:u w:val="none"/>
              </w:rPr>
            </w:pPr>
          </w:p>
        </w:tc>
      </w:tr>
      <w:tr w14:paraId="6D68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2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9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线材、辅材</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A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LED屏体使用的电源线、网线、高清视频线等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3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9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6A95">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1E17">
            <w:pPr>
              <w:jc w:val="center"/>
              <w:rPr>
                <w:rFonts w:hint="eastAsia" w:ascii="宋体" w:hAnsi="宋体" w:eastAsia="宋体" w:cs="宋体"/>
                <w:i w:val="0"/>
                <w:iCs w:val="0"/>
                <w:color w:val="000000"/>
                <w:sz w:val="20"/>
                <w:szCs w:val="20"/>
                <w:u w:val="none"/>
              </w:rPr>
            </w:pPr>
          </w:p>
        </w:tc>
      </w:tr>
      <w:tr w14:paraId="16E5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0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8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结构、包边、安装调试</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A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显示屏专用支架结构，做防锈、防潮处理，安装及调试费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D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4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5741">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D3DC">
            <w:pPr>
              <w:jc w:val="center"/>
              <w:rPr>
                <w:rFonts w:hint="eastAsia" w:ascii="宋体" w:hAnsi="宋体" w:eastAsia="宋体" w:cs="宋体"/>
                <w:i w:val="0"/>
                <w:iCs w:val="0"/>
                <w:color w:val="000000"/>
                <w:sz w:val="20"/>
                <w:szCs w:val="20"/>
                <w:u w:val="none"/>
              </w:rPr>
            </w:pPr>
          </w:p>
        </w:tc>
      </w:tr>
      <w:tr w14:paraId="0E7F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1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8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运输、备品备件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97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同一批次模组接收卡电源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7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2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E697">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DE91">
            <w:pPr>
              <w:jc w:val="center"/>
              <w:rPr>
                <w:rFonts w:hint="eastAsia" w:ascii="宋体" w:hAnsi="宋体" w:eastAsia="宋体" w:cs="宋体"/>
                <w:i w:val="0"/>
                <w:iCs w:val="0"/>
                <w:color w:val="000000"/>
                <w:sz w:val="20"/>
                <w:szCs w:val="20"/>
                <w:u w:val="none"/>
              </w:rPr>
            </w:pPr>
          </w:p>
        </w:tc>
      </w:tr>
      <w:tr w14:paraId="1E76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C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9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灯光系统</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C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灯、轨道、线路及安装</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F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B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1266">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63CA">
            <w:pPr>
              <w:jc w:val="center"/>
              <w:rPr>
                <w:rFonts w:hint="eastAsia" w:ascii="宋体" w:hAnsi="宋体" w:eastAsia="宋体" w:cs="宋体"/>
                <w:i w:val="0"/>
                <w:iCs w:val="0"/>
                <w:color w:val="000000"/>
                <w:sz w:val="20"/>
                <w:szCs w:val="20"/>
                <w:u w:val="none"/>
              </w:rPr>
            </w:pPr>
          </w:p>
        </w:tc>
      </w:tr>
      <w:tr w14:paraId="555F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C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3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演讲台</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75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1.规格：≥110*60*50cm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2.材质：实木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8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2DB7">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2E3A">
            <w:pPr>
              <w:jc w:val="center"/>
              <w:rPr>
                <w:rFonts w:hint="eastAsia" w:ascii="宋体" w:hAnsi="宋体" w:eastAsia="宋体" w:cs="宋体"/>
                <w:i w:val="0"/>
                <w:iCs w:val="0"/>
                <w:color w:val="000000"/>
                <w:sz w:val="20"/>
                <w:szCs w:val="20"/>
                <w:u w:val="none"/>
              </w:rPr>
            </w:pPr>
          </w:p>
        </w:tc>
      </w:tr>
      <w:tr w14:paraId="4E37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F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C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多功能室桌子</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1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1.规格：≥120*40*76cm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3.种类：可移动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5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B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93F9">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7A76">
            <w:pPr>
              <w:jc w:val="center"/>
              <w:rPr>
                <w:rFonts w:hint="eastAsia" w:ascii="宋体" w:hAnsi="宋体" w:eastAsia="宋体" w:cs="宋体"/>
                <w:i w:val="0"/>
                <w:iCs w:val="0"/>
                <w:color w:val="000000"/>
                <w:sz w:val="20"/>
                <w:szCs w:val="20"/>
                <w:u w:val="none"/>
              </w:rPr>
            </w:pPr>
          </w:p>
        </w:tc>
      </w:tr>
      <w:tr w14:paraId="62E3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4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E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多功能室椅子</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C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1.规格：≥70*50*45cm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3.种类：可移动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C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3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0039">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DEC">
            <w:pPr>
              <w:jc w:val="center"/>
              <w:rPr>
                <w:rFonts w:hint="eastAsia" w:ascii="宋体" w:hAnsi="宋体" w:eastAsia="宋体" w:cs="宋体"/>
                <w:i w:val="0"/>
                <w:iCs w:val="0"/>
                <w:color w:val="000000"/>
                <w:sz w:val="20"/>
                <w:szCs w:val="20"/>
                <w:u w:val="none"/>
              </w:rPr>
            </w:pPr>
          </w:p>
        </w:tc>
      </w:tr>
      <w:tr w14:paraId="6A83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2796">
            <w:pPr>
              <w:jc w:val="center"/>
              <w:rPr>
                <w:rFonts w:hint="eastAsia" w:ascii="宋体" w:hAnsi="宋体" w:eastAsia="宋体" w:cs="宋体"/>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8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5A1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11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E0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CB1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00D3">
            <w:pPr>
              <w:jc w:val="center"/>
              <w:rPr>
                <w:rFonts w:hint="eastAsia" w:ascii="宋体" w:hAnsi="宋体" w:eastAsia="宋体" w:cs="宋体"/>
                <w:i w:val="0"/>
                <w:iCs w:val="0"/>
                <w:color w:val="000000"/>
                <w:sz w:val="20"/>
                <w:szCs w:val="20"/>
                <w:u w:val="none"/>
              </w:rPr>
            </w:pPr>
          </w:p>
        </w:tc>
      </w:tr>
      <w:tr w14:paraId="7057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9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w:t>
            </w:r>
          </w:p>
        </w:tc>
        <w:tc>
          <w:tcPr>
            <w:tcW w:w="103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3CCF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消防及安保器材</w:t>
            </w:r>
          </w:p>
        </w:tc>
      </w:tr>
      <w:tr w14:paraId="3B9E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3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A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一键联网报警</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4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精盾SA-1168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E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5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F3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F631">
            <w:pPr>
              <w:jc w:val="center"/>
              <w:rPr>
                <w:rFonts w:hint="eastAsia" w:ascii="宋体" w:hAnsi="宋体" w:eastAsia="宋体" w:cs="宋体"/>
                <w:i w:val="0"/>
                <w:iCs w:val="0"/>
                <w:color w:val="000000"/>
                <w:sz w:val="20"/>
                <w:szCs w:val="20"/>
                <w:u w:val="none"/>
              </w:rPr>
            </w:pPr>
          </w:p>
        </w:tc>
      </w:tr>
      <w:tr w14:paraId="73E7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A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6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80寸电视</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1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1.国标产品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2.满足甲方使用要求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3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A2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DCB2">
            <w:pPr>
              <w:jc w:val="center"/>
              <w:rPr>
                <w:rFonts w:hint="eastAsia" w:ascii="宋体" w:hAnsi="宋体" w:eastAsia="宋体" w:cs="宋体"/>
                <w:i w:val="0"/>
                <w:iCs w:val="0"/>
                <w:color w:val="000000"/>
                <w:sz w:val="20"/>
                <w:szCs w:val="20"/>
                <w:u w:val="none"/>
              </w:rPr>
            </w:pPr>
          </w:p>
        </w:tc>
      </w:tr>
      <w:tr w14:paraId="7CBE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8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21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安保八件套</w:t>
            </w:r>
          </w:p>
        </w:tc>
        <w:tc>
          <w:tcPr>
            <w:tcW w:w="5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2A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1.名称：安保八件套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2.包含内容：防暴头盔、钢叉、防护盾牌、防刺背心、防刺手套、橡胶警棍、强光手电、抓捕器</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A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63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5BC1E">
            <w:pPr>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F4052">
            <w:pPr>
              <w:jc w:val="center"/>
              <w:rPr>
                <w:rFonts w:hint="eastAsia" w:ascii="宋体" w:hAnsi="宋体" w:eastAsia="宋体" w:cs="宋体"/>
                <w:i w:val="0"/>
                <w:iCs w:val="0"/>
                <w:color w:val="000000"/>
                <w:sz w:val="20"/>
                <w:szCs w:val="20"/>
                <w:u w:val="none"/>
              </w:rPr>
            </w:pPr>
          </w:p>
        </w:tc>
      </w:tr>
      <w:tr w14:paraId="2930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F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4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治安服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E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1.耐脏易洗，舒适抗皱</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3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6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90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2650">
            <w:pPr>
              <w:jc w:val="center"/>
              <w:rPr>
                <w:rFonts w:hint="eastAsia" w:ascii="宋体" w:hAnsi="宋体" w:eastAsia="宋体" w:cs="宋体"/>
                <w:i w:val="0"/>
                <w:iCs w:val="0"/>
                <w:color w:val="000000"/>
                <w:sz w:val="20"/>
                <w:szCs w:val="20"/>
                <w:u w:val="none"/>
              </w:rPr>
            </w:pPr>
          </w:p>
        </w:tc>
      </w:tr>
      <w:tr w14:paraId="0761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6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E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防撞石墩</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7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1.名称：防撞墩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2.材质：大理石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3.规格：φ60cm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2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A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E4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C97F">
            <w:pPr>
              <w:jc w:val="center"/>
              <w:rPr>
                <w:rFonts w:hint="eastAsia" w:ascii="宋体" w:hAnsi="宋体" w:eastAsia="宋体" w:cs="宋体"/>
                <w:i w:val="0"/>
                <w:iCs w:val="0"/>
                <w:color w:val="000000"/>
                <w:sz w:val="20"/>
                <w:szCs w:val="20"/>
                <w:u w:val="none"/>
              </w:rPr>
            </w:pPr>
          </w:p>
        </w:tc>
      </w:tr>
      <w:tr w14:paraId="51B3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1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D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防撞栏</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C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规格：直径60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8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6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63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54B9">
            <w:pPr>
              <w:jc w:val="center"/>
              <w:rPr>
                <w:rFonts w:hint="eastAsia" w:ascii="宋体" w:hAnsi="宋体" w:eastAsia="宋体" w:cs="宋体"/>
                <w:i w:val="0"/>
                <w:iCs w:val="0"/>
                <w:color w:val="000000"/>
                <w:sz w:val="20"/>
                <w:szCs w:val="20"/>
                <w:u w:val="none"/>
              </w:rPr>
            </w:pPr>
          </w:p>
        </w:tc>
      </w:tr>
      <w:tr w14:paraId="17D7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B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1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微型消防站</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70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2.种类：六人豪华套装（含柜）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7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A4B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616E">
            <w:pPr>
              <w:jc w:val="center"/>
              <w:rPr>
                <w:rFonts w:hint="eastAsia" w:ascii="宋体" w:hAnsi="宋体" w:eastAsia="宋体" w:cs="宋体"/>
                <w:i w:val="0"/>
                <w:iCs w:val="0"/>
                <w:color w:val="000000"/>
                <w:sz w:val="20"/>
                <w:szCs w:val="20"/>
                <w:u w:val="none"/>
              </w:rPr>
            </w:pPr>
          </w:p>
        </w:tc>
      </w:tr>
      <w:tr w14:paraId="02BF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E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5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A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1.型号：干粉灭火器 MFZ/ABC4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2.灭火级别：2A，55B，C,E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3.含压力表、3C认证</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C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5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4F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AD96">
            <w:pPr>
              <w:jc w:val="center"/>
              <w:rPr>
                <w:rFonts w:hint="eastAsia" w:ascii="宋体" w:hAnsi="宋体" w:eastAsia="宋体" w:cs="宋体"/>
                <w:i w:val="0"/>
                <w:iCs w:val="0"/>
                <w:color w:val="000000"/>
                <w:sz w:val="20"/>
                <w:szCs w:val="20"/>
                <w:u w:val="none"/>
              </w:rPr>
            </w:pPr>
          </w:p>
        </w:tc>
      </w:tr>
      <w:tr w14:paraId="3500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B703">
            <w:pPr>
              <w:jc w:val="center"/>
              <w:rPr>
                <w:rFonts w:hint="eastAsia" w:ascii="宋体" w:hAnsi="宋体" w:eastAsia="宋体" w:cs="宋体"/>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4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6B7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2C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CF1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F9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94FD">
            <w:pPr>
              <w:jc w:val="center"/>
              <w:rPr>
                <w:rFonts w:hint="eastAsia" w:ascii="宋体" w:hAnsi="宋体" w:eastAsia="宋体" w:cs="宋体"/>
                <w:i w:val="0"/>
                <w:iCs w:val="0"/>
                <w:color w:val="000000"/>
                <w:sz w:val="20"/>
                <w:szCs w:val="20"/>
                <w:u w:val="none"/>
              </w:rPr>
            </w:pPr>
          </w:p>
        </w:tc>
      </w:tr>
      <w:tr w14:paraId="1FE9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4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w:t>
            </w:r>
          </w:p>
        </w:tc>
        <w:tc>
          <w:tcPr>
            <w:tcW w:w="103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5D3A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其他设备</w:t>
            </w:r>
          </w:p>
        </w:tc>
      </w:tr>
      <w:tr w14:paraId="38DF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7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E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洗衣机</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2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≥20KG，蓝光健康洗，风干波纶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E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8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3D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8A40">
            <w:pPr>
              <w:jc w:val="center"/>
              <w:rPr>
                <w:rFonts w:hint="eastAsia" w:ascii="宋体" w:hAnsi="宋体" w:eastAsia="宋体" w:cs="宋体"/>
                <w:i w:val="0"/>
                <w:iCs w:val="0"/>
                <w:color w:val="000000"/>
                <w:sz w:val="20"/>
                <w:szCs w:val="20"/>
                <w:u w:val="none"/>
              </w:rPr>
            </w:pPr>
          </w:p>
        </w:tc>
      </w:tr>
      <w:tr w14:paraId="187B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E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E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D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1.规格：≥180*85*40cm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2.材质：采用0.8mm优质冷轧钢板，上玻璃门对开内三可调活板，玻璃采用3mm浮法玻璃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3.种类：下铁门对开内二可调活板，门上有铝合金拉手、暗锁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4.颜色：灰白色</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8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2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EF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4D8E">
            <w:pPr>
              <w:jc w:val="center"/>
              <w:rPr>
                <w:rFonts w:hint="eastAsia" w:ascii="宋体" w:hAnsi="宋体" w:eastAsia="宋体" w:cs="宋体"/>
                <w:i w:val="0"/>
                <w:iCs w:val="0"/>
                <w:color w:val="000000"/>
                <w:sz w:val="20"/>
                <w:szCs w:val="20"/>
                <w:u w:val="none"/>
              </w:rPr>
            </w:pPr>
          </w:p>
        </w:tc>
      </w:tr>
      <w:tr w14:paraId="3722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6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4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移动推车</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5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1.规格：≥66*44*86cm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2.材质：加粗钢管、医用橡胶车轮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3.种类：两层中号单抽屉</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B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745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D39C">
            <w:pPr>
              <w:jc w:val="center"/>
              <w:rPr>
                <w:rFonts w:hint="eastAsia" w:ascii="宋体" w:hAnsi="宋体" w:eastAsia="宋体" w:cs="宋体"/>
                <w:i w:val="0"/>
                <w:iCs w:val="0"/>
                <w:color w:val="000000"/>
                <w:sz w:val="20"/>
                <w:szCs w:val="20"/>
                <w:u w:val="none"/>
              </w:rPr>
            </w:pPr>
          </w:p>
        </w:tc>
      </w:tr>
      <w:tr w14:paraId="62D1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7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D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小消毒柜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2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1.种类：医用级，紫外线+臭氧消毒，360度无死角</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1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B3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3977">
            <w:pPr>
              <w:jc w:val="center"/>
              <w:rPr>
                <w:rFonts w:hint="eastAsia" w:ascii="宋体" w:hAnsi="宋体" w:eastAsia="宋体" w:cs="宋体"/>
                <w:i w:val="0"/>
                <w:iCs w:val="0"/>
                <w:color w:val="000000"/>
                <w:sz w:val="20"/>
                <w:szCs w:val="20"/>
                <w:u w:val="none"/>
              </w:rPr>
            </w:pPr>
          </w:p>
        </w:tc>
      </w:tr>
      <w:tr w14:paraId="1464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B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6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小冰箱</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F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1.容量：25L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2.种类：温度可调，可冷冻</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C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4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55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E188">
            <w:pPr>
              <w:jc w:val="center"/>
              <w:rPr>
                <w:rFonts w:hint="eastAsia" w:ascii="宋体" w:hAnsi="宋体" w:eastAsia="宋体" w:cs="宋体"/>
                <w:i w:val="0"/>
                <w:iCs w:val="0"/>
                <w:color w:val="000000"/>
                <w:sz w:val="20"/>
                <w:szCs w:val="20"/>
                <w:u w:val="none"/>
              </w:rPr>
            </w:pPr>
          </w:p>
        </w:tc>
      </w:tr>
      <w:tr w14:paraId="1790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E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6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医药箱及保健用品</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1.规格：≥30.5*17*19cm，12寸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3.含软皮尺、创可贴、双氧水、血压器、碘伏、纱布、医用棉签、棉球、镊子、烫伤膏、冰袋、配美欣得、压舌板</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2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E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E9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D527">
            <w:pPr>
              <w:jc w:val="center"/>
              <w:rPr>
                <w:rFonts w:hint="eastAsia" w:ascii="宋体" w:hAnsi="宋体" w:eastAsia="宋体" w:cs="宋体"/>
                <w:i w:val="0"/>
                <w:iCs w:val="0"/>
                <w:color w:val="000000"/>
                <w:sz w:val="20"/>
                <w:szCs w:val="20"/>
                <w:u w:val="none"/>
              </w:rPr>
            </w:pPr>
          </w:p>
        </w:tc>
      </w:tr>
      <w:tr w14:paraId="381F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A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3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诊床</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D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1.尺寸：200*90*50cm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2.材质：加厚钢管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3.满足甲方使用要求</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8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9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CD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5069">
            <w:pPr>
              <w:jc w:val="center"/>
              <w:rPr>
                <w:rFonts w:hint="eastAsia" w:ascii="宋体" w:hAnsi="宋体" w:eastAsia="宋体" w:cs="宋体"/>
                <w:i w:val="0"/>
                <w:iCs w:val="0"/>
                <w:color w:val="000000"/>
                <w:sz w:val="20"/>
                <w:szCs w:val="20"/>
                <w:u w:val="none"/>
              </w:rPr>
            </w:pPr>
          </w:p>
        </w:tc>
      </w:tr>
      <w:tr w14:paraId="73F1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F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F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视力灯箱</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63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1.材质：铝合金材质灯箱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2.规格：高94.5cm*宽30cm*厚7.5cm</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5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86F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0021">
            <w:pPr>
              <w:jc w:val="center"/>
              <w:rPr>
                <w:rFonts w:hint="eastAsia" w:ascii="宋体" w:hAnsi="宋体" w:eastAsia="宋体" w:cs="宋体"/>
                <w:i w:val="0"/>
                <w:iCs w:val="0"/>
                <w:color w:val="000000"/>
                <w:sz w:val="20"/>
                <w:szCs w:val="20"/>
                <w:u w:val="none"/>
              </w:rPr>
            </w:pPr>
          </w:p>
        </w:tc>
      </w:tr>
      <w:tr w14:paraId="7041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F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2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坐高体重称</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B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高精传感器，铝制伸缩刻度尺，毫米精度，精准测高，稳固底座</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8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DD4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C655">
            <w:pPr>
              <w:jc w:val="center"/>
              <w:rPr>
                <w:rFonts w:hint="eastAsia" w:ascii="宋体" w:hAnsi="宋体" w:eastAsia="宋体" w:cs="宋体"/>
                <w:i w:val="0"/>
                <w:iCs w:val="0"/>
                <w:color w:val="000000"/>
                <w:sz w:val="20"/>
                <w:szCs w:val="20"/>
                <w:u w:val="none"/>
              </w:rPr>
            </w:pPr>
          </w:p>
        </w:tc>
      </w:tr>
      <w:tr w14:paraId="6518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C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0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医用手电筒</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2.充电方式：USB充电、循环充电锂电池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3.双光源</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2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F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C30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FC30">
            <w:pPr>
              <w:jc w:val="center"/>
              <w:rPr>
                <w:rFonts w:hint="eastAsia" w:ascii="宋体" w:hAnsi="宋体" w:eastAsia="宋体" w:cs="宋体"/>
                <w:i w:val="0"/>
                <w:iCs w:val="0"/>
                <w:color w:val="000000"/>
                <w:sz w:val="20"/>
                <w:szCs w:val="20"/>
                <w:u w:val="none"/>
              </w:rPr>
            </w:pPr>
          </w:p>
        </w:tc>
      </w:tr>
      <w:tr w14:paraId="18EC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8841">
            <w:pPr>
              <w:jc w:val="center"/>
              <w:rPr>
                <w:rFonts w:hint="eastAsia" w:ascii="宋体" w:hAnsi="宋体" w:eastAsia="宋体" w:cs="宋体"/>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F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CFC7">
            <w:pPr>
              <w:jc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661B">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0E97">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04D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053C">
            <w:pPr>
              <w:jc w:val="center"/>
              <w:rPr>
                <w:rFonts w:hint="eastAsia" w:ascii="宋体" w:hAnsi="宋体" w:eastAsia="宋体" w:cs="宋体"/>
                <w:i w:val="0"/>
                <w:iCs w:val="0"/>
                <w:color w:val="000000"/>
                <w:sz w:val="20"/>
                <w:szCs w:val="20"/>
                <w:u w:val="none"/>
              </w:rPr>
            </w:pPr>
          </w:p>
        </w:tc>
      </w:tr>
      <w:tr w14:paraId="249C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1551">
            <w:pPr>
              <w:jc w:val="center"/>
              <w:rPr>
                <w:rFonts w:hint="eastAsia" w:ascii="宋体" w:hAnsi="宋体" w:eastAsia="宋体" w:cs="宋体"/>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E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EDFA">
            <w:pPr>
              <w:jc w:val="center"/>
              <w:rPr>
                <w:rFonts w:hint="eastAsia" w:ascii="宋体" w:hAnsi="宋体" w:eastAsia="宋体" w:cs="宋体"/>
                <w:i w:val="0"/>
                <w:iCs w:val="0"/>
                <w:color w:val="000000"/>
                <w:sz w:val="20"/>
                <w:szCs w:val="20"/>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94CC">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81C0">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7D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5206">
            <w:pPr>
              <w:jc w:val="center"/>
              <w:rPr>
                <w:rFonts w:hint="eastAsia" w:ascii="宋体" w:hAnsi="宋体" w:eastAsia="宋体" w:cs="宋体"/>
                <w:i w:val="0"/>
                <w:iCs w:val="0"/>
                <w:color w:val="000000"/>
                <w:sz w:val="20"/>
                <w:szCs w:val="20"/>
                <w:u w:val="none"/>
              </w:rPr>
            </w:pPr>
          </w:p>
        </w:tc>
      </w:tr>
    </w:tbl>
    <w:p w14:paraId="23FA4E6D">
      <w:pPr>
        <w:pStyle w:val="3"/>
        <w:bidi w:val="0"/>
        <w:jc w:val="center"/>
        <w:rPr>
          <w:rFonts w:ascii="宋体" w:hAnsi="宋体" w:cs="宋体"/>
          <w:b/>
          <w:bCs/>
          <w:color w:val="auto"/>
          <w:szCs w:val="32"/>
          <w:highlight w:val="none"/>
        </w:rPr>
      </w:pPr>
      <w:r>
        <w:rPr>
          <w:rFonts w:hint="eastAsia" w:ascii="宋体" w:hAnsi="宋体" w:cs="宋体"/>
          <w:b/>
          <w:bCs/>
          <w:color w:val="auto"/>
          <w:szCs w:val="32"/>
          <w:highlight w:val="none"/>
        </w:rPr>
        <w:br w:type="page"/>
      </w:r>
      <w:bookmarkStart w:id="563" w:name="_Toc16018"/>
      <w:r>
        <w:rPr>
          <w:rFonts w:hint="eastAsia"/>
        </w:rPr>
        <w:t xml:space="preserve">第六章 </w:t>
      </w:r>
      <w:bookmarkEnd w:id="554"/>
      <w:bookmarkStart w:id="564" w:name="_Toc77586966"/>
      <w:r>
        <w:rPr>
          <w:rFonts w:hint="eastAsia"/>
          <w:lang w:val="en-US" w:eastAsia="zh-CN"/>
        </w:rPr>
        <w:t xml:space="preserve"> </w:t>
      </w:r>
      <w:r>
        <w:rPr>
          <w:rFonts w:hint="eastAsia"/>
        </w:rPr>
        <w:t>技术标准和要求</w:t>
      </w:r>
      <w:bookmarkEnd w:id="555"/>
      <w:bookmarkEnd w:id="556"/>
      <w:bookmarkEnd w:id="557"/>
      <w:bookmarkEnd w:id="558"/>
      <w:bookmarkEnd w:id="559"/>
      <w:bookmarkEnd w:id="560"/>
      <w:bookmarkEnd w:id="561"/>
      <w:bookmarkEnd w:id="562"/>
      <w:bookmarkEnd w:id="563"/>
      <w:bookmarkEnd w:id="564"/>
    </w:p>
    <w:p w14:paraId="08E2E5B0">
      <w:pPr>
        <w:spacing w:line="540" w:lineRule="exact"/>
        <w:ind w:firstLine="480" w:firstLineChars="200"/>
        <w:rPr>
          <w:rFonts w:ascii="宋体" w:hAnsi="宋体"/>
          <w:sz w:val="24"/>
          <w:szCs w:val="24"/>
          <w:highlight w:val="none"/>
        </w:rPr>
      </w:pPr>
      <w:bookmarkStart w:id="565" w:name="_Toc247085872"/>
      <w:bookmarkStart w:id="566" w:name="_Toc144974855"/>
      <w:bookmarkStart w:id="567" w:name="_Toc179632806"/>
      <w:bookmarkStart w:id="568" w:name="_Toc246996354"/>
      <w:bookmarkStart w:id="569" w:name="_Toc296602600"/>
      <w:bookmarkStart w:id="570" w:name="_Toc152045786"/>
      <w:bookmarkStart w:id="571" w:name="_Toc152042575"/>
      <w:bookmarkStart w:id="572" w:name="_Toc246997097"/>
      <w:r>
        <w:rPr>
          <w:rFonts w:hint="eastAsia" w:ascii="宋体" w:hAnsi="宋体"/>
          <w:sz w:val="24"/>
          <w:szCs w:val="24"/>
          <w:highlight w:val="none"/>
        </w:rPr>
        <w:t>依据</w:t>
      </w:r>
      <w:r>
        <w:rPr>
          <w:rFonts w:hint="eastAsia" w:ascii="宋体" w:hAnsi="宋体"/>
          <w:sz w:val="24"/>
          <w:szCs w:val="24"/>
          <w:highlight w:val="none"/>
          <w:lang w:val="en-US" w:eastAsia="zh-CN"/>
        </w:rPr>
        <w:t>采购内容</w:t>
      </w:r>
      <w:r>
        <w:rPr>
          <w:rFonts w:hint="eastAsia" w:ascii="宋体" w:hAnsi="宋体"/>
          <w:sz w:val="24"/>
          <w:szCs w:val="24"/>
          <w:highlight w:val="none"/>
        </w:rPr>
        <w:t>和技术文件要求，本项目的材料</w:t>
      </w:r>
      <w:r>
        <w:rPr>
          <w:rFonts w:hint="eastAsia" w:ascii="宋体" w:hAnsi="宋体"/>
          <w:sz w:val="24"/>
          <w:szCs w:val="24"/>
          <w:highlight w:val="none"/>
          <w:lang w:eastAsia="zh-CN"/>
        </w:rPr>
        <w:t>、</w:t>
      </w:r>
      <w:r>
        <w:rPr>
          <w:rFonts w:hint="eastAsia" w:ascii="宋体" w:hAnsi="宋体"/>
          <w:sz w:val="24"/>
          <w:szCs w:val="24"/>
          <w:highlight w:val="none"/>
        </w:rPr>
        <w:t>设备必须达到现行中华人民共和国及省市行业的一切有关法规、规范的要求。</w:t>
      </w:r>
    </w:p>
    <w:p w14:paraId="503556BE">
      <w:pPr>
        <w:rPr>
          <w:rFonts w:ascii="宋体" w:hAnsi="宋体" w:cs="宋体"/>
          <w:highlight w:val="none"/>
        </w:rPr>
      </w:pPr>
    </w:p>
    <w:p w14:paraId="3C3CD074">
      <w:pPr>
        <w:rPr>
          <w:rFonts w:ascii="宋体" w:hAnsi="宋体" w:cs="宋体"/>
          <w:highlight w:val="none"/>
        </w:rPr>
      </w:pPr>
    </w:p>
    <w:p w14:paraId="59D4DB19">
      <w:pPr>
        <w:rPr>
          <w:rFonts w:ascii="宋体" w:hAnsi="宋体" w:cs="宋体"/>
          <w:highlight w:val="none"/>
        </w:rPr>
      </w:pPr>
    </w:p>
    <w:p w14:paraId="5F006E21">
      <w:pPr>
        <w:rPr>
          <w:rFonts w:ascii="宋体" w:hAnsi="宋体" w:cs="宋体"/>
          <w:highlight w:val="none"/>
        </w:rPr>
      </w:pPr>
    </w:p>
    <w:p w14:paraId="20D6A40B">
      <w:pPr>
        <w:pStyle w:val="3"/>
        <w:bidi w:val="0"/>
        <w:jc w:val="center"/>
        <w:rPr>
          <w:rFonts w:ascii="宋体" w:hAnsi="宋体" w:cs="宋体"/>
          <w:szCs w:val="36"/>
          <w:highlight w:val="none"/>
        </w:rPr>
      </w:pPr>
      <w:bookmarkStart w:id="573" w:name="_Toc77586869"/>
      <w:bookmarkStart w:id="574" w:name="_Toc77586967"/>
      <w:r>
        <w:rPr>
          <w:rFonts w:hint="eastAsia" w:ascii="宋体" w:hAnsi="宋体" w:cs="宋体"/>
          <w:b/>
          <w:bCs/>
          <w:szCs w:val="32"/>
          <w:highlight w:val="none"/>
        </w:rPr>
        <w:br w:type="page"/>
      </w:r>
      <w:bookmarkStart w:id="575" w:name="_Toc13988"/>
      <w:r>
        <w:rPr>
          <w:rFonts w:hint="eastAsia"/>
        </w:rPr>
        <w:t>第七章  响应文件格式</w:t>
      </w:r>
      <w:bookmarkEnd w:id="565"/>
      <w:bookmarkEnd w:id="566"/>
      <w:bookmarkEnd w:id="567"/>
      <w:bookmarkEnd w:id="568"/>
      <w:bookmarkEnd w:id="569"/>
      <w:bookmarkEnd w:id="570"/>
      <w:bookmarkEnd w:id="571"/>
      <w:bookmarkEnd w:id="572"/>
      <w:bookmarkEnd w:id="573"/>
      <w:bookmarkEnd w:id="574"/>
      <w:bookmarkEnd w:id="575"/>
    </w:p>
    <w:p w14:paraId="43B55EEC">
      <w:pPr>
        <w:jc w:val="center"/>
        <w:rPr>
          <w:rFonts w:ascii="宋体" w:hAnsi="宋体" w:cs="宋体"/>
          <w:b/>
          <w:sz w:val="24"/>
          <w:szCs w:val="24"/>
          <w:highlight w:val="none"/>
        </w:rPr>
      </w:pPr>
      <w:r>
        <w:rPr>
          <w:rFonts w:hint="eastAsia" w:ascii="宋体" w:hAnsi="宋体" w:cs="宋体"/>
          <w:b/>
          <w:sz w:val="24"/>
          <w:szCs w:val="24"/>
          <w:highlight w:val="none"/>
        </w:rPr>
        <w:t>（此格式仅供参考）</w:t>
      </w:r>
    </w:p>
    <w:p w14:paraId="1A3C3B21">
      <w:pPr>
        <w:spacing w:line="400" w:lineRule="exact"/>
        <w:rPr>
          <w:rFonts w:ascii="宋体" w:hAnsi="宋体" w:cs="宋体"/>
          <w:highlight w:val="none"/>
        </w:rPr>
      </w:pPr>
    </w:p>
    <w:p w14:paraId="4555E6AC">
      <w:pPr>
        <w:spacing w:line="360" w:lineRule="auto"/>
        <w:ind w:firstLine="200"/>
        <w:jc w:val="center"/>
        <w:rPr>
          <w:rFonts w:hint="eastAsia" w:ascii="宋体" w:hAnsi="宋体" w:cs="宋体"/>
          <w:b/>
          <w:sz w:val="48"/>
          <w:szCs w:val="48"/>
          <w:highlight w:val="none"/>
        </w:rPr>
      </w:pPr>
      <w:bookmarkStart w:id="576" w:name="_Toc179632807"/>
      <w:bookmarkStart w:id="577" w:name="_Toc246996355"/>
      <w:bookmarkStart w:id="578" w:name="_Toc144974856"/>
      <w:bookmarkStart w:id="579" w:name="_Toc152045787"/>
      <w:bookmarkStart w:id="580" w:name="_Toc246997098"/>
      <w:bookmarkStart w:id="581" w:name="_Toc152042576"/>
      <w:bookmarkStart w:id="582" w:name="_Toc296602601"/>
      <w:bookmarkStart w:id="583" w:name="_Toc247085873"/>
    </w:p>
    <w:p w14:paraId="09EFABE4">
      <w:pPr>
        <w:spacing w:line="360" w:lineRule="auto"/>
        <w:ind w:firstLine="200"/>
        <w:jc w:val="center"/>
        <w:rPr>
          <w:rFonts w:ascii="宋体" w:cs="宋体"/>
          <w:b/>
          <w:sz w:val="48"/>
          <w:szCs w:val="48"/>
          <w:highlight w:val="none"/>
          <w:u w:val="single"/>
        </w:rPr>
      </w:pPr>
      <w:r>
        <w:rPr>
          <w:rFonts w:hint="eastAsia" w:ascii="宋体" w:hAnsi="宋体" w:cs="宋体"/>
          <w:b/>
          <w:sz w:val="48"/>
          <w:szCs w:val="48"/>
          <w:highlight w:val="none"/>
        </w:rPr>
        <w:t>（项目名称）</w:t>
      </w:r>
    </w:p>
    <w:p w14:paraId="0024651E">
      <w:pPr>
        <w:jc w:val="center"/>
        <w:rPr>
          <w:rFonts w:ascii="宋体" w:hAnsi="宋体" w:cs="宋体"/>
          <w:b/>
          <w:bCs/>
          <w:sz w:val="56"/>
          <w:szCs w:val="56"/>
          <w:highlight w:val="none"/>
        </w:rPr>
      </w:pPr>
    </w:p>
    <w:p w14:paraId="38BFC3B8">
      <w:pPr>
        <w:jc w:val="center"/>
        <w:rPr>
          <w:rFonts w:ascii="宋体" w:hAnsi="宋体" w:cs="宋体"/>
          <w:b/>
          <w:bCs/>
          <w:sz w:val="144"/>
          <w:szCs w:val="144"/>
          <w:highlight w:val="none"/>
        </w:rPr>
      </w:pPr>
      <w:r>
        <w:rPr>
          <w:rFonts w:hint="eastAsia" w:ascii="宋体" w:hAnsi="宋体" w:cs="宋体"/>
          <w:b/>
          <w:bCs/>
          <w:sz w:val="96"/>
          <w:szCs w:val="96"/>
          <w:highlight w:val="none"/>
        </w:rPr>
        <w:t>响应文件</w:t>
      </w:r>
    </w:p>
    <w:p w14:paraId="13FB07F5">
      <w:pPr>
        <w:spacing w:line="700" w:lineRule="exact"/>
        <w:jc w:val="center"/>
        <w:rPr>
          <w:rFonts w:ascii="宋体" w:hAnsi="宋体" w:cs="宋体"/>
          <w:b/>
          <w:sz w:val="24"/>
          <w:szCs w:val="24"/>
          <w:highlight w:val="none"/>
        </w:rPr>
      </w:pPr>
      <w:r>
        <w:rPr>
          <w:rFonts w:hint="eastAsia" w:ascii="宋体" w:hAnsi="宋体" w:cs="宋体"/>
          <w:b/>
          <w:sz w:val="24"/>
          <w:szCs w:val="24"/>
          <w:highlight w:val="none"/>
        </w:rPr>
        <w:t>项目编号： ；</w:t>
      </w:r>
    </w:p>
    <w:p w14:paraId="3B71A48F">
      <w:pPr>
        <w:spacing w:line="700" w:lineRule="exact"/>
        <w:ind w:left="3534" w:hanging="3534" w:hangingChars="1100"/>
        <w:jc w:val="center"/>
        <w:rPr>
          <w:rFonts w:ascii="宋体" w:hAnsi="宋体" w:cs="宋体"/>
          <w:b/>
          <w:sz w:val="32"/>
          <w:szCs w:val="32"/>
          <w:highlight w:val="none"/>
        </w:rPr>
      </w:pPr>
    </w:p>
    <w:p w14:paraId="38D7AF17">
      <w:pPr>
        <w:spacing w:line="700" w:lineRule="exact"/>
        <w:rPr>
          <w:rFonts w:ascii="宋体" w:hAnsi="宋体" w:cs="宋体"/>
          <w:b/>
          <w:sz w:val="32"/>
          <w:szCs w:val="32"/>
          <w:highlight w:val="none"/>
        </w:rPr>
      </w:pPr>
    </w:p>
    <w:p w14:paraId="5D9FBE1C">
      <w:pPr>
        <w:spacing w:line="700" w:lineRule="exact"/>
        <w:rPr>
          <w:rFonts w:ascii="宋体" w:hAnsi="宋体" w:cs="宋体"/>
          <w:b/>
          <w:bCs/>
          <w:sz w:val="32"/>
          <w:szCs w:val="32"/>
          <w:highlight w:val="none"/>
        </w:rPr>
      </w:pPr>
    </w:p>
    <w:p w14:paraId="3803F5FA">
      <w:pPr>
        <w:ind w:firstLine="1280" w:firstLineChars="400"/>
        <w:rPr>
          <w:rFonts w:ascii="宋体" w:hAnsi="宋体" w:cs="宋体"/>
          <w:sz w:val="32"/>
          <w:szCs w:val="32"/>
          <w:highlight w:val="none"/>
        </w:rPr>
      </w:pPr>
    </w:p>
    <w:p w14:paraId="7FAA7EE1">
      <w:pPr>
        <w:ind w:firstLine="1280" w:firstLineChars="400"/>
        <w:rPr>
          <w:rFonts w:ascii="宋体" w:hAnsi="宋体" w:cs="宋体"/>
          <w:sz w:val="32"/>
          <w:szCs w:val="32"/>
          <w:highlight w:val="none"/>
        </w:rPr>
      </w:pPr>
    </w:p>
    <w:p w14:paraId="2F9F01D5">
      <w:pPr>
        <w:ind w:firstLine="1280" w:firstLineChars="400"/>
        <w:rPr>
          <w:rFonts w:ascii="宋体" w:hAnsi="宋体" w:cs="宋体"/>
          <w:sz w:val="32"/>
          <w:szCs w:val="32"/>
          <w:highlight w:val="none"/>
          <w:u w:val="single"/>
        </w:rPr>
      </w:pPr>
      <w:r>
        <w:rPr>
          <w:rFonts w:hint="eastAsia" w:ascii="宋体" w:hAnsi="宋体" w:cs="宋体"/>
          <w:sz w:val="32"/>
          <w:szCs w:val="32"/>
          <w:highlight w:val="none"/>
        </w:rPr>
        <w:t>投  标  人：（电子签章）</w:t>
      </w:r>
    </w:p>
    <w:p w14:paraId="116A8487">
      <w:pPr>
        <w:rPr>
          <w:rFonts w:ascii="宋体" w:hAnsi="宋体" w:cs="宋体"/>
          <w:sz w:val="32"/>
          <w:szCs w:val="32"/>
          <w:highlight w:val="none"/>
        </w:rPr>
      </w:pPr>
      <w:r>
        <w:rPr>
          <w:rFonts w:hint="eastAsia" w:ascii="宋体" w:hAnsi="宋体" w:cs="宋体"/>
          <w:sz w:val="32"/>
          <w:szCs w:val="32"/>
          <w:highlight w:val="none"/>
        </w:rPr>
        <w:t xml:space="preserve">        法定代表人：（电子签章）</w:t>
      </w:r>
    </w:p>
    <w:p w14:paraId="124C29F6">
      <w:pPr>
        <w:jc w:val="left"/>
        <w:rPr>
          <w:rFonts w:ascii="宋体" w:hAnsi="宋体" w:cs="宋体"/>
          <w:sz w:val="32"/>
          <w:szCs w:val="32"/>
          <w:highlight w:val="none"/>
        </w:rPr>
      </w:pPr>
      <w:r>
        <w:rPr>
          <w:rFonts w:hint="eastAsia" w:ascii="宋体" w:hAnsi="宋体" w:cs="宋体"/>
          <w:sz w:val="32"/>
          <w:szCs w:val="32"/>
          <w:highlight w:val="none"/>
        </w:rPr>
        <w:t xml:space="preserve">        日      期：年月日</w:t>
      </w:r>
    </w:p>
    <w:p w14:paraId="78F383B3">
      <w:pPr>
        <w:jc w:val="center"/>
        <w:rPr>
          <w:rFonts w:ascii="宋体" w:hAnsi="宋体" w:cs="宋体"/>
          <w:sz w:val="44"/>
          <w:szCs w:val="44"/>
          <w:highlight w:val="none"/>
        </w:rPr>
      </w:pPr>
    </w:p>
    <w:p w14:paraId="60BFC90A">
      <w:pPr>
        <w:jc w:val="center"/>
        <w:rPr>
          <w:rFonts w:ascii="宋体" w:hAnsi="宋体" w:cs="宋体"/>
          <w:sz w:val="44"/>
          <w:szCs w:val="44"/>
          <w:highlight w:val="none"/>
        </w:rPr>
      </w:pPr>
      <w:r>
        <w:rPr>
          <w:rFonts w:hint="eastAsia" w:ascii="宋体" w:hAnsi="宋体" w:cs="宋体"/>
          <w:sz w:val="44"/>
          <w:szCs w:val="44"/>
          <w:highlight w:val="none"/>
        </w:rPr>
        <w:br w:type="page"/>
      </w:r>
      <w:r>
        <w:rPr>
          <w:rFonts w:hint="eastAsia" w:ascii="宋体" w:hAnsi="宋体" w:cs="宋体"/>
          <w:sz w:val="44"/>
          <w:szCs w:val="44"/>
          <w:highlight w:val="none"/>
        </w:rPr>
        <w:t>目   录</w:t>
      </w:r>
      <w:bookmarkEnd w:id="576"/>
      <w:bookmarkEnd w:id="577"/>
      <w:bookmarkEnd w:id="578"/>
      <w:bookmarkEnd w:id="579"/>
      <w:bookmarkEnd w:id="580"/>
      <w:bookmarkEnd w:id="581"/>
      <w:bookmarkEnd w:id="582"/>
      <w:bookmarkEnd w:id="583"/>
    </w:p>
    <w:p w14:paraId="39C4F10C">
      <w:pPr>
        <w:spacing w:line="540" w:lineRule="exact"/>
        <w:jc w:val="center"/>
        <w:rPr>
          <w:rFonts w:ascii="宋体" w:hAnsi="宋体" w:cs="宋体"/>
          <w:highlight w:val="none"/>
        </w:rPr>
      </w:pPr>
      <w:r>
        <w:rPr>
          <w:rFonts w:hint="eastAsia" w:ascii="宋体" w:hAnsi="宋体" w:cs="宋体"/>
          <w:highlight w:val="none"/>
        </w:rPr>
        <w:t>（自拟）</w:t>
      </w:r>
    </w:p>
    <w:p w14:paraId="4A7711F2">
      <w:pPr>
        <w:spacing w:line="540" w:lineRule="exact"/>
        <w:rPr>
          <w:rFonts w:ascii="宋体" w:hAnsi="宋体" w:cs="宋体"/>
          <w:sz w:val="20"/>
          <w:szCs w:val="20"/>
          <w:highlight w:val="none"/>
        </w:rPr>
      </w:pPr>
    </w:p>
    <w:p w14:paraId="314E2997">
      <w:pPr>
        <w:spacing w:line="540" w:lineRule="exact"/>
        <w:rPr>
          <w:rFonts w:ascii="宋体" w:hAnsi="宋体" w:cs="宋体"/>
          <w:sz w:val="20"/>
          <w:szCs w:val="20"/>
          <w:highlight w:val="none"/>
        </w:rPr>
      </w:pPr>
    </w:p>
    <w:p w14:paraId="0BC0474C">
      <w:pPr>
        <w:spacing w:line="540" w:lineRule="exact"/>
        <w:rPr>
          <w:rFonts w:ascii="宋体" w:hAnsi="宋体" w:cs="宋体"/>
          <w:sz w:val="20"/>
          <w:szCs w:val="20"/>
          <w:highlight w:val="none"/>
        </w:rPr>
      </w:pPr>
    </w:p>
    <w:p w14:paraId="686987FE">
      <w:pPr>
        <w:pStyle w:val="4"/>
        <w:rPr>
          <w:rFonts w:hint="eastAsia" w:ascii="宋体" w:hAnsi="宋体" w:eastAsia="宋体" w:cs="宋体"/>
          <w:color w:val="auto"/>
          <w:highlight w:val="none"/>
        </w:rPr>
      </w:pPr>
      <w:bookmarkStart w:id="584" w:name="_Toc152042578"/>
      <w:bookmarkStart w:id="585" w:name="_Toc247085875"/>
      <w:bookmarkStart w:id="586" w:name="_Toc77586968"/>
      <w:bookmarkStart w:id="587" w:name="_Toc77586870"/>
      <w:bookmarkStart w:id="588" w:name="_Toc246996357"/>
      <w:bookmarkStart w:id="589" w:name="_Toc246997100"/>
      <w:bookmarkStart w:id="590" w:name="_Toc296602603"/>
      <w:bookmarkStart w:id="591" w:name="_Toc179632809"/>
      <w:bookmarkStart w:id="592" w:name="_Toc152045789"/>
      <w:bookmarkStart w:id="593" w:name="_Toc144974858"/>
      <w:r>
        <w:rPr>
          <w:rFonts w:hint="eastAsia" w:ascii="宋体" w:hAnsi="宋体" w:cs="宋体"/>
          <w:highlight w:val="none"/>
        </w:rPr>
        <w:br w:type="page"/>
      </w:r>
      <w:bookmarkStart w:id="594" w:name="_Toc7017"/>
      <w:r>
        <w:rPr>
          <w:rFonts w:hint="eastAsia" w:ascii="宋体" w:hAnsi="宋体" w:eastAsia="宋体" w:cs="宋体"/>
          <w:color w:val="auto"/>
          <w:highlight w:val="none"/>
        </w:rPr>
        <w:t>一、磋商响应函</w:t>
      </w:r>
      <w:bookmarkEnd w:id="584"/>
      <w:bookmarkEnd w:id="585"/>
      <w:bookmarkEnd w:id="586"/>
      <w:bookmarkEnd w:id="587"/>
      <w:bookmarkEnd w:id="588"/>
      <w:bookmarkEnd w:id="589"/>
      <w:bookmarkEnd w:id="590"/>
      <w:bookmarkEnd w:id="591"/>
      <w:bookmarkEnd w:id="592"/>
      <w:bookmarkEnd w:id="593"/>
      <w:bookmarkEnd w:id="594"/>
    </w:p>
    <w:p w14:paraId="55438BDB">
      <w:pPr>
        <w:widowControl/>
        <w:adjustRightInd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eastAsia="zh-CN"/>
        </w:rPr>
        <w:t>采购人</w:t>
      </w:r>
      <w:r>
        <w:rPr>
          <w:rFonts w:hint="eastAsia" w:ascii="宋体" w:hAnsi="宋体" w:cs="宋体"/>
          <w:kern w:val="0"/>
          <w:sz w:val="24"/>
          <w:szCs w:val="24"/>
          <w:highlight w:val="none"/>
          <w:u w:val="single"/>
        </w:rPr>
        <w:t xml:space="preserve">名称）      </w:t>
      </w:r>
    </w:p>
    <w:p w14:paraId="5922127D">
      <w:pPr>
        <w:widowControl/>
        <w:adjustRightInd w:val="0"/>
        <w:spacing w:line="360" w:lineRule="auto"/>
        <w:ind w:firstLine="628" w:firstLineChars="262"/>
        <w:jc w:val="left"/>
        <w:rPr>
          <w:rFonts w:hint="eastAsia" w:ascii="宋体" w:hAnsi="宋体" w:cs="宋体"/>
          <w:kern w:val="0"/>
          <w:sz w:val="24"/>
          <w:szCs w:val="24"/>
          <w:highlight w:val="none"/>
        </w:rPr>
      </w:pPr>
      <w:r>
        <w:rPr>
          <w:rFonts w:hint="eastAsia" w:ascii="宋体" w:hAnsi="宋体" w:cs="宋体"/>
          <w:kern w:val="0"/>
          <w:sz w:val="24"/>
          <w:szCs w:val="24"/>
          <w:highlight w:val="none"/>
        </w:rPr>
        <w:t>根据你方招标项目编号为</w:t>
      </w:r>
      <w:r>
        <w:rPr>
          <w:rFonts w:hint="eastAsia" w:ascii="宋体" w:hAnsi="宋体" w:cs="宋体"/>
          <w:kern w:val="0"/>
          <w:sz w:val="24"/>
          <w:szCs w:val="24"/>
          <w:highlight w:val="none"/>
          <w:u w:val="single"/>
        </w:rPr>
        <w:t xml:space="preserve">  （项目编号） </w:t>
      </w:r>
      <w:r>
        <w:rPr>
          <w:rFonts w:hint="eastAsia" w:ascii="宋体" w:hAnsi="宋体" w:cs="宋体"/>
          <w:kern w:val="0"/>
          <w:sz w:val="24"/>
          <w:szCs w:val="24"/>
          <w:highlight w:val="none"/>
        </w:rPr>
        <w:t>的</w:t>
      </w:r>
      <w:r>
        <w:rPr>
          <w:rFonts w:hint="eastAsia" w:ascii="宋体" w:hAnsi="宋体" w:cs="宋体"/>
          <w:kern w:val="0"/>
          <w:sz w:val="24"/>
          <w:szCs w:val="24"/>
          <w:highlight w:val="none"/>
          <w:u w:val="single"/>
        </w:rPr>
        <w:t xml:space="preserve">          （项目名称）        </w:t>
      </w:r>
      <w:r>
        <w:rPr>
          <w:rFonts w:hint="eastAsia" w:ascii="宋体" w:hAnsi="宋体" w:cs="宋体"/>
          <w:kern w:val="0"/>
          <w:sz w:val="24"/>
          <w:szCs w:val="24"/>
          <w:highlight w:val="none"/>
        </w:rPr>
        <w:t>的竞争性磋商文件，遵照《中华人民共和国政府采购法》《政府采购竞争性磋商采购方式暂行办法》等有关规定，经研究上述竞争性磋商文件的投标须知、合同条款及其他有关文件后，我方愿以磋商总报价人民币（小写）：</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rPr>
        <w:t>元(大写)：</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rPr>
        <w:t xml:space="preserve"> 的磋商报价，</w:t>
      </w:r>
      <w:r>
        <w:rPr>
          <w:rFonts w:hint="eastAsia" w:ascii="宋体" w:hAnsi="宋体" w:cs="宋体"/>
          <w:kern w:val="0"/>
          <w:sz w:val="24"/>
          <w:szCs w:val="24"/>
          <w:highlight w:val="none"/>
          <w:lang w:eastAsia="zh-CN"/>
        </w:rPr>
        <w:t>供货期</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rPr>
        <w:t>日历天，质保期</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,承包上述项目的采购及安装、调试、验收、培训、质保期服务、与货物有关的运输和保险及其他伴随服务。</w:t>
      </w:r>
    </w:p>
    <w:p w14:paraId="09DB6E06">
      <w:pPr>
        <w:widowControl/>
        <w:adjustRightInd w:val="0"/>
        <w:spacing w:line="360" w:lineRule="auto"/>
        <w:ind w:firstLine="628" w:firstLineChars="262"/>
        <w:jc w:val="left"/>
        <w:rPr>
          <w:rFonts w:hint="eastAsia" w:ascii="宋体" w:hAnsi="宋体" w:cs="宋体"/>
          <w:kern w:val="0"/>
          <w:sz w:val="24"/>
          <w:szCs w:val="24"/>
          <w:highlight w:val="none"/>
        </w:rPr>
      </w:pPr>
      <w:r>
        <w:rPr>
          <w:rFonts w:hint="eastAsia" w:ascii="宋体" w:hAnsi="宋体" w:cs="宋体"/>
          <w:kern w:val="0"/>
          <w:sz w:val="24"/>
          <w:szCs w:val="24"/>
          <w:highlight w:val="none"/>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737E8A0E">
      <w:pPr>
        <w:widowControl/>
        <w:adjustRightInd w:val="0"/>
        <w:spacing w:line="360" w:lineRule="auto"/>
        <w:ind w:firstLine="628" w:firstLineChars="262"/>
        <w:jc w:val="left"/>
        <w:rPr>
          <w:rFonts w:hint="eastAsia" w:ascii="宋体" w:hAnsi="宋体" w:cs="宋体"/>
          <w:kern w:val="0"/>
          <w:sz w:val="24"/>
          <w:szCs w:val="24"/>
          <w:highlight w:val="none"/>
        </w:rPr>
      </w:pPr>
      <w:r>
        <w:rPr>
          <w:rFonts w:hint="eastAsia" w:ascii="宋体" w:hAnsi="宋体" w:cs="宋体"/>
          <w:kern w:val="0"/>
          <w:sz w:val="24"/>
          <w:szCs w:val="24"/>
          <w:highlight w:val="none"/>
        </w:rPr>
        <w:t>2、我方承认投标函附表是我方投标函的组成部分。</w:t>
      </w:r>
    </w:p>
    <w:p w14:paraId="2576B53E">
      <w:pPr>
        <w:widowControl/>
        <w:adjustRightInd w:val="0"/>
        <w:spacing w:line="360" w:lineRule="auto"/>
        <w:ind w:firstLine="628" w:firstLineChars="262"/>
        <w:jc w:val="left"/>
        <w:rPr>
          <w:rFonts w:hint="eastAsia" w:ascii="宋体" w:hAnsi="宋体" w:cs="宋体"/>
          <w:kern w:val="0"/>
          <w:sz w:val="24"/>
          <w:szCs w:val="24"/>
          <w:highlight w:val="none"/>
        </w:rPr>
      </w:pPr>
      <w:r>
        <w:rPr>
          <w:rFonts w:hint="eastAsia" w:ascii="宋体" w:hAnsi="宋体" w:cs="宋体"/>
          <w:kern w:val="0"/>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14:paraId="4A12CA44">
      <w:pPr>
        <w:widowControl/>
        <w:adjustRightInd w:val="0"/>
        <w:spacing w:line="360" w:lineRule="auto"/>
        <w:ind w:firstLine="628" w:firstLineChars="262"/>
        <w:jc w:val="left"/>
        <w:rPr>
          <w:rFonts w:hint="eastAsia" w:ascii="宋体" w:hAnsi="宋体" w:cs="宋体"/>
          <w:kern w:val="0"/>
          <w:sz w:val="24"/>
          <w:szCs w:val="24"/>
          <w:highlight w:val="none"/>
        </w:rPr>
      </w:pPr>
      <w:r>
        <w:rPr>
          <w:rFonts w:hint="eastAsia" w:ascii="宋体" w:hAnsi="宋体" w:cs="宋体"/>
          <w:kern w:val="0"/>
          <w:sz w:val="24"/>
          <w:szCs w:val="24"/>
          <w:highlight w:val="none"/>
        </w:rPr>
        <w:t>4、我方同意自本项目招标文件中规定的投标有效期内有效，并承诺在投标有效期内不修改、撤销投标文件。</w:t>
      </w:r>
    </w:p>
    <w:p w14:paraId="625BACA1">
      <w:pPr>
        <w:widowControl/>
        <w:adjustRightInd w:val="0"/>
        <w:spacing w:line="360" w:lineRule="auto"/>
        <w:ind w:firstLine="628" w:firstLineChars="262"/>
        <w:jc w:val="left"/>
        <w:rPr>
          <w:rFonts w:hint="eastAsia" w:ascii="宋体" w:hAnsi="宋体" w:cs="宋体"/>
          <w:kern w:val="0"/>
          <w:sz w:val="24"/>
          <w:szCs w:val="24"/>
          <w:highlight w:val="none"/>
        </w:rPr>
      </w:pPr>
      <w:r>
        <w:rPr>
          <w:rFonts w:hint="eastAsia" w:ascii="宋体" w:hAnsi="宋体" w:cs="宋体"/>
          <w:kern w:val="0"/>
          <w:sz w:val="24"/>
          <w:szCs w:val="24"/>
          <w:highlight w:val="none"/>
        </w:rPr>
        <w:t>5、我方完全理解贵方不一定接受投标报价最低的供应商为中标供应商的行为。</w:t>
      </w:r>
    </w:p>
    <w:p w14:paraId="0FD04E4A">
      <w:pPr>
        <w:widowControl/>
        <w:adjustRightInd w:val="0"/>
        <w:spacing w:line="360" w:lineRule="auto"/>
        <w:ind w:firstLine="628" w:firstLineChars="262"/>
        <w:jc w:val="left"/>
        <w:rPr>
          <w:rFonts w:hint="eastAsia" w:ascii="宋体" w:hAnsi="宋体" w:cs="宋体"/>
          <w:kern w:val="0"/>
          <w:sz w:val="24"/>
          <w:szCs w:val="24"/>
          <w:highlight w:val="none"/>
        </w:rPr>
      </w:pPr>
      <w:r>
        <w:rPr>
          <w:rFonts w:hint="eastAsia" w:ascii="宋体" w:hAnsi="宋体" w:cs="宋体"/>
          <w:kern w:val="0"/>
          <w:sz w:val="24"/>
          <w:szCs w:val="24"/>
          <w:highlight w:val="none"/>
        </w:rPr>
        <w:t>6、我方在此声明，所递交的投标文件及有关资料内容完整、真实和准确。</w:t>
      </w:r>
    </w:p>
    <w:p w14:paraId="373105E1">
      <w:pPr>
        <w:widowControl/>
        <w:adjustRightInd w:val="0"/>
        <w:spacing w:line="360" w:lineRule="auto"/>
        <w:ind w:firstLine="628" w:firstLineChars="262"/>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本项目的联系人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，联系电话：</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031C1CB1">
      <w:pPr>
        <w:widowControl/>
        <w:adjustRightInd w:val="0"/>
        <w:spacing w:line="360" w:lineRule="auto"/>
        <w:ind w:firstLine="628" w:firstLineChars="262"/>
        <w:jc w:val="left"/>
        <w:rPr>
          <w:rFonts w:ascii="宋体" w:hAnsi="宋体" w:cs="宋体"/>
          <w:kern w:val="0"/>
          <w:sz w:val="24"/>
          <w:szCs w:val="24"/>
          <w:highlight w:val="none"/>
        </w:rPr>
      </w:pPr>
    </w:p>
    <w:p w14:paraId="564AFCD5">
      <w:pPr>
        <w:widowControl/>
        <w:adjustRightInd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投 标 人：（电子签章）</w:t>
      </w:r>
    </w:p>
    <w:p w14:paraId="72FCF1A2">
      <w:pPr>
        <w:widowControl/>
        <w:adjustRightInd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地址：</w:t>
      </w:r>
    </w:p>
    <w:p w14:paraId="018C1383">
      <w:pPr>
        <w:widowControl/>
        <w:adjustRightInd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法定代表人：（电子签章）</w:t>
      </w:r>
    </w:p>
    <w:p w14:paraId="69BBB64A">
      <w:pPr>
        <w:widowControl/>
        <w:adjustRightInd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电话：</w:t>
      </w:r>
    </w:p>
    <w:p w14:paraId="3F884D64">
      <w:pPr>
        <w:widowControl/>
        <w:adjustRightInd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日期： 年月日</w:t>
      </w:r>
    </w:p>
    <w:p w14:paraId="210F8BC9">
      <w:pPr>
        <w:pStyle w:val="4"/>
        <w:rPr>
          <w:rFonts w:hint="eastAsia" w:ascii="宋体" w:hAnsi="宋体" w:eastAsia="宋体" w:cs="宋体"/>
          <w:color w:val="auto"/>
          <w:highlight w:val="none"/>
        </w:rPr>
      </w:pPr>
      <w:r>
        <w:rPr>
          <w:rFonts w:hint="eastAsia" w:ascii="宋体" w:hAnsi="宋体" w:cs="宋体"/>
          <w:sz w:val="22"/>
          <w:szCs w:val="22"/>
          <w:highlight w:val="none"/>
        </w:rPr>
        <w:br w:type="page"/>
      </w:r>
      <w:bookmarkStart w:id="595" w:name="_Toc77586871"/>
      <w:bookmarkStart w:id="596" w:name="_Toc77586969"/>
      <w:bookmarkStart w:id="597" w:name="_Toc4825"/>
      <w:r>
        <w:rPr>
          <w:rFonts w:hint="eastAsia" w:ascii="宋体" w:hAnsi="宋体" w:eastAsia="宋体" w:cs="宋体"/>
          <w:color w:val="auto"/>
          <w:highlight w:val="none"/>
        </w:rPr>
        <w:t>二、</w:t>
      </w:r>
      <w:bookmarkEnd w:id="595"/>
      <w:bookmarkEnd w:id="596"/>
      <w:r>
        <w:rPr>
          <w:rFonts w:hint="eastAsia" w:ascii="宋体" w:hAnsi="宋体" w:eastAsia="宋体" w:cs="宋体"/>
          <w:color w:val="auto"/>
          <w:highlight w:val="none"/>
        </w:rPr>
        <w:t>磋商报价表（第一轮）</w:t>
      </w:r>
      <w:bookmarkEnd w:id="597"/>
    </w:p>
    <w:tbl>
      <w:tblPr>
        <w:tblStyle w:val="2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7004"/>
      </w:tblGrid>
      <w:tr w14:paraId="7819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643" w:type="dxa"/>
            <w:vAlign w:val="center"/>
          </w:tcPr>
          <w:p w14:paraId="213BCA21">
            <w:pPr>
              <w:spacing w:line="0" w:lineRule="atLeast"/>
              <w:jc w:val="center"/>
              <w:rPr>
                <w:rFonts w:ascii="宋体" w:hAnsi="宋体" w:cs="宋体"/>
                <w:sz w:val="22"/>
                <w:szCs w:val="22"/>
                <w:highlight w:val="none"/>
              </w:rPr>
            </w:pPr>
            <w:r>
              <w:rPr>
                <w:rFonts w:hint="eastAsia" w:ascii="宋体" w:hAnsi="宋体" w:cs="宋体"/>
                <w:sz w:val="22"/>
                <w:szCs w:val="22"/>
                <w:highlight w:val="none"/>
                <w:lang w:val="en-US" w:eastAsia="zh-CN"/>
              </w:rPr>
              <w:t>项目</w:t>
            </w:r>
            <w:r>
              <w:rPr>
                <w:rFonts w:hint="eastAsia" w:ascii="宋体" w:hAnsi="宋体" w:cs="宋体"/>
                <w:sz w:val="22"/>
                <w:szCs w:val="22"/>
                <w:highlight w:val="none"/>
              </w:rPr>
              <w:t>名称</w:t>
            </w:r>
          </w:p>
        </w:tc>
        <w:tc>
          <w:tcPr>
            <w:tcW w:w="7004" w:type="dxa"/>
            <w:vAlign w:val="center"/>
          </w:tcPr>
          <w:p w14:paraId="30A1710E">
            <w:pPr>
              <w:spacing w:line="0" w:lineRule="atLeast"/>
              <w:jc w:val="center"/>
              <w:rPr>
                <w:rFonts w:ascii="宋体" w:hAnsi="宋体" w:cs="宋体"/>
                <w:sz w:val="22"/>
                <w:szCs w:val="22"/>
                <w:highlight w:val="none"/>
              </w:rPr>
            </w:pPr>
          </w:p>
        </w:tc>
      </w:tr>
      <w:tr w14:paraId="0010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1643" w:type="dxa"/>
            <w:vAlign w:val="center"/>
          </w:tcPr>
          <w:p w14:paraId="0A01F39B">
            <w:pPr>
              <w:spacing w:line="0" w:lineRule="atLeast"/>
              <w:jc w:val="center"/>
              <w:rPr>
                <w:rFonts w:ascii="宋体" w:hAnsi="宋体" w:cs="宋体"/>
                <w:sz w:val="22"/>
                <w:szCs w:val="22"/>
                <w:highlight w:val="none"/>
              </w:rPr>
            </w:pPr>
            <w:r>
              <w:rPr>
                <w:rFonts w:hint="eastAsia" w:ascii="宋体" w:hAnsi="宋体" w:cs="宋体"/>
                <w:sz w:val="22"/>
                <w:szCs w:val="22"/>
                <w:highlight w:val="none"/>
                <w:lang w:eastAsia="zh-CN"/>
              </w:rPr>
              <w:t>供应商</w:t>
            </w:r>
            <w:r>
              <w:rPr>
                <w:rFonts w:hint="eastAsia" w:ascii="宋体" w:hAnsi="宋体" w:cs="宋体"/>
                <w:sz w:val="22"/>
                <w:szCs w:val="22"/>
                <w:highlight w:val="none"/>
              </w:rPr>
              <w:t>名称</w:t>
            </w:r>
          </w:p>
        </w:tc>
        <w:tc>
          <w:tcPr>
            <w:tcW w:w="7004" w:type="dxa"/>
            <w:vAlign w:val="center"/>
          </w:tcPr>
          <w:p w14:paraId="3C2B57F6">
            <w:pPr>
              <w:spacing w:line="0" w:lineRule="atLeast"/>
              <w:jc w:val="center"/>
              <w:rPr>
                <w:rFonts w:ascii="宋体" w:hAnsi="宋体" w:cs="宋体"/>
                <w:sz w:val="22"/>
                <w:szCs w:val="22"/>
                <w:highlight w:val="none"/>
              </w:rPr>
            </w:pPr>
          </w:p>
        </w:tc>
      </w:tr>
      <w:tr w14:paraId="3C37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643" w:type="dxa"/>
            <w:vAlign w:val="center"/>
          </w:tcPr>
          <w:p w14:paraId="56249EC7">
            <w:pPr>
              <w:spacing w:line="0" w:lineRule="atLeast"/>
              <w:jc w:val="center"/>
              <w:rPr>
                <w:rFonts w:ascii="宋体" w:hAnsi="宋体" w:cs="宋体"/>
                <w:sz w:val="22"/>
                <w:szCs w:val="22"/>
                <w:highlight w:val="none"/>
              </w:rPr>
            </w:pPr>
            <w:r>
              <w:rPr>
                <w:rFonts w:hint="eastAsia" w:ascii="宋体" w:hAnsi="宋体" w:cs="宋体"/>
                <w:sz w:val="22"/>
                <w:szCs w:val="22"/>
                <w:highlight w:val="none"/>
              </w:rPr>
              <w:t>投标范围</w:t>
            </w:r>
          </w:p>
        </w:tc>
        <w:tc>
          <w:tcPr>
            <w:tcW w:w="7004" w:type="dxa"/>
            <w:vAlign w:val="center"/>
          </w:tcPr>
          <w:p w14:paraId="7ACCDB4A">
            <w:pPr>
              <w:spacing w:line="0" w:lineRule="atLeast"/>
              <w:jc w:val="center"/>
              <w:rPr>
                <w:rFonts w:ascii="宋体" w:hAnsi="宋体" w:cs="宋体"/>
                <w:sz w:val="22"/>
                <w:szCs w:val="22"/>
                <w:highlight w:val="none"/>
              </w:rPr>
            </w:pPr>
          </w:p>
        </w:tc>
      </w:tr>
      <w:tr w14:paraId="4B15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jc w:val="center"/>
        </w:trPr>
        <w:tc>
          <w:tcPr>
            <w:tcW w:w="1643" w:type="dxa"/>
            <w:vAlign w:val="center"/>
          </w:tcPr>
          <w:p w14:paraId="24987EFE">
            <w:pPr>
              <w:spacing w:line="0" w:lineRule="atLeast"/>
              <w:jc w:val="center"/>
              <w:rPr>
                <w:rFonts w:ascii="宋体" w:hAnsi="宋体" w:cs="宋体"/>
                <w:sz w:val="22"/>
                <w:szCs w:val="22"/>
                <w:highlight w:val="none"/>
              </w:rPr>
            </w:pPr>
            <w:r>
              <w:rPr>
                <w:rFonts w:hint="eastAsia" w:ascii="宋体" w:hAnsi="宋体" w:cs="宋体"/>
                <w:sz w:val="22"/>
                <w:szCs w:val="22"/>
                <w:highlight w:val="none"/>
              </w:rPr>
              <w:t>磋商总报价（元）</w:t>
            </w:r>
          </w:p>
        </w:tc>
        <w:tc>
          <w:tcPr>
            <w:tcW w:w="7004" w:type="dxa"/>
            <w:vAlign w:val="center"/>
          </w:tcPr>
          <w:p w14:paraId="51EB0BC5">
            <w:pPr>
              <w:spacing w:line="0" w:lineRule="atLeast"/>
              <w:rPr>
                <w:rFonts w:ascii="宋体" w:hAnsi="宋体" w:cs="宋体"/>
                <w:sz w:val="22"/>
                <w:szCs w:val="22"/>
                <w:highlight w:val="none"/>
                <w:u w:val="single"/>
              </w:rPr>
            </w:pPr>
            <w:r>
              <w:rPr>
                <w:rFonts w:hint="eastAsia" w:ascii="宋体" w:hAnsi="宋体" w:cs="宋体"/>
                <w:sz w:val="22"/>
                <w:szCs w:val="22"/>
                <w:highlight w:val="none"/>
                <w:u w:val="single"/>
              </w:rPr>
              <w:t xml:space="preserve">（大写）                    （小写）                    </w:t>
            </w:r>
          </w:p>
        </w:tc>
      </w:tr>
      <w:tr w14:paraId="29AF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43" w:type="dxa"/>
            <w:vAlign w:val="center"/>
          </w:tcPr>
          <w:p w14:paraId="6403F21D">
            <w:pPr>
              <w:spacing w:line="0" w:lineRule="atLeast"/>
              <w:jc w:val="center"/>
              <w:rPr>
                <w:rFonts w:ascii="宋体" w:hAnsi="宋体" w:cs="宋体"/>
                <w:sz w:val="22"/>
                <w:szCs w:val="22"/>
                <w:highlight w:val="none"/>
              </w:rPr>
            </w:pPr>
            <w:r>
              <w:rPr>
                <w:rFonts w:hint="eastAsia" w:ascii="宋体" w:hAnsi="宋体" w:cs="宋体"/>
                <w:sz w:val="22"/>
                <w:szCs w:val="22"/>
                <w:highlight w:val="none"/>
              </w:rPr>
              <w:t xml:space="preserve">质量要求  </w:t>
            </w:r>
          </w:p>
        </w:tc>
        <w:tc>
          <w:tcPr>
            <w:tcW w:w="7004" w:type="dxa"/>
            <w:vAlign w:val="center"/>
          </w:tcPr>
          <w:p w14:paraId="32AA23C2">
            <w:pPr>
              <w:spacing w:line="0" w:lineRule="atLeast"/>
              <w:jc w:val="center"/>
              <w:rPr>
                <w:rFonts w:ascii="宋体" w:hAnsi="宋体" w:cs="宋体"/>
                <w:sz w:val="22"/>
                <w:szCs w:val="22"/>
                <w:highlight w:val="none"/>
              </w:rPr>
            </w:pPr>
          </w:p>
        </w:tc>
      </w:tr>
      <w:tr w14:paraId="03AC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643" w:type="dxa"/>
            <w:vAlign w:val="center"/>
          </w:tcPr>
          <w:p w14:paraId="080BFBA3">
            <w:pPr>
              <w:spacing w:line="0" w:lineRule="atLeas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供货期</w:t>
            </w:r>
          </w:p>
        </w:tc>
        <w:tc>
          <w:tcPr>
            <w:tcW w:w="7004" w:type="dxa"/>
            <w:vAlign w:val="center"/>
          </w:tcPr>
          <w:p w14:paraId="5DCD4B1E">
            <w:pPr>
              <w:spacing w:line="0" w:lineRule="atLeast"/>
              <w:jc w:val="center"/>
              <w:rPr>
                <w:rFonts w:ascii="宋体" w:hAnsi="宋体" w:cs="宋体"/>
                <w:sz w:val="22"/>
                <w:szCs w:val="22"/>
                <w:highlight w:val="none"/>
              </w:rPr>
            </w:pPr>
          </w:p>
        </w:tc>
      </w:tr>
      <w:tr w14:paraId="701F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643" w:type="dxa"/>
            <w:vAlign w:val="center"/>
          </w:tcPr>
          <w:p w14:paraId="1521A87E">
            <w:pPr>
              <w:spacing w:line="0" w:lineRule="atLeast"/>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质保期</w:t>
            </w:r>
          </w:p>
        </w:tc>
        <w:tc>
          <w:tcPr>
            <w:tcW w:w="7004" w:type="dxa"/>
            <w:vAlign w:val="center"/>
          </w:tcPr>
          <w:p w14:paraId="31DE7123">
            <w:pPr>
              <w:spacing w:line="0" w:lineRule="atLeast"/>
              <w:jc w:val="center"/>
              <w:rPr>
                <w:rFonts w:ascii="宋体" w:hAnsi="宋体" w:cs="宋体"/>
                <w:sz w:val="22"/>
                <w:szCs w:val="22"/>
                <w:highlight w:val="none"/>
              </w:rPr>
            </w:pPr>
          </w:p>
        </w:tc>
      </w:tr>
      <w:tr w14:paraId="6B1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643" w:type="dxa"/>
            <w:vAlign w:val="center"/>
          </w:tcPr>
          <w:p w14:paraId="1CBE2D57">
            <w:pPr>
              <w:spacing w:line="0" w:lineRule="atLeast"/>
              <w:jc w:val="center"/>
              <w:rPr>
                <w:rFonts w:ascii="宋体" w:hAnsi="宋体" w:cs="宋体"/>
                <w:sz w:val="22"/>
                <w:szCs w:val="22"/>
                <w:highlight w:val="none"/>
              </w:rPr>
            </w:pPr>
            <w:r>
              <w:rPr>
                <w:rFonts w:hint="eastAsia" w:ascii="宋体" w:hAnsi="宋体" w:cs="宋体"/>
                <w:sz w:val="22"/>
                <w:szCs w:val="22"/>
                <w:highlight w:val="none"/>
              </w:rPr>
              <w:t>磋商有效期</w:t>
            </w:r>
          </w:p>
        </w:tc>
        <w:tc>
          <w:tcPr>
            <w:tcW w:w="7004" w:type="dxa"/>
            <w:vAlign w:val="center"/>
          </w:tcPr>
          <w:p w14:paraId="00F6F0FF">
            <w:pPr>
              <w:spacing w:line="0" w:lineRule="atLeast"/>
              <w:jc w:val="center"/>
              <w:rPr>
                <w:rFonts w:ascii="宋体" w:hAnsi="宋体" w:cs="宋体"/>
                <w:sz w:val="22"/>
                <w:szCs w:val="22"/>
                <w:highlight w:val="none"/>
              </w:rPr>
            </w:pPr>
          </w:p>
        </w:tc>
      </w:tr>
      <w:tr w14:paraId="5FB6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643" w:type="dxa"/>
            <w:vAlign w:val="center"/>
          </w:tcPr>
          <w:p w14:paraId="651CA576">
            <w:pPr>
              <w:spacing w:line="0" w:lineRule="atLeast"/>
              <w:jc w:val="center"/>
              <w:rPr>
                <w:rFonts w:ascii="宋体" w:hAnsi="宋体" w:cs="宋体"/>
                <w:sz w:val="22"/>
                <w:szCs w:val="22"/>
                <w:highlight w:val="none"/>
              </w:rPr>
            </w:pPr>
            <w:r>
              <w:rPr>
                <w:rFonts w:hint="eastAsia" w:ascii="宋体" w:hAnsi="宋体" w:cs="宋体"/>
                <w:sz w:val="22"/>
                <w:szCs w:val="22"/>
                <w:highlight w:val="none"/>
              </w:rPr>
              <w:t>备注</w:t>
            </w:r>
          </w:p>
        </w:tc>
        <w:tc>
          <w:tcPr>
            <w:tcW w:w="7004" w:type="dxa"/>
            <w:vAlign w:val="center"/>
          </w:tcPr>
          <w:p w14:paraId="0E2500E8">
            <w:pPr>
              <w:spacing w:line="0" w:lineRule="atLeast"/>
              <w:rPr>
                <w:rFonts w:ascii="宋体" w:hAnsi="宋体" w:cs="宋体"/>
                <w:sz w:val="22"/>
                <w:szCs w:val="22"/>
                <w:highlight w:val="none"/>
              </w:rPr>
            </w:pPr>
          </w:p>
        </w:tc>
      </w:tr>
    </w:tbl>
    <w:p w14:paraId="3E6B2034">
      <w:pPr>
        <w:widowControl/>
        <w:adjustRightInd w:val="0"/>
        <w:spacing w:line="165" w:lineRule="atLeast"/>
        <w:jc w:val="left"/>
        <w:rPr>
          <w:rFonts w:ascii="宋体" w:hAnsi="宋体" w:cs="宋体"/>
          <w:kern w:val="0"/>
          <w:sz w:val="28"/>
          <w:szCs w:val="22"/>
          <w:highlight w:val="none"/>
        </w:rPr>
      </w:pPr>
    </w:p>
    <w:p w14:paraId="0DE7ED9D">
      <w:pPr>
        <w:widowControl/>
        <w:adjustRightInd w:val="0"/>
        <w:jc w:val="left"/>
        <w:rPr>
          <w:rFonts w:ascii="宋体" w:hAnsi="宋体" w:cs="宋体"/>
          <w:kern w:val="0"/>
          <w:sz w:val="22"/>
          <w:szCs w:val="22"/>
          <w:highlight w:val="none"/>
        </w:rPr>
      </w:pPr>
      <w:r>
        <w:rPr>
          <w:rFonts w:hint="eastAsia" w:ascii="宋体" w:hAnsi="宋体" w:cs="宋体"/>
          <w:kern w:val="0"/>
          <w:sz w:val="22"/>
          <w:szCs w:val="22"/>
          <w:highlight w:val="none"/>
          <w:lang w:eastAsia="zh-CN"/>
        </w:rPr>
        <w:t>供应商</w:t>
      </w:r>
      <w:r>
        <w:rPr>
          <w:rFonts w:hint="eastAsia" w:ascii="宋体" w:hAnsi="宋体" w:cs="宋体"/>
          <w:kern w:val="0"/>
          <w:sz w:val="22"/>
          <w:szCs w:val="22"/>
          <w:highlight w:val="none"/>
        </w:rPr>
        <w:t>：（电子签章）</w:t>
      </w:r>
    </w:p>
    <w:p w14:paraId="24BAAD30">
      <w:pPr>
        <w:pStyle w:val="23"/>
        <w:spacing w:line="240" w:lineRule="auto"/>
        <w:rPr>
          <w:color w:val="auto"/>
          <w:highlight w:val="none"/>
        </w:rPr>
      </w:pPr>
    </w:p>
    <w:p w14:paraId="4B00EA06">
      <w:pPr>
        <w:widowControl/>
        <w:adjustRightInd w:val="0"/>
        <w:jc w:val="left"/>
        <w:rPr>
          <w:rFonts w:ascii="宋体" w:hAnsi="宋体" w:cs="宋体"/>
          <w:kern w:val="0"/>
          <w:sz w:val="22"/>
          <w:szCs w:val="22"/>
          <w:highlight w:val="none"/>
        </w:rPr>
      </w:pPr>
      <w:r>
        <w:rPr>
          <w:rFonts w:hint="eastAsia" w:ascii="宋体" w:hAnsi="宋体" w:cs="宋体"/>
          <w:kern w:val="0"/>
          <w:sz w:val="22"/>
          <w:szCs w:val="22"/>
          <w:highlight w:val="none"/>
        </w:rPr>
        <w:t>法定代表人或其委托代理人：（电子签章）</w:t>
      </w:r>
    </w:p>
    <w:p w14:paraId="5CE95F57">
      <w:pPr>
        <w:pStyle w:val="23"/>
        <w:spacing w:line="240" w:lineRule="auto"/>
        <w:rPr>
          <w:color w:val="auto"/>
          <w:highlight w:val="none"/>
        </w:rPr>
      </w:pPr>
    </w:p>
    <w:p w14:paraId="36CE2A5E">
      <w:pPr>
        <w:widowControl/>
        <w:adjustRightInd w:val="0"/>
        <w:jc w:val="left"/>
        <w:rPr>
          <w:rFonts w:ascii="宋体" w:hAnsi="宋体" w:cs="宋体"/>
          <w:kern w:val="0"/>
          <w:sz w:val="22"/>
          <w:szCs w:val="22"/>
          <w:highlight w:val="none"/>
        </w:rPr>
      </w:pPr>
      <w:r>
        <w:rPr>
          <w:rFonts w:hint="eastAsia" w:ascii="宋体" w:hAnsi="宋体" w:cs="宋体"/>
          <w:kern w:val="0"/>
          <w:sz w:val="22"/>
          <w:szCs w:val="22"/>
          <w:highlight w:val="none"/>
        </w:rPr>
        <w:t>日期：年月日</w:t>
      </w:r>
      <w:bookmarkStart w:id="598" w:name="_Toc296602605"/>
      <w:bookmarkStart w:id="599" w:name="_Toc152042580"/>
      <w:bookmarkStart w:id="600" w:name="_Toc246996359"/>
      <w:bookmarkStart w:id="601" w:name="_Toc144974860"/>
      <w:bookmarkStart w:id="602" w:name="_Toc247085877"/>
      <w:bookmarkStart w:id="603" w:name="_Toc246997102"/>
      <w:bookmarkStart w:id="604" w:name="_Toc179632811"/>
      <w:bookmarkStart w:id="605" w:name="_Toc152045791"/>
    </w:p>
    <w:p w14:paraId="59252ACC">
      <w:pPr>
        <w:pStyle w:val="4"/>
        <w:rPr>
          <w:rFonts w:ascii="宋体" w:hAnsi="宋体" w:eastAsia="宋体" w:cs="宋体"/>
          <w:color w:val="auto"/>
          <w:highlight w:val="none"/>
        </w:rPr>
      </w:pPr>
      <w:r>
        <w:rPr>
          <w:rFonts w:hint="eastAsia" w:ascii="宋体" w:hAnsi="宋体" w:eastAsia="宋体" w:cs="宋体"/>
          <w:color w:val="auto"/>
          <w:highlight w:val="none"/>
        </w:rPr>
        <w:br w:type="page"/>
      </w:r>
      <w:bookmarkStart w:id="606" w:name="_Toc21823"/>
      <w:bookmarkStart w:id="607" w:name="_Toc77586970"/>
      <w:bookmarkStart w:id="608" w:name="_Toc77586872"/>
      <w:r>
        <w:rPr>
          <w:rFonts w:hint="eastAsia" w:ascii="宋体" w:hAnsi="宋体" w:eastAsia="宋体" w:cs="宋体"/>
          <w:color w:val="auto"/>
          <w:highlight w:val="none"/>
        </w:rPr>
        <w:t>三、法定代表人身份证明</w:t>
      </w:r>
      <w:bookmarkEnd w:id="598"/>
      <w:bookmarkEnd w:id="599"/>
      <w:bookmarkEnd w:id="600"/>
      <w:bookmarkEnd w:id="601"/>
      <w:bookmarkEnd w:id="602"/>
      <w:bookmarkEnd w:id="603"/>
      <w:bookmarkEnd w:id="604"/>
      <w:bookmarkEnd w:id="605"/>
      <w:bookmarkEnd w:id="606"/>
      <w:bookmarkEnd w:id="607"/>
      <w:bookmarkEnd w:id="608"/>
    </w:p>
    <w:p w14:paraId="4F273C7C">
      <w:pPr>
        <w:spacing w:line="440" w:lineRule="exact"/>
        <w:rPr>
          <w:rFonts w:ascii="宋体" w:hAnsi="宋体" w:cs="宋体"/>
          <w:highlight w:val="none"/>
        </w:rPr>
      </w:pPr>
    </w:p>
    <w:p w14:paraId="503A9AEC">
      <w:pPr>
        <w:spacing w:line="540" w:lineRule="exact"/>
        <w:ind w:left="424" w:leftChars="202"/>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名称：</w:t>
      </w:r>
      <w:r>
        <w:rPr>
          <w:rFonts w:hint="eastAsia" w:ascii="宋体" w:hAnsi="宋体" w:cs="宋体"/>
          <w:sz w:val="24"/>
          <w:szCs w:val="24"/>
          <w:highlight w:val="none"/>
          <w:u w:val="single"/>
          <w:lang w:val="en-US" w:eastAsia="zh-CN"/>
        </w:rPr>
        <w:t xml:space="preserve">                            </w:t>
      </w:r>
    </w:p>
    <w:p w14:paraId="41573050">
      <w:pPr>
        <w:spacing w:line="540" w:lineRule="exact"/>
        <w:ind w:left="424" w:leftChars="202"/>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单位性质：</w:t>
      </w:r>
      <w:r>
        <w:rPr>
          <w:rFonts w:hint="eastAsia" w:ascii="宋体" w:hAnsi="宋体" w:cs="宋体"/>
          <w:sz w:val="24"/>
          <w:szCs w:val="24"/>
          <w:highlight w:val="none"/>
          <w:u w:val="single"/>
          <w:lang w:val="en-US" w:eastAsia="zh-CN"/>
        </w:rPr>
        <w:t xml:space="preserve">                   </w:t>
      </w:r>
    </w:p>
    <w:p w14:paraId="0BC59E25">
      <w:pPr>
        <w:spacing w:line="540" w:lineRule="exact"/>
        <w:ind w:left="424" w:leftChars="202"/>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地址：</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 xml:space="preserve">                  </w:t>
      </w:r>
    </w:p>
    <w:p w14:paraId="1D869553">
      <w:pPr>
        <w:spacing w:line="540" w:lineRule="exact"/>
        <w:ind w:left="424" w:leftChars="202"/>
        <w:rPr>
          <w:rFonts w:ascii="宋体" w:hAnsi="宋体" w:cs="宋体"/>
          <w:sz w:val="24"/>
          <w:szCs w:val="24"/>
          <w:highlight w:val="none"/>
        </w:rPr>
      </w:pPr>
      <w:r>
        <w:rPr>
          <w:rFonts w:hint="eastAsia" w:ascii="宋体" w:hAnsi="宋体" w:cs="宋体"/>
          <w:sz w:val="24"/>
          <w:szCs w:val="24"/>
          <w:highlight w:val="none"/>
        </w:rPr>
        <w:t>成立时间：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p>
    <w:p w14:paraId="023BD594">
      <w:pPr>
        <w:spacing w:line="540" w:lineRule="exact"/>
        <w:ind w:left="424" w:leftChars="202"/>
        <w:rPr>
          <w:rFonts w:hint="eastAsia" w:ascii="宋体" w:hAnsi="宋体" w:cs="宋体"/>
          <w:sz w:val="24"/>
          <w:szCs w:val="24"/>
          <w:highlight w:val="none"/>
          <w:u w:val="single"/>
          <w:lang w:val="en-US" w:eastAsia="zh-CN"/>
        </w:rPr>
      </w:pPr>
      <w:r>
        <w:rPr>
          <w:rFonts w:hint="eastAsia" w:ascii="宋体" w:hAnsi="宋体" w:cs="宋体"/>
          <w:sz w:val="24"/>
          <w:szCs w:val="24"/>
          <w:highlight w:val="none"/>
        </w:rPr>
        <w:t>经营期限：</w:t>
      </w:r>
      <w:r>
        <w:rPr>
          <w:rFonts w:hint="eastAsia" w:ascii="宋体" w:hAnsi="宋体" w:cs="宋体"/>
          <w:sz w:val="24"/>
          <w:szCs w:val="24"/>
          <w:highlight w:val="none"/>
          <w:u w:val="single"/>
          <w:lang w:val="en-US" w:eastAsia="zh-CN"/>
        </w:rPr>
        <w:t xml:space="preserve">                        </w:t>
      </w:r>
    </w:p>
    <w:p w14:paraId="2F04DC91">
      <w:pPr>
        <w:spacing w:line="540" w:lineRule="exact"/>
        <w:ind w:left="424" w:leftChars="202"/>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姓名：</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年龄：</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lang w:val="en-US" w:eastAsia="zh-CN"/>
        </w:rPr>
        <w:t xml:space="preserve">           </w:t>
      </w:r>
    </w:p>
    <w:p w14:paraId="3DBE73A9">
      <w:pPr>
        <w:spacing w:line="540" w:lineRule="exact"/>
        <w:ind w:left="424" w:leftChars="202"/>
        <w:rPr>
          <w:rFonts w:ascii="宋体" w:hAnsi="宋体" w:cs="宋体"/>
          <w:sz w:val="24"/>
          <w:szCs w:val="24"/>
          <w:highlight w:val="none"/>
        </w:rPr>
      </w:pPr>
      <w:r>
        <w:rPr>
          <w:rFonts w:hint="eastAsia" w:ascii="宋体" w:hAnsi="宋体" w:cs="宋体"/>
          <w:sz w:val="24"/>
          <w:szCs w:val="24"/>
          <w:highlight w:val="none"/>
        </w:rPr>
        <w:t>系 （</w:t>
      </w:r>
      <w:r>
        <w:rPr>
          <w:rFonts w:hint="eastAsia" w:ascii="宋体" w:hAnsi="宋体" w:cs="宋体"/>
          <w:sz w:val="24"/>
          <w:szCs w:val="24"/>
          <w:highlight w:val="none"/>
          <w:lang w:eastAsia="zh-CN"/>
        </w:rPr>
        <w:t>供应商</w:t>
      </w:r>
      <w:r>
        <w:rPr>
          <w:rFonts w:hint="eastAsia" w:ascii="宋体" w:hAnsi="宋体" w:cs="宋体"/>
          <w:sz w:val="24"/>
          <w:szCs w:val="24"/>
          <w:highlight w:val="none"/>
        </w:rPr>
        <w:t>名称）</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的法定代表人。</w:t>
      </w:r>
    </w:p>
    <w:p w14:paraId="3CE98008">
      <w:pPr>
        <w:spacing w:line="540" w:lineRule="exact"/>
        <w:ind w:left="424" w:leftChars="202" w:firstLine="480" w:firstLineChars="200"/>
        <w:rPr>
          <w:rFonts w:ascii="宋体" w:hAnsi="宋体" w:cs="宋体"/>
          <w:sz w:val="24"/>
          <w:szCs w:val="24"/>
          <w:highlight w:val="none"/>
        </w:rPr>
      </w:pPr>
      <w:r>
        <w:rPr>
          <w:rFonts w:hint="eastAsia" w:ascii="宋体" w:hAnsi="宋体" w:cs="宋体"/>
          <w:sz w:val="24"/>
          <w:szCs w:val="24"/>
          <w:highlight w:val="none"/>
        </w:rPr>
        <w:t>特此证明。</w:t>
      </w:r>
    </w:p>
    <w:p w14:paraId="1B959915">
      <w:pPr>
        <w:spacing w:line="440" w:lineRule="exact"/>
        <w:rPr>
          <w:rFonts w:ascii="宋体" w:hAnsi="宋体" w:cs="宋体"/>
          <w:sz w:val="24"/>
          <w:szCs w:val="24"/>
          <w:highlight w:val="none"/>
        </w:rPr>
      </w:pPr>
    </w:p>
    <w:p w14:paraId="322F4B6D">
      <w:pPr>
        <w:pStyle w:val="23"/>
        <w:rPr>
          <w:color w:val="auto"/>
          <w:highlight w:val="none"/>
        </w:rPr>
      </w:pPr>
    </w:p>
    <w:p w14:paraId="18CCBBDD">
      <w:pPr>
        <w:snapToGrid w:val="0"/>
        <w:rPr>
          <w:rFonts w:ascii="宋体" w:hAnsi="宋体" w:cs="宋体"/>
          <w:b/>
          <w:kern w:val="10"/>
          <w:sz w:val="28"/>
          <w:szCs w:val="28"/>
          <w:highlight w:val="none"/>
        </w:rPr>
      </w:pPr>
      <w:r>
        <w:rPr>
          <w:rFonts w:hint="eastAsia" w:ascii="宋体" w:hAnsi="宋体" w:cs="宋体"/>
          <w:b/>
          <w:kern w:val="10"/>
          <w:sz w:val="28"/>
          <w:szCs w:val="28"/>
          <w:highlight w:val="none"/>
        </w:rPr>
        <w:t>附：（法定代表人身份证正反面原件扫描件）</w:t>
      </w:r>
    </w:p>
    <w:p w14:paraId="5E385943">
      <w:pPr>
        <w:spacing w:line="440" w:lineRule="exact"/>
        <w:rPr>
          <w:rFonts w:ascii="宋体" w:hAnsi="宋体" w:cs="宋体"/>
          <w:sz w:val="24"/>
          <w:szCs w:val="24"/>
          <w:highlight w:val="none"/>
        </w:rPr>
      </w:pPr>
    </w:p>
    <w:p w14:paraId="74CE687E">
      <w:pPr>
        <w:spacing w:line="440" w:lineRule="exact"/>
        <w:rPr>
          <w:rFonts w:ascii="宋体" w:hAnsi="宋体" w:cs="宋体"/>
          <w:sz w:val="24"/>
          <w:szCs w:val="24"/>
          <w:highlight w:val="none"/>
        </w:rPr>
      </w:pPr>
    </w:p>
    <w:p w14:paraId="47AD88D1">
      <w:pPr>
        <w:spacing w:line="440" w:lineRule="exact"/>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：（电子签章）</w:t>
      </w:r>
    </w:p>
    <w:p w14:paraId="274E5807">
      <w:pPr>
        <w:spacing w:line="440" w:lineRule="exact"/>
        <w:rPr>
          <w:rFonts w:ascii="宋体" w:hAnsi="宋体" w:cs="宋体"/>
          <w:sz w:val="24"/>
          <w:szCs w:val="24"/>
          <w:highlight w:val="none"/>
        </w:rPr>
      </w:pPr>
      <w:r>
        <w:rPr>
          <w:rFonts w:hint="eastAsia" w:ascii="宋体" w:hAnsi="宋体" w:cs="宋体"/>
          <w:sz w:val="24"/>
          <w:szCs w:val="24"/>
          <w:highlight w:val="none"/>
        </w:rPr>
        <w:t xml:space="preserve">年月日    </w:t>
      </w:r>
    </w:p>
    <w:p w14:paraId="508BA155">
      <w:pPr>
        <w:spacing w:line="440" w:lineRule="exact"/>
        <w:jc w:val="center"/>
        <w:rPr>
          <w:rFonts w:ascii="宋体" w:hAnsi="宋体" w:cs="宋体"/>
          <w:sz w:val="24"/>
          <w:szCs w:val="24"/>
          <w:highlight w:val="none"/>
        </w:rPr>
      </w:pPr>
    </w:p>
    <w:p w14:paraId="196195BF">
      <w:pPr>
        <w:spacing w:line="440" w:lineRule="exact"/>
        <w:jc w:val="center"/>
        <w:rPr>
          <w:rFonts w:ascii="宋体" w:hAnsi="宋体" w:cs="宋体"/>
          <w:sz w:val="24"/>
          <w:szCs w:val="24"/>
          <w:highlight w:val="none"/>
        </w:rPr>
      </w:pPr>
    </w:p>
    <w:p w14:paraId="3F5B60A8">
      <w:pPr>
        <w:pStyle w:val="4"/>
        <w:rPr>
          <w:rFonts w:hint="eastAsia" w:ascii="宋体" w:hAnsi="宋体" w:eastAsia="宋体" w:cs="宋体"/>
          <w:color w:val="auto"/>
          <w:highlight w:val="none"/>
        </w:rPr>
      </w:pPr>
      <w:bookmarkStart w:id="609" w:name="_Toc246997105"/>
      <w:bookmarkStart w:id="610" w:name="_Toc179632814"/>
      <w:bookmarkStart w:id="611" w:name="_Toc152042583"/>
      <w:bookmarkStart w:id="612" w:name="_Toc246996362"/>
      <w:bookmarkStart w:id="613" w:name="_Toc296602607"/>
      <w:bookmarkStart w:id="614" w:name="_Toc247085880"/>
      <w:bookmarkStart w:id="615" w:name="_Toc144974862"/>
      <w:bookmarkStart w:id="616" w:name="_Toc152045794"/>
      <w:r>
        <w:rPr>
          <w:rFonts w:hint="eastAsia" w:ascii="宋体" w:hAnsi="宋体" w:cs="宋体"/>
          <w:b w:val="0"/>
          <w:sz w:val="32"/>
          <w:highlight w:val="none"/>
        </w:rPr>
        <w:br w:type="page"/>
      </w:r>
      <w:bookmarkStart w:id="617" w:name="_Toc1561"/>
      <w:bookmarkStart w:id="618" w:name="_Toc2206"/>
      <w:r>
        <w:rPr>
          <w:rFonts w:hint="eastAsia" w:ascii="宋体" w:hAnsi="宋体" w:eastAsia="宋体" w:cs="宋体"/>
          <w:color w:val="auto"/>
          <w:highlight w:val="none"/>
        </w:rPr>
        <w:t>四、授权委托书</w:t>
      </w:r>
      <w:bookmarkEnd w:id="617"/>
      <w:bookmarkEnd w:id="618"/>
    </w:p>
    <w:p w14:paraId="0FB1C43E">
      <w:pPr>
        <w:spacing w:line="54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本人（姓名）</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系（</w:t>
      </w:r>
      <w:r>
        <w:rPr>
          <w:rFonts w:hint="eastAsia" w:asciiTheme="minorEastAsia" w:hAnsiTheme="minorEastAsia" w:eastAsiaTheme="minorEastAsia"/>
          <w:sz w:val="24"/>
          <w:szCs w:val="24"/>
          <w:highlight w:val="none"/>
          <w:lang w:eastAsia="zh-CN"/>
        </w:rPr>
        <w:t>供应商</w:t>
      </w:r>
      <w:r>
        <w:rPr>
          <w:rFonts w:hint="eastAsia" w:asciiTheme="minorEastAsia" w:hAnsiTheme="minorEastAsia" w:eastAsiaTheme="minorEastAsia"/>
          <w:sz w:val="24"/>
          <w:szCs w:val="24"/>
          <w:highlight w:val="none"/>
        </w:rPr>
        <w:t>名称）</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的法定代表人，现委托（姓名）</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为我方代理人。代理人根据授权，以我方名义签署、澄清、说明、补正、递交、撤回、修改（项目名称）</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投标文件、签订合同和处理有关事宜，其法律后果由我方承担。</w:t>
      </w:r>
    </w:p>
    <w:p w14:paraId="095BDEB0">
      <w:pPr>
        <w:pStyle w:val="23"/>
        <w:spacing w:line="540" w:lineRule="exact"/>
        <w:rPr>
          <w:rFonts w:asciiTheme="minorEastAsia" w:hAnsiTheme="minorEastAsia" w:eastAsiaTheme="minorEastAsia"/>
          <w:color w:val="auto"/>
          <w:sz w:val="24"/>
          <w:szCs w:val="24"/>
          <w:highlight w:val="none"/>
        </w:rPr>
      </w:pPr>
    </w:p>
    <w:p w14:paraId="75A46C06">
      <w:pPr>
        <w:pStyle w:val="23"/>
        <w:spacing w:line="54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委托期限：</w:t>
      </w:r>
      <w:r>
        <w:rPr>
          <w:rFonts w:hint="eastAsia" w:asciiTheme="minorEastAsia" w:hAnsiTheme="minorEastAsia" w:eastAsiaTheme="minorEastAsia"/>
          <w:color w:val="auto"/>
          <w:sz w:val="24"/>
          <w:szCs w:val="24"/>
          <w:highlight w:val="none"/>
          <w:u w:val="single"/>
        </w:rPr>
        <w:t xml:space="preserve">                       。</w:t>
      </w:r>
    </w:p>
    <w:p w14:paraId="3E6ECC95">
      <w:pPr>
        <w:spacing w:beforeLines="100" w:afterLines="100" w:line="54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代理人无转委托权。</w:t>
      </w:r>
    </w:p>
    <w:p w14:paraId="770BBE78">
      <w:pPr>
        <w:spacing w:afterLines="100" w:line="54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附：</w:t>
      </w:r>
      <w:r>
        <w:rPr>
          <w:rFonts w:cs="宋体" w:asciiTheme="minorEastAsia" w:hAnsiTheme="minorEastAsia" w:eastAsiaTheme="minorEastAsia"/>
          <w:sz w:val="24"/>
          <w:szCs w:val="24"/>
          <w:highlight w:val="none"/>
        </w:rPr>
        <w:t>法定代表人身份证及授权委托代理人身份证正反面原件扫描件</w:t>
      </w:r>
    </w:p>
    <w:p w14:paraId="0FF4F991">
      <w:pPr>
        <w:spacing w:line="540" w:lineRule="exact"/>
        <w:rPr>
          <w:rFonts w:asciiTheme="minorEastAsia" w:hAnsiTheme="minorEastAsia" w:eastAsiaTheme="minorEastAsia"/>
          <w:sz w:val="24"/>
          <w:szCs w:val="24"/>
          <w:highlight w:val="none"/>
        </w:rPr>
      </w:pPr>
    </w:p>
    <w:p w14:paraId="32FD7883">
      <w:pPr>
        <w:spacing w:line="540" w:lineRule="exact"/>
        <w:ind w:firstLine="2700" w:firstLineChars="11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  标  人：（电子签章）</w:t>
      </w:r>
    </w:p>
    <w:p w14:paraId="3A9B98A3">
      <w:pPr>
        <w:spacing w:line="540" w:lineRule="exact"/>
        <w:ind w:firstLine="2700" w:firstLineChars="11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法定代表人：（</w:t>
      </w:r>
      <w:r>
        <w:rPr>
          <w:rFonts w:hint="eastAsia" w:cs="宋体" w:asciiTheme="minorEastAsia" w:hAnsiTheme="minorEastAsia" w:eastAsiaTheme="minorEastAsia"/>
          <w:kern w:val="0"/>
          <w:sz w:val="24"/>
          <w:szCs w:val="24"/>
          <w:highlight w:val="none"/>
        </w:rPr>
        <w:t>电子签章</w:t>
      </w:r>
      <w:r>
        <w:rPr>
          <w:rFonts w:hint="eastAsia" w:asciiTheme="minorEastAsia" w:hAnsiTheme="minorEastAsia" w:eastAsiaTheme="minorEastAsia"/>
          <w:sz w:val="24"/>
          <w:szCs w:val="24"/>
          <w:highlight w:val="none"/>
        </w:rPr>
        <w:t>）</w:t>
      </w:r>
    </w:p>
    <w:p w14:paraId="2B057EF3">
      <w:pPr>
        <w:spacing w:line="540" w:lineRule="exact"/>
        <w:ind w:firstLine="2700" w:firstLineChars="11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身份证号码：</w:t>
      </w:r>
    </w:p>
    <w:p w14:paraId="25CF6933">
      <w:pPr>
        <w:spacing w:line="540" w:lineRule="exact"/>
        <w:ind w:firstLine="2700" w:firstLineChars="11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委托代理人：（电子签章）</w:t>
      </w:r>
    </w:p>
    <w:p w14:paraId="05FBEACC">
      <w:pPr>
        <w:spacing w:line="540" w:lineRule="exact"/>
        <w:ind w:firstLine="2700" w:firstLineChars="11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身份证号码：</w:t>
      </w:r>
    </w:p>
    <w:p w14:paraId="25219830">
      <w:pPr>
        <w:spacing w:line="540" w:lineRule="exact"/>
        <w:ind w:firstLine="2700" w:firstLineChars="11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联系电话：</w:t>
      </w:r>
    </w:p>
    <w:p w14:paraId="1B52371D">
      <w:pPr>
        <w:spacing w:line="540" w:lineRule="exact"/>
        <w:ind w:firstLine="2640" w:firstLineChars="11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日期：年月日</w:t>
      </w:r>
    </w:p>
    <w:p w14:paraId="3AC16471">
      <w:pPr>
        <w:spacing w:line="540" w:lineRule="exac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注：因投标文件中授权委托书授权代理人无法手写签字及盖章，可以以印刷体代替（印刷体为电脑打出的字体）。</w:t>
      </w:r>
    </w:p>
    <w:p w14:paraId="30E82CD7">
      <w:pPr>
        <w:pStyle w:val="4"/>
        <w:rPr>
          <w:rFonts w:hint="eastAsia" w:ascii="宋体" w:hAnsi="宋体" w:eastAsia="宋体" w:cs="宋体"/>
          <w:color w:val="auto"/>
          <w:highlight w:val="none"/>
        </w:rPr>
      </w:pPr>
      <w:r>
        <w:rPr>
          <w:rFonts w:hint="eastAsia" w:ascii="宋体" w:hAnsi="宋体" w:cs="宋体"/>
          <w:b/>
          <w:sz w:val="32"/>
          <w:highlight w:val="none"/>
        </w:rPr>
        <w:br w:type="page"/>
      </w:r>
      <w:bookmarkStart w:id="619" w:name="_Toc29913"/>
      <w:r>
        <w:rPr>
          <w:rFonts w:hint="eastAsia" w:ascii="宋体" w:hAnsi="宋体" w:eastAsia="宋体" w:cs="宋体"/>
          <w:color w:val="auto"/>
          <w:highlight w:val="none"/>
        </w:rPr>
        <w:t>五、</w:t>
      </w:r>
      <w:bookmarkEnd w:id="609"/>
      <w:bookmarkEnd w:id="610"/>
      <w:bookmarkEnd w:id="611"/>
      <w:bookmarkEnd w:id="612"/>
      <w:bookmarkEnd w:id="613"/>
      <w:bookmarkEnd w:id="614"/>
      <w:bookmarkEnd w:id="615"/>
      <w:bookmarkEnd w:id="616"/>
      <w:r>
        <w:rPr>
          <w:rFonts w:hint="eastAsia" w:ascii="宋体" w:hAnsi="宋体" w:eastAsia="宋体" w:cs="宋体"/>
          <w:color w:val="auto"/>
          <w:highlight w:val="none"/>
        </w:rPr>
        <w:t>投标承诺函</w:t>
      </w:r>
      <w:bookmarkEnd w:id="619"/>
    </w:p>
    <w:p w14:paraId="63699700">
      <w:pPr>
        <w:spacing w:line="540" w:lineRule="exact"/>
        <w:ind w:firstLine="48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 xml:space="preserve">（采购人及采购代理机构）： </w:t>
      </w:r>
    </w:p>
    <w:p w14:paraId="0924D8E9">
      <w:pPr>
        <w:spacing w:line="540" w:lineRule="exact"/>
        <w:ind w:firstLine="480"/>
        <w:rPr>
          <w:rFonts w:ascii="宋体" w:hAnsi="宋体"/>
          <w:sz w:val="24"/>
          <w:szCs w:val="24"/>
          <w:highlight w:val="none"/>
        </w:rPr>
      </w:pPr>
      <w:r>
        <w:rPr>
          <w:rFonts w:hint="eastAsia" w:ascii="宋体" w:hAnsi="宋体"/>
          <w:sz w:val="24"/>
          <w:szCs w:val="24"/>
          <w:highlight w:val="none"/>
        </w:rPr>
        <w:t>我公司作为本次采购项目的</w:t>
      </w:r>
      <w:r>
        <w:rPr>
          <w:rFonts w:hint="eastAsia" w:ascii="宋体" w:hAnsi="宋体"/>
          <w:sz w:val="24"/>
          <w:szCs w:val="24"/>
          <w:highlight w:val="none"/>
          <w:lang w:eastAsia="zh-CN"/>
        </w:rPr>
        <w:t>供应商</w:t>
      </w:r>
      <w:r>
        <w:rPr>
          <w:rFonts w:hint="eastAsia" w:ascii="宋体" w:hAnsi="宋体"/>
          <w:sz w:val="24"/>
          <w:szCs w:val="24"/>
          <w:highlight w:val="none"/>
        </w:rPr>
        <w:t>，根据招标文件要求，现郑重承诺如下：</w:t>
      </w:r>
    </w:p>
    <w:p w14:paraId="3F3495EF">
      <w:pPr>
        <w:spacing w:line="540" w:lineRule="exact"/>
        <w:ind w:firstLine="480"/>
        <w:rPr>
          <w:rFonts w:ascii="宋体" w:hAnsi="宋体"/>
          <w:sz w:val="24"/>
          <w:szCs w:val="24"/>
          <w:highlight w:val="none"/>
        </w:rPr>
      </w:pPr>
      <w:r>
        <w:rPr>
          <w:rFonts w:hint="eastAsia" w:ascii="宋体" w:hAnsi="宋体"/>
          <w:sz w:val="24"/>
          <w:szCs w:val="24"/>
          <w:highlight w:val="none"/>
        </w:rPr>
        <w:t>1.我方完全接受和满足本项目招标文件中规定的实质性要求，不存在对招标文件有异议的同时参加本次采购活动。</w:t>
      </w:r>
    </w:p>
    <w:p w14:paraId="548138D8">
      <w:pPr>
        <w:spacing w:line="540" w:lineRule="exact"/>
        <w:ind w:firstLine="480"/>
        <w:rPr>
          <w:rFonts w:ascii="宋体" w:hAnsi="宋体"/>
          <w:sz w:val="24"/>
          <w:szCs w:val="24"/>
          <w:highlight w:val="none"/>
        </w:rPr>
      </w:pPr>
      <w:r>
        <w:rPr>
          <w:rFonts w:hint="eastAsia" w:ascii="宋体" w:hAnsi="宋体"/>
          <w:sz w:val="24"/>
          <w:szCs w:val="24"/>
          <w:highlight w:val="none"/>
        </w:rPr>
        <w:t>2.参加本次采购活动，不存在与单位负责人为同一人或者存在直接控股、管理关系的其他供应商参与同一合同项下的政府采购活动的行为。</w:t>
      </w:r>
    </w:p>
    <w:p w14:paraId="12001552">
      <w:pPr>
        <w:spacing w:line="540" w:lineRule="exact"/>
        <w:ind w:firstLine="480"/>
        <w:rPr>
          <w:rFonts w:ascii="宋体" w:hAnsi="宋体"/>
          <w:sz w:val="24"/>
          <w:szCs w:val="24"/>
          <w:highlight w:val="none"/>
        </w:rPr>
      </w:pPr>
      <w:r>
        <w:rPr>
          <w:rFonts w:hint="eastAsia" w:ascii="宋体" w:hAnsi="宋体"/>
          <w:sz w:val="24"/>
          <w:szCs w:val="24"/>
          <w:highlight w:val="none"/>
        </w:rPr>
        <w:t>3.我方参加政府采购活动无商业贿赂和不正当竞争行为。</w:t>
      </w:r>
    </w:p>
    <w:p w14:paraId="0AF61647">
      <w:pPr>
        <w:spacing w:line="540" w:lineRule="exact"/>
        <w:ind w:firstLine="480"/>
        <w:rPr>
          <w:rFonts w:ascii="宋体" w:hAnsi="宋体"/>
          <w:sz w:val="24"/>
          <w:szCs w:val="24"/>
          <w:highlight w:val="none"/>
        </w:rPr>
      </w:pPr>
      <w:r>
        <w:rPr>
          <w:rFonts w:hint="eastAsia" w:ascii="宋体" w:hAnsi="宋体"/>
          <w:sz w:val="24"/>
          <w:szCs w:val="24"/>
          <w:highlight w:val="none"/>
        </w:rPr>
        <w:t>   4.存在以下行为之一的愿意接受相关部门的处理：</w:t>
      </w:r>
    </w:p>
    <w:p w14:paraId="6C7CE688">
      <w:pPr>
        <w:spacing w:line="540" w:lineRule="exact"/>
        <w:ind w:firstLine="480"/>
        <w:rPr>
          <w:rFonts w:ascii="宋体" w:hAnsi="宋体"/>
          <w:sz w:val="24"/>
          <w:szCs w:val="24"/>
          <w:highlight w:val="none"/>
        </w:rPr>
      </w:pPr>
      <w:r>
        <w:rPr>
          <w:rFonts w:hint="eastAsia" w:ascii="宋体" w:hAnsi="宋体"/>
          <w:sz w:val="24"/>
          <w:szCs w:val="24"/>
          <w:highlight w:val="none"/>
        </w:rPr>
        <w:t>（1）投标有效期内撤回投标文件的；</w:t>
      </w:r>
    </w:p>
    <w:p w14:paraId="1FBAC097">
      <w:pPr>
        <w:spacing w:line="540" w:lineRule="exact"/>
        <w:ind w:firstLine="480"/>
        <w:rPr>
          <w:rFonts w:ascii="宋体" w:hAnsi="宋体"/>
          <w:sz w:val="24"/>
          <w:szCs w:val="24"/>
          <w:highlight w:val="none"/>
        </w:rPr>
      </w:pPr>
      <w:r>
        <w:rPr>
          <w:rFonts w:hint="eastAsia" w:ascii="宋体" w:hAnsi="宋体"/>
          <w:sz w:val="24"/>
          <w:szCs w:val="24"/>
          <w:highlight w:val="none"/>
        </w:rPr>
        <w:t>（2）在采购人确定中标供应商以前放弃中标候选资格的；</w:t>
      </w:r>
    </w:p>
    <w:p w14:paraId="799FF938">
      <w:pPr>
        <w:spacing w:line="540" w:lineRule="exact"/>
        <w:ind w:firstLine="480"/>
        <w:rPr>
          <w:rFonts w:ascii="宋体" w:hAnsi="宋体"/>
          <w:sz w:val="24"/>
          <w:szCs w:val="24"/>
          <w:highlight w:val="none"/>
        </w:rPr>
      </w:pPr>
      <w:r>
        <w:rPr>
          <w:rFonts w:hint="eastAsia" w:ascii="宋体" w:hAnsi="宋体"/>
          <w:sz w:val="24"/>
          <w:szCs w:val="24"/>
          <w:highlight w:val="none"/>
        </w:rPr>
        <w:t>（3）除不可抗力的因素外，由于中标供应商的原因未能按照招标文件的规定与采购人签订合同；</w:t>
      </w:r>
    </w:p>
    <w:p w14:paraId="26E98D3A">
      <w:pPr>
        <w:spacing w:line="540" w:lineRule="exact"/>
        <w:ind w:firstLine="480"/>
        <w:rPr>
          <w:rFonts w:ascii="宋体" w:hAnsi="宋体"/>
          <w:sz w:val="24"/>
          <w:szCs w:val="24"/>
          <w:highlight w:val="none"/>
        </w:rPr>
      </w:pPr>
      <w:r>
        <w:rPr>
          <w:rFonts w:hint="eastAsia" w:ascii="宋体" w:hAnsi="宋体"/>
          <w:sz w:val="24"/>
          <w:szCs w:val="24"/>
          <w:highlight w:val="none"/>
        </w:rPr>
        <w:t>（4）在招标文件中提供虚假材料谋取中标；</w:t>
      </w:r>
    </w:p>
    <w:p w14:paraId="63A50E5A">
      <w:pPr>
        <w:spacing w:line="540" w:lineRule="exact"/>
        <w:ind w:firstLine="480"/>
        <w:rPr>
          <w:rFonts w:ascii="宋体" w:hAnsi="宋体"/>
          <w:sz w:val="24"/>
          <w:szCs w:val="24"/>
          <w:highlight w:val="none"/>
        </w:rPr>
      </w:pPr>
      <w:r>
        <w:rPr>
          <w:rFonts w:hint="eastAsia" w:ascii="宋体" w:hAnsi="宋体"/>
          <w:sz w:val="24"/>
          <w:szCs w:val="24"/>
          <w:highlight w:val="none"/>
        </w:rPr>
        <w:t>（5）与采购人、其他供应商或者采购代理机构恶意串通的；</w:t>
      </w:r>
    </w:p>
    <w:p w14:paraId="3E461D65">
      <w:pPr>
        <w:spacing w:line="540" w:lineRule="exact"/>
        <w:ind w:firstLine="480"/>
        <w:rPr>
          <w:rFonts w:ascii="宋体" w:hAnsi="宋体"/>
          <w:sz w:val="24"/>
          <w:szCs w:val="24"/>
          <w:highlight w:val="none"/>
        </w:rPr>
      </w:pPr>
      <w:r>
        <w:rPr>
          <w:rFonts w:hint="eastAsia" w:ascii="宋体" w:hAnsi="宋体"/>
          <w:sz w:val="24"/>
          <w:szCs w:val="24"/>
          <w:highlight w:val="none"/>
        </w:rPr>
        <w:t>（6）投标有效期内，</w:t>
      </w:r>
      <w:r>
        <w:rPr>
          <w:rFonts w:hint="eastAsia" w:ascii="宋体" w:hAnsi="宋体"/>
          <w:sz w:val="24"/>
          <w:szCs w:val="24"/>
          <w:highlight w:val="none"/>
          <w:lang w:eastAsia="zh-CN"/>
        </w:rPr>
        <w:t>供应商</w:t>
      </w:r>
      <w:r>
        <w:rPr>
          <w:rFonts w:hint="eastAsia" w:ascii="宋体" w:hAnsi="宋体"/>
          <w:sz w:val="24"/>
          <w:szCs w:val="24"/>
          <w:highlight w:val="none"/>
        </w:rPr>
        <w:t>在政府采购活动中有违法、违规、违纪行为。</w:t>
      </w:r>
    </w:p>
    <w:p w14:paraId="4703C265">
      <w:pPr>
        <w:spacing w:line="540" w:lineRule="exact"/>
        <w:ind w:firstLine="48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038F292E">
      <w:pPr>
        <w:spacing w:line="540" w:lineRule="exact"/>
        <w:ind w:firstLine="48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95EA3CF">
      <w:pPr>
        <w:spacing w:line="540" w:lineRule="exact"/>
        <w:ind w:firstLine="480"/>
        <w:rPr>
          <w:rFonts w:ascii="宋体" w:hAnsi="宋体"/>
          <w:sz w:val="24"/>
          <w:szCs w:val="24"/>
          <w:highlight w:val="none"/>
        </w:rPr>
      </w:pPr>
    </w:p>
    <w:p w14:paraId="19CC36B5">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3DA65F95">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2541B034">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50D13877">
      <w:pPr>
        <w:pStyle w:val="4"/>
        <w:rPr>
          <w:rFonts w:hint="default" w:ascii="宋体" w:hAnsi="宋体" w:eastAsia="宋体" w:cs="宋体"/>
          <w:color w:val="auto"/>
          <w:highlight w:val="none"/>
          <w:lang w:val="en-US"/>
        </w:rPr>
      </w:pPr>
      <w:r>
        <w:rPr>
          <w:rFonts w:hint="eastAsia" w:ascii="宋体" w:hAnsi="宋体"/>
          <w:sz w:val="24"/>
          <w:highlight w:val="none"/>
        </w:rPr>
        <w:br w:type="page"/>
      </w:r>
      <w:bookmarkStart w:id="620" w:name="_Toc10337"/>
      <w:bookmarkStart w:id="621" w:name="_Toc296602609"/>
      <w:bookmarkStart w:id="622" w:name="_Toc247085882"/>
      <w:bookmarkStart w:id="623" w:name="_Toc246997107"/>
      <w:bookmarkStart w:id="624" w:name="_Toc179632816"/>
      <w:bookmarkStart w:id="625" w:name="_Toc246996364"/>
      <w:bookmarkStart w:id="626" w:name="_Toc152042585"/>
      <w:bookmarkStart w:id="627" w:name="_Toc144974864"/>
      <w:bookmarkStart w:id="628" w:name="_Toc152045796"/>
      <w:r>
        <w:rPr>
          <w:rFonts w:hint="eastAsia" w:ascii="宋体" w:hAnsi="宋体" w:eastAsia="宋体" w:cs="宋体"/>
          <w:color w:val="auto"/>
          <w:highlight w:val="none"/>
          <w:lang w:val="en-US" w:eastAsia="zh-CN"/>
        </w:rPr>
        <w:t>六、详细报价表</w:t>
      </w:r>
      <w:bookmarkEnd w:id="620"/>
    </w:p>
    <w:tbl>
      <w:tblPr>
        <w:tblStyle w:val="24"/>
        <w:tblW w:w="48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453"/>
        <w:gridCol w:w="965"/>
        <w:gridCol w:w="1624"/>
        <w:gridCol w:w="645"/>
        <w:gridCol w:w="1043"/>
        <w:gridCol w:w="925"/>
        <w:gridCol w:w="1322"/>
        <w:gridCol w:w="1057"/>
      </w:tblGrid>
      <w:tr w14:paraId="5463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1" w:type="pct"/>
            <w:noWrap w:val="0"/>
            <w:vAlign w:val="center"/>
          </w:tcPr>
          <w:p w14:paraId="69886963">
            <w:pPr>
              <w:spacing w:line="360" w:lineRule="auto"/>
              <w:jc w:val="center"/>
              <w:rPr>
                <w:rFonts w:hint="eastAsia" w:ascii="宋体" w:hAnsi="宋体"/>
                <w:spacing w:val="20"/>
                <w:sz w:val="24"/>
              </w:rPr>
            </w:pPr>
            <w:bookmarkStart w:id="629" w:name="_Toc19930"/>
            <w:bookmarkStart w:id="630" w:name="_Toc16092"/>
            <w:bookmarkStart w:id="631" w:name="_Toc21575"/>
            <w:r>
              <w:rPr>
                <w:rFonts w:hint="eastAsia" w:ascii="宋体" w:hAnsi="宋体"/>
                <w:spacing w:val="20"/>
                <w:sz w:val="24"/>
              </w:rPr>
              <w:t>序号</w:t>
            </w:r>
          </w:p>
        </w:tc>
        <w:tc>
          <w:tcPr>
            <w:tcW w:w="723" w:type="pct"/>
            <w:noWrap w:val="0"/>
            <w:vAlign w:val="center"/>
          </w:tcPr>
          <w:p w14:paraId="4DB34B60">
            <w:pPr>
              <w:spacing w:line="360" w:lineRule="auto"/>
              <w:jc w:val="center"/>
              <w:rPr>
                <w:rFonts w:hint="eastAsia" w:ascii="宋体" w:hAnsi="宋体"/>
                <w:spacing w:val="20"/>
                <w:sz w:val="24"/>
              </w:rPr>
            </w:pPr>
            <w:r>
              <w:rPr>
                <w:rFonts w:hint="eastAsia" w:ascii="宋体" w:hAnsi="宋体"/>
                <w:spacing w:val="20"/>
                <w:sz w:val="24"/>
                <w:lang w:val="en-US" w:eastAsia="zh-CN"/>
              </w:rPr>
              <w:t>设备</w:t>
            </w:r>
            <w:r>
              <w:rPr>
                <w:rFonts w:hint="eastAsia" w:ascii="宋体" w:hAnsi="宋体"/>
                <w:spacing w:val="20"/>
                <w:sz w:val="24"/>
              </w:rPr>
              <w:t>名称</w:t>
            </w:r>
          </w:p>
        </w:tc>
        <w:tc>
          <w:tcPr>
            <w:tcW w:w="480" w:type="pct"/>
            <w:shd w:val="clear" w:color="auto" w:fill="auto"/>
            <w:noWrap w:val="0"/>
            <w:vAlign w:val="center"/>
          </w:tcPr>
          <w:p w14:paraId="134857B0">
            <w:pPr>
              <w:spacing w:line="360" w:lineRule="auto"/>
              <w:jc w:val="center"/>
              <w:rPr>
                <w:rFonts w:hint="eastAsia" w:ascii="宋体" w:hAnsi="宋体" w:eastAsia="宋体" w:cs="Times New Roman"/>
                <w:spacing w:val="20"/>
                <w:kern w:val="2"/>
                <w:sz w:val="24"/>
                <w:szCs w:val="21"/>
                <w:lang w:val="en-US" w:eastAsia="zh-CN" w:bidi="ar-SA"/>
              </w:rPr>
            </w:pPr>
            <w:r>
              <w:rPr>
                <w:rFonts w:hint="eastAsia" w:ascii="宋体" w:hAnsi="宋体"/>
                <w:spacing w:val="20"/>
                <w:sz w:val="24"/>
              </w:rPr>
              <w:t>品牌/型号</w:t>
            </w:r>
          </w:p>
        </w:tc>
        <w:tc>
          <w:tcPr>
            <w:tcW w:w="808" w:type="pct"/>
            <w:noWrap w:val="0"/>
            <w:vAlign w:val="center"/>
          </w:tcPr>
          <w:p w14:paraId="2FBB80FF">
            <w:pPr>
              <w:spacing w:line="360" w:lineRule="auto"/>
              <w:jc w:val="center"/>
              <w:rPr>
                <w:rFonts w:hint="default" w:ascii="宋体" w:hAnsi="宋体" w:eastAsia="宋体"/>
                <w:spacing w:val="20"/>
                <w:sz w:val="24"/>
                <w:lang w:val="en-US" w:eastAsia="zh-CN"/>
              </w:rPr>
            </w:pPr>
            <w:r>
              <w:rPr>
                <w:rFonts w:hint="eastAsia" w:ascii="宋体" w:hAnsi="宋体"/>
                <w:spacing w:val="20"/>
                <w:sz w:val="24"/>
                <w:lang w:val="en-US" w:eastAsia="zh-CN"/>
              </w:rPr>
              <w:t>规格及参数</w:t>
            </w:r>
          </w:p>
        </w:tc>
        <w:tc>
          <w:tcPr>
            <w:tcW w:w="321" w:type="pct"/>
            <w:noWrap w:val="0"/>
            <w:vAlign w:val="center"/>
          </w:tcPr>
          <w:p w14:paraId="1E2B8B22">
            <w:pPr>
              <w:spacing w:line="360" w:lineRule="auto"/>
              <w:jc w:val="center"/>
              <w:rPr>
                <w:rFonts w:hint="eastAsia" w:ascii="宋体" w:hAnsi="宋体"/>
                <w:spacing w:val="20"/>
                <w:sz w:val="24"/>
              </w:rPr>
            </w:pPr>
            <w:r>
              <w:rPr>
                <w:rFonts w:hint="eastAsia" w:ascii="宋体" w:hAnsi="宋体"/>
                <w:spacing w:val="20"/>
                <w:sz w:val="24"/>
              </w:rPr>
              <w:t>单位</w:t>
            </w:r>
          </w:p>
        </w:tc>
        <w:tc>
          <w:tcPr>
            <w:tcW w:w="519" w:type="pct"/>
            <w:noWrap w:val="0"/>
            <w:vAlign w:val="center"/>
          </w:tcPr>
          <w:p w14:paraId="427EFE57">
            <w:pPr>
              <w:spacing w:line="360" w:lineRule="auto"/>
              <w:jc w:val="center"/>
              <w:rPr>
                <w:rFonts w:hint="eastAsia" w:ascii="宋体" w:hAnsi="宋体"/>
                <w:spacing w:val="20"/>
                <w:sz w:val="24"/>
              </w:rPr>
            </w:pPr>
            <w:r>
              <w:rPr>
                <w:rFonts w:hint="eastAsia" w:ascii="宋体" w:hAnsi="宋体"/>
                <w:spacing w:val="20"/>
                <w:sz w:val="24"/>
              </w:rPr>
              <w:t>数量</w:t>
            </w:r>
          </w:p>
        </w:tc>
        <w:tc>
          <w:tcPr>
            <w:tcW w:w="460" w:type="pct"/>
            <w:noWrap w:val="0"/>
            <w:vAlign w:val="center"/>
          </w:tcPr>
          <w:p w14:paraId="614C9313">
            <w:pPr>
              <w:spacing w:line="360" w:lineRule="auto"/>
              <w:jc w:val="center"/>
              <w:rPr>
                <w:rFonts w:hint="eastAsia" w:ascii="宋体" w:hAnsi="宋体"/>
                <w:spacing w:val="20"/>
                <w:sz w:val="24"/>
              </w:rPr>
            </w:pPr>
            <w:r>
              <w:rPr>
                <w:rFonts w:hint="eastAsia" w:ascii="宋体" w:hAnsi="宋体"/>
                <w:spacing w:val="20"/>
                <w:sz w:val="24"/>
              </w:rPr>
              <w:t>单价</w:t>
            </w:r>
          </w:p>
        </w:tc>
        <w:tc>
          <w:tcPr>
            <w:tcW w:w="658" w:type="pct"/>
            <w:noWrap w:val="0"/>
            <w:vAlign w:val="center"/>
          </w:tcPr>
          <w:p w14:paraId="5CB06940">
            <w:pPr>
              <w:spacing w:line="360" w:lineRule="auto"/>
              <w:jc w:val="center"/>
              <w:rPr>
                <w:rFonts w:hint="eastAsia" w:ascii="宋体" w:hAnsi="宋体"/>
                <w:spacing w:val="20"/>
                <w:sz w:val="24"/>
              </w:rPr>
            </w:pPr>
            <w:r>
              <w:rPr>
                <w:rFonts w:hint="eastAsia" w:ascii="宋体" w:hAnsi="宋体"/>
                <w:spacing w:val="20"/>
                <w:sz w:val="24"/>
              </w:rPr>
              <w:t>合价</w:t>
            </w:r>
          </w:p>
        </w:tc>
        <w:tc>
          <w:tcPr>
            <w:tcW w:w="526" w:type="pct"/>
            <w:noWrap w:val="0"/>
            <w:vAlign w:val="center"/>
          </w:tcPr>
          <w:p w14:paraId="1505005B">
            <w:pPr>
              <w:spacing w:line="360" w:lineRule="auto"/>
              <w:jc w:val="center"/>
              <w:rPr>
                <w:rFonts w:hint="eastAsia" w:ascii="宋体" w:hAnsi="宋体"/>
                <w:spacing w:val="20"/>
                <w:sz w:val="24"/>
              </w:rPr>
            </w:pPr>
            <w:r>
              <w:rPr>
                <w:rFonts w:hint="eastAsia" w:ascii="宋体" w:hAnsi="宋体"/>
                <w:spacing w:val="20"/>
                <w:sz w:val="24"/>
              </w:rPr>
              <w:t>备注</w:t>
            </w:r>
          </w:p>
        </w:tc>
      </w:tr>
      <w:tr w14:paraId="407E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501" w:type="pct"/>
            <w:noWrap w:val="0"/>
            <w:vAlign w:val="center"/>
          </w:tcPr>
          <w:p w14:paraId="1CA338EA">
            <w:pPr>
              <w:spacing w:line="360" w:lineRule="auto"/>
              <w:jc w:val="center"/>
              <w:rPr>
                <w:rFonts w:hint="eastAsia" w:ascii="宋体" w:hAnsi="宋体"/>
                <w:spacing w:val="20"/>
                <w:sz w:val="24"/>
              </w:rPr>
            </w:pPr>
            <w:r>
              <w:rPr>
                <w:rFonts w:hint="eastAsia" w:ascii="宋体" w:hAnsi="宋体"/>
                <w:spacing w:val="20"/>
                <w:sz w:val="24"/>
              </w:rPr>
              <w:t>1</w:t>
            </w:r>
          </w:p>
        </w:tc>
        <w:tc>
          <w:tcPr>
            <w:tcW w:w="723" w:type="pct"/>
            <w:noWrap w:val="0"/>
            <w:vAlign w:val="center"/>
          </w:tcPr>
          <w:p w14:paraId="368DDA69">
            <w:pPr>
              <w:spacing w:line="360" w:lineRule="auto"/>
              <w:jc w:val="center"/>
              <w:rPr>
                <w:rFonts w:hint="eastAsia" w:ascii="宋体" w:hAnsi="宋体"/>
                <w:spacing w:val="20"/>
                <w:sz w:val="24"/>
              </w:rPr>
            </w:pPr>
          </w:p>
        </w:tc>
        <w:tc>
          <w:tcPr>
            <w:tcW w:w="480" w:type="pct"/>
            <w:shd w:val="clear" w:color="auto" w:fill="auto"/>
            <w:noWrap w:val="0"/>
            <w:vAlign w:val="center"/>
          </w:tcPr>
          <w:p w14:paraId="1C019D3D">
            <w:pPr>
              <w:spacing w:line="360" w:lineRule="auto"/>
              <w:jc w:val="center"/>
              <w:rPr>
                <w:rFonts w:hint="eastAsia" w:ascii="宋体" w:hAnsi="宋体" w:eastAsia="宋体" w:cs="Times New Roman"/>
                <w:spacing w:val="20"/>
                <w:kern w:val="2"/>
                <w:sz w:val="24"/>
                <w:szCs w:val="21"/>
                <w:lang w:val="en-US" w:eastAsia="zh-CN" w:bidi="ar-SA"/>
              </w:rPr>
            </w:pPr>
          </w:p>
        </w:tc>
        <w:tc>
          <w:tcPr>
            <w:tcW w:w="808" w:type="pct"/>
            <w:noWrap w:val="0"/>
            <w:vAlign w:val="center"/>
          </w:tcPr>
          <w:p w14:paraId="7EED313D">
            <w:pPr>
              <w:spacing w:line="360" w:lineRule="auto"/>
              <w:jc w:val="center"/>
              <w:rPr>
                <w:rFonts w:hint="eastAsia" w:ascii="宋体" w:hAnsi="宋体"/>
                <w:spacing w:val="20"/>
                <w:sz w:val="24"/>
              </w:rPr>
            </w:pPr>
          </w:p>
        </w:tc>
        <w:tc>
          <w:tcPr>
            <w:tcW w:w="321" w:type="pct"/>
            <w:noWrap w:val="0"/>
            <w:vAlign w:val="center"/>
          </w:tcPr>
          <w:p w14:paraId="7A9E4EDF">
            <w:pPr>
              <w:spacing w:line="360" w:lineRule="auto"/>
              <w:jc w:val="center"/>
              <w:rPr>
                <w:rFonts w:hint="eastAsia" w:ascii="宋体" w:hAnsi="宋体"/>
                <w:spacing w:val="20"/>
                <w:sz w:val="24"/>
              </w:rPr>
            </w:pPr>
          </w:p>
        </w:tc>
        <w:tc>
          <w:tcPr>
            <w:tcW w:w="519" w:type="pct"/>
            <w:noWrap w:val="0"/>
            <w:vAlign w:val="center"/>
          </w:tcPr>
          <w:p w14:paraId="303E1E78">
            <w:pPr>
              <w:spacing w:line="360" w:lineRule="auto"/>
              <w:jc w:val="center"/>
              <w:rPr>
                <w:rFonts w:hint="eastAsia" w:ascii="宋体" w:hAnsi="宋体"/>
                <w:spacing w:val="20"/>
                <w:sz w:val="24"/>
              </w:rPr>
            </w:pPr>
          </w:p>
        </w:tc>
        <w:tc>
          <w:tcPr>
            <w:tcW w:w="460" w:type="pct"/>
            <w:noWrap w:val="0"/>
            <w:vAlign w:val="center"/>
          </w:tcPr>
          <w:p w14:paraId="18ED3702">
            <w:pPr>
              <w:spacing w:line="360" w:lineRule="auto"/>
              <w:jc w:val="center"/>
              <w:rPr>
                <w:rFonts w:hint="eastAsia" w:ascii="宋体" w:hAnsi="宋体"/>
                <w:spacing w:val="20"/>
                <w:sz w:val="24"/>
              </w:rPr>
            </w:pPr>
          </w:p>
        </w:tc>
        <w:tc>
          <w:tcPr>
            <w:tcW w:w="658" w:type="pct"/>
            <w:noWrap w:val="0"/>
            <w:vAlign w:val="center"/>
          </w:tcPr>
          <w:p w14:paraId="07A0F54D">
            <w:pPr>
              <w:spacing w:line="360" w:lineRule="auto"/>
              <w:jc w:val="center"/>
              <w:rPr>
                <w:rFonts w:hint="eastAsia" w:ascii="宋体" w:hAnsi="宋体"/>
                <w:spacing w:val="20"/>
                <w:sz w:val="24"/>
              </w:rPr>
            </w:pPr>
          </w:p>
        </w:tc>
        <w:tc>
          <w:tcPr>
            <w:tcW w:w="526" w:type="pct"/>
            <w:noWrap w:val="0"/>
            <w:vAlign w:val="center"/>
          </w:tcPr>
          <w:p w14:paraId="4D764A2E">
            <w:pPr>
              <w:spacing w:line="360" w:lineRule="auto"/>
              <w:jc w:val="center"/>
              <w:rPr>
                <w:rFonts w:hint="eastAsia" w:ascii="宋体" w:hAnsi="宋体"/>
                <w:spacing w:val="20"/>
                <w:sz w:val="24"/>
              </w:rPr>
            </w:pPr>
          </w:p>
        </w:tc>
      </w:tr>
      <w:tr w14:paraId="21CB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501" w:type="pct"/>
            <w:noWrap w:val="0"/>
            <w:vAlign w:val="center"/>
          </w:tcPr>
          <w:p w14:paraId="36FBAC4F">
            <w:pPr>
              <w:spacing w:line="360" w:lineRule="auto"/>
              <w:jc w:val="center"/>
              <w:rPr>
                <w:rFonts w:hint="eastAsia" w:ascii="宋体" w:hAnsi="宋体"/>
                <w:spacing w:val="20"/>
                <w:sz w:val="24"/>
              </w:rPr>
            </w:pPr>
            <w:r>
              <w:rPr>
                <w:rFonts w:hint="eastAsia" w:ascii="宋体" w:hAnsi="宋体"/>
                <w:spacing w:val="20"/>
                <w:sz w:val="24"/>
              </w:rPr>
              <w:t>2</w:t>
            </w:r>
          </w:p>
        </w:tc>
        <w:tc>
          <w:tcPr>
            <w:tcW w:w="723" w:type="pct"/>
            <w:noWrap w:val="0"/>
            <w:vAlign w:val="center"/>
          </w:tcPr>
          <w:p w14:paraId="16584385">
            <w:pPr>
              <w:spacing w:line="360" w:lineRule="auto"/>
              <w:jc w:val="center"/>
              <w:rPr>
                <w:rFonts w:hint="eastAsia" w:ascii="宋体" w:hAnsi="宋体"/>
                <w:spacing w:val="20"/>
                <w:sz w:val="24"/>
              </w:rPr>
            </w:pPr>
          </w:p>
        </w:tc>
        <w:tc>
          <w:tcPr>
            <w:tcW w:w="480" w:type="pct"/>
            <w:shd w:val="clear" w:color="auto" w:fill="auto"/>
            <w:noWrap w:val="0"/>
            <w:vAlign w:val="center"/>
          </w:tcPr>
          <w:p w14:paraId="7B0FCB40">
            <w:pPr>
              <w:spacing w:line="360" w:lineRule="auto"/>
              <w:jc w:val="center"/>
              <w:rPr>
                <w:rFonts w:hint="eastAsia" w:ascii="宋体" w:hAnsi="宋体" w:eastAsia="宋体" w:cs="Times New Roman"/>
                <w:spacing w:val="20"/>
                <w:kern w:val="2"/>
                <w:sz w:val="24"/>
                <w:szCs w:val="21"/>
                <w:lang w:val="en-US" w:eastAsia="zh-CN" w:bidi="ar-SA"/>
              </w:rPr>
            </w:pPr>
          </w:p>
        </w:tc>
        <w:tc>
          <w:tcPr>
            <w:tcW w:w="808" w:type="pct"/>
            <w:noWrap w:val="0"/>
            <w:vAlign w:val="center"/>
          </w:tcPr>
          <w:p w14:paraId="53FE27B4">
            <w:pPr>
              <w:spacing w:line="360" w:lineRule="auto"/>
              <w:jc w:val="center"/>
              <w:rPr>
                <w:rFonts w:hint="eastAsia" w:ascii="宋体" w:hAnsi="宋体"/>
                <w:spacing w:val="20"/>
                <w:sz w:val="24"/>
              </w:rPr>
            </w:pPr>
          </w:p>
        </w:tc>
        <w:tc>
          <w:tcPr>
            <w:tcW w:w="321" w:type="pct"/>
            <w:noWrap w:val="0"/>
            <w:vAlign w:val="center"/>
          </w:tcPr>
          <w:p w14:paraId="1485DFB7">
            <w:pPr>
              <w:spacing w:line="360" w:lineRule="auto"/>
              <w:jc w:val="center"/>
              <w:rPr>
                <w:rFonts w:hint="eastAsia" w:ascii="宋体" w:hAnsi="宋体"/>
                <w:spacing w:val="20"/>
                <w:sz w:val="24"/>
              </w:rPr>
            </w:pPr>
          </w:p>
        </w:tc>
        <w:tc>
          <w:tcPr>
            <w:tcW w:w="519" w:type="pct"/>
            <w:noWrap w:val="0"/>
            <w:vAlign w:val="center"/>
          </w:tcPr>
          <w:p w14:paraId="690B13DF">
            <w:pPr>
              <w:spacing w:line="360" w:lineRule="auto"/>
              <w:jc w:val="center"/>
              <w:rPr>
                <w:rFonts w:hint="eastAsia" w:ascii="宋体" w:hAnsi="宋体"/>
                <w:spacing w:val="20"/>
                <w:sz w:val="24"/>
              </w:rPr>
            </w:pPr>
          </w:p>
        </w:tc>
        <w:tc>
          <w:tcPr>
            <w:tcW w:w="460" w:type="pct"/>
            <w:noWrap w:val="0"/>
            <w:vAlign w:val="center"/>
          </w:tcPr>
          <w:p w14:paraId="4785749E">
            <w:pPr>
              <w:spacing w:line="360" w:lineRule="auto"/>
              <w:jc w:val="center"/>
              <w:rPr>
                <w:rFonts w:hint="eastAsia" w:ascii="宋体" w:hAnsi="宋体"/>
                <w:spacing w:val="20"/>
                <w:sz w:val="24"/>
              </w:rPr>
            </w:pPr>
          </w:p>
        </w:tc>
        <w:tc>
          <w:tcPr>
            <w:tcW w:w="658" w:type="pct"/>
            <w:noWrap w:val="0"/>
            <w:vAlign w:val="center"/>
          </w:tcPr>
          <w:p w14:paraId="44060909">
            <w:pPr>
              <w:spacing w:line="360" w:lineRule="auto"/>
              <w:jc w:val="center"/>
              <w:rPr>
                <w:rFonts w:hint="eastAsia" w:ascii="宋体" w:hAnsi="宋体"/>
                <w:spacing w:val="20"/>
                <w:sz w:val="24"/>
              </w:rPr>
            </w:pPr>
          </w:p>
        </w:tc>
        <w:tc>
          <w:tcPr>
            <w:tcW w:w="526" w:type="pct"/>
            <w:noWrap w:val="0"/>
            <w:vAlign w:val="center"/>
          </w:tcPr>
          <w:p w14:paraId="35C5D754">
            <w:pPr>
              <w:spacing w:line="360" w:lineRule="auto"/>
              <w:jc w:val="center"/>
              <w:rPr>
                <w:rFonts w:hint="eastAsia" w:ascii="宋体" w:hAnsi="宋体"/>
                <w:spacing w:val="20"/>
                <w:sz w:val="24"/>
              </w:rPr>
            </w:pPr>
          </w:p>
        </w:tc>
      </w:tr>
      <w:tr w14:paraId="5439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01" w:type="pct"/>
            <w:noWrap w:val="0"/>
            <w:vAlign w:val="center"/>
          </w:tcPr>
          <w:p w14:paraId="29913618">
            <w:pPr>
              <w:spacing w:line="360" w:lineRule="auto"/>
              <w:jc w:val="center"/>
              <w:rPr>
                <w:rFonts w:hint="eastAsia" w:ascii="宋体" w:hAnsi="宋体"/>
                <w:spacing w:val="20"/>
                <w:sz w:val="24"/>
              </w:rPr>
            </w:pPr>
            <w:r>
              <w:rPr>
                <w:rFonts w:hint="eastAsia" w:ascii="宋体" w:hAnsi="宋体"/>
                <w:spacing w:val="20"/>
                <w:sz w:val="24"/>
              </w:rPr>
              <w:t>3</w:t>
            </w:r>
          </w:p>
        </w:tc>
        <w:tc>
          <w:tcPr>
            <w:tcW w:w="723" w:type="pct"/>
            <w:noWrap w:val="0"/>
            <w:vAlign w:val="center"/>
          </w:tcPr>
          <w:p w14:paraId="4CD3C85B">
            <w:pPr>
              <w:spacing w:line="360" w:lineRule="auto"/>
              <w:jc w:val="center"/>
              <w:rPr>
                <w:rFonts w:hint="eastAsia" w:ascii="宋体" w:hAnsi="宋体"/>
                <w:spacing w:val="20"/>
                <w:sz w:val="24"/>
              </w:rPr>
            </w:pPr>
          </w:p>
        </w:tc>
        <w:tc>
          <w:tcPr>
            <w:tcW w:w="480" w:type="pct"/>
            <w:shd w:val="clear" w:color="auto" w:fill="auto"/>
            <w:noWrap w:val="0"/>
            <w:vAlign w:val="center"/>
          </w:tcPr>
          <w:p w14:paraId="7A9E8030">
            <w:pPr>
              <w:spacing w:line="360" w:lineRule="auto"/>
              <w:jc w:val="center"/>
              <w:rPr>
                <w:rFonts w:hint="eastAsia" w:ascii="宋体" w:hAnsi="宋体" w:eastAsia="宋体" w:cs="Times New Roman"/>
                <w:spacing w:val="20"/>
                <w:kern w:val="2"/>
                <w:sz w:val="24"/>
                <w:szCs w:val="21"/>
                <w:lang w:val="en-US" w:eastAsia="zh-CN" w:bidi="ar-SA"/>
              </w:rPr>
            </w:pPr>
          </w:p>
        </w:tc>
        <w:tc>
          <w:tcPr>
            <w:tcW w:w="808" w:type="pct"/>
            <w:noWrap w:val="0"/>
            <w:vAlign w:val="center"/>
          </w:tcPr>
          <w:p w14:paraId="5C17E630">
            <w:pPr>
              <w:spacing w:line="360" w:lineRule="auto"/>
              <w:jc w:val="center"/>
              <w:rPr>
                <w:rFonts w:hint="eastAsia" w:ascii="宋体" w:hAnsi="宋体"/>
                <w:spacing w:val="20"/>
                <w:sz w:val="24"/>
              </w:rPr>
            </w:pPr>
          </w:p>
        </w:tc>
        <w:tc>
          <w:tcPr>
            <w:tcW w:w="321" w:type="pct"/>
            <w:noWrap w:val="0"/>
            <w:vAlign w:val="center"/>
          </w:tcPr>
          <w:p w14:paraId="395AFCF9">
            <w:pPr>
              <w:spacing w:line="360" w:lineRule="auto"/>
              <w:jc w:val="center"/>
              <w:rPr>
                <w:rFonts w:hint="eastAsia" w:ascii="宋体" w:hAnsi="宋体"/>
                <w:spacing w:val="20"/>
                <w:sz w:val="24"/>
              </w:rPr>
            </w:pPr>
          </w:p>
        </w:tc>
        <w:tc>
          <w:tcPr>
            <w:tcW w:w="519" w:type="pct"/>
            <w:noWrap w:val="0"/>
            <w:vAlign w:val="center"/>
          </w:tcPr>
          <w:p w14:paraId="51CF9CC2">
            <w:pPr>
              <w:spacing w:line="360" w:lineRule="auto"/>
              <w:jc w:val="center"/>
              <w:rPr>
                <w:rFonts w:hint="eastAsia" w:ascii="宋体" w:hAnsi="宋体"/>
                <w:spacing w:val="20"/>
                <w:sz w:val="24"/>
              </w:rPr>
            </w:pPr>
          </w:p>
        </w:tc>
        <w:tc>
          <w:tcPr>
            <w:tcW w:w="460" w:type="pct"/>
            <w:noWrap w:val="0"/>
            <w:vAlign w:val="center"/>
          </w:tcPr>
          <w:p w14:paraId="35218BB5">
            <w:pPr>
              <w:spacing w:line="360" w:lineRule="auto"/>
              <w:jc w:val="center"/>
              <w:rPr>
                <w:rFonts w:hint="eastAsia" w:ascii="宋体" w:hAnsi="宋体"/>
                <w:spacing w:val="20"/>
                <w:sz w:val="24"/>
              </w:rPr>
            </w:pPr>
          </w:p>
        </w:tc>
        <w:tc>
          <w:tcPr>
            <w:tcW w:w="658" w:type="pct"/>
            <w:noWrap w:val="0"/>
            <w:vAlign w:val="center"/>
          </w:tcPr>
          <w:p w14:paraId="01359A8A">
            <w:pPr>
              <w:spacing w:line="360" w:lineRule="auto"/>
              <w:jc w:val="center"/>
              <w:rPr>
                <w:rFonts w:hint="eastAsia" w:ascii="宋体" w:hAnsi="宋体"/>
                <w:spacing w:val="20"/>
                <w:sz w:val="24"/>
              </w:rPr>
            </w:pPr>
          </w:p>
        </w:tc>
        <w:tc>
          <w:tcPr>
            <w:tcW w:w="526" w:type="pct"/>
            <w:noWrap w:val="0"/>
            <w:vAlign w:val="center"/>
          </w:tcPr>
          <w:p w14:paraId="5DC9DAAC">
            <w:pPr>
              <w:spacing w:line="360" w:lineRule="auto"/>
              <w:jc w:val="center"/>
              <w:rPr>
                <w:rFonts w:hint="eastAsia" w:ascii="宋体" w:hAnsi="宋体"/>
                <w:spacing w:val="20"/>
                <w:sz w:val="24"/>
              </w:rPr>
            </w:pPr>
          </w:p>
        </w:tc>
      </w:tr>
      <w:tr w14:paraId="300E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01" w:type="pct"/>
            <w:noWrap w:val="0"/>
            <w:vAlign w:val="center"/>
          </w:tcPr>
          <w:p w14:paraId="2D510605">
            <w:pPr>
              <w:spacing w:line="360" w:lineRule="auto"/>
              <w:jc w:val="center"/>
              <w:rPr>
                <w:rFonts w:hint="eastAsia" w:ascii="宋体" w:hAnsi="宋体"/>
                <w:spacing w:val="20"/>
                <w:sz w:val="24"/>
              </w:rPr>
            </w:pPr>
            <w:r>
              <w:rPr>
                <w:rFonts w:hint="eastAsia" w:ascii="宋体" w:hAnsi="宋体"/>
                <w:spacing w:val="20"/>
                <w:sz w:val="24"/>
              </w:rPr>
              <w:t>4</w:t>
            </w:r>
          </w:p>
        </w:tc>
        <w:tc>
          <w:tcPr>
            <w:tcW w:w="723" w:type="pct"/>
            <w:noWrap w:val="0"/>
            <w:vAlign w:val="center"/>
          </w:tcPr>
          <w:p w14:paraId="680D255F">
            <w:pPr>
              <w:spacing w:line="360" w:lineRule="auto"/>
              <w:jc w:val="center"/>
              <w:rPr>
                <w:rFonts w:hint="eastAsia" w:ascii="宋体" w:hAnsi="宋体"/>
                <w:spacing w:val="20"/>
                <w:sz w:val="24"/>
              </w:rPr>
            </w:pPr>
          </w:p>
        </w:tc>
        <w:tc>
          <w:tcPr>
            <w:tcW w:w="480" w:type="pct"/>
            <w:shd w:val="clear" w:color="auto" w:fill="auto"/>
            <w:noWrap w:val="0"/>
            <w:vAlign w:val="center"/>
          </w:tcPr>
          <w:p w14:paraId="6A53CDC2">
            <w:pPr>
              <w:spacing w:line="360" w:lineRule="auto"/>
              <w:jc w:val="center"/>
              <w:rPr>
                <w:rFonts w:hint="eastAsia" w:ascii="宋体" w:hAnsi="宋体" w:eastAsia="宋体" w:cs="Times New Roman"/>
                <w:spacing w:val="20"/>
                <w:kern w:val="2"/>
                <w:sz w:val="24"/>
                <w:szCs w:val="21"/>
                <w:lang w:val="en-US" w:eastAsia="zh-CN" w:bidi="ar-SA"/>
              </w:rPr>
            </w:pPr>
          </w:p>
        </w:tc>
        <w:tc>
          <w:tcPr>
            <w:tcW w:w="808" w:type="pct"/>
            <w:noWrap w:val="0"/>
            <w:vAlign w:val="center"/>
          </w:tcPr>
          <w:p w14:paraId="451711D8">
            <w:pPr>
              <w:spacing w:line="360" w:lineRule="auto"/>
              <w:jc w:val="center"/>
              <w:rPr>
                <w:rFonts w:hint="eastAsia" w:ascii="宋体" w:hAnsi="宋体"/>
                <w:spacing w:val="20"/>
                <w:sz w:val="24"/>
              </w:rPr>
            </w:pPr>
          </w:p>
        </w:tc>
        <w:tc>
          <w:tcPr>
            <w:tcW w:w="321" w:type="pct"/>
            <w:noWrap w:val="0"/>
            <w:vAlign w:val="center"/>
          </w:tcPr>
          <w:p w14:paraId="71D8D25F">
            <w:pPr>
              <w:spacing w:line="360" w:lineRule="auto"/>
              <w:jc w:val="center"/>
              <w:rPr>
                <w:rFonts w:hint="eastAsia" w:ascii="宋体" w:hAnsi="宋体"/>
                <w:spacing w:val="20"/>
                <w:sz w:val="24"/>
              </w:rPr>
            </w:pPr>
          </w:p>
        </w:tc>
        <w:tc>
          <w:tcPr>
            <w:tcW w:w="519" w:type="pct"/>
            <w:noWrap w:val="0"/>
            <w:vAlign w:val="center"/>
          </w:tcPr>
          <w:p w14:paraId="510BFAEB">
            <w:pPr>
              <w:spacing w:line="360" w:lineRule="auto"/>
              <w:jc w:val="center"/>
              <w:rPr>
                <w:rFonts w:hint="eastAsia" w:ascii="宋体" w:hAnsi="宋体"/>
                <w:spacing w:val="20"/>
                <w:sz w:val="24"/>
              </w:rPr>
            </w:pPr>
          </w:p>
        </w:tc>
        <w:tc>
          <w:tcPr>
            <w:tcW w:w="460" w:type="pct"/>
            <w:noWrap w:val="0"/>
            <w:vAlign w:val="center"/>
          </w:tcPr>
          <w:p w14:paraId="76E8E095">
            <w:pPr>
              <w:spacing w:line="360" w:lineRule="auto"/>
              <w:jc w:val="center"/>
              <w:rPr>
                <w:rFonts w:hint="eastAsia" w:ascii="宋体" w:hAnsi="宋体"/>
                <w:spacing w:val="20"/>
                <w:sz w:val="24"/>
              </w:rPr>
            </w:pPr>
          </w:p>
        </w:tc>
        <w:tc>
          <w:tcPr>
            <w:tcW w:w="658" w:type="pct"/>
            <w:noWrap w:val="0"/>
            <w:vAlign w:val="center"/>
          </w:tcPr>
          <w:p w14:paraId="2BE58337">
            <w:pPr>
              <w:spacing w:line="360" w:lineRule="auto"/>
              <w:jc w:val="center"/>
              <w:rPr>
                <w:rFonts w:hint="eastAsia" w:ascii="宋体" w:hAnsi="宋体"/>
                <w:spacing w:val="20"/>
                <w:sz w:val="24"/>
              </w:rPr>
            </w:pPr>
          </w:p>
        </w:tc>
        <w:tc>
          <w:tcPr>
            <w:tcW w:w="526" w:type="pct"/>
            <w:noWrap w:val="0"/>
            <w:vAlign w:val="center"/>
          </w:tcPr>
          <w:p w14:paraId="5CE20BAA">
            <w:pPr>
              <w:spacing w:line="360" w:lineRule="auto"/>
              <w:jc w:val="center"/>
              <w:rPr>
                <w:rFonts w:hint="eastAsia" w:ascii="宋体" w:hAnsi="宋体"/>
                <w:spacing w:val="20"/>
                <w:sz w:val="24"/>
              </w:rPr>
            </w:pPr>
          </w:p>
        </w:tc>
      </w:tr>
      <w:tr w14:paraId="5FC3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01" w:type="pct"/>
            <w:noWrap w:val="0"/>
            <w:vAlign w:val="center"/>
          </w:tcPr>
          <w:p w14:paraId="209FD2FA">
            <w:pPr>
              <w:spacing w:line="360" w:lineRule="auto"/>
              <w:jc w:val="center"/>
              <w:rPr>
                <w:rFonts w:hint="eastAsia" w:ascii="宋体" w:hAnsi="宋体"/>
                <w:spacing w:val="20"/>
                <w:sz w:val="24"/>
              </w:rPr>
            </w:pPr>
            <w:r>
              <w:rPr>
                <w:rFonts w:ascii="宋体" w:hAnsi="宋体"/>
                <w:spacing w:val="20"/>
                <w:sz w:val="24"/>
              </w:rPr>
              <w:t>5</w:t>
            </w:r>
          </w:p>
        </w:tc>
        <w:tc>
          <w:tcPr>
            <w:tcW w:w="723" w:type="pct"/>
            <w:noWrap w:val="0"/>
            <w:vAlign w:val="center"/>
          </w:tcPr>
          <w:p w14:paraId="1341A797">
            <w:pPr>
              <w:spacing w:line="360" w:lineRule="auto"/>
              <w:jc w:val="center"/>
              <w:rPr>
                <w:rFonts w:hint="eastAsia" w:ascii="宋体" w:hAnsi="宋体"/>
                <w:spacing w:val="20"/>
                <w:sz w:val="24"/>
              </w:rPr>
            </w:pPr>
          </w:p>
        </w:tc>
        <w:tc>
          <w:tcPr>
            <w:tcW w:w="480" w:type="pct"/>
            <w:shd w:val="clear" w:color="auto" w:fill="auto"/>
            <w:noWrap w:val="0"/>
            <w:vAlign w:val="center"/>
          </w:tcPr>
          <w:p w14:paraId="7136A0A0">
            <w:pPr>
              <w:spacing w:line="360" w:lineRule="auto"/>
              <w:jc w:val="center"/>
              <w:rPr>
                <w:rFonts w:hint="eastAsia" w:ascii="宋体" w:hAnsi="宋体" w:eastAsia="宋体" w:cs="Times New Roman"/>
                <w:spacing w:val="20"/>
                <w:kern w:val="2"/>
                <w:sz w:val="24"/>
                <w:szCs w:val="21"/>
                <w:lang w:val="en-US" w:eastAsia="zh-CN" w:bidi="ar-SA"/>
              </w:rPr>
            </w:pPr>
          </w:p>
        </w:tc>
        <w:tc>
          <w:tcPr>
            <w:tcW w:w="808" w:type="pct"/>
            <w:noWrap w:val="0"/>
            <w:vAlign w:val="center"/>
          </w:tcPr>
          <w:p w14:paraId="2D9FA3C8">
            <w:pPr>
              <w:spacing w:line="360" w:lineRule="auto"/>
              <w:jc w:val="center"/>
              <w:rPr>
                <w:rFonts w:hint="eastAsia" w:ascii="宋体" w:hAnsi="宋体"/>
                <w:spacing w:val="20"/>
                <w:sz w:val="24"/>
              </w:rPr>
            </w:pPr>
          </w:p>
        </w:tc>
        <w:tc>
          <w:tcPr>
            <w:tcW w:w="321" w:type="pct"/>
            <w:noWrap w:val="0"/>
            <w:vAlign w:val="center"/>
          </w:tcPr>
          <w:p w14:paraId="44324216">
            <w:pPr>
              <w:spacing w:line="360" w:lineRule="auto"/>
              <w:jc w:val="center"/>
              <w:rPr>
                <w:rFonts w:hint="eastAsia" w:ascii="宋体" w:hAnsi="宋体"/>
                <w:spacing w:val="20"/>
                <w:sz w:val="24"/>
              </w:rPr>
            </w:pPr>
          </w:p>
        </w:tc>
        <w:tc>
          <w:tcPr>
            <w:tcW w:w="519" w:type="pct"/>
            <w:noWrap w:val="0"/>
            <w:vAlign w:val="center"/>
          </w:tcPr>
          <w:p w14:paraId="28EE9EFC">
            <w:pPr>
              <w:spacing w:line="360" w:lineRule="auto"/>
              <w:jc w:val="center"/>
              <w:rPr>
                <w:rFonts w:hint="eastAsia" w:ascii="宋体" w:hAnsi="宋体"/>
                <w:spacing w:val="20"/>
                <w:sz w:val="24"/>
              </w:rPr>
            </w:pPr>
          </w:p>
        </w:tc>
        <w:tc>
          <w:tcPr>
            <w:tcW w:w="460" w:type="pct"/>
            <w:noWrap w:val="0"/>
            <w:vAlign w:val="center"/>
          </w:tcPr>
          <w:p w14:paraId="2A39C176">
            <w:pPr>
              <w:spacing w:line="360" w:lineRule="auto"/>
              <w:jc w:val="center"/>
              <w:rPr>
                <w:rFonts w:hint="eastAsia" w:ascii="宋体" w:hAnsi="宋体"/>
                <w:spacing w:val="20"/>
                <w:sz w:val="24"/>
              </w:rPr>
            </w:pPr>
          </w:p>
        </w:tc>
        <w:tc>
          <w:tcPr>
            <w:tcW w:w="658" w:type="pct"/>
            <w:noWrap w:val="0"/>
            <w:vAlign w:val="center"/>
          </w:tcPr>
          <w:p w14:paraId="5172B7AF">
            <w:pPr>
              <w:spacing w:line="360" w:lineRule="auto"/>
              <w:jc w:val="center"/>
              <w:rPr>
                <w:rFonts w:hint="eastAsia" w:ascii="宋体" w:hAnsi="宋体"/>
                <w:spacing w:val="20"/>
                <w:sz w:val="24"/>
              </w:rPr>
            </w:pPr>
          </w:p>
        </w:tc>
        <w:tc>
          <w:tcPr>
            <w:tcW w:w="526" w:type="pct"/>
            <w:noWrap w:val="0"/>
            <w:vAlign w:val="center"/>
          </w:tcPr>
          <w:p w14:paraId="3DC6B659">
            <w:pPr>
              <w:spacing w:line="360" w:lineRule="auto"/>
              <w:jc w:val="center"/>
              <w:rPr>
                <w:rFonts w:hint="eastAsia" w:ascii="宋体" w:hAnsi="宋体"/>
                <w:spacing w:val="20"/>
                <w:sz w:val="24"/>
              </w:rPr>
            </w:pPr>
          </w:p>
        </w:tc>
      </w:tr>
      <w:tr w14:paraId="3C9E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01" w:type="pct"/>
            <w:noWrap w:val="0"/>
            <w:vAlign w:val="center"/>
          </w:tcPr>
          <w:p w14:paraId="0D2A5795">
            <w:pPr>
              <w:spacing w:line="360" w:lineRule="auto"/>
              <w:jc w:val="center"/>
              <w:rPr>
                <w:rFonts w:hint="eastAsia" w:ascii="宋体" w:hAnsi="宋体" w:eastAsia="宋体"/>
                <w:spacing w:val="20"/>
                <w:sz w:val="24"/>
                <w:lang w:eastAsia="zh-CN"/>
              </w:rPr>
            </w:pPr>
            <w:r>
              <w:rPr>
                <w:rFonts w:hint="eastAsia" w:ascii="宋体" w:hAnsi="宋体"/>
                <w:spacing w:val="20"/>
                <w:sz w:val="24"/>
                <w:lang w:eastAsia="zh-CN"/>
              </w:rPr>
              <w:t>……</w:t>
            </w:r>
          </w:p>
        </w:tc>
        <w:tc>
          <w:tcPr>
            <w:tcW w:w="723" w:type="pct"/>
            <w:noWrap w:val="0"/>
            <w:vAlign w:val="center"/>
          </w:tcPr>
          <w:p w14:paraId="25649F1C">
            <w:pPr>
              <w:spacing w:line="360" w:lineRule="auto"/>
              <w:jc w:val="center"/>
              <w:rPr>
                <w:rFonts w:hint="eastAsia" w:ascii="宋体" w:hAnsi="宋体"/>
                <w:spacing w:val="20"/>
                <w:sz w:val="24"/>
              </w:rPr>
            </w:pPr>
          </w:p>
        </w:tc>
        <w:tc>
          <w:tcPr>
            <w:tcW w:w="480" w:type="pct"/>
            <w:shd w:val="clear" w:color="auto" w:fill="auto"/>
            <w:noWrap w:val="0"/>
            <w:vAlign w:val="center"/>
          </w:tcPr>
          <w:p w14:paraId="2849EFC2">
            <w:pPr>
              <w:spacing w:line="360" w:lineRule="auto"/>
              <w:jc w:val="center"/>
              <w:rPr>
                <w:rFonts w:hint="eastAsia" w:ascii="宋体" w:hAnsi="宋体" w:eastAsia="宋体" w:cs="Times New Roman"/>
                <w:spacing w:val="20"/>
                <w:kern w:val="2"/>
                <w:sz w:val="24"/>
                <w:szCs w:val="21"/>
                <w:lang w:val="en-US" w:eastAsia="zh-CN" w:bidi="ar-SA"/>
              </w:rPr>
            </w:pPr>
          </w:p>
        </w:tc>
        <w:tc>
          <w:tcPr>
            <w:tcW w:w="808" w:type="pct"/>
            <w:noWrap w:val="0"/>
            <w:vAlign w:val="center"/>
          </w:tcPr>
          <w:p w14:paraId="0C453B19">
            <w:pPr>
              <w:spacing w:line="360" w:lineRule="auto"/>
              <w:jc w:val="center"/>
              <w:rPr>
                <w:rFonts w:hint="eastAsia" w:ascii="宋体" w:hAnsi="宋体"/>
                <w:spacing w:val="20"/>
                <w:sz w:val="24"/>
              </w:rPr>
            </w:pPr>
          </w:p>
        </w:tc>
        <w:tc>
          <w:tcPr>
            <w:tcW w:w="321" w:type="pct"/>
            <w:noWrap w:val="0"/>
            <w:vAlign w:val="center"/>
          </w:tcPr>
          <w:p w14:paraId="0AAA6D0C">
            <w:pPr>
              <w:spacing w:line="360" w:lineRule="auto"/>
              <w:jc w:val="center"/>
              <w:rPr>
                <w:rFonts w:hint="eastAsia" w:ascii="宋体" w:hAnsi="宋体"/>
                <w:spacing w:val="20"/>
                <w:sz w:val="24"/>
              </w:rPr>
            </w:pPr>
          </w:p>
        </w:tc>
        <w:tc>
          <w:tcPr>
            <w:tcW w:w="519" w:type="pct"/>
            <w:noWrap w:val="0"/>
            <w:vAlign w:val="center"/>
          </w:tcPr>
          <w:p w14:paraId="64BA8560">
            <w:pPr>
              <w:spacing w:line="360" w:lineRule="auto"/>
              <w:jc w:val="center"/>
              <w:rPr>
                <w:rFonts w:hint="eastAsia" w:ascii="宋体" w:hAnsi="宋体"/>
                <w:spacing w:val="20"/>
                <w:sz w:val="24"/>
              </w:rPr>
            </w:pPr>
          </w:p>
        </w:tc>
        <w:tc>
          <w:tcPr>
            <w:tcW w:w="460" w:type="pct"/>
            <w:noWrap w:val="0"/>
            <w:vAlign w:val="center"/>
          </w:tcPr>
          <w:p w14:paraId="1630CED5">
            <w:pPr>
              <w:spacing w:line="360" w:lineRule="auto"/>
              <w:jc w:val="center"/>
              <w:rPr>
                <w:rFonts w:hint="eastAsia" w:ascii="宋体" w:hAnsi="宋体"/>
                <w:spacing w:val="20"/>
                <w:sz w:val="24"/>
              </w:rPr>
            </w:pPr>
          </w:p>
        </w:tc>
        <w:tc>
          <w:tcPr>
            <w:tcW w:w="658" w:type="pct"/>
            <w:noWrap w:val="0"/>
            <w:vAlign w:val="center"/>
          </w:tcPr>
          <w:p w14:paraId="1D54D3C1">
            <w:pPr>
              <w:spacing w:line="360" w:lineRule="auto"/>
              <w:jc w:val="center"/>
              <w:rPr>
                <w:rFonts w:hint="eastAsia" w:ascii="宋体" w:hAnsi="宋体"/>
                <w:spacing w:val="20"/>
                <w:sz w:val="24"/>
              </w:rPr>
            </w:pPr>
          </w:p>
        </w:tc>
        <w:tc>
          <w:tcPr>
            <w:tcW w:w="526" w:type="pct"/>
            <w:noWrap w:val="0"/>
            <w:vAlign w:val="center"/>
          </w:tcPr>
          <w:p w14:paraId="51218E0A">
            <w:pPr>
              <w:spacing w:line="360" w:lineRule="auto"/>
              <w:jc w:val="center"/>
              <w:rPr>
                <w:rFonts w:hint="eastAsia" w:ascii="宋体" w:hAnsi="宋体"/>
                <w:spacing w:val="20"/>
                <w:sz w:val="24"/>
              </w:rPr>
            </w:pPr>
          </w:p>
        </w:tc>
      </w:tr>
      <w:tr w14:paraId="4B48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501" w:type="pct"/>
            <w:noWrap w:val="0"/>
            <w:vAlign w:val="center"/>
          </w:tcPr>
          <w:p w14:paraId="78CEFAD4">
            <w:pPr>
              <w:spacing w:line="360" w:lineRule="auto"/>
              <w:jc w:val="center"/>
              <w:rPr>
                <w:rFonts w:hint="default" w:ascii="宋体" w:hAnsi="宋体"/>
                <w:spacing w:val="20"/>
                <w:sz w:val="24"/>
                <w:lang w:val="en-US" w:eastAsia="zh-CN"/>
              </w:rPr>
            </w:pPr>
            <w:r>
              <w:rPr>
                <w:rFonts w:hint="eastAsia" w:ascii="宋体" w:hAnsi="宋体"/>
                <w:spacing w:val="20"/>
                <w:sz w:val="24"/>
                <w:lang w:val="en-US" w:eastAsia="zh-CN"/>
              </w:rPr>
              <w:t>合计</w:t>
            </w:r>
          </w:p>
        </w:tc>
        <w:tc>
          <w:tcPr>
            <w:tcW w:w="723" w:type="pct"/>
            <w:noWrap w:val="0"/>
            <w:vAlign w:val="center"/>
          </w:tcPr>
          <w:p w14:paraId="2F943CD3">
            <w:pPr>
              <w:spacing w:line="360" w:lineRule="auto"/>
              <w:jc w:val="center"/>
              <w:rPr>
                <w:rFonts w:hint="eastAsia" w:ascii="宋体" w:hAnsi="宋体"/>
                <w:spacing w:val="20"/>
                <w:sz w:val="24"/>
              </w:rPr>
            </w:pPr>
          </w:p>
        </w:tc>
        <w:tc>
          <w:tcPr>
            <w:tcW w:w="480" w:type="pct"/>
            <w:shd w:val="clear" w:color="auto" w:fill="auto"/>
            <w:noWrap w:val="0"/>
            <w:vAlign w:val="center"/>
          </w:tcPr>
          <w:p w14:paraId="4C0D5274">
            <w:pPr>
              <w:spacing w:line="360" w:lineRule="auto"/>
              <w:jc w:val="center"/>
              <w:rPr>
                <w:rFonts w:hint="eastAsia" w:ascii="宋体" w:hAnsi="宋体" w:eastAsia="宋体" w:cs="Times New Roman"/>
                <w:spacing w:val="20"/>
                <w:kern w:val="2"/>
                <w:sz w:val="24"/>
                <w:szCs w:val="21"/>
                <w:lang w:val="en-US" w:eastAsia="zh-CN" w:bidi="ar-SA"/>
              </w:rPr>
            </w:pPr>
          </w:p>
        </w:tc>
        <w:tc>
          <w:tcPr>
            <w:tcW w:w="808" w:type="pct"/>
            <w:noWrap w:val="0"/>
            <w:vAlign w:val="center"/>
          </w:tcPr>
          <w:p w14:paraId="0D9B2C0D">
            <w:pPr>
              <w:spacing w:line="360" w:lineRule="auto"/>
              <w:jc w:val="center"/>
              <w:rPr>
                <w:rFonts w:hint="eastAsia" w:ascii="宋体" w:hAnsi="宋体"/>
                <w:spacing w:val="20"/>
                <w:sz w:val="24"/>
              </w:rPr>
            </w:pPr>
          </w:p>
        </w:tc>
        <w:tc>
          <w:tcPr>
            <w:tcW w:w="321" w:type="pct"/>
            <w:noWrap w:val="0"/>
            <w:vAlign w:val="center"/>
          </w:tcPr>
          <w:p w14:paraId="3254CA81">
            <w:pPr>
              <w:spacing w:line="360" w:lineRule="auto"/>
              <w:jc w:val="center"/>
              <w:rPr>
                <w:rFonts w:hint="eastAsia" w:ascii="宋体" w:hAnsi="宋体"/>
                <w:spacing w:val="20"/>
                <w:sz w:val="24"/>
              </w:rPr>
            </w:pPr>
          </w:p>
        </w:tc>
        <w:tc>
          <w:tcPr>
            <w:tcW w:w="519" w:type="pct"/>
            <w:noWrap w:val="0"/>
            <w:vAlign w:val="center"/>
          </w:tcPr>
          <w:p w14:paraId="7AE06D9A">
            <w:pPr>
              <w:spacing w:line="360" w:lineRule="auto"/>
              <w:jc w:val="center"/>
              <w:rPr>
                <w:rFonts w:hint="eastAsia" w:ascii="宋体" w:hAnsi="宋体"/>
                <w:spacing w:val="20"/>
                <w:sz w:val="24"/>
              </w:rPr>
            </w:pPr>
          </w:p>
        </w:tc>
        <w:tc>
          <w:tcPr>
            <w:tcW w:w="460" w:type="pct"/>
            <w:noWrap w:val="0"/>
            <w:vAlign w:val="center"/>
          </w:tcPr>
          <w:p w14:paraId="3E01FD67">
            <w:pPr>
              <w:spacing w:line="360" w:lineRule="auto"/>
              <w:jc w:val="center"/>
              <w:rPr>
                <w:rFonts w:hint="eastAsia" w:ascii="宋体" w:hAnsi="宋体"/>
                <w:spacing w:val="20"/>
                <w:sz w:val="24"/>
              </w:rPr>
            </w:pPr>
          </w:p>
        </w:tc>
        <w:tc>
          <w:tcPr>
            <w:tcW w:w="658" w:type="pct"/>
            <w:noWrap w:val="0"/>
            <w:vAlign w:val="center"/>
          </w:tcPr>
          <w:p w14:paraId="782F6E76">
            <w:pPr>
              <w:spacing w:line="360" w:lineRule="auto"/>
              <w:jc w:val="center"/>
              <w:rPr>
                <w:rFonts w:hint="eastAsia" w:ascii="宋体" w:hAnsi="宋体"/>
                <w:spacing w:val="20"/>
                <w:sz w:val="24"/>
              </w:rPr>
            </w:pPr>
          </w:p>
        </w:tc>
        <w:tc>
          <w:tcPr>
            <w:tcW w:w="526" w:type="pct"/>
            <w:noWrap w:val="0"/>
            <w:vAlign w:val="center"/>
          </w:tcPr>
          <w:p w14:paraId="2E2573EE">
            <w:pPr>
              <w:spacing w:line="360" w:lineRule="auto"/>
              <w:jc w:val="center"/>
              <w:rPr>
                <w:rFonts w:hint="eastAsia" w:ascii="宋体" w:hAnsi="宋体"/>
                <w:spacing w:val="20"/>
                <w:sz w:val="24"/>
              </w:rPr>
            </w:pPr>
          </w:p>
        </w:tc>
      </w:tr>
    </w:tbl>
    <w:p w14:paraId="6D85920B">
      <w:pPr>
        <w:bidi w:val="0"/>
        <w:spacing w:line="360" w:lineRule="auto"/>
        <w:rPr>
          <w:rFonts w:hint="eastAsia"/>
          <w:sz w:val="24"/>
          <w:szCs w:val="24"/>
        </w:rPr>
      </w:pPr>
    </w:p>
    <w:p w14:paraId="70079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注：1.所有价格以人民币表示。</w:t>
      </w:r>
      <w:bookmarkEnd w:id="629"/>
      <w:bookmarkEnd w:id="630"/>
      <w:bookmarkEnd w:id="631"/>
    </w:p>
    <w:p w14:paraId="13143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632" w:name="_Toc14556"/>
      <w:bookmarkStart w:id="633" w:name="_Toc992"/>
      <w:bookmarkStart w:id="634" w:name="_Toc12514"/>
      <w:r>
        <w:rPr>
          <w:rFonts w:hint="eastAsia"/>
          <w:sz w:val="24"/>
          <w:szCs w:val="24"/>
          <w:lang w:val="en-US" w:eastAsia="zh-CN"/>
        </w:rPr>
        <w:t>2.</w:t>
      </w:r>
      <w:r>
        <w:rPr>
          <w:rFonts w:hint="eastAsia"/>
          <w:sz w:val="24"/>
          <w:szCs w:val="24"/>
        </w:rPr>
        <w:t>若总价与单价不符，以单价为准。</w:t>
      </w:r>
      <w:bookmarkEnd w:id="632"/>
      <w:bookmarkEnd w:id="633"/>
      <w:bookmarkEnd w:id="634"/>
    </w:p>
    <w:p w14:paraId="13A5A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3.供</w:t>
      </w:r>
      <w:r>
        <w:rPr>
          <w:rFonts w:hint="eastAsia"/>
          <w:sz w:val="24"/>
          <w:szCs w:val="24"/>
        </w:rPr>
        <w:t>应商根据需要可在本表中自行增加更为详细的报价说明。供应商所报</w:t>
      </w:r>
      <w:r>
        <w:rPr>
          <w:rFonts w:hint="eastAsia"/>
          <w:sz w:val="24"/>
          <w:szCs w:val="24"/>
          <w:lang w:val="en-US" w:eastAsia="zh-CN"/>
        </w:rPr>
        <w:t>价格</w:t>
      </w:r>
      <w:r>
        <w:rPr>
          <w:rFonts w:hint="eastAsia"/>
          <w:sz w:val="24"/>
          <w:szCs w:val="24"/>
        </w:rPr>
        <w:t>为货物送达采购人指定地点，经采购人验收合格并交货完毕所有可能发生的费用，包括设备货款、标准附件、备品备件、专用工具、人工费、服务费、包装费、运输费、装卸费、保险费、采购保管、安装调试费、设备维护、检测验收费、税金、培训费、利润、售后服务等各项与此项目有关的一切费用。</w:t>
      </w:r>
    </w:p>
    <w:p w14:paraId="70AFC7E6">
      <w:pPr>
        <w:rPr>
          <w:rFonts w:ascii="宋体" w:hAnsi="宋体" w:cs="宋体"/>
          <w:color w:val="auto"/>
          <w:highlight w:val="none"/>
        </w:rPr>
      </w:pPr>
    </w:p>
    <w:p w14:paraId="651A69D7">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bookmarkStart w:id="635" w:name="_Toc312141145"/>
      <w:bookmarkEnd w:id="635"/>
      <w:bookmarkStart w:id="636" w:name="_Toc395626672"/>
      <w:bookmarkEnd w:id="636"/>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53579979">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43A0B7F6">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674C069D">
      <w:pPr>
        <w:spacing w:line="480" w:lineRule="atLeast"/>
        <w:jc w:val="right"/>
        <w:rPr>
          <w:rFonts w:ascii="宋体" w:hAnsi="宋体" w:cs="黑体"/>
          <w:color w:val="auto"/>
          <w:sz w:val="30"/>
          <w:szCs w:val="30"/>
          <w:highlight w:val="none"/>
        </w:rPr>
      </w:pPr>
    </w:p>
    <w:p w14:paraId="702085C0">
      <w:pPr>
        <w:spacing w:line="480" w:lineRule="auto"/>
        <w:jc w:val="center"/>
        <w:rPr>
          <w:rFonts w:ascii="宋体" w:hAnsi="宋体" w:cs="宋体"/>
          <w:color w:val="auto"/>
          <w:sz w:val="24"/>
          <w:szCs w:val="24"/>
          <w:highlight w:val="none"/>
        </w:rPr>
      </w:pPr>
    </w:p>
    <w:p w14:paraId="46D984CD">
      <w:pPr>
        <w:rPr>
          <w:rFonts w:hint="eastAsia" w:ascii="宋体" w:hAnsi="宋体" w:cs="宋体"/>
          <w:b/>
          <w:sz w:val="32"/>
          <w:szCs w:val="32"/>
          <w:highlight w:val="none"/>
        </w:rPr>
      </w:pPr>
      <w:bookmarkStart w:id="637" w:name="_Toc296602608"/>
      <w:bookmarkStart w:id="638" w:name="_Toc152045795"/>
      <w:bookmarkStart w:id="639" w:name="_Toc144974863"/>
      <w:bookmarkStart w:id="640" w:name="_Toc179632815"/>
      <w:bookmarkStart w:id="641" w:name="_Toc246997106"/>
      <w:bookmarkStart w:id="642" w:name="_Toc152042584"/>
      <w:bookmarkStart w:id="643" w:name="_Toc246996363"/>
      <w:bookmarkStart w:id="644" w:name="_Toc247085881"/>
      <w:r>
        <w:rPr>
          <w:rFonts w:hint="eastAsia" w:ascii="宋体" w:hAnsi="宋体" w:cs="宋体"/>
          <w:b/>
          <w:sz w:val="32"/>
          <w:szCs w:val="32"/>
          <w:highlight w:val="none"/>
        </w:rPr>
        <w:br w:type="page"/>
      </w:r>
    </w:p>
    <w:p w14:paraId="05D5F3B8">
      <w:pPr>
        <w:pStyle w:val="4"/>
        <w:rPr>
          <w:rFonts w:hint="eastAsia" w:ascii="宋体" w:hAnsi="宋体" w:eastAsia="宋体" w:cs="宋体"/>
          <w:color w:val="auto"/>
          <w:highlight w:val="none"/>
          <w:lang w:val="en-US" w:eastAsia="zh-CN"/>
        </w:rPr>
      </w:pPr>
      <w:bookmarkStart w:id="645" w:name="_Toc17247"/>
      <w:r>
        <w:rPr>
          <w:rFonts w:hint="eastAsia" w:ascii="宋体" w:hAnsi="宋体" w:eastAsia="宋体" w:cs="宋体"/>
          <w:color w:val="auto"/>
          <w:highlight w:val="none"/>
          <w:lang w:val="en-US" w:eastAsia="zh-CN"/>
        </w:rPr>
        <w:t>七、</w:t>
      </w:r>
      <w:bookmarkStart w:id="646" w:name="_Toc77586873"/>
      <w:bookmarkStart w:id="647" w:name="_Toc77586971"/>
      <w:r>
        <w:rPr>
          <w:rFonts w:hint="eastAsia" w:ascii="宋体" w:hAnsi="宋体" w:eastAsia="宋体" w:cs="宋体"/>
          <w:color w:val="auto"/>
          <w:highlight w:val="none"/>
          <w:lang w:val="en-US" w:eastAsia="zh-CN"/>
        </w:rPr>
        <w:t>技术参数偏离表</w:t>
      </w:r>
      <w:bookmarkEnd w:id="645"/>
    </w:p>
    <w:tbl>
      <w:tblPr>
        <w:tblStyle w:val="24"/>
        <w:tblW w:w="4998" w:type="pct"/>
        <w:jc w:val="center"/>
        <w:tblLayout w:type="autofit"/>
        <w:tblCellMar>
          <w:top w:w="0" w:type="dxa"/>
          <w:left w:w="108" w:type="dxa"/>
          <w:bottom w:w="0" w:type="dxa"/>
          <w:right w:w="108" w:type="dxa"/>
        </w:tblCellMar>
      </w:tblPr>
      <w:tblGrid>
        <w:gridCol w:w="909"/>
        <w:gridCol w:w="1438"/>
        <w:gridCol w:w="2332"/>
        <w:gridCol w:w="2122"/>
        <w:gridCol w:w="2214"/>
        <w:gridCol w:w="1403"/>
      </w:tblGrid>
      <w:tr w14:paraId="5FF28EDE">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4B0C6C4B">
            <w:pPr>
              <w:spacing w:line="480" w:lineRule="exact"/>
              <w:jc w:val="center"/>
              <w:rPr>
                <w:rFonts w:ascii="宋体" w:hAnsi="宋体" w:cs="宋体"/>
                <w:color w:val="auto"/>
                <w:highlight w:val="none"/>
              </w:rPr>
            </w:pPr>
            <w:r>
              <w:rPr>
                <w:rFonts w:hint="eastAsia" w:ascii="宋体" w:hAnsi="宋体" w:cs="宋体"/>
                <w:color w:val="auto"/>
                <w:highlight w:val="none"/>
              </w:rPr>
              <w:t>序号</w:t>
            </w:r>
          </w:p>
        </w:tc>
        <w:tc>
          <w:tcPr>
            <w:tcW w:w="690" w:type="pct"/>
            <w:tcBorders>
              <w:top w:val="single" w:color="auto" w:sz="4" w:space="0"/>
              <w:left w:val="nil"/>
              <w:bottom w:val="single" w:color="auto" w:sz="4" w:space="0"/>
              <w:right w:val="single" w:color="auto" w:sz="4" w:space="0"/>
            </w:tcBorders>
            <w:noWrap w:val="0"/>
            <w:vAlign w:val="top"/>
          </w:tcPr>
          <w:p w14:paraId="39447795">
            <w:pPr>
              <w:spacing w:line="480" w:lineRule="exact"/>
              <w:jc w:val="center"/>
              <w:rPr>
                <w:rFonts w:ascii="宋体" w:hAnsi="宋体" w:cs="宋体"/>
                <w:color w:val="auto"/>
                <w:highlight w:val="none"/>
              </w:rPr>
            </w:pPr>
            <w:r>
              <w:rPr>
                <w:rFonts w:hint="eastAsia" w:ascii="宋体" w:hAnsi="宋体" w:cs="宋体"/>
                <w:color w:val="auto"/>
                <w:highlight w:val="none"/>
              </w:rPr>
              <w:t>产品名称</w:t>
            </w:r>
          </w:p>
        </w:tc>
        <w:tc>
          <w:tcPr>
            <w:tcW w:w="1119" w:type="pct"/>
            <w:tcBorders>
              <w:top w:val="single" w:color="auto" w:sz="4" w:space="0"/>
              <w:left w:val="nil"/>
              <w:bottom w:val="single" w:color="auto" w:sz="4" w:space="0"/>
              <w:right w:val="single" w:color="auto" w:sz="4" w:space="0"/>
            </w:tcBorders>
            <w:noWrap w:val="0"/>
            <w:vAlign w:val="top"/>
          </w:tcPr>
          <w:p w14:paraId="076BDE0C">
            <w:pPr>
              <w:spacing w:line="480" w:lineRule="exact"/>
              <w:jc w:val="center"/>
              <w:rPr>
                <w:rFonts w:ascii="宋体" w:hAnsi="宋体" w:cs="宋体"/>
                <w:color w:val="auto"/>
                <w:highlight w:val="none"/>
              </w:rPr>
            </w:pPr>
            <w:r>
              <w:rPr>
                <w:rFonts w:hint="eastAsia" w:ascii="宋体" w:hAnsi="宋体" w:cs="宋体"/>
                <w:color w:val="auto"/>
                <w:highlight w:val="none"/>
              </w:rPr>
              <w:t>招标技术参数要求</w:t>
            </w:r>
          </w:p>
        </w:tc>
        <w:tc>
          <w:tcPr>
            <w:tcW w:w="1018" w:type="pct"/>
            <w:tcBorders>
              <w:top w:val="single" w:color="auto" w:sz="4" w:space="0"/>
              <w:left w:val="nil"/>
              <w:bottom w:val="single" w:color="auto" w:sz="4" w:space="0"/>
              <w:right w:val="single" w:color="auto" w:sz="4" w:space="0"/>
            </w:tcBorders>
            <w:noWrap w:val="0"/>
            <w:vAlign w:val="top"/>
          </w:tcPr>
          <w:p w14:paraId="24C0FAB9">
            <w:pPr>
              <w:spacing w:line="480" w:lineRule="exact"/>
              <w:jc w:val="center"/>
              <w:rPr>
                <w:rFonts w:ascii="宋体" w:hAnsi="宋体" w:cs="宋体"/>
                <w:color w:val="auto"/>
                <w:highlight w:val="none"/>
              </w:rPr>
            </w:pPr>
            <w:r>
              <w:rPr>
                <w:rFonts w:hint="eastAsia" w:ascii="宋体" w:hAnsi="宋体" w:cs="宋体"/>
                <w:color w:val="auto"/>
                <w:highlight w:val="none"/>
              </w:rPr>
              <w:t>投标品牌和型号</w:t>
            </w:r>
          </w:p>
        </w:tc>
        <w:tc>
          <w:tcPr>
            <w:tcW w:w="1062" w:type="pct"/>
            <w:tcBorders>
              <w:top w:val="single" w:color="auto" w:sz="4" w:space="0"/>
              <w:left w:val="nil"/>
              <w:bottom w:val="single" w:color="auto" w:sz="4" w:space="0"/>
              <w:right w:val="single" w:color="auto" w:sz="4" w:space="0"/>
            </w:tcBorders>
            <w:noWrap w:val="0"/>
            <w:vAlign w:val="top"/>
          </w:tcPr>
          <w:p w14:paraId="02F3AD45">
            <w:pPr>
              <w:spacing w:line="480" w:lineRule="exact"/>
              <w:jc w:val="center"/>
              <w:rPr>
                <w:rFonts w:ascii="宋体" w:hAnsi="宋体" w:cs="宋体"/>
                <w:color w:val="auto"/>
                <w:highlight w:val="none"/>
              </w:rPr>
            </w:pPr>
            <w:r>
              <w:rPr>
                <w:rFonts w:hint="eastAsia" w:ascii="宋体" w:hAnsi="宋体" w:cs="宋体"/>
                <w:color w:val="auto"/>
                <w:highlight w:val="none"/>
              </w:rPr>
              <w:t>投标产品技术参数</w:t>
            </w:r>
          </w:p>
        </w:tc>
        <w:tc>
          <w:tcPr>
            <w:tcW w:w="673" w:type="pct"/>
            <w:tcBorders>
              <w:top w:val="single" w:color="auto" w:sz="4" w:space="0"/>
              <w:left w:val="nil"/>
              <w:bottom w:val="single" w:color="auto" w:sz="4" w:space="0"/>
              <w:right w:val="single" w:color="auto" w:sz="4" w:space="0"/>
            </w:tcBorders>
            <w:noWrap w:val="0"/>
            <w:vAlign w:val="top"/>
          </w:tcPr>
          <w:p w14:paraId="5249B103">
            <w:pPr>
              <w:spacing w:line="480" w:lineRule="exact"/>
              <w:jc w:val="center"/>
              <w:rPr>
                <w:rFonts w:ascii="宋体" w:hAnsi="宋体" w:cs="宋体"/>
                <w:color w:val="auto"/>
                <w:highlight w:val="none"/>
              </w:rPr>
            </w:pPr>
            <w:r>
              <w:rPr>
                <w:rFonts w:hint="eastAsia" w:ascii="宋体" w:hAnsi="宋体" w:cs="宋体"/>
                <w:color w:val="auto"/>
                <w:highlight w:val="none"/>
              </w:rPr>
              <w:t>偏离说明</w:t>
            </w:r>
          </w:p>
        </w:tc>
      </w:tr>
      <w:tr w14:paraId="32C966F9">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318049E3">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2ED4277B">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36C4E802">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60A31DB4">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47A4F8E8">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03076FFB">
            <w:pPr>
              <w:spacing w:line="480" w:lineRule="exact"/>
              <w:rPr>
                <w:rFonts w:ascii="宋体" w:hAnsi="宋体" w:cs="宋体"/>
                <w:color w:val="auto"/>
                <w:sz w:val="24"/>
                <w:szCs w:val="24"/>
                <w:highlight w:val="none"/>
              </w:rPr>
            </w:pPr>
          </w:p>
        </w:tc>
      </w:tr>
      <w:tr w14:paraId="1E11F72E">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17612CE0">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6F397107">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32AA2B05">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4F6A3474">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43E16CBA">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131C88B6">
            <w:pPr>
              <w:spacing w:line="480" w:lineRule="exact"/>
              <w:rPr>
                <w:rFonts w:ascii="宋体" w:hAnsi="宋体" w:cs="宋体"/>
                <w:color w:val="auto"/>
                <w:sz w:val="24"/>
                <w:szCs w:val="24"/>
                <w:highlight w:val="none"/>
              </w:rPr>
            </w:pPr>
          </w:p>
        </w:tc>
      </w:tr>
      <w:tr w14:paraId="6063E4C3">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4B44B2FA">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40F26366">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03125917">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5EA2AEA9">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61236140">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7330C19C">
            <w:pPr>
              <w:spacing w:line="480" w:lineRule="exact"/>
              <w:rPr>
                <w:rFonts w:ascii="宋体" w:hAnsi="宋体" w:cs="宋体"/>
                <w:color w:val="auto"/>
                <w:sz w:val="24"/>
                <w:szCs w:val="24"/>
                <w:highlight w:val="none"/>
              </w:rPr>
            </w:pPr>
          </w:p>
        </w:tc>
      </w:tr>
      <w:tr w14:paraId="47E7CC72">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755DF5F6">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6374B78E">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0B6E7592">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4C1E8264">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7652BEA6">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127DD75D">
            <w:pPr>
              <w:spacing w:line="480" w:lineRule="exact"/>
              <w:rPr>
                <w:rFonts w:ascii="宋体" w:hAnsi="宋体" w:cs="宋体"/>
                <w:color w:val="auto"/>
                <w:sz w:val="24"/>
                <w:szCs w:val="24"/>
                <w:highlight w:val="none"/>
              </w:rPr>
            </w:pPr>
          </w:p>
        </w:tc>
      </w:tr>
      <w:tr w14:paraId="738CEA97">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1B0B053E">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7B3133C6">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4E9F013F">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7D674469">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38D9ACC3">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691CA7FE">
            <w:pPr>
              <w:spacing w:line="480" w:lineRule="exact"/>
              <w:rPr>
                <w:rFonts w:ascii="宋体" w:hAnsi="宋体" w:cs="宋体"/>
                <w:color w:val="auto"/>
                <w:sz w:val="24"/>
                <w:szCs w:val="24"/>
                <w:highlight w:val="none"/>
              </w:rPr>
            </w:pPr>
          </w:p>
        </w:tc>
      </w:tr>
      <w:tr w14:paraId="46BC44A2">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63908EC0">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52762DAC">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7FE596DA">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64E646F8">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1918A369">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30723088">
            <w:pPr>
              <w:spacing w:line="480" w:lineRule="exact"/>
              <w:rPr>
                <w:rFonts w:ascii="宋体" w:hAnsi="宋体" w:cs="宋体"/>
                <w:color w:val="auto"/>
                <w:sz w:val="24"/>
                <w:szCs w:val="24"/>
                <w:highlight w:val="none"/>
              </w:rPr>
            </w:pPr>
          </w:p>
        </w:tc>
      </w:tr>
      <w:tr w14:paraId="3E345A97">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0B10A5C7">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0217C001">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3C62550F">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7AB87A9A">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71462C2E">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65B9BEB6">
            <w:pPr>
              <w:spacing w:line="480" w:lineRule="exact"/>
              <w:rPr>
                <w:rFonts w:ascii="宋体" w:hAnsi="宋体" w:cs="宋体"/>
                <w:color w:val="auto"/>
                <w:sz w:val="24"/>
                <w:szCs w:val="24"/>
                <w:highlight w:val="none"/>
              </w:rPr>
            </w:pPr>
          </w:p>
        </w:tc>
      </w:tr>
      <w:tr w14:paraId="67D01FBC">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5954A1D9">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57C44D70">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6D941613">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3D347BA1">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6A816ADF">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4083D2CB">
            <w:pPr>
              <w:spacing w:line="480" w:lineRule="exact"/>
              <w:rPr>
                <w:rFonts w:ascii="宋体" w:hAnsi="宋体" w:cs="宋体"/>
                <w:color w:val="auto"/>
                <w:sz w:val="24"/>
                <w:szCs w:val="24"/>
                <w:highlight w:val="none"/>
              </w:rPr>
            </w:pPr>
          </w:p>
        </w:tc>
      </w:tr>
      <w:tr w14:paraId="5A53C426">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2B8912F2">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5DDDD342">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1E90F9BE">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06F766AD">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7CF888BF">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481ED5F0">
            <w:pPr>
              <w:spacing w:line="480" w:lineRule="exact"/>
              <w:rPr>
                <w:rFonts w:ascii="宋体" w:hAnsi="宋体" w:cs="宋体"/>
                <w:color w:val="auto"/>
                <w:sz w:val="24"/>
                <w:szCs w:val="24"/>
                <w:highlight w:val="none"/>
              </w:rPr>
            </w:pPr>
          </w:p>
        </w:tc>
      </w:tr>
      <w:tr w14:paraId="7FAF52CB">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5A515CA2">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6E98DB89">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18E6C6FD">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2A3CBCBB">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7EA9F6AC">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567D3D9E">
            <w:pPr>
              <w:spacing w:line="480" w:lineRule="exact"/>
              <w:rPr>
                <w:rFonts w:ascii="宋体" w:hAnsi="宋体" w:cs="宋体"/>
                <w:color w:val="auto"/>
                <w:sz w:val="24"/>
                <w:szCs w:val="24"/>
                <w:highlight w:val="none"/>
              </w:rPr>
            </w:pPr>
          </w:p>
        </w:tc>
      </w:tr>
      <w:tr w14:paraId="4632E909">
        <w:tblPrEx>
          <w:tblCellMar>
            <w:top w:w="0" w:type="dxa"/>
            <w:left w:w="108" w:type="dxa"/>
            <w:bottom w:w="0" w:type="dxa"/>
            <w:right w:w="108" w:type="dxa"/>
          </w:tblCellMar>
        </w:tblPrEx>
        <w:trPr>
          <w:jc w:val="center"/>
        </w:trPr>
        <w:tc>
          <w:tcPr>
            <w:tcW w:w="436" w:type="pct"/>
            <w:tcBorders>
              <w:top w:val="single" w:color="auto" w:sz="4" w:space="0"/>
              <w:left w:val="single" w:color="auto" w:sz="4" w:space="0"/>
              <w:bottom w:val="single" w:color="auto" w:sz="4" w:space="0"/>
              <w:right w:val="single" w:color="auto" w:sz="4" w:space="0"/>
            </w:tcBorders>
            <w:noWrap w:val="0"/>
            <w:vAlign w:val="top"/>
          </w:tcPr>
          <w:p w14:paraId="7205F49A">
            <w:pPr>
              <w:spacing w:line="480" w:lineRule="exact"/>
              <w:rPr>
                <w:rFonts w:ascii="宋体" w:hAnsi="宋体" w:cs="宋体"/>
                <w:color w:val="auto"/>
                <w:sz w:val="24"/>
                <w:szCs w:val="24"/>
                <w:highlight w:val="none"/>
              </w:rPr>
            </w:pPr>
          </w:p>
        </w:tc>
        <w:tc>
          <w:tcPr>
            <w:tcW w:w="690" w:type="pct"/>
            <w:tcBorders>
              <w:top w:val="single" w:color="auto" w:sz="4" w:space="0"/>
              <w:left w:val="nil"/>
              <w:bottom w:val="single" w:color="auto" w:sz="4" w:space="0"/>
              <w:right w:val="single" w:color="auto" w:sz="4" w:space="0"/>
            </w:tcBorders>
            <w:noWrap w:val="0"/>
            <w:vAlign w:val="top"/>
          </w:tcPr>
          <w:p w14:paraId="6E365053">
            <w:pPr>
              <w:spacing w:line="480" w:lineRule="exact"/>
              <w:rPr>
                <w:rFonts w:ascii="宋体" w:hAnsi="宋体" w:cs="宋体"/>
                <w:color w:val="auto"/>
                <w:sz w:val="24"/>
                <w:szCs w:val="24"/>
                <w:highlight w:val="none"/>
              </w:rPr>
            </w:pPr>
          </w:p>
        </w:tc>
        <w:tc>
          <w:tcPr>
            <w:tcW w:w="1119" w:type="pct"/>
            <w:tcBorders>
              <w:top w:val="single" w:color="auto" w:sz="4" w:space="0"/>
              <w:left w:val="nil"/>
              <w:bottom w:val="single" w:color="auto" w:sz="4" w:space="0"/>
              <w:right w:val="single" w:color="auto" w:sz="4" w:space="0"/>
            </w:tcBorders>
            <w:noWrap w:val="0"/>
            <w:vAlign w:val="top"/>
          </w:tcPr>
          <w:p w14:paraId="1F7BC1A5">
            <w:pPr>
              <w:spacing w:line="480" w:lineRule="exact"/>
              <w:rPr>
                <w:rFonts w:ascii="宋体" w:hAnsi="宋体" w:cs="宋体"/>
                <w:color w:val="auto"/>
                <w:sz w:val="24"/>
                <w:szCs w:val="24"/>
                <w:highlight w:val="none"/>
              </w:rPr>
            </w:pPr>
          </w:p>
        </w:tc>
        <w:tc>
          <w:tcPr>
            <w:tcW w:w="1018" w:type="pct"/>
            <w:tcBorders>
              <w:top w:val="single" w:color="auto" w:sz="4" w:space="0"/>
              <w:left w:val="nil"/>
              <w:bottom w:val="single" w:color="auto" w:sz="4" w:space="0"/>
              <w:right w:val="single" w:color="auto" w:sz="4" w:space="0"/>
            </w:tcBorders>
            <w:noWrap w:val="0"/>
            <w:vAlign w:val="top"/>
          </w:tcPr>
          <w:p w14:paraId="355CF7E2">
            <w:pPr>
              <w:spacing w:line="480" w:lineRule="exact"/>
              <w:rPr>
                <w:rFonts w:ascii="宋体" w:hAnsi="宋体" w:cs="宋体"/>
                <w:color w:val="auto"/>
                <w:sz w:val="24"/>
                <w:szCs w:val="24"/>
                <w:highlight w:val="none"/>
              </w:rPr>
            </w:pPr>
          </w:p>
        </w:tc>
        <w:tc>
          <w:tcPr>
            <w:tcW w:w="1062" w:type="pct"/>
            <w:tcBorders>
              <w:top w:val="single" w:color="auto" w:sz="4" w:space="0"/>
              <w:left w:val="nil"/>
              <w:bottom w:val="single" w:color="auto" w:sz="4" w:space="0"/>
              <w:right w:val="single" w:color="auto" w:sz="4" w:space="0"/>
            </w:tcBorders>
            <w:noWrap w:val="0"/>
            <w:vAlign w:val="top"/>
          </w:tcPr>
          <w:p w14:paraId="316245E7">
            <w:pPr>
              <w:spacing w:line="480" w:lineRule="exact"/>
              <w:rPr>
                <w:rFonts w:ascii="宋体" w:hAnsi="宋体" w:cs="宋体"/>
                <w:color w:val="auto"/>
                <w:sz w:val="24"/>
                <w:szCs w:val="24"/>
                <w:highlight w:val="none"/>
              </w:rPr>
            </w:pPr>
          </w:p>
        </w:tc>
        <w:tc>
          <w:tcPr>
            <w:tcW w:w="673" w:type="pct"/>
            <w:tcBorders>
              <w:top w:val="single" w:color="auto" w:sz="4" w:space="0"/>
              <w:left w:val="nil"/>
              <w:bottom w:val="single" w:color="auto" w:sz="4" w:space="0"/>
              <w:right w:val="single" w:color="auto" w:sz="4" w:space="0"/>
            </w:tcBorders>
            <w:noWrap w:val="0"/>
            <w:vAlign w:val="top"/>
          </w:tcPr>
          <w:p w14:paraId="73536977">
            <w:pPr>
              <w:spacing w:line="480" w:lineRule="exact"/>
              <w:rPr>
                <w:rFonts w:ascii="宋体" w:hAnsi="宋体" w:cs="宋体"/>
                <w:color w:val="auto"/>
                <w:sz w:val="24"/>
                <w:szCs w:val="24"/>
                <w:highlight w:val="none"/>
              </w:rPr>
            </w:pPr>
          </w:p>
        </w:tc>
      </w:tr>
    </w:tbl>
    <w:p w14:paraId="7455D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供应商应对照招标文件技术规格要求，反映所提供货物对招标文件的技术规格要求的全部正/负偏离（优于招标文件要求的为正偏离、低于招标文件要求得为负偏离）情况。未在本表中做出偏离说明的项目，视为与招标文件要求一致；在本表中做出偏离说明的项目，供应商必须提供所投设备的具体参数值，并在</w:t>
      </w:r>
      <w:r>
        <w:rPr>
          <w:rFonts w:hint="eastAsia" w:ascii="宋体" w:hAnsi="宋体" w:cs="宋体"/>
          <w:color w:val="auto"/>
          <w:sz w:val="24"/>
          <w:szCs w:val="24"/>
          <w:highlight w:val="none"/>
          <w:lang w:val="en-US" w:eastAsia="zh-CN"/>
        </w:rPr>
        <w:t>关键</w:t>
      </w:r>
      <w:r>
        <w:rPr>
          <w:rFonts w:hint="eastAsia" w:ascii="宋体" w:hAnsi="宋体" w:cs="宋体"/>
          <w:color w:val="auto"/>
          <w:sz w:val="24"/>
          <w:szCs w:val="24"/>
          <w:highlight w:val="none"/>
        </w:rPr>
        <w:t>参数（有★标记的为</w:t>
      </w:r>
      <w:r>
        <w:rPr>
          <w:rFonts w:hint="eastAsia" w:ascii="宋体" w:hAnsi="宋体" w:cs="宋体"/>
          <w:color w:val="auto"/>
          <w:sz w:val="24"/>
          <w:szCs w:val="24"/>
          <w:highlight w:val="none"/>
          <w:lang w:val="en-US" w:eastAsia="zh-CN"/>
        </w:rPr>
        <w:t>关键</w:t>
      </w:r>
      <w:r>
        <w:rPr>
          <w:rFonts w:hint="eastAsia" w:ascii="宋体" w:hAnsi="宋体" w:cs="宋体"/>
          <w:color w:val="auto"/>
          <w:sz w:val="24"/>
          <w:szCs w:val="24"/>
          <w:highlight w:val="none"/>
        </w:rPr>
        <w:t>参数）及正偏离参数</w:t>
      </w:r>
      <w:r>
        <w:rPr>
          <w:rFonts w:hint="eastAsia" w:ascii="宋体" w:hAnsi="宋体" w:cs="宋体"/>
          <w:color w:val="auto"/>
          <w:sz w:val="24"/>
          <w:szCs w:val="24"/>
          <w:highlight w:val="none"/>
          <w:lang w:val="en-US" w:eastAsia="zh-CN"/>
        </w:rPr>
        <w:t>中</w:t>
      </w:r>
      <w:r>
        <w:rPr>
          <w:rFonts w:hint="eastAsia" w:ascii="宋体" w:hAnsi="宋体" w:cs="宋体"/>
          <w:color w:val="auto"/>
          <w:sz w:val="24"/>
          <w:szCs w:val="24"/>
          <w:highlight w:val="none"/>
        </w:rPr>
        <w:t>提供详细资料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否则按</w:t>
      </w:r>
      <w:r>
        <w:rPr>
          <w:rFonts w:hint="eastAsia" w:ascii="宋体" w:hAnsi="宋体" w:cs="宋体"/>
          <w:color w:val="auto"/>
          <w:sz w:val="24"/>
          <w:szCs w:val="24"/>
          <w:highlight w:val="none"/>
          <w:lang w:val="en-US" w:eastAsia="zh-CN"/>
        </w:rPr>
        <w:t>关键</w:t>
      </w:r>
      <w:r>
        <w:rPr>
          <w:rFonts w:hint="eastAsia" w:ascii="宋体" w:hAnsi="宋体" w:cs="宋体"/>
          <w:color w:val="auto"/>
          <w:sz w:val="24"/>
          <w:szCs w:val="24"/>
          <w:highlight w:val="none"/>
        </w:rPr>
        <w:t>参数不满足要求或正偏离项不予认可。</w:t>
      </w:r>
    </w:p>
    <w:p w14:paraId="0C134F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此表格若不够用，可根据实际自行扩展表格。</w:t>
      </w:r>
    </w:p>
    <w:p w14:paraId="1F63EFC3">
      <w:pPr>
        <w:spacing w:line="480" w:lineRule="exact"/>
        <w:ind w:firstLine="105" w:firstLineChars="50"/>
        <w:rPr>
          <w:rFonts w:ascii="宋体" w:hAnsi="宋体" w:cs="宋体"/>
          <w:color w:val="auto"/>
          <w:highlight w:val="none"/>
        </w:rPr>
      </w:pPr>
    </w:p>
    <w:p w14:paraId="7F5020FB">
      <w:pPr>
        <w:spacing w:line="480" w:lineRule="exact"/>
        <w:ind w:firstLine="105" w:firstLineChars="50"/>
        <w:rPr>
          <w:rFonts w:ascii="宋体" w:hAnsi="宋体" w:cs="宋体"/>
          <w:color w:val="auto"/>
          <w:highlight w:val="none"/>
        </w:rPr>
      </w:pPr>
    </w:p>
    <w:p w14:paraId="7C0B7797">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33D030EA">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none"/>
          <w:lang w:eastAsia="zh-CN"/>
        </w:rPr>
        <w:t>（</w:t>
      </w:r>
      <w:r>
        <w:rPr>
          <w:rFonts w:hint="eastAsia" w:ascii="宋体" w:hAnsi="宋体" w:cs="宋体"/>
          <w:b w:val="0"/>
          <w:bCs w:val="0"/>
          <w:color w:val="auto"/>
          <w:sz w:val="24"/>
          <w:szCs w:val="24"/>
          <w:highlight w:val="none"/>
        </w:rPr>
        <w:t>电子签章）</w:t>
      </w:r>
    </w:p>
    <w:p w14:paraId="3444AE56">
      <w:pPr>
        <w:tabs>
          <w:tab w:val="left" w:pos="720"/>
        </w:tabs>
        <w:spacing w:line="540" w:lineRule="exact"/>
        <w:ind w:firstLine="3600" w:firstLineChars="1500"/>
        <w:rPr>
          <w:rFonts w:ascii="宋体" w:hAnsi="宋体" w:cs="宋体"/>
          <w:sz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3717E17F">
      <w:pPr>
        <w:pStyle w:val="4"/>
        <w:rPr>
          <w:rFonts w:hint="eastAsia" w:ascii="宋体" w:hAnsi="宋体" w:eastAsia="宋体" w:cs="宋体"/>
          <w:color w:val="auto"/>
          <w:highlight w:val="none"/>
          <w:lang w:val="en-US" w:eastAsia="zh-CN"/>
        </w:rPr>
      </w:pPr>
      <w:r>
        <w:rPr>
          <w:rFonts w:hint="eastAsia" w:ascii="宋体" w:hAnsi="宋体" w:cs="宋体"/>
          <w:b/>
          <w:bCs/>
          <w:sz w:val="24"/>
          <w:highlight w:val="none"/>
        </w:rPr>
        <w:br w:type="page"/>
      </w:r>
      <w:bookmarkStart w:id="648" w:name="_Toc29291"/>
      <w:r>
        <w:rPr>
          <w:rFonts w:hint="eastAsia" w:ascii="宋体" w:hAnsi="宋体" w:eastAsia="宋体" w:cs="宋体"/>
          <w:color w:val="auto"/>
          <w:highlight w:val="none"/>
          <w:lang w:val="en-US" w:eastAsia="zh-CN"/>
        </w:rPr>
        <w:t>八、资格审查资料</w:t>
      </w:r>
      <w:bookmarkEnd w:id="648"/>
    </w:p>
    <w:p w14:paraId="5619B2D2">
      <w:pPr>
        <w:pStyle w:val="5"/>
        <w:bidi w:val="0"/>
        <w:rPr>
          <w:sz w:val="28"/>
          <w:szCs w:val="28"/>
        </w:rPr>
      </w:pPr>
      <w:bookmarkStart w:id="649" w:name="_Toc20073"/>
      <w:r>
        <w:rPr>
          <w:rFonts w:hint="eastAsia"/>
          <w:sz w:val="28"/>
          <w:szCs w:val="28"/>
        </w:rPr>
        <w:t>（一）供应商基本情况表</w:t>
      </w:r>
      <w:bookmarkEnd w:id="649"/>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1276"/>
        <w:gridCol w:w="195"/>
        <w:gridCol w:w="1246"/>
        <w:gridCol w:w="260"/>
        <w:gridCol w:w="709"/>
        <w:gridCol w:w="1416"/>
      </w:tblGrid>
      <w:tr w14:paraId="2E93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0AED166">
            <w:pPr>
              <w:spacing w:line="360" w:lineRule="auto"/>
              <w:jc w:val="center"/>
              <w:rPr>
                <w:rFonts w:ascii="宋体" w:hAnsi="宋体"/>
                <w:highlight w:val="none"/>
              </w:rPr>
            </w:pPr>
            <w:r>
              <w:rPr>
                <w:rFonts w:hint="eastAsia" w:ascii="宋体" w:hAnsi="宋体"/>
                <w:highlight w:val="none"/>
              </w:rPr>
              <w:t>供应商名称</w:t>
            </w:r>
          </w:p>
        </w:tc>
        <w:tc>
          <w:tcPr>
            <w:tcW w:w="7020" w:type="dxa"/>
            <w:gridSpan w:val="8"/>
            <w:vAlign w:val="center"/>
          </w:tcPr>
          <w:p w14:paraId="7A38A85A">
            <w:pPr>
              <w:spacing w:line="360" w:lineRule="auto"/>
              <w:jc w:val="center"/>
              <w:rPr>
                <w:rFonts w:ascii="宋体" w:hAnsi="宋体"/>
                <w:highlight w:val="none"/>
              </w:rPr>
            </w:pPr>
          </w:p>
        </w:tc>
      </w:tr>
      <w:tr w14:paraId="277E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D31045F">
            <w:pPr>
              <w:spacing w:line="360" w:lineRule="auto"/>
              <w:jc w:val="center"/>
              <w:rPr>
                <w:rFonts w:ascii="宋体" w:hAnsi="宋体"/>
                <w:highlight w:val="none"/>
              </w:rPr>
            </w:pPr>
            <w:r>
              <w:rPr>
                <w:rFonts w:hint="eastAsia" w:ascii="宋体" w:hAnsi="宋体"/>
                <w:highlight w:val="none"/>
              </w:rPr>
              <w:t>注册地址</w:t>
            </w:r>
          </w:p>
        </w:tc>
        <w:tc>
          <w:tcPr>
            <w:tcW w:w="3389" w:type="dxa"/>
            <w:gridSpan w:val="4"/>
            <w:vAlign w:val="center"/>
          </w:tcPr>
          <w:p w14:paraId="4B55F193">
            <w:pPr>
              <w:spacing w:line="360" w:lineRule="auto"/>
              <w:jc w:val="center"/>
              <w:rPr>
                <w:rFonts w:ascii="宋体" w:hAnsi="宋体"/>
                <w:highlight w:val="none"/>
              </w:rPr>
            </w:pPr>
          </w:p>
        </w:tc>
        <w:tc>
          <w:tcPr>
            <w:tcW w:w="1246" w:type="dxa"/>
            <w:vAlign w:val="center"/>
          </w:tcPr>
          <w:p w14:paraId="46B8CDC9">
            <w:pPr>
              <w:spacing w:line="360" w:lineRule="auto"/>
              <w:jc w:val="center"/>
              <w:rPr>
                <w:rFonts w:ascii="宋体" w:hAnsi="宋体"/>
                <w:highlight w:val="none"/>
              </w:rPr>
            </w:pPr>
            <w:r>
              <w:rPr>
                <w:rFonts w:hint="eastAsia" w:ascii="宋体" w:hAnsi="宋体"/>
                <w:highlight w:val="none"/>
              </w:rPr>
              <w:t>邮政编码</w:t>
            </w:r>
          </w:p>
        </w:tc>
        <w:tc>
          <w:tcPr>
            <w:tcW w:w="2385" w:type="dxa"/>
            <w:gridSpan w:val="3"/>
            <w:vAlign w:val="center"/>
          </w:tcPr>
          <w:p w14:paraId="12265594">
            <w:pPr>
              <w:spacing w:line="360" w:lineRule="auto"/>
              <w:jc w:val="center"/>
              <w:rPr>
                <w:rFonts w:ascii="宋体" w:hAnsi="宋体"/>
                <w:highlight w:val="none"/>
              </w:rPr>
            </w:pPr>
          </w:p>
        </w:tc>
      </w:tr>
      <w:tr w14:paraId="15BC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973CDBF">
            <w:pPr>
              <w:spacing w:line="360" w:lineRule="auto"/>
              <w:jc w:val="center"/>
              <w:rPr>
                <w:rFonts w:ascii="宋体" w:hAnsi="宋体"/>
                <w:highlight w:val="none"/>
              </w:rPr>
            </w:pPr>
            <w:r>
              <w:rPr>
                <w:rFonts w:hint="eastAsia" w:ascii="宋体" w:hAnsi="宋体"/>
                <w:highlight w:val="none"/>
              </w:rPr>
              <w:t>联系方式</w:t>
            </w:r>
          </w:p>
        </w:tc>
        <w:tc>
          <w:tcPr>
            <w:tcW w:w="897" w:type="dxa"/>
            <w:vAlign w:val="center"/>
          </w:tcPr>
          <w:p w14:paraId="0BE7A059">
            <w:pPr>
              <w:spacing w:line="360" w:lineRule="auto"/>
              <w:jc w:val="center"/>
              <w:rPr>
                <w:rFonts w:ascii="宋体" w:hAnsi="宋体"/>
                <w:highlight w:val="none"/>
              </w:rPr>
            </w:pPr>
            <w:r>
              <w:rPr>
                <w:rFonts w:hint="eastAsia" w:ascii="宋体" w:hAnsi="宋体"/>
                <w:highlight w:val="none"/>
              </w:rPr>
              <w:t>联系人</w:t>
            </w:r>
          </w:p>
        </w:tc>
        <w:tc>
          <w:tcPr>
            <w:tcW w:w="2492" w:type="dxa"/>
            <w:gridSpan w:val="3"/>
            <w:vAlign w:val="center"/>
          </w:tcPr>
          <w:p w14:paraId="24602A0B">
            <w:pPr>
              <w:spacing w:line="360" w:lineRule="auto"/>
              <w:jc w:val="center"/>
              <w:rPr>
                <w:rFonts w:ascii="宋体" w:hAnsi="宋体"/>
                <w:highlight w:val="none"/>
              </w:rPr>
            </w:pPr>
          </w:p>
        </w:tc>
        <w:tc>
          <w:tcPr>
            <w:tcW w:w="1246" w:type="dxa"/>
            <w:vAlign w:val="center"/>
          </w:tcPr>
          <w:p w14:paraId="7DD6B4BB">
            <w:pPr>
              <w:spacing w:line="360" w:lineRule="auto"/>
              <w:jc w:val="center"/>
              <w:rPr>
                <w:rFonts w:ascii="宋体" w:hAnsi="宋体"/>
                <w:highlight w:val="none"/>
              </w:rPr>
            </w:pPr>
            <w:r>
              <w:rPr>
                <w:rFonts w:hint="eastAsia" w:ascii="宋体" w:hAnsi="宋体"/>
                <w:highlight w:val="none"/>
              </w:rPr>
              <w:t>电话</w:t>
            </w:r>
          </w:p>
        </w:tc>
        <w:tc>
          <w:tcPr>
            <w:tcW w:w="2385" w:type="dxa"/>
            <w:gridSpan w:val="3"/>
            <w:vAlign w:val="center"/>
          </w:tcPr>
          <w:p w14:paraId="0BBBE5FB">
            <w:pPr>
              <w:spacing w:line="360" w:lineRule="auto"/>
              <w:jc w:val="center"/>
              <w:rPr>
                <w:rFonts w:ascii="宋体" w:hAnsi="宋体"/>
                <w:highlight w:val="none"/>
              </w:rPr>
            </w:pPr>
          </w:p>
        </w:tc>
      </w:tr>
      <w:tr w14:paraId="73C5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21BEABD">
            <w:pPr>
              <w:spacing w:line="360" w:lineRule="auto"/>
              <w:jc w:val="center"/>
              <w:rPr>
                <w:rFonts w:ascii="宋体" w:hAnsi="宋体"/>
                <w:highlight w:val="none"/>
              </w:rPr>
            </w:pPr>
          </w:p>
        </w:tc>
        <w:tc>
          <w:tcPr>
            <w:tcW w:w="897" w:type="dxa"/>
            <w:vAlign w:val="center"/>
          </w:tcPr>
          <w:p w14:paraId="0907EEAA">
            <w:pPr>
              <w:spacing w:line="360" w:lineRule="auto"/>
              <w:jc w:val="center"/>
              <w:rPr>
                <w:rFonts w:ascii="宋体" w:hAnsi="宋体"/>
                <w:highlight w:val="none"/>
              </w:rPr>
            </w:pPr>
            <w:r>
              <w:rPr>
                <w:rFonts w:hint="eastAsia" w:ascii="宋体" w:hAnsi="宋体"/>
                <w:highlight w:val="none"/>
              </w:rPr>
              <w:t>传真</w:t>
            </w:r>
          </w:p>
        </w:tc>
        <w:tc>
          <w:tcPr>
            <w:tcW w:w="2492" w:type="dxa"/>
            <w:gridSpan w:val="3"/>
            <w:vAlign w:val="center"/>
          </w:tcPr>
          <w:p w14:paraId="57DB5327">
            <w:pPr>
              <w:spacing w:line="360" w:lineRule="auto"/>
              <w:jc w:val="center"/>
              <w:rPr>
                <w:rFonts w:ascii="宋体" w:hAnsi="宋体"/>
                <w:highlight w:val="none"/>
              </w:rPr>
            </w:pPr>
          </w:p>
        </w:tc>
        <w:tc>
          <w:tcPr>
            <w:tcW w:w="1246" w:type="dxa"/>
            <w:vAlign w:val="center"/>
          </w:tcPr>
          <w:p w14:paraId="32A5B1E9">
            <w:pPr>
              <w:spacing w:line="360" w:lineRule="auto"/>
              <w:jc w:val="center"/>
              <w:rPr>
                <w:rFonts w:ascii="宋体" w:hAnsi="宋体"/>
                <w:highlight w:val="none"/>
              </w:rPr>
            </w:pPr>
            <w:r>
              <w:rPr>
                <w:rFonts w:hint="eastAsia" w:ascii="宋体" w:hAnsi="宋体"/>
                <w:highlight w:val="none"/>
              </w:rPr>
              <w:t>网址</w:t>
            </w:r>
          </w:p>
        </w:tc>
        <w:tc>
          <w:tcPr>
            <w:tcW w:w="2385" w:type="dxa"/>
            <w:gridSpan w:val="3"/>
            <w:vAlign w:val="center"/>
          </w:tcPr>
          <w:p w14:paraId="4D5865C3">
            <w:pPr>
              <w:spacing w:line="360" w:lineRule="auto"/>
              <w:jc w:val="center"/>
              <w:rPr>
                <w:rFonts w:ascii="宋体" w:hAnsi="宋体"/>
                <w:highlight w:val="none"/>
              </w:rPr>
            </w:pPr>
          </w:p>
        </w:tc>
      </w:tr>
      <w:tr w14:paraId="7FD9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B352216">
            <w:pPr>
              <w:spacing w:line="360" w:lineRule="auto"/>
              <w:jc w:val="center"/>
              <w:rPr>
                <w:rFonts w:ascii="宋体" w:hAnsi="宋体"/>
                <w:highlight w:val="none"/>
              </w:rPr>
            </w:pPr>
            <w:r>
              <w:rPr>
                <w:rFonts w:hint="eastAsia" w:ascii="宋体" w:hAnsi="宋体"/>
                <w:highlight w:val="none"/>
              </w:rPr>
              <w:t>组织结构</w:t>
            </w:r>
          </w:p>
        </w:tc>
        <w:tc>
          <w:tcPr>
            <w:tcW w:w="7020" w:type="dxa"/>
            <w:gridSpan w:val="8"/>
            <w:vAlign w:val="center"/>
          </w:tcPr>
          <w:p w14:paraId="76212B2A">
            <w:pPr>
              <w:spacing w:line="360" w:lineRule="auto"/>
              <w:jc w:val="center"/>
              <w:rPr>
                <w:rFonts w:ascii="宋体" w:hAnsi="宋体"/>
                <w:highlight w:val="none"/>
              </w:rPr>
            </w:pPr>
          </w:p>
        </w:tc>
      </w:tr>
      <w:tr w14:paraId="54AF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BBA37A8">
            <w:pPr>
              <w:spacing w:line="360" w:lineRule="auto"/>
              <w:jc w:val="center"/>
              <w:rPr>
                <w:rFonts w:ascii="宋体" w:hAnsi="宋体"/>
                <w:highlight w:val="none"/>
              </w:rPr>
            </w:pPr>
            <w:r>
              <w:rPr>
                <w:rFonts w:hint="eastAsia" w:ascii="宋体" w:hAnsi="宋体"/>
                <w:highlight w:val="none"/>
              </w:rPr>
              <w:t>法定代表人</w:t>
            </w:r>
          </w:p>
        </w:tc>
        <w:tc>
          <w:tcPr>
            <w:tcW w:w="897" w:type="dxa"/>
            <w:vAlign w:val="center"/>
          </w:tcPr>
          <w:p w14:paraId="29FB2822">
            <w:pPr>
              <w:spacing w:line="360" w:lineRule="auto"/>
              <w:jc w:val="center"/>
              <w:rPr>
                <w:rFonts w:ascii="宋体" w:hAnsi="宋体"/>
                <w:highlight w:val="none"/>
              </w:rPr>
            </w:pPr>
            <w:r>
              <w:rPr>
                <w:rFonts w:hint="eastAsia" w:ascii="宋体" w:hAnsi="宋体"/>
                <w:highlight w:val="none"/>
              </w:rPr>
              <w:t>姓名</w:t>
            </w:r>
          </w:p>
        </w:tc>
        <w:tc>
          <w:tcPr>
            <w:tcW w:w="1021" w:type="dxa"/>
            <w:vAlign w:val="center"/>
          </w:tcPr>
          <w:p w14:paraId="344B9D19">
            <w:pPr>
              <w:spacing w:line="360" w:lineRule="auto"/>
              <w:jc w:val="center"/>
              <w:rPr>
                <w:rFonts w:ascii="宋体" w:hAnsi="宋体"/>
                <w:highlight w:val="none"/>
              </w:rPr>
            </w:pPr>
          </w:p>
        </w:tc>
        <w:tc>
          <w:tcPr>
            <w:tcW w:w="1276" w:type="dxa"/>
            <w:vAlign w:val="center"/>
          </w:tcPr>
          <w:p w14:paraId="3C74C189">
            <w:pPr>
              <w:spacing w:line="360" w:lineRule="auto"/>
              <w:jc w:val="center"/>
              <w:rPr>
                <w:rFonts w:ascii="宋体" w:hAnsi="宋体"/>
                <w:highlight w:val="none"/>
              </w:rPr>
            </w:pPr>
            <w:r>
              <w:rPr>
                <w:rFonts w:hint="eastAsia" w:ascii="宋体" w:hAnsi="宋体"/>
                <w:highlight w:val="none"/>
              </w:rPr>
              <w:t>技术职称</w:t>
            </w:r>
          </w:p>
        </w:tc>
        <w:tc>
          <w:tcPr>
            <w:tcW w:w="1701" w:type="dxa"/>
            <w:gridSpan w:val="3"/>
            <w:vAlign w:val="center"/>
          </w:tcPr>
          <w:p w14:paraId="06109994">
            <w:pPr>
              <w:spacing w:line="360" w:lineRule="auto"/>
              <w:jc w:val="center"/>
              <w:rPr>
                <w:rFonts w:ascii="宋体" w:hAnsi="宋体"/>
                <w:highlight w:val="none"/>
              </w:rPr>
            </w:pPr>
          </w:p>
        </w:tc>
        <w:tc>
          <w:tcPr>
            <w:tcW w:w="709" w:type="dxa"/>
            <w:vAlign w:val="center"/>
          </w:tcPr>
          <w:p w14:paraId="08E08E20">
            <w:pPr>
              <w:spacing w:line="360" w:lineRule="auto"/>
              <w:jc w:val="center"/>
              <w:rPr>
                <w:rFonts w:ascii="宋体" w:hAnsi="宋体"/>
                <w:highlight w:val="none"/>
              </w:rPr>
            </w:pPr>
            <w:r>
              <w:rPr>
                <w:rFonts w:hint="eastAsia" w:ascii="宋体" w:hAnsi="宋体"/>
                <w:highlight w:val="none"/>
              </w:rPr>
              <w:t>电话</w:t>
            </w:r>
          </w:p>
        </w:tc>
        <w:tc>
          <w:tcPr>
            <w:tcW w:w="1416" w:type="dxa"/>
            <w:vAlign w:val="center"/>
          </w:tcPr>
          <w:p w14:paraId="451EBF80">
            <w:pPr>
              <w:spacing w:line="360" w:lineRule="auto"/>
              <w:jc w:val="center"/>
              <w:rPr>
                <w:rFonts w:ascii="宋体" w:hAnsi="宋体"/>
                <w:highlight w:val="none"/>
              </w:rPr>
            </w:pPr>
          </w:p>
        </w:tc>
      </w:tr>
      <w:tr w14:paraId="180D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6FD861">
            <w:pPr>
              <w:spacing w:line="360" w:lineRule="auto"/>
              <w:jc w:val="center"/>
              <w:rPr>
                <w:rFonts w:ascii="宋体" w:hAnsi="宋体"/>
                <w:highlight w:val="none"/>
              </w:rPr>
            </w:pPr>
            <w:r>
              <w:rPr>
                <w:rFonts w:hint="eastAsia" w:ascii="宋体" w:hAnsi="宋体"/>
                <w:highlight w:val="none"/>
              </w:rPr>
              <w:t>成立时间</w:t>
            </w:r>
          </w:p>
        </w:tc>
        <w:tc>
          <w:tcPr>
            <w:tcW w:w="1918" w:type="dxa"/>
            <w:gridSpan w:val="2"/>
            <w:vAlign w:val="center"/>
          </w:tcPr>
          <w:p w14:paraId="0549F150">
            <w:pPr>
              <w:spacing w:line="360" w:lineRule="auto"/>
              <w:jc w:val="center"/>
              <w:rPr>
                <w:rFonts w:ascii="宋体" w:hAnsi="宋体"/>
                <w:highlight w:val="none"/>
              </w:rPr>
            </w:pPr>
          </w:p>
        </w:tc>
        <w:tc>
          <w:tcPr>
            <w:tcW w:w="5102" w:type="dxa"/>
            <w:gridSpan w:val="6"/>
            <w:vAlign w:val="center"/>
          </w:tcPr>
          <w:p w14:paraId="5ACD1887">
            <w:pPr>
              <w:spacing w:line="360" w:lineRule="auto"/>
              <w:jc w:val="center"/>
              <w:rPr>
                <w:rFonts w:ascii="宋体" w:hAnsi="宋体"/>
                <w:highlight w:val="none"/>
              </w:rPr>
            </w:pPr>
            <w:r>
              <w:rPr>
                <w:rFonts w:hint="eastAsia" w:ascii="宋体" w:hAnsi="宋体"/>
                <w:highlight w:val="none"/>
              </w:rPr>
              <w:t>员工总人数：</w:t>
            </w:r>
          </w:p>
        </w:tc>
      </w:tr>
      <w:tr w14:paraId="2A7F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0BD4997">
            <w:pPr>
              <w:spacing w:line="360" w:lineRule="auto"/>
              <w:jc w:val="center"/>
              <w:rPr>
                <w:rFonts w:ascii="宋体" w:hAnsi="宋体"/>
                <w:highlight w:val="none"/>
              </w:rPr>
            </w:pPr>
            <w:r>
              <w:rPr>
                <w:rFonts w:hint="eastAsia" w:ascii="宋体" w:hAnsi="宋体"/>
                <w:highlight w:val="none"/>
              </w:rPr>
              <w:t>营业执照号</w:t>
            </w:r>
          </w:p>
        </w:tc>
        <w:tc>
          <w:tcPr>
            <w:tcW w:w="7020" w:type="dxa"/>
            <w:gridSpan w:val="8"/>
            <w:vAlign w:val="center"/>
          </w:tcPr>
          <w:p w14:paraId="30FC2AE5">
            <w:pPr>
              <w:spacing w:line="360" w:lineRule="auto"/>
              <w:jc w:val="center"/>
              <w:rPr>
                <w:rFonts w:ascii="宋体" w:hAnsi="宋体"/>
                <w:highlight w:val="none"/>
              </w:rPr>
            </w:pPr>
          </w:p>
        </w:tc>
      </w:tr>
      <w:tr w14:paraId="29F4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C51AFFB">
            <w:pPr>
              <w:spacing w:line="360" w:lineRule="auto"/>
              <w:jc w:val="center"/>
              <w:rPr>
                <w:rFonts w:ascii="宋体" w:hAnsi="宋体"/>
                <w:highlight w:val="none"/>
              </w:rPr>
            </w:pPr>
            <w:r>
              <w:rPr>
                <w:rFonts w:hint="eastAsia" w:ascii="宋体" w:hAnsi="宋体"/>
                <w:highlight w:val="none"/>
              </w:rPr>
              <w:t>注册资金</w:t>
            </w:r>
          </w:p>
        </w:tc>
        <w:tc>
          <w:tcPr>
            <w:tcW w:w="7020" w:type="dxa"/>
            <w:gridSpan w:val="8"/>
            <w:vAlign w:val="center"/>
          </w:tcPr>
          <w:p w14:paraId="26476C87">
            <w:pPr>
              <w:spacing w:line="360" w:lineRule="auto"/>
              <w:jc w:val="center"/>
              <w:rPr>
                <w:rFonts w:ascii="宋体" w:hAnsi="宋体"/>
                <w:highlight w:val="none"/>
              </w:rPr>
            </w:pPr>
          </w:p>
        </w:tc>
      </w:tr>
      <w:tr w14:paraId="2E8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A14B3BC">
            <w:pPr>
              <w:spacing w:line="360" w:lineRule="auto"/>
              <w:jc w:val="center"/>
              <w:rPr>
                <w:rFonts w:ascii="宋体" w:hAnsi="宋体"/>
                <w:highlight w:val="none"/>
              </w:rPr>
            </w:pPr>
            <w:r>
              <w:rPr>
                <w:rFonts w:hint="eastAsia" w:ascii="宋体" w:hAnsi="宋体"/>
                <w:highlight w:val="none"/>
              </w:rPr>
              <w:t>开户银行</w:t>
            </w:r>
          </w:p>
        </w:tc>
        <w:tc>
          <w:tcPr>
            <w:tcW w:w="7020" w:type="dxa"/>
            <w:gridSpan w:val="8"/>
            <w:vAlign w:val="center"/>
          </w:tcPr>
          <w:p w14:paraId="734AF64B">
            <w:pPr>
              <w:spacing w:line="360" w:lineRule="auto"/>
              <w:jc w:val="center"/>
              <w:rPr>
                <w:rFonts w:ascii="宋体" w:hAnsi="宋体"/>
                <w:highlight w:val="none"/>
              </w:rPr>
            </w:pPr>
          </w:p>
        </w:tc>
      </w:tr>
      <w:tr w14:paraId="0084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77F81D8">
            <w:pPr>
              <w:spacing w:line="360" w:lineRule="auto"/>
              <w:jc w:val="center"/>
              <w:rPr>
                <w:rFonts w:ascii="宋体" w:hAnsi="宋体"/>
                <w:highlight w:val="none"/>
              </w:rPr>
            </w:pPr>
            <w:r>
              <w:rPr>
                <w:rFonts w:hint="eastAsia" w:ascii="宋体" w:hAnsi="宋体"/>
                <w:highlight w:val="none"/>
              </w:rPr>
              <w:t>账号</w:t>
            </w:r>
          </w:p>
        </w:tc>
        <w:tc>
          <w:tcPr>
            <w:tcW w:w="7020" w:type="dxa"/>
            <w:gridSpan w:val="8"/>
            <w:vAlign w:val="center"/>
          </w:tcPr>
          <w:p w14:paraId="71A7BE67">
            <w:pPr>
              <w:spacing w:line="360" w:lineRule="auto"/>
              <w:jc w:val="center"/>
              <w:rPr>
                <w:rFonts w:ascii="宋体" w:hAnsi="宋体"/>
                <w:highlight w:val="none"/>
              </w:rPr>
            </w:pPr>
          </w:p>
        </w:tc>
      </w:tr>
      <w:tr w14:paraId="2728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14:paraId="248C39AB">
            <w:pPr>
              <w:spacing w:line="360" w:lineRule="auto"/>
              <w:jc w:val="center"/>
              <w:rPr>
                <w:rFonts w:ascii="宋体" w:hAnsi="宋体"/>
                <w:highlight w:val="none"/>
              </w:rPr>
            </w:pPr>
            <w:r>
              <w:rPr>
                <w:rFonts w:hint="eastAsia" w:ascii="宋体" w:hAnsi="宋体"/>
                <w:highlight w:val="none"/>
              </w:rPr>
              <w:t>经营范围</w:t>
            </w:r>
          </w:p>
        </w:tc>
        <w:tc>
          <w:tcPr>
            <w:tcW w:w="7020" w:type="dxa"/>
            <w:gridSpan w:val="8"/>
            <w:vAlign w:val="center"/>
          </w:tcPr>
          <w:p w14:paraId="2664B7F0">
            <w:pPr>
              <w:spacing w:line="360" w:lineRule="auto"/>
              <w:jc w:val="center"/>
              <w:rPr>
                <w:rFonts w:ascii="宋体" w:hAnsi="宋体"/>
                <w:highlight w:val="none"/>
              </w:rPr>
            </w:pPr>
          </w:p>
        </w:tc>
      </w:tr>
      <w:tr w14:paraId="449E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E94D454">
            <w:pPr>
              <w:spacing w:line="360" w:lineRule="auto"/>
              <w:jc w:val="center"/>
              <w:rPr>
                <w:rFonts w:ascii="宋体" w:hAnsi="宋体"/>
                <w:highlight w:val="none"/>
              </w:rPr>
            </w:pPr>
            <w:r>
              <w:rPr>
                <w:rFonts w:hint="eastAsia" w:ascii="宋体" w:hAnsi="宋体"/>
                <w:highlight w:val="none"/>
              </w:rPr>
              <w:t>备注</w:t>
            </w:r>
          </w:p>
        </w:tc>
        <w:tc>
          <w:tcPr>
            <w:tcW w:w="7020" w:type="dxa"/>
            <w:gridSpan w:val="8"/>
            <w:vAlign w:val="center"/>
          </w:tcPr>
          <w:p w14:paraId="1897BDD9">
            <w:pPr>
              <w:spacing w:line="360" w:lineRule="auto"/>
              <w:jc w:val="center"/>
              <w:rPr>
                <w:rFonts w:ascii="宋体" w:hAnsi="宋体"/>
                <w:highlight w:val="none"/>
              </w:rPr>
            </w:pPr>
          </w:p>
        </w:tc>
      </w:tr>
    </w:tbl>
    <w:p w14:paraId="3C562640">
      <w:pPr>
        <w:spacing w:line="480" w:lineRule="exact"/>
        <w:ind w:left="562" w:hanging="562" w:hangingChars="200"/>
        <w:jc w:val="center"/>
        <w:rPr>
          <w:rFonts w:ascii="宋体" w:hAnsi="宋体"/>
          <w:b/>
          <w:bCs/>
          <w:sz w:val="28"/>
          <w:szCs w:val="28"/>
          <w:highlight w:val="none"/>
        </w:rPr>
      </w:pPr>
    </w:p>
    <w:p w14:paraId="30C66347">
      <w:pPr>
        <w:pStyle w:val="5"/>
        <w:bidi w:val="0"/>
        <w:rPr>
          <w:rFonts w:ascii="宋体" w:hAnsi="宋体"/>
          <w:b/>
          <w:bCs/>
          <w:sz w:val="28"/>
          <w:highlight w:val="none"/>
        </w:rPr>
      </w:pPr>
      <w:r>
        <w:rPr>
          <w:rFonts w:hint="eastAsia" w:ascii="宋体" w:hAnsi="宋体"/>
          <w:b/>
          <w:bCs/>
          <w:sz w:val="24"/>
          <w:highlight w:val="none"/>
        </w:rPr>
        <w:br w:type="page"/>
      </w:r>
      <w:bookmarkStart w:id="650" w:name="_Toc23929"/>
      <w:r>
        <w:rPr>
          <w:rFonts w:hint="eastAsia" w:ascii="宋体" w:hAnsi="宋体"/>
          <w:b/>
          <w:bCs/>
          <w:sz w:val="28"/>
          <w:highlight w:val="none"/>
        </w:rPr>
        <w:t>（二）近年完成的类似项目情况表</w:t>
      </w:r>
      <w:bookmarkEnd w:id="650"/>
    </w:p>
    <w:tbl>
      <w:tblPr>
        <w:tblStyle w:val="24"/>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545"/>
      </w:tblGrid>
      <w:tr w14:paraId="3E0E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574" w:type="dxa"/>
            <w:noWrap w:val="0"/>
            <w:vAlign w:val="center"/>
          </w:tcPr>
          <w:p w14:paraId="313E0B11">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545" w:type="dxa"/>
            <w:noWrap w:val="0"/>
            <w:vAlign w:val="top"/>
          </w:tcPr>
          <w:p w14:paraId="74E1911E">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15E8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74" w:type="dxa"/>
            <w:noWrap w:val="0"/>
            <w:vAlign w:val="center"/>
          </w:tcPr>
          <w:p w14:paraId="7A96D23F">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项目所在地</w:t>
            </w:r>
          </w:p>
        </w:tc>
        <w:tc>
          <w:tcPr>
            <w:tcW w:w="6545" w:type="dxa"/>
            <w:noWrap w:val="0"/>
            <w:vAlign w:val="top"/>
          </w:tcPr>
          <w:p w14:paraId="0324CE0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5DE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574" w:type="dxa"/>
            <w:noWrap w:val="0"/>
            <w:vAlign w:val="center"/>
          </w:tcPr>
          <w:p w14:paraId="7F6CC6EB">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委托人名称</w:t>
            </w:r>
          </w:p>
        </w:tc>
        <w:tc>
          <w:tcPr>
            <w:tcW w:w="6545" w:type="dxa"/>
            <w:noWrap w:val="0"/>
            <w:vAlign w:val="top"/>
          </w:tcPr>
          <w:p w14:paraId="30D06D65">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73EA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574" w:type="dxa"/>
            <w:noWrap w:val="0"/>
            <w:vAlign w:val="center"/>
          </w:tcPr>
          <w:p w14:paraId="65535CC5">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委托人地址</w:t>
            </w:r>
          </w:p>
        </w:tc>
        <w:tc>
          <w:tcPr>
            <w:tcW w:w="6545" w:type="dxa"/>
            <w:noWrap w:val="0"/>
            <w:vAlign w:val="top"/>
          </w:tcPr>
          <w:p w14:paraId="2CB35857">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4558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574" w:type="dxa"/>
            <w:noWrap w:val="0"/>
            <w:vAlign w:val="center"/>
          </w:tcPr>
          <w:p w14:paraId="7008450F">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委托人电话</w:t>
            </w:r>
          </w:p>
        </w:tc>
        <w:tc>
          <w:tcPr>
            <w:tcW w:w="6545" w:type="dxa"/>
            <w:noWrap w:val="0"/>
            <w:vAlign w:val="top"/>
          </w:tcPr>
          <w:p w14:paraId="76960D8A">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4F02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574" w:type="dxa"/>
            <w:noWrap w:val="0"/>
            <w:vAlign w:val="center"/>
          </w:tcPr>
          <w:p w14:paraId="2A3A9D09">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合同金额</w:t>
            </w:r>
          </w:p>
        </w:tc>
        <w:tc>
          <w:tcPr>
            <w:tcW w:w="6545" w:type="dxa"/>
            <w:noWrap w:val="0"/>
            <w:vAlign w:val="top"/>
          </w:tcPr>
          <w:p w14:paraId="72A5F1B3">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2474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574" w:type="dxa"/>
            <w:noWrap w:val="0"/>
            <w:vAlign w:val="center"/>
          </w:tcPr>
          <w:p w14:paraId="0EC054B6">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承担的工作</w:t>
            </w:r>
          </w:p>
        </w:tc>
        <w:tc>
          <w:tcPr>
            <w:tcW w:w="6545" w:type="dxa"/>
            <w:noWrap w:val="0"/>
            <w:vAlign w:val="top"/>
          </w:tcPr>
          <w:p w14:paraId="71862F3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08FE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574" w:type="dxa"/>
            <w:noWrap w:val="0"/>
            <w:vAlign w:val="center"/>
          </w:tcPr>
          <w:p w14:paraId="75F3E04D">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6545" w:type="dxa"/>
            <w:noWrap w:val="0"/>
            <w:vAlign w:val="top"/>
          </w:tcPr>
          <w:p w14:paraId="3408B045">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7356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jc w:val="center"/>
        </w:trPr>
        <w:tc>
          <w:tcPr>
            <w:tcW w:w="2574" w:type="dxa"/>
            <w:noWrap w:val="0"/>
            <w:vAlign w:val="center"/>
          </w:tcPr>
          <w:p w14:paraId="48465DE8">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项目描述</w:t>
            </w:r>
          </w:p>
        </w:tc>
        <w:tc>
          <w:tcPr>
            <w:tcW w:w="6545" w:type="dxa"/>
            <w:noWrap w:val="0"/>
            <w:vAlign w:val="top"/>
          </w:tcPr>
          <w:p w14:paraId="1333465E">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6DFBF869">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384A51C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1AAEB2B4">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7783D9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4345E696">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65887037">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4F07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74" w:type="dxa"/>
            <w:noWrap w:val="0"/>
            <w:vAlign w:val="center"/>
          </w:tcPr>
          <w:p w14:paraId="79A7FF6C">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545" w:type="dxa"/>
            <w:noWrap w:val="0"/>
            <w:vAlign w:val="top"/>
          </w:tcPr>
          <w:p w14:paraId="07C111ED">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bl>
    <w:p w14:paraId="109A1E76">
      <w:pPr>
        <w:spacing w:beforeLines="50" w:afterLines="50" w:line="540" w:lineRule="exact"/>
        <w:rPr>
          <w:rFonts w:hint="eastAsia" w:ascii="宋体" w:hAnsi="宋体"/>
          <w:highlight w:val="none"/>
        </w:rPr>
      </w:pPr>
    </w:p>
    <w:p w14:paraId="657EAFF2">
      <w:pPr>
        <w:spacing w:beforeLines="50" w:afterLines="50" w:line="540" w:lineRule="exact"/>
        <w:rPr>
          <w:rFonts w:ascii="宋体" w:hAnsi="宋体"/>
          <w:highlight w:val="none"/>
        </w:rPr>
      </w:pPr>
      <w:r>
        <w:rPr>
          <w:rFonts w:hint="eastAsia" w:ascii="宋体" w:hAnsi="宋体"/>
          <w:highlight w:val="none"/>
        </w:rPr>
        <w:t>备注：后附中标通知书和合同协议书的扫描件，</w:t>
      </w:r>
      <w:r>
        <w:rPr>
          <w:rFonts w:hint="eastAsia" w:ascii="宋体" w:hAnsi="宋体"/>
          <w:bCs/>
          <w:highlight w:val="none"/>
        </w:rPr>
        <w:t>具体年份要求202</w:t>
      </w:r>
      <w:r>
        <w:rPr>
          <w:rFonts w:hint="eastAsia" w:ascii="宋体" w:hAnsi="宋体"/>
          <w:bCs/>
          <w:highlight w:val="none"/>
          <w:lang w:val="en-US" w:eastAsia="zh-CN"/>
        </w:rPr>
        <w:t>2</w:t>
      </w:r>
      <w:r>
        <w:rPr>
          <w:rFonts w:hint="eastAsia" w:ascii="宋体" w:hAnsi="宋体"/>
          <w:bCs/>
          <w:highlight w:val="none"/>
        </w:rPr>
        <w:t>年1月1日以来。</w:t>
      </w:r>
      <w:r>
        <w:rPr>
          <w:rFonts w:hint="eastAsia" w:ascii="宋体" w:hAnsi="宋体"/>
          <w:highlight w:val="none"/>
        </w:rPr>
        <w:t>标明序号。</w:t>
      </w:r>
    </w:p>
    <w:p w14:paraId="315B6687">
      <w:pPr>
        <w:pStyle w:val="5"/>
        <w:bidi w:val="0"/>
        <w:rPr>
          <w:rFonts w:hint="eastAsia"/>
          <w:sz w:val="28"/>
          <w:szCs w:val="28"/>
        </w:rPr>
      </w:pPr>
      <w:bookmarkStart w:id="651" w:name="_Toc514834640"/>
      <w:bookmarkEnd w:id="651"/>
      <w:bookmarkStart w:id="652" w:name="_Toc16770593"/>
      <w:r>
        <w:rPr>
          <w:rFonts w:ascii="宋体" w:hAnsi="宋体"/>
          <w:sz w:val="24"/>
          <w:highlight w:val="none"/>
        </w:rPr>
        <w:br w:type="page"/>
      </w:r>
      <w:bookmarkStart w:id="653" w:name="_Toc1693"/>
      <w:r>
        <w:rPr>
          <w:rFonts w:hint="eastAsia"/>
          <w:sz w:val="28"/>
          <w:szCs w:val="28"/>
          <w:lang w:eastAsia="zh-CN"/>
        </w:rPr>
        <w:t>（</w:t>
      </w:r>
      <w:r>
        <w:rPr>
          <w:rFonts w:hint="eastAsia"/>
          <w:sz w:val="28"/>
          <w:szCs w:val="28"/>
          <w:lang w:val="en-US" w:eastAsia="zh-CN"/>
        </w:rPr>
        <w:t>三</w:t>
      </w:r>
      <w:r>
        <w:rPr>
          <w:rFonts w:hint="eastAsia"/>
          <w:sz w:val="28"/>
          <w:szCs w:val="28"/>
          <w:lang w:eastAsia="zh-CN"/>
        </w:rPr>
        <w:t>）</w:t>
      </w:r>
      <w:r>
        <w:rPr>
          <w:rFonts w:hint="eastAsia"/>
          <w:sz w:val="28"/>
          <w:szCs w:val="28"/>
        </w:rPr>
        <w:t>正在</w:t>
      </w:r>
      <w:r>
        <w:rPr>
          <w:rFonts w:hint="eastAsia"/>
          <w:sz w:val="28"/>
          <w:szCs w:val="28"/>
          <w:lang w:val="en-US" w:eastAsia="zh-CN"/>
        </w:rPr>
        <w:t>实施</w:t>
      </w:r>
      <w:r>
        <w:rPr>
          <w:rFonts w:hint="eastAsia"/>
          <w:sz w:val="28"/>
          <w:szCs w:val="28"/>
        </w:rPr>
        <w:t>的和新承接的项目情况表</w:t>
      </w:r>
      <w:bookmarkEnd w:id="653"/>
    </w:p>
    <w:tbl>
      <w:tblPr>
        <w:tblStyle w:val="24"/>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545"/>
      </w:tblGrid>
      <w:tr w14:paraId="3D5B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574" w:type="dxa"/>
            <w:noWrap w:val="0"/>
            <w:vAlign w:val="center"/>
          </w:tcPr>
          <w:p w14:paraId="29A3DC56">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545" w:type="dxa"/>
            <w:noWrap w:val="0"/>
            <w:vAlign w:val="top"/>
          </w:tcPr>
          <w:p w14:paraId="2F1F0054">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05C3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74" w:type="dxa"/>
            <w:noWrap w:val="0"/>
            <w:vAlign w:val="center"/>
          </w:tcPr>
          <w:p w14:paraId="3EC02773">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项目所在地</w:t>
            </w:r>
          </w:p>
        </w:tc>
        <w:tc>
          <w:tcPr>
            <w:tcW w:w="6545" w:type="dxa"/>
            <w:noWrap w:val="0"/>
            <w:vAlign w:val="top"/>
          </w:tcPr>
          <w:p w14:paraId="40B8EEFE">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381D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574" w:type="dxa"/>
            <w:noWrap w:val="0"/>
            <w:vAlign w:val="center"/>
          </w:tcPr>
          <w:p w14:paraId="21594239">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委托人名称</w:t>
            </w:r>
          </w:p>
        </w:tc>
        <w:tc>
          <w:tcPr>
            <w:tcW w:w="6545" w:type="dxa"/>
            <w:noWrap w:val="0"/>
            <w:vAlign w:val="top"/>
          </w:tcPr>
          <w:p w14:paraId="5DBB98E4">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04F2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574" w:type="dxa"/>
            <w:noWrap w:val="0"/>
            <w:vAlign w:val="center"/>
          </w:tcPr>
          <w:p w14:paraId="635B6DD6">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委托人地址</w:t>
            </w:r>
          </w:p>
        </w:tc>
        <w:tc>
          <w:tcPr>
            <w:tcW w:w="6545" w:type="dxa"/>
            <w:noWrap w:val="0"/>
            <w:vAlign w:val="top"/>
          </w:tcPr>
          <w:p w14:paraId="29A1C6C8">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24F3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574" w:type="dxa"/>
            <w:noWrap w:val="0"/>
            <w:vAlign w:val="center"/>
          </w:tcPr>
          <w:p w14:paraId="2052A025">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委托人电话</w:t>
            </w:r>
          </w:p>
        </w:tc>
        <w:tc>
          <w:tcPr>
            <w:tcW w:w="6545" w:type="dxa"/>
            <w:noWrap w:val="0"/>
            <w:vAlign w:val="top"/>
          </w:tcPr>
          <w:p w14:paraId="4624A58D">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0F3F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574" w:type="dxa"/>
            <w:noWrap w:val="0"/>
            <w:vAlign w:val="center"/>
          </w:tcPr>
          <w:p w14:paraId="2112E1F6">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合同金额</w:t>
            </w:r>
          </w:p>
        </w:tc>
        <w:tc>
          <w:tcPr>
            <w:tcW w:w="6545" w:type="dxa"/>
            <w:noWrap w:val="0"/>
            <w:vAlign w:val="top"/>
          </w:tcPr>
          <w:p w14:paraId="436F6F62">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3ED1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574" w:type="dxa"/>
            <w:noWrap w:val="0"/>
            <w:vAlign w:val="center"/>
          </w:tcPr>
          <w:p w14:paraId="3AF09EBC">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承担的工作</w:t>
            </w:r>
          </w:p>
        </w:tc>
        <w:tc>
          <w:tcPr>
            <w:tcW w:w="6545" w:type="dxa"/>
            <w:noWrap w:val="0"/>
            <w:vAlign w:val="top"/>
          </w:tcPr>
          <w:p w14:paraId="2184ACA2">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05B1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574" w:type="dxa"/>
            <w:noWrap w:val="0"/>
            <w:vAlign w:val="center"/>
          </w:tcPr>
          <w:p w14:paraId="5E3B161D">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6545" w:type="dxa"/>
            <w:noWrap w:val="0"/>
            <w:vAlign w:val="top"/>
          </w:tcPr>
          <w:p w14:paraId="4D86E980">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3CE7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jc w:val="center"/>
        </w:trPr>
        <w:tc>
          <w:tcPr>
            <w:tcW w:w="2574" w:type="dxa"/>
            <w:noWrap w:val="0"/>
            <w:vAlign w:val="center"/>
          </w:tcPr>
          <w:p w14:paraId="6E3EE8C2">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项目描述</w:t>
            </w:r>
          </w:p>
        </w:tc>
        <w:tc>
          <w:tcPr>
            <w:tcW w:w="6545" w:type="dxa"/>
            <w:noWrap w:val="0"/>
            <w:vAlign w:val="top"/>
          </w:tcPr>
          <w:p w14:paraId="46A7CCD7">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6F9DD04C">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044395A4">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604AEA52">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5A220933">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491438C0">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p w14:paraId="74CE5FC0">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r w14:paraId="2F80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74" w:type="dxa"/>
            <w:noWrap w:val="0"/>
            <w:vAlign w:val="center"/>
          </w:tcPr>
          <w:p w14:paraId="628A1494">
            <w:pPr>
              <w:pageBreakBefore w:val="0"/>
              <w:topLinePunct/>
              <w:bidi w:val="0"/>
              <w:adjustRightInd w:val="0"/>
              <w:snapToGrid w:val="0"/>
              <w:spacing w:beforeAutospacing="0" w:afterAutospacing="0" w:line="360" w:lineRule="auto"/>
              <w:ind w:left="0" w:leftChars="0" w:right="0"/>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545" w:type="dxa"/>
            <w:noWrap w:val="0"/>
            <w:vAlign w:val="top"/>
          </w:tcPr>
          <w:p w14:paraId="75B57FFB">
            <w:pPr>
              <w:pageBreakBefore w:val="0"/>
              <w:topLinePunct/>
              <w:bidi w:val="0"/>
              <w:adjustRightInd w:val="0"/>
              <w:snapToGrid w:val="0"/>
              <w:spacing w:beforeAutospacing="0" w:afterAutospacing="0" w:line="360" w:lineRule="auto"/>
              <w:ind w:left="0" w:leftChars="0" w:right="0"/>
              <w:rPr>
                <w:rFonts w:hint="eastAsia" w:ascii="宋体" w:hAnsi="宋体" w:eastAsia="宋体" w:cs="宋体"/>
                <w:sz w:val="24"/>
                <w:highlight w:val="none"/>
              </w:rPr>
            </w:pPr>
          </w:p>
        </w:tc>
      </w:tr>
    </w:tbl>
    <w:p w14:paraId="6C5C8B73">
      <w:pPr>
        <w:spacing w:line="440" w:lineRule="exact"/>
        <w:rPr>
          <w:rFonts w:hint="eastAsia" w:ascii="宋体" w:hAnsi="宋体"/>
          <w:highlight w:val="none"/>
        </w:rPr>
      </w:pPr>
    </w:p>
    <w:p w14:paraId="25CF6A4F">
      <w:pPr>
        <w:spacing w:line="440" w:lineRule="exact"/>
        <w:rPr>
          <w:rFonts w:ascii="宋体" w:hAnsi="宋体"/>
          <w:highlight w:val="none"/>
        </w:rPr>
      </w:pPr>
      <w:r>
        <w:rPr>
          <w:rFonts w:hint="eastAsia" w:ascii="宋体" w:hAnsi="宋体"/>
          <w:highlight w:val="none"/>
        </w:rPr>
        <w:t>备注：后附中标通知书和合同协议书扫描件。标明序号。</w:t>
      </w:r>
    </w:p>
    <w:p w14:paraId="1076EC72">
      <w:pPr>
        <w:rPr>
          <w:rFonts w:ascii="宋体" w:hAnsi="宋体"/>
          <w:sz w:val="24"/>
          <w:highlight w:val="none"/>
        </w:rPr>
      </w:pPr>
    </w:p>
    <w:p w14:paraId="5106EA5F">
      <w:pPr>
        <w:rPr>
          <w:rFonts w:ascii="宋体" w:hAnsi="宋体"/>
          <w:sz w:val="24"/>
          <w:highlight w:val="none"/>
        </w:rPr>
      </w:pPr>
    </w:p>
    <w:p w14:paraId="52FBE039">
      <w:pPr>
        <w:rPr>
          <w:rFonts w:hint="eastAsia" w:ascii="宋体" w:hAnsi="宋体" w:eastAsia="宋体" w:cs="宋体"/>
          <w:color w:val="auto"/>
          <w:highlight w:val="none"/>
          <w:lang w:val="en-US" w:eastAsia="zh-CN"/>
        </w:rPr>
      </w:pPr>
      <w:bookmarkStart w:id="654" w:name="_Toc29396"/>
      <w:r>
        <w:rPr>
          <w:rFonts w:hint="eastAsia" w:ascii="宋体" w:hAnsi="宋体" w:eastAsia="宋体" w:cs="宋体"/>
          <w:color w:val="auto"/>
          <w:highlight w:val="none"/>
          <w:lang w:val="en-US" w:eastAsia="zh-CN"/>
        </w:rPr>
        <w:br w:type="page"/>
      </w:r>
    </w:p>
    <w:p w14:paraId="7AD03B00">
      <w:pPr>
        <w:pStyle w:val="4"/>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九、技术标</w:t>
      </w:r>
      <w:bookmarkEnd w:id="654"/>
    </w:p>
    <w:p w14:paraId="571D4E9F">
      <w:pPr>
        <w:spacing w:line="540" w:lineRule="exact"/>
        <w:jc w:val="center"/>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格式自拟</w:t>
      </w:r>
    </w:p>
    <w:p w14:paraId="0919C4AA">
      <w:pPr>
        <w:spacing w:line="540" w:lineRule="exact"/>
        <w:jc w:val="center"/>
        <w:rPr>
          <w:rFonts w:hint="eastAsia" w:ascii="宋体" w:hAnsi="宋体"/>
          <w:b/>
          <w:bCs/>
          <w:sz w:val="32"/>
          <w:szCs w:val="32"/>
          <w:highlight w:val="none"/>
          <w:lang w:val="en-US" w:eastAsia="zh-CN"/>
        </w:rPr>
      </w:pPr>
    </w:p>
    <w:p w14:paraId="028D274F">
      <w:pPr>
        <w:spacing w:line="540" w:lineRule="exact"/>
        <w:jc w:val="center"/>
        <w:rPr>
          <w:rFonts w:hint="eastAsia" w:ascii="宋体" w:hAnsi="宋体"/>
          <w:b/>
          <w:bCs/>
          <w:sz w:val="32"/>
          <w:szCs w:val="32"/>
          <w:highlight w:val="none"/>
          <w:lang w:val="en-US" w:eastAsia="zh-CN"/>
        </w:rPr>
      </w:pPr>
    </w:p>
    <w:p w14:paraId="6EC1F7E1">
      <w:pPr>
        <w:spacing w:line="540" w:lineRule="exact"/>
        <w:jc w:val="center"/>
        <w:rPr>
          <w:rFonts w:hint="eastAsia" w:ascii="宋体" w:hAnsi="宋体"/>
          <w:b/>
          <w:bCs/>
          <w:sz w:val="32"/>
          <w:szCs w:val="32"/>
          <w:highlight w:val="none"/>
          <w:lang w:val="en-US" w:eastAsia="zh-CN"/>
        </w:rPr>
      </w:pPr>
    </w:p>
    <w:p w14:paraId="19D47766">
      <w:pPr>
        <w:spacing w:line="540" w:lineRule="exact"/>
        <w:jc w:val="center"/>
        <w:rPr>
          <w:rFonts w:hint="eastAsia" w:ascii="宋体" w:hAnsi="宋体"/>
          <w:b/>
          <w:bCs/>
          <w:sz w:val="32"/>
          <w:szCs w:val="32"/>
          <w:highlight w:val="none"/>
          <w:lang w:val="en-US" w:eastAsia="zh-CN"/>
        </w:rPr>
      </w:pPr>
    </w:p>
    <w:p w14:paraId="618325EC">
      <w:pPr>
        <w:rPr>
          <w:rFonts w:hint="eastAsia" w:ascii="宋体" w:hAnsi="宋体"/>
          <w:b/>
          <w:bCs/>
          <w:sz w:val="32"/>
          <w:szCs w:val="32"/>
          <w:highlight w:val="none"/>
          <w:lang w:val="en-US" w:eastAsia="zh-CN"/>
        </w:rPr>
      </w:pPr>
      <w:r>
        <w:rPr>
          <w:rFonts w:hint="eastAsia" w:ascii="宋体" w:hAnsi="宋体"/>
          <w:b/>
          <w:bCs/>
          <w:sz w:val="32"/>
          <w:szCs w:val="32"/>
          <w:highlight w:val="none"/>
          <w:lang w:val="en-US" w:eastAsia="zh-CN"/>
        </w:rPr>
        <w:br w:type="page"/>
      </w:r>
    </w:p>
    <w:p w14:paraId="0DD9967B">
      <w:pPr>
        <w:pStyle w:val="4"/>
        <w:numPr>
          <w:ilvl w:val="0"/>
          <w:numId w:val="0"/>
        </w:numPr>
        <w:jc w:val="center"/>
        <w:rPr>
          <w:rFonts w:hint="eastAsia" w:ascii="宋体" w:hAnsi="宋体" w:eastAsia="宋体" w:cs="宋体"/>
          <w:color w:val="auto"/>
          <w:highlight w:val="none"/>
          <w:lang w:val="en-US" w:eastAsia="zh-CN"/>
        </w:rPr>
      </w:pPr>
      <w:bookmarkStart w:id="655" w:name="_Toc16287"/>
      <w:r>
        <w:rPr>
          <w:rFonts w:hint="eastAsia" w:ascii="宋体" w:hAnsi="宋体" w:eastAsia="宋体" w:cs="宋体"/>
          <w:color w:val="auto"/>
          <w:highlight w:val="none"/>
          <w:lang w:val="en-US" w:eastAsia="zh-CN"/>
        </w:rPr>
        <w:t>十、商务标</w:t>
      </w:r>
      <w:bookmarkEnd w:id="655"/>
    </w:p>
    <w:p w14:paraId="3FB6115D">
      <w:pPr>
        <w:spacing w:line="540" w:lineRule="exact"/>
        <w:jc w:val="center"/>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格式自拟</w:t>
      </w:r>
    </w:p>
    <w:p w14:paraId="6F99BE4B">
      <w:pPr>
        <w:widowControl w:val="0"/>
        <w:numPr>
          <w:ilvl w:val="0"/>
          <w:numId w:val="0"/>
        </w:numPr>
        <w:jc w:val="both"/>
        <w:rPr>
          <w:rFonts w:hint="default"/>
          <w:lang w:val="en-US" w:eastAsia="zh-CN"/>
        </w:rPr>
        <w:sectPr>
          <w:footerReference r:id="rId6" w:type="default"/>
          <w:pgSz w:w="11906" w:h="16838"/>
          <w:pgMar w:top="1134" w:right="850" w:bottom="1134" w:left="850" w:header="0" w:footer="680" w:gutter="0"/>
          <w:pgNumType w:fmt="decimal"/>
          <w:cols w:space="0" w:num="1"/>
          <w:rtlGutter w:val="0"/>
          <w:docGrid w:type="lines" w:linePitch="312" w:charSpace="0"/>
        </w:sectPr>
      </w:pPr>
    </w:p>
    <w:p w14:paraId="0A29302F">
      <w:pPr>
        <w:pStyle w:val="4"/>
        <w:numPr>
          <w:ilvl w:val="0"/>
          <w:numId w:val="0"/>
        </w:numPr>
        <w:jc w:val="center"/>
        <w:rPr>
          <w:rFonts w:hint="eastAsia" w:ascii="宋体" w:hAnsi="宋体" w:eastAsia="宋体" w:cs="宋体"/>
          <w:color w:val="auto"/>
          <w:highlight w:val="none"/>
          <w:lang w:val="en-US" w:eastAsia="zh-CN"/>
        </w:rPr>
      </w:pPr>
      <w:bookmarkStart w:id="656" w:name="_Toc2532"/>
      <w:r>
        <w:rPr>
          <w:rFonts w:hint="eastAsia" w:ascii="宋体" w:hAnsi="宋体" w:eastAsia="宋体" w:cs="宋体"/>
          <w:color w:val="auto"/>
          <w:highlight w:val="none"/>
          <w:lang w:val="en-US" w:eastAsia="zh-CN"/>
        </w:rPr>
        <w:t>十一、供应商认为有必要提供的其他资料</w:t>
      </w:r>
      <w:bookmarkEnd w:id="652"/>
      <w:bookmarkEnd w:id="656"/>
    </w:p>
    <w:p w14:paraId="060857C2">
      <w:pPr>
        <w:spacing w:line="480" w:lineRule="exact"/>
        <w:jc w:val="center"/>
        <w:rPr>
          <w:rFonts w:ascii="宋体" w:hAnsi="宋体"/>
          <w:highlight w:val="none"/>
        </w:rPr>
      </w:pPr>
    </w:p>
    <w:p w14:paraId="119B661F">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w:t>
      </w:r>
      <w:r>
        <w:rPr>
          <w:rFonts w:hint="eastAsia" w:ascii="宋体" w:hAnsi="宋体" w:cs="宋体"/>
          <w:b/>
          <w:bCs/>
          <w:kern w:val="10"/>
          <w:sz w:val="28"/>
          <w:szCs w:val="28"/>
          <w:highlight w:val="none"/>
          <w:lang w:val="en-US" w:eastAsia="zh-CN"/>
        </w:rPr>
        <w:t>1</w:t>
      </w:r>
    </w:p>
    <w:bookmarkEnd w:id="621"/>
    <w:bookmarkEnd w:id="622"/>
    <w:bookmarkEnd w:id="623"/>
    <w:bookmarkEnd w:id="624"/>
    <w:bookmarkEnd w:id="625"/>
    <w:bookmarkEnd w:id="626"/>
    <w:bookmarkEnd w:id="627"/>
    <w:bookmarkEnd w:id="628"/>
    <w:bookmarkEnd w:id="637"/>
    <w:bookmarkEnd w:id="638"/>
    <w:bookmarkEnd w:id="639"/>
    <w:bookmarkEnd w:id="640"/>
    <w:bookmarkEnd w:id="641"/>
    <w:bookmarkEnd w:id="642"/>
    <w:bookmarkEnd w:id="643"/>
    <w:bookmarkEnd w:id="644"/>
    <w:bookmarkEnd w:id="646"/>
    <w:bookmarkEnd w:id="647"/>
    <w:p w14:paraId="1DD9E5D5">
      <w:pPr>
        <w:spacing w:line="312" w:lineRule="auto"/>
        <w:ind w:right="-334" w:rightChars="-159" w:firstLine="560"/>
        <w:jc w:val="center"/>
        <w:rPr>
          <w:rFonts w:hint="eastAsia" w:ascii="宋体" w:hAnsi="宋体" w:cs="宋体"/>
          <w:b/>
          <w:bCs/>
          <w:color w:val="auto"/>
          <w:kern w:val="10"/>
          <w:sz w:val="28"/>
          <w:szCs w:val="28"/>
          <w:highlight w:val="none"/>
        </w:rPr>
      </w:pPr>
      <w:bookmarkStart w:id="657" w:name="_Toc6927090"/>
      <w:bookmarkStart w:id="658" w:name="OLE_LINK13"/>
      <w:bookmarkStart w:id="659" w:name="OLE_LINK14"/>
      <w:r>
        <w:rPr>
          <w:rFonts w:hint="eastAsia" w:ascii="宋体" w:hAnsi="宋体" w:cs="宋体"/>
          <w:b/>
          <w:bCs/>
          <w:color w:val="auto"/>
          <w:kern w:val="10"/>
          <w:sz w:val="28"/>
          <w:szCs w:val="28"/>
          <w:highlight w:val="none"/>
        </w:rPr>
        <w:t>1、中小企业声明函（</w:t>
      </w:r>
      <w:r>
        <w:rPr>
          <w:rFonts w:hint="eastAsia" w:ascii="宋体" w:hAnsi="宋体" w:cs="宋体"/>
          <w:b/>
          <w:bCs/>
          <w:color w:val="auto"/>
          <w:kern w:val="10"/>
          <w:sz w:val="28"/>
          <w:szCs w:val="28"/>
          <w:highlight w:val="none"/>
          <w:lang w:val="en-US" w:eastAsia="zh-CN"/>
        </w:rPr>
        <w:t>货物</w:t>
      </w:r>
      <w:r>
        <w:rPr>
          <w:rFonts w:hint="eastAsia" w:ascii="宋体" w:hAnsi="宋体" w:cs="宋体"/>
          <w:b/>
          <w:bCs/>
          <w:color w:val="auto"/>
          <w:kern w:val="10"/>
          <w:sz w:val="28"/>
          <w:szCs w:val="28"/>
          <w:highlight w:val="none"/>
        </w:rPr>
        <w:t>）</w:t>
      </w:r>
    </w:p>
    <w:p w14:paraId="1845F76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本公司（联合体） 郑重声明， 根据《政府采购促进中小企业发展管理办法》（财库﹝ 2020﹞ 46 号） 的规定， 本公司（联合体） 参加</w:t>
      </w:r>
      <w:r>
        <w:rPr>
          <w:rFonts w:ascii="宋体" w:hAnsi="宋体"/>
          <w:color w:val="auto"/>
          <w:sz w:val="24"/>
          <w:szCs w:val="24"/>
          <w:highlight w:val="none"/>
          <w:u w:val="single"/>
        </w:rPr>
        <w:t>（单位名称）</w:t>
      </w:r>
      <w:r>
        <w:rPr>
          <w:rFonts w:ascii="宋体" w:hAnsi="宋体"/>
          <w:color w:val="auto"/>
          <w:sz w:val="24"/>
          <w:szCs w:val="24"/>
          <w:highlight w:val="none"/>
        </w:rPr>
        <w:t xml:space="preserve"> 的</w:t>
      </w:r>
      <w:r>
        <w:rPr>
          <w:rFonts w:ascii="宋体" w:hAnsi="宋体"/>
          <w:color w:val="auto"/>
          <w:sz w:val="24"/>
          <w:szCs w:val="24"/>
          <w:highlight w:val="none"/>
          <w:u w:val="single"/>
        </w:rPr>
        <w:t>（项目名称）</w:t>
      </w:r>
      <w:r>
        <w:rPr>
          <w:rFonts w:ascii="宋体" w:hAnsi="宋体"/>
          <w:color w:val="auto"/>
          <w:sz w:val="24"/>
          <w:szCs w:val="24"/>
          <w:highlight w:val="none"/>
        </w:rPr>
        <w:t xml:space="preserve"> 采购活动，</w:t>
      </w:r>
      <w:r>
        <w:rPr>
          <w:rFonts w:hint="eastAsia" w:ascii="宋体" w:hAnsi="宋体"/>
          <w:color w:val="auto"/>
          <w:sz w:val="24"/>
          <w:szCs w:val="24"/>
          <w:highlight w:val="none"/>
        </w:rPr>
        <w:t>提供的货物全部由符合政策要求的中小企业制造，</w:t>
      </w:r>
      <w:r>
        <w:rPr>
          <w:rFonts w:ascii="宋体" w:hAnsi="宋体"/>
          <w:color w:val="auto"/>
          <w:sz w:val="24"/>
          <w:szCs w:val="24"/>
          <w:highlight w:val="none"/>
        </w:rPr>
        <w:t>具体情况如下：</w:t>
      </w:r>
    </w:p>
    <w:p w14:paraId="78589F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ascii="宋体" w:hAnsi="宋体"/>
          <w:color w:val="auto"/>
          <w:sz w:val="24"/>
          <w:szCs w:val="24"/>
          <w:highlight w:val="none"/>
          <w:u w:val="single"/>
        </w:rPr>
        <w:t>（标的名称）</w:t>
      </w:r>
      <w:r>
        <w:rPr>
          <w:rFonts w:ascii="宋体" w:hAnsi="宋体"/>
          <w:color w:val="auto"/>
          <w:sz w:val="24"/>
          <w:szCs w:val="24"/>
          <w:highlight w:val="none"/>
        </w:rPr>
        <w:t xml:space="preserve"> ， 属于</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w:t>
      </w:r>
      <w:r>
        <w:rPr>
          <w:rFonts w:hint="eastAsia" w:ascii="宋体" w:hAnsi="宋体"/>
          <w:color w:val="auto"/>
          <w:sz w:val="24"/>
          <w:szCs w:val="24"/>
          <w:highlight w:val="none"/>
        </w:rPr>
        <w:t>制造商</w:t>
      </w:r>
      <w:r>
        <w:rPr>
          <w:rFonts w:ascii="宋体" w:hAnsi="宋体"/>
          <w:color w:val="auto"/>
          <w:sz w:val="24"/>
          <w:szCs w:val="24"/>
          <w:highlight w:val="none"/>
        </w:rPr>
        <w:t>为</w:t>
      </w:r>
      <w:r>
        <w:rPr>
          <w:rFonts w:ascii="宋体" w:hAnsi="宋体"/>
          <w:color w:val="auto"/>
          <w:sz w:val="24"/>
          <w:szCs w:val="24"/>
          <w:highlight w:val="none"/>
          <w:u w:val="single"/>
        </w:rPr>
        <w:t>（ 企业名称）</w:t>
      </w:r>
      <w:r>
        <w:rPr>
          <w:rFonts w:ascii="宋体" w:hAnsi="宋体"/>
          <w:color w:val="auto"/>
          <w:sz w:val="24"/>
          <w:szCs w:val="24"/>
          <w:highlight w:val="none"/>
        </w:rPr>
        <w:t>， 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 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 资产总额为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 属于</w:t>
      </w:r>
      <w:r>
        <w:rPr>
          <w:rFonts w:ascii="宋体" w:hAnsi="宋体"/>
          <w:color w:val="auto"/>
          <w:sz w:val="24"/>
          <w:szCs w:val="24"/>
          <w:highlight w:val="none"/>
          <w:u w:val="single"/>
        </w:rPr>
        <w:t>（中型企业、 小型企业、 微型企业）</w:t>
      </w:r>
      <w:r>
        <w:rPr>
          <w:rFonts w:ascii="宋体" w:hAnsi="宋体"/>
          <w:color w:val="auto"/>
          <w:sz w:val="24"/>
          <w:szCs w:val="24"/>
          <w:highlight w:val="none"/>
        </w:rPr>
        <w:t>；</w:t>
      </w:r>
    </w:p>
    <w:p w14:paraId="293837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ascii="宋体" w:hAnsi="宋体"/>
          <w:color w:val="auto"/>
          <w:sz w:val="24"/>
          <w:szCs w:val="24"/>
          <w:highlight w:val="none"/>
          <w:u w:val="single"/>
        </w:rPr>
        <w:t>（标的名称）</w:t>
      </w:r>
      <w:r>
        <w:rPr>
          <w:rFonts w:ascii="宋体" w:hAnsi="宋体"/>
          <w:color w:val="auto"/>
          <w:sz w:val="24"/>
          <w:szCs w:val="24"/>
          <w:highlight w:val="none"/>
        </w:rPr>
        <w:t xml:space="preserve"> ， 属于</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w:t>
      </w:r>
      <w:r>
        <w:rPr>
          <w:rFonts w:hint="eastAsia" w:ascii="宋体" w:hAnsi="宋体"/>
          <w:color w:val="auto"/>
          <w:sz w:val="24"/>
          <w:szCs w:val="24"/>
          <w:highlight w:val="none"/>
        </w:rPr>
        <w:t>制造商</w:t>
      </w:r>
      <w:r>
        <w:rPr>
          <w:rFonts w:ascii="宋体" w:hAnsi="宋体"/>
          <w:color w:val="auto"/>
          <w:sz w:val="24"/>
          <w:szCs w:val="24"/>
          <w:highlight w:val="none"/>
        </w:rPr>
        <w:t>为</w:t>
      </w:r>
      <w:r>
        <w:rPr>
          <w:rFonts w:ascii="宋体" w:hAnsi="宋体"/>
          <w:color w:val="auto"/>
          <w:sz w:val="24"/>
          <w:szCs w:val="24"/>
          <w:highlight w:val="none"/>
          <w:u w:val="single"/>
        </w:rPr>
        <w:t>（ 企业名称）</w:t>
      </w:r>
      <w:r>
        <w:rPr>
          <w:rFonts w:ascii="宋体" w:hAnsi="宋体"/>
          <w:color w:val="auto"/>
          <w:sz w:val="24"/>
          <w:szCs w:val="24"/>
          <w:highlight w:val="none"/>
        </w:rPr>
        <w:t>， 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w:t>
      </w:r>
      <w:r>
        <w:rPr>
          <w:rFonts w:ascii="宋体" w:hAnsi="宋体"/>
          <w:color w:val="auto"/>
          <w:sz w:val="24"/>
          <w:szCs w:val="24"/>
          <w:highlight w:val="none"/>
          <w:u w:val="single"/>
        </w:rPr>
        <w:t xml:space="preserve"> </w:t>
      </w:r>
      <w:r>
        <w:rPr>
          <w:rFonts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 资产总额为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 属于</w:t>
      </w:r>
      <w:r>
        <w:rPr>
          <w:rFonts w:ascii="宋体" w:hAnsi="宋体"/>
          <w:color w:val="auto"/>
          <w:sz w:val="24"/>
          <w:szCs w:val="24"/>
          <w:highlight w:val="none"/>
          <w:u w:val="single"/>
        </w:rPr>
        <w:t>（中型企业、 小型企业、 微型企业）</w:t>
      </w:r>
      <w:r>
        <w:rPr>
          <w:rFonts w:ascii="宋体" w:hAnsi="宋体"/>
          <w:color w:val="auto"/>
          <w:sz w:val="24"/>
          <w:szCs w:val="24"/>
          <w:highlight w:val="none"/>
        </w:rPr>
        <w:t>；</w:t>
      </w:r>
    </w:p>
    <w:p w14:paraId="2D17131B">
      <w:pPr>
        <w:pStyle w:val="23"/>
        <w:ind w:firstLine="200"/>
        <w:rPr>
          <w:rFonts w:hint="eastAsia"/>
          <w:color w:val="auto"/>
          <w:highlight w:val="none"/>
        </w:rPr>
      </w:pPr>
      <w:r>
        <w:rPr>
          <w:rFonts w:hint="eastAsia"/>
          <w:color w:val="auto"/>
          <w:highlight w:val="none"/>
        </w:rPr>
        <w:t>······</w:t>
      </w:r>
    </w:p>
    <w:p w14:paraId="234C31F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以上</w:t>
      </w:r>
      <w:r>
        <w:rPr>
          <w:rFonts w:ascii="宋体" w:hAnsi="宋体"/>
          <w:color w:val="auto"/>
          <w:sz w:val="24"/>
          <w:szCs w:val="24"/>
          <w:highlight w:val="none"/>
        </w:rPr>
        <w:t>企业</w:t>
      </w:r>
      <w:r>
        <w:rPr>
          <w:rFonts w:hint="eastAsia" w:ascii="宋体" w:hAnsi="宋体"/>
          <w:color w:val="auto"/>
          <w:sz w:val="24"/>
          <w:szCs w:val="24"/>
          <w:highlight w:val="none"/>
        </w:rPr>
        <w:t>，</w:t>
      </w:r>
      <w:r>
        <w:rPr>
          <w:rFonts w:ascii="宋体" w:hAnsi="宋体"/>
          <w:color w:val="auto"/>
          <w:sz w:val="24"/>
          <w:szCs w:val="24"/>
          <w:highlight w:val="none"/>
        </w:rPr>
        <w:t>不属于大企业的分支机构， 不存在控股股东为大企业的情形， 也不存在与大企业的负责人为同一人的情形。</w:t>
      </w:r>
    </w:p>
    <w:p w14:paraId="77015D8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本企业对上述声明内容的真实性负责。 如有虚假， 将依法承担相应责任。</w:t>
      </w:r>
    </w:p>
    <w:p w14:paraId="22AB62A5">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bookmarkStart w:id="660" w:name="_Hlk136874938"/>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1F92B415">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64E2A7DE">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280299BD">
      <w:pPr>
        <w:spacing w:line="480" w:lineRule="atLeast"/>
        <w:jc w:val="right"/>
        <w:rPr>
          <w:rFonts w:ascii="宋体" w:hAnsi="宋体" w:cs="黑体"/>
          <w:color w:val="auto"/>
          <w:sz w:val="30"/>
          <w:szCs w:val="30"/>
          <w:highlight w:val="none"/>
        </w:rPr>
      </w:pPr>
    </w:p>
    <w:p w14:paraId="0119B958">
      <w:pPr>
        <w:spacing w:line="480" w:lineRule="auto"/>
        <w:jc w:val="center"/>
        <w:rPr>
          <w:rFonts w:ascii="宋体" w:hAnsi="宋体" w:cs="宋体"/>
          <w:color w:val="auto"/>
          <w:sz w:val="24"/>
          <w:szCs w:val="24"/>
          <w:highlight w:val="none"/>
        </w:rPr>
      </w:pPr>
    </w:p>
    <w:p w14:paraId="170F36A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注：1.</w:t>
      </w:r>
      <w:r>
        <w:rPr>
          <w:rFonts w:ascii="宋体" w:hAnsi="宋体"/>
          <w:color w:val="auto"/>
          <w:sz w:val="24"/>
          <w:szCs w:val="24"/>
          <w:highlight w:val="none"/>
        </w:rPr>
        <w:t>从业人员、 营业收入、 资产总额填报上一年度数据， 无上一年度数据的新成立企业可不填报。</w:t>
      </w:r>
    </w:p>
    <w:bookmarkEnd w:id="660"/>
    <w:p w14:paraId="0C1E8843">
      <w:pPr>
        <w:autoSpaceDE w:val="0"/>
        <w:autoSpaceDN w:val="0"/>
        <w:snapToGrid w:val="0"/>
        <w:spacing w:line="360" w:lineRule="auto"/>
        <w:ind w:firstLine="560"/>
        <w:jc w:val="center"/>
        <w:rPr>
          <w:rFonts w:hint="eastAsia" w:ascii="宋体" w:hAnsi="宋体" w:cs="宋体"/>
          <w:b/>
          <w:bCs/>
          <w:color w:val="auto"/>
          <w:kern w:val="10"/>
          <w:sz w:val="28"/>
          <w:szCs w:val="28"/>
          <w:highlight w:val="none"/>
        </w:rPr>
      </w:pPr>
      <w:r>
        <w:rPr>
          <w:rFonts w:ascii="宋体" w:hAnsi="宋体" w:cs="宋体"/>
          <w:bCs/>
          <w:color w:val="auto"/>
          <w:sz w:val="24"/>
          <w:szCs w:val="24"/>
          <w:highlight w:val="none"/>
        </w:rPr>
        <w:br w:type="page"/>
      </w:r>
    </w:p>
    <w:p w14:paraId="429EBF6C">
      <w:pPr>
        <w:ind w:firstLine="560"/>
        <w:jc w:val="center"/>
        <w:rPr>
          <w:rFonts w:hint="eastAsia" w:ascii="宋体" w:hAnsi="宋体" w:cs="宋体"/>
          <w:color w:val="auto"/>
          <w:kern w:val="0"/>
          <w:sz w:val="22"/>
          <w:highlight w:val="none"/>
        </w:rPr>
      </w:pPr>
      <w:r>
        <w:rPr>
          <w:rFonts w:hint="eastAsia" w:ascii="宋体" w:hAnsi="宋体" w:cs="宋体"/>
          <w:b/>
          <w:bCs/>
          <w:color w:val="auto"/>
          <w:kern w:val="10"/>
          <w:sz w:val="28"/>
          <w:szCs w:val="28"/>
          <w:highlight w:val="none"/>
        </w:rPr>
        <w:t>2、残疾人福利性单位声明函</w:t>
      </w:r>
      <w:bookmarkEnd w:id="657"/>
    </w:p>
    <w:bookmarkEnd w:id="658"/>
    <w:bookmarkEnd w:id="659"/>
    <w:p w14:paraId="32CB69BF">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本单位郑重声明，根据《财政部 民政部 中国残疾人联合会关于促进残疾人就业政府采购政策的通知》（财库</w:t>
      </w:r>
      <w:r>
        <w:rPr>
          <w:rFonts w:hint="eastAsia" w:ascii="宋体" w:hAnsi="宋体" w:cs="宋体"/>
          <w:color w:val="auto"/>
          <w:kern w:val="0"/>
          <w:sz w:val="24"/>
          <w:szCs w:val="24"/>
          <w:highlight w:val="none"/>
        </w:rPr>
        <w:t>〔2017〕 141</w:t>
      </w:r>
      <w:r>
        <w:rPr>
          <w:rFonts w:hint="eastAsia" w:ascii="宋体" w:hAnsi="宋体" w:cs="宋体"/>
          <w:color w:val="auto"/>
          <w:spacing w:val="6"/>
          <w:kern w:val="0"/>
          <w:sz w:val="24"/>
          <w:szCs w:val="24"/>
          <w:highlight w:val="none"/>
        </w:rPr>
        <w:t>号）的规定，本单位为符合条件的残疾人福利性单位，且本单位参加</w:t>
      </w:r>
      <w:r>
        <w:rPr>
          <w:rFonts w:hint="eastAsia" w:ascii="宋体" w:hAnsi="宋体" w:cs="宋体"/>
          <w:color w:val="auto"/>
          <w:spacing w:val="6"/>
          <w:kern w:val="0"/>
          <w:sz w:val="24"/>
          <w:szCs w:val="24"/>
          <w:highlight w:val="none"/>
          <w:u w:val="single"/>
          <w:lang w:val="en-US" w:eastAsia="zh-CN"/>
        </w:rPr>
        <w:t xml:space="preserve">           </w:t>
      </w:r>
      <w:r>
        <w:rPr>
          <w:rFonts w:hint="eastAsia" w:ascii="宋体" w:hAnsi="宋体" w:cs="宋体"/>
          <w:color w:val="auto"/>
          <w:spacing w:val="6"/>
          <w:kern w:val="0"/>
          <w:sz w:val="24"/>
          <w:szCs w:val="24"/>
          <w:highlight w:val="none"/>
        </w:rPr>
        <w:t>单位的</w:t>
      </w:r>
      <w:r>
        <w:rPr>
          <w:rFonts w:hint="eastAsia" w:ascii="宋体" w:hAnsi="宋体" w:cs="宋体"/>
          <w:color w:val="auto"/>
          <w:spacing w:val="6"/>
          <w:kern w:val="0"/>
          <w:sz w:val="24"/>
          <w:szCs w:val="24"/>
          <w:highlight w:val="none"/>
          <w:u w:val="single"/>
          <w:lang w:val="en-US" w:eastAsia="zh-CN"/>
        </w:rPr>
        <w:t xml:space="preserve">         </w:t>
      </w:r>
      <w:r>
        <w:rPr>
          <w:rFonts w:hint="eastAsia" w:ascii="宋体" w:hAnsi="宋体" w:cs="宋体"/>
          <w:color w:val="auto"/>
          <w:spacing w:val="6"/>
          <w:kern w:val="0"/>
          <w:sz w:val="24"/>
          <w:szCs w:val="24"/>
          <w:highlight w:val="none"/>
        </w:rPr>
        <w:t>项目采购活动提供本单位制造的货物（由本单位承担工程/提供服务），或者提供其他残疾人福利性单位制造的货物（不包括使用非残疾人福利性单位注册商标的货物）。</w:t>
      </w:r>
    </w:p>
    <w:p w14:paraId="4CBE0833">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本单位对上述声明的真实性负责。如有虚假，将依法承担相应责任。</w:t>
      </w:r>
    </w:p>
    <w:p w14:paraId="15E40A4E">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p>
    <w:p w14:paraId="45C6152A">
      <w:pPr>
        <w:tabs>
          <w:tab w:val="left" w:pos="4860"/>
        </w:tabs>
        <w:autoSpaceDE w:val="0"/>
        <w:autoSpaceDN w:val="0"/>
        <w:spacing w:line="360" w:lineRule="auto"/>
        <w:ind w:right="1560" w:firstLine="504" w:firstLineChars="200"/>
        <w:jc w:val="center"/>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单位名称（电子签章）：</w:t>
      </w:r>
    </w:p>
    <w:p w14:paraId="0DD0C7D7">
      <w:pPr>
        <w:tabs>
          <w:tab w:val="left" w:pos="4860"/>
        </w:tabs>
        <w:autoSpaceDE w:val="0"/>
        <w:autoSpaceDN w:val="0"/>
        <w:spacing w:line="360" w:lineRule="auto"/>
        <w:ind w:right="1560" w:firstLine="504" w:firstLineChars="200"/>
        <w:jc w:val="center"/>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日  期：</w:t>
      </w:r>
    </w:p>
    <w:p w14:paraId="6BB4B1B4">
      <w:pPr>
        <w:widowControl/>
        <w:autoSpaceDE w:val="0"/>
        <w:autoSpaceDN w:val="0"/>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（提醒：如果供应商</w:t>
      </w:r>
      <w:r>
        <w:rPr>
          <w:rFonts w:hint="eastAsia" w:ascii="宋体" w:hAnsi="宋体" w:cs="宋体"/>
          <w:b/>
          <w:color w:val="auto"/>
          <w:spacing w:val="10"/>
          <w:kern w:val="0"/>
          <w:sz w:val="24"/>
          <w:szCs w:val="24"/>
          <w:highlight w:val="none"/>
        </w:rPr>
        <w:t>不是残疾人福利性单位</w:t>
      </w:r>
      <w:r>
        <w:rPr>
          <w:rFonts w:hint="eastAsia" w:ascii="宋体" w:hAnsi="宋体" w:cs="宋体"/>
          <w:b/>
          <w:color w:val="auto"/>
          <w:kern w:val="0"/>
          <w:sz w:val="24"/>
          <w:szCs w:val="24"/>
          <w:highlight w:val="none"/>
        </w:rPr>
        <w:t>，则不需要提供《残疾人福利性单位声明函》。否则，因此导致虚假投标的后果由供应商自行承担。）</w:t>
      </w:r>
    </w:p>
    <w:p w14:paraId="5C43B947">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《财政部民政部中国残疾人联合会关于促进残疾人就业政府采购政策的通知》（财库（2017〔141〕号）的规定：</w:t>
      </w:r>
    </w:p>
    <w:p w14:paraId="184FE150">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一、享受政府采购支持政策的残疾人福利性单位应当同时满足以下条件：</w:t>
      </w:r>
    </w:p>
    <w:p w14:paraId="4D95B92D">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（1）安置的残疾人占本单位在职职工人数的比例不低于25%（含25%），并且安置的残疾人人数不少于10人（含10人）；</w:t>
      </w:r>
    </w:p>
    <w:p w14:paraId="26BE3397">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（2）依法与安置的每位残疾人签订了一年以上（含一年）的劳动合同或服务协议；</w:t>
      </w:r>
    </w:p>
    <w:p w14:paraId="06A3AB16">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（3）为安置的每位残疾人按月足额缴纳了基本养老保险、基本医疗保险、失业保险、工伤保险和生育保险等社会保险费；</w:t>
      </w:r>
    </w:p>
    <w:p w14:paraId="1C7F4AE7">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（4）通过银行等金融机构向安置的每位残疾人，按月支付了不低于单位所在区县适用的经省级人民政府批准的月最低工资标准的工资；</w:t>
      </w:r>
    </w:p>
    <w:p w14:paraId="78564066">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（5）提供本单位制造的货物、承担的工程或者服务（以下简称产品），或者提供其他残疾人福利性单位制造的货物（不包括使用非残疾人福利性单位注册商标的货物）。</w:t>
      </w:r>
    </w:p>
    <w:p w14:paraId="1C68DE58">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二、中标、成交供应商为残疾人福利性单位的，</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或者其委托的</w:t>
      </w:r>
      <w:r>
        <w:rPr>
          <w:rFonts w:hint="eastAsia" w:ascii="宋体" w:hAnsi="宋体" w:cs="宋体"/>
          <w:color w:val="auto"/>
          <w:kern w:val="0"/>
          <w:sz w:val="24"/>
          <w:szCs w:val="24"/>
          <w:highlight w:val="none"/>
          <w:lang w:eastAsia="zh-CN"/>
        </w:rPr>
        <w:t>采购代理机构</w:t>
      </w:r>
      <w:r>
        <w:rPr>
          <w:rFonts w:hint="eastAsia" w:ascii="宋体" w:hAnsi="宋体" w:cs="宋体"/>
          <w:color w:val="auto"/>
          <w:kern w:val="0"/>
          <w:sz w:val="24"/>
          <w:szCs w:val="24"/>
          <w:highlight w:val="none"/>
        </w:rPr>
        <w:t>应当随中标、成交结果同时公告其《残疾人福利性单位声明函》，接受社会监督。</w:t>
      </w:r>
    </w:p>
    <w:p w14:paraId="0FE0E980">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供应商提供的《残疾人福利性单位声明函》与事实不符的，依照《政府采购法》第七十七条第一款的规定追究法律责任。</w:t>
      </w:r>
    </w:p>
    <w:p w14:paraId="28DBD5CD">
      <w:pPr>
        <w:numPr>
          <w:ilvl w:val="0"/>
          <w:numId w:val="4"/>
        </w:numPr>
        <w:autoSpaceDE w:val="0"/>
        <w:autoSpaceDN w:val="0"/>
        <w:ind w:firstLine="480" w:firstLineChars="200"/>
        <w:rPr>
          <w:rFonts w:hint="eastAsia" w:ascii="宋体" w:hAnsi="宋体" w:cs="宋体"/>
          <w:b/>
          <w:bCs/>
          <w:color w:val="auto"/>
          <w:kern w:val="10"/>
          <w:sz w:val="28"/>
          <w:szCs w:val="28"/>
          <w:highlight w:val="none"/>
        </w:rPr>
      </w:pPr>
      <w:r>
        <w:rPr>
          <w:rFonts w:hint="eastAsia" w:ascii="宋体" w:hAnsi="宋体" w:cs="宋体"/>
          <w:color w:val="auto"/>
          <w:kern w:val="0"/>
          <w:sz w:val="24"/>
          <w:szCs w:val="24"/>
          <w:highlight w:val="none"/>
        </w:rPr>
        <w:t>在政府采购活动中，</w:t>
      </w:r>
      <w:r>
        <w:rPr>
          <w:rFonts w:hint="eastAsia" w:ascii="宋体" w:hAnsi="宋体" w:cs="宋体"/>
          <w:b/>
          <w:bCs/>
          <w:color w:val="auto"/>
          <w:kern w:val="0"/>
          <w:sz w:val="24"/>
          <w:szCs w:val="24"/>
          <w:highlight w:val="none"/>
        </w:rPr>
        <w:t>残疾人福利性单位视同小型、微型企业</w:t>
      </w:r>
      <w:r>
        <w:rPr>
          <w:rFonts w:hint="eastAsia" w:ascii="宋体" w:hAnsi="宋体" w:cs="宋体"/>
          <w:color w:val="auto"/>
          <w:kern w:val="0"/>
          <w:sz w:val="24"/>
          <w:szCs w:val="24"/>
          <w:highlight w:val="none"/>
        </w:rPr>
        <w:t>，享受预留份额、评审中价格扣除等促进中小企业发展的政府采购政策。向残疾人福利性单位采购的金额，计入面向中小企业采购的统计数据。残疾人福利性单位属于小型、微型企业的，不重复享受政策。</w:t>
      </w:r>
    </w:p>
    <w:p w14:paraId="490D3E8C">
      <w:pPr>
        <w:ind w:firstLine="560"/>
        <w:jc w:val="center"/>
        <w:rPr>
          <w:rFonts w:hint="eastAsia" w:ascii="宋体" w:hAnsi="宋体" w:cs="宋体"/>
          <w:b/>
          <w:bCs/>
          <w:color w:val="auto"/>
          <w:kern w:val="10"/>
          <w:sz w:val="28"/>
          <w:szCs w:val="28"/>
          <w:highlight w:val="none"/>
        </w:rPr>
      </w:pPr>
      <w:r>
        <w:rPr>
          <w:rFonts w:hint="eastAsia" w:ascii="宋体" w:hAnsi="宋体" w:cs="宋体"/>
          <w:b/>
          <w:bCs/>
          <w:color w:val="auto"/>
          <w:kern w:val="10"/>
          <w:sz w:val="28"/>
          <w:szCs w:val="28"/>
          <w:highlight w:val="none"/>
        </w:rPr>
        <w:br w:type="page"/>
      </w:r>
      <w:r>
        <w:rPr>
          <w:rFonts w:hint="eastAsia" w:ascii="宋体" w:hAnsi="宋体" w:cs="宋体"/>
          <w:b/>
          <w:bCs/>
          <w:color w:val="auto"/>
          <w:kern w:val="10"/>
          <w:sz w:val="28"/>
          <w:szCs w:val="28"/>
          <w:highlight w:val="none"/>
        </w:rPr>
        <w:t>3、监狱企业证明文件</w:t>
      </w:r>
    </w:p>
    <w:p w14:paraId="3943D573">
      <w:pPr>
        <w:autoSpaceDE w:val="0"/>
        <w:autoSpaceDN w:val="0"/>
        <w:spacing w:line="360" w:lineRule="auto"/>
        <w:ind w:firstLine="480" w:firstLineChars="200"/>
        <w:rPr>
          <w:rFonts w:hint="eastAsia" w:ascii="宋体" w:hAnsi="宋体" w:cs="宋体"/>
          <w:color w:val="auto"/>
          <w:sz w:val="24"/>
          <w:szCs w:val="24"/>
          <w:highlight w:val="none"/>
        </w:rPr>
      </w:pPr>
    </w:p>
    <w:p w14:paraId="113CD2D3">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省级以上监狱管理局、戒毒管理局（含新疆生产建设兵团）出具的属于监狱企业的证明文件。</w:t>
      </w:r>
    </w:p>
    <w:p w14:paraId="6CBDF74E">
      <w:pPr>
        <w:autoSpaceDE w:val="0"/>
        <w:autoSpaceDN w:val="0"/>
        <w:spacing w:line="360" w:lineRule="auto"/>
        <w:ind w:firstLine="480" w:firstLineChars="200"/>
        <w:rPr>
          <w:rFonts w:hint="eastAsia" w:ascii="宋体" w:hAnsi="宋体" w:cs="宋体"/>
          <w:color w:val="auto"/>
          <w:sz w:val="24"/>
          <w:szCs w:val="24"/>
          <w:highlight w:val="none"/>
        </w:rPr>
      </w:pPr>
    </w:p>
    <w:p w14:paraId="112EF00F">
      <w:pPr>
        <w:autoSpaceDE w:val="0"/>
        <w:autoSpaceDN w:val="0"/>
        <w:spacing w:line="360" w:lineRule="auto"/>
        <w:ind w:firstLine="480" w:firstLineChars="200"/>
        <w:rPr>
          <w:rFonts w:hint="eastAsia" w:ascii="宋体" w:hAnsi="宋体" w:cs="宋体"/>
          <w:color w:val="auto"/>
          <w:sz w:val="24"/>
          <w:szCs w:val="24"/>
          <w:highlight w:val="none"/>
        </w:rPr>
      </w:pPr>
    </w:p>
    <w:p w14:paraId="4AF1C94F">
      <w:pPr>
        <w:autoSpaceDE w:val="0"/>
        <w:autoSpaceDN w:val="0"/>
        <w:spacing w:line="360" w:lineRule="auto"/>
        <w:ind w:firstLine="480" w:firstLineChars="200"/>
        <w:rPr>
          <w:rFonts w:hint="eastAsia" w:ascii="宋体" w:hAnsi="宋体" w:cs="宋体"/>
          <w:color w:val="auto"/>
          <w:sz w:val="24"/>
          <w:szCs w:val="24"/>
          <w:highlight w:val="none"/>
        </w:rPr>
      </w:pPr>
    </w:p>
    <w:p w14:paraId="3A636548">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在政府采购活动中，</w:t>
      </w:r>
      <w:r>
        <w:rPr>
          <w:rFonts w:hint="eastAsia" w:ascii="宋体" w:hAnsi="宋体" w:cs="宋体"/>
          <w:b/>
          <w:bCs/>
          <w:color w:val="auto"/>
          <w:kern w:val="0"/>
          <w:sz w:val="24"/>
          <w:szCs w:val="24"/>
          <w:highlight w:val="none"/>
        </w:rPr>
        <w:t>监狱企业视同小型、微型企业</w:t>
      </w:r>
      <w:r>
        <w:rPr>
          <w:rFonts w:hint="eastAsia" w:ascii="宋体" w:hAnsi="宋体" w:cs="宋体"/>
          <w:color w:val="auto"/>
          <w:kern w:val="0"/>
          <w:sz w:val="24"/>
          <w:szCs w:val="24"/>
          <w:highlight w:val="none"/>
        </w:rPr>
        <w:t>，享受预留份额、评审中价格扣除等政府采购促进中小企业发展的政府采购政策。但监狱企业参加政府采购活动时，</w:t>
      </w:r>
      <w:r>
        <w:rPr>
          <w:rFonts w:hint="eastAsia" w:ascii="宋体" w:hAnsi="宋体" w:cs="宋体"/>
          <w:b/>
          <w:bCs/>
          <w:color w:val="auto"/>
          <w:kern w:val="0"/>
          <w:sz w:val="24"/>
          <w:szCs w:val="24"/>
          <w:highlight w:val="none"/>
        </w:rPr>
        <w:t>应当提供由省级以上监狱管理局、戒毒管理局（含新疆生产建设兵团）出具的属于监狱企业的证明文件</w:t>
      </w:r>
      <w:r>
        <w:rPr>
          <w:rFonts w:hint="eastAsia" w:ascii="宋体" w:hAnsi="宋体" w:cs="宋体"/>
          <w:color w:val="auto"/>
          <w:kern w:val="0"/>
          <w:sz w:val="24"/>
          <w:szCs w:val="24"/>
          <w:highlight w:val="none"/>
        </w:rPr>
        <w:t>，否则不能认为其为监狱企业）</w:t>
      </w:r>
    </w:p>
    <w:p w14:paraId="2FB68A8C">
      <w:pPr>
        <w:rPr>
          <w:rFonts w:hint="eastAsia"/>
          <w:color w:val="auto"/>
          <w:highlight w:val="none"/>
        </w:rPr>
      </w:pPr>
    </w:p>
    <w:p w14:paraId="5346C718">
      <w:pPr>
        <w:bidi w:val="0"/>
        <w:rPr>
          <w:rFonts w:hint="eastAsia"/>
          <w:kern w:val="2"/>
          <w:sz w:val="21"/>
          <w:szCs w:val="21"/>
          <w:highlight w:val="none"/>
          <w:lang w:val="en-US" w:eastAsia="zh-CN" w:bidi="ar-SA"/>
        </w:rPr>
      </w:pPr>
    </w:p>
    <w:p w14:paraId="3385CC92">
      <w:pPr>
        <w:bidi w:val="0"/>
        <w:rPr>
          <w:rFonts w:hint="eastAsia"/>
          <w:highlight w:val="none"/>
          <w:lang w:val="en-US" w:eastAsia="zh-CN"/>
        </w:rPr>
      </w:pPr>
    </w:p>
    <w:p w14:paraId="0740A555">
      <w:pPr>
        <w:bidi w:val="0"/>
        <w:rPr>
          <w:rFonts w:hint="eastAsia"/>
          <w:highlight w:val="none"/>
          <w:lang w:val="en-US" w:eastAsia="zh-CN"/>
        </w:rPr>
      </w:pPr>
    </w:p>
    <w:p w14:paraId="771423A8">
      <w:pPr>
        <w:bidi w:val="0"/>
        <w:rPr>
          <w:rFonts w:hint="eastAsia"/>
          <w:highlight w:val="none"/>
          <w:lang w:val="en-US" w:eastAsia="zh-CN"/>
        </w:rPr>
      </w:pPr>
    </w:p>
    <w:p w14:paraId="3762BDA8">
      <w:pPr>
        <w:bidi w:val="0"/>
        <w:rPr>
          <w:rFonts w:hint="eastAsia"/>
          <w:highlight w:val="none"/>
          <w:lang w:val="en-US" w:eastAsia="zh-CN"/>
        </w:rPr>
      </w:pPr>
    </w:p>
    <w:p w14:paraId="3BEF7BDF">
      <w:pPr>
        <w:bidi w:val="0"/>
        <w:rPr>
          <w:rFonts w:hint="eastAsia"/>
          <w:highlight w:val="none"/>
          <w:lang w:val="en-US" w:eastAsia="zh-CN"/>
        </w:rPr>
      </w:pPr>
    </w:p>
    <w:p w14:paraId="4C588EFE">
      <w:pPr>
        <w:bidi w:val="0"/>
        <w:rPr>
          <w:rFonts w:hint="eastAsia"/>
          <w:highlight w:val="none"/>
          <w:lang w:val="en-US" w:eastAsia="zh-CN"/>
        </w:rPr>
      </w:pPr>
    </w:p>
    <w:p w14:paraId="47AD3784">
      <w:pPr>
        <w:rPr>
          <w:rFonts w:hint="eastAsia" w:ascii="宋体" w:hAnsi="宋体" w:cs="宋体"/>
          <w:b/>
          <w:bCs/>
          <w:color w:val="auto"/>
          <w:kern w:val="10"/>
          <w:sz w:val="28"/>
          <w:szCs w:val="28"/>
          <w:highlight w:val="none"/>
          <w:lang w:val="en-US" w:eastAsia="zh-CN"/>
        </w:rPr>
      </w:pPr>
      <w:r>
        <w:rPr>
          <w:rFonts w:hint="eastAsia" w:ascii="宋体" w:hAnsi="宋体" w:cs="宋体"/>
          <w:b/>
          <w:bCs/>
          <w:color w:val="auto"/>
          <w:kern w:val="10"/>
          <w:sz w:val="28"/>
          <w:szCs w:val="28"/>
          <w:highlight w:val="none"/>
          <w:lang w:val="en-US" w:eastAsia="zh-CN"/>
        </w:rPr>
        <w:br w:type="page"/>
      </w:r>
    </w:p>
    <w:p w14:paraId="1F9DBE1A">
      <w:pPr>
        <w:ind w:firstLine="560"/>
        <w:jc w:val="center"/>
        <w:rPr>
          <w:rFonts w:hint="eastAsia" w:ascii="宋体" w:hAnsi="宋体" w:cs="宋体"/>
          <w:b/>
          <w:bCs/>
          <w:color w:val="auto"/>
          <w:kern w:val="10"/>
          <w:sz w:val="28"/>
          <w:szCs w:val="28"/>
          <w:highlight w:val="none"/>
          <w:lang w:val="zh-CN"/>
        </w:rPr>
      </w:pPr>
      <w:r>
        <w:rPr>
          <w:rFonts w:hint="eastAsia" w:ascii="宋体" w:hAnsi="宋体" w:cs="宋体"/>
          <w:b/>
          <w:bCs/>
          <w:color w:val="auto"/>
          <w:kern w:val="10"/>
          <w:sz w:val="28"/>
          <w:szCs w:val="28"/>
          <w:highlight w:val="none"/>
          <w:lang w:val="en-US" w:eastAsia="zh-CN"/>
        </w:rPr>
        <w:t>4、</w:t>
      </w:r>
      <w:r>
        <w:rPr>
          <w:rFonts w:hint="eastAsia" w:ascii="宋体" w:hAnsi="宋体" w:cs="宋体"/>
          <w:b/>
          <w:bCs/>
          <w:color w:val="auto"/>
          <w:kern w:val="10"/>
          <w:sz w:val="28"/>
          <w:szCs w:val="28"/>
          <w:highlight w:val="none"/>
          <w:lang w:val="zh-CN"/>
        </w:rPr>
        <w:t>满足《中华人民共和国政府采购法》第二十二条规定的承诺书</w:t>
      </w:r>
    </w:p>
    <w:p w14:paraId="5481231A">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5F67068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5BF6357C">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一、我单位全称为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，注册地点为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，统一社会信用代码为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法定代表人（主要负责人）为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联系方式为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9173D1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二、我单位具有独立承担民事责任的能力(如分公司参加投标的，其民事责任由总公司承担)。</w:t>
      </w:r>
    </w:p>
    <w:p w14:paraId="64EC2D45">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三、我单位具有良好的商业信誉和健全的财务会计制度。 </w:t>
      </w:r>
    </w:p>
    <w:p w14:paraId="28F48F8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四、我单位具有履行合同所必需的设备和专业技术能力。 </w:t>
      </w:r>
    </w:p>
    <w:p w14:paraId="6A1486A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五、我单位有依法缴纳税收和社会保障资金的良好记录。</w:t>
      </w:r>
    </w:p>
    <w:p w14:paraId="4EC082CC">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bookmarkStart w:id="661" w:name="_Toc4968"/>
      <w:bookmarkStart w:id="662" w:name="_Toc27798"/>
      <w:bookmarkStart w:id="663" w:name="_Toc12051"/>
    </w:p>
    <w:p w14:paraId="5887093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七、我单位具备法律、行政法规规定的其他条件。</w:t>
      </w:r>
      <w:bookmarkEnd w:id="661"/>
      <w:bookmarkEnd w:id="662"/>
      <w:bookmarkEnd w:id="663"/>
    </w:p>
    <w:p w14:paraId="45BDCA0E">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57E21868">
      <w:pPr>
        <w:spacing w:line="480" w:lineRule="exact"/>
        <w:ind w:firstLine="105" w:firstLineChars="50"/>
        <w:rPr>
          <w:rFonts w:ascii="宋体" w:hAnsi="宋体" w:cs="宋体"/>
          <w:color w:val="auto"/>
          <w:highlight w:val="none"/>
        </w:rPr>
      </w:pPr>
    </w:p>
    <w:p w14:paraId="17A1E566">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42E9D202">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none"/>
          <w:lang w:eastAsia="zh-CN"/>
        </w:rPr>
        <w:t>（</w:t>
      </w:r>
      <w:r>
        <w:rPr>
          <w:rFonts w:hint="eastAsia" w:ascii="宋体" w:hAnsi="宋体" w:cs="宋体"/>
          <w:b w:val="0"/>
          <w:bCs w:val="0"/>
          <w:color w:val="auto"/>
          <w:sz w:val="24"/>
          <w:szCs w:val="24"/>
          <w:highlight w:val="none"/>
        </w:rPr>
        <w:t>电子签章）</w:t>
      </w:r>
    </w:p>
    <w:p w14:paraId="5C66B1BF">
      <w:pPr>
        <w:tabs>
          <w:tab w:val="left" w:pos="720"/>
        </w:tabs>
        <w:spacing w:line="540" w:lineRule="exact"/>
        <w:ind w:firstLine="3600" w:firstLineChars="1500"/>
        <w:rPr>
          <w:rFonts w:ascii="宋体" w:hAnsi="宋体" w:cs="宋体"/>
          <w:sz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0E77285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788EE74">
      <w:pPr>
        <w:bidi w:val="0"/>
        <w:rPr>
          <w:rFonts w:hint="default"/>
          <w:highlight w:val="none"/>
          <w:lang w:val="en-US" w:eastAsia="zh-CN"/>
        </w:rPr>
      </w:pPr>
    </w:p>
    <w:p w14:paraId="08442EC8">
      <w:pPr>
        <w:bidi w:val="0"/>
        <w:rPr>
          <w:rFonts w:hint="eastAsia"/>
          <w:highlight w:val="none"/>
          <w:lang w:val="en-US" w:eastAsia="zh-CN"/>
        </w:rPr>
      </w:pPr>
    </w:p>
    <w:p w14:paraId="36A1E5B7">
      <w:pPr>
        <w:bidi w:val="0"/>
        <w:rPr>
          <w:rFonts w:hint="eastAsia"/>
          <w:highlight w:val="none"/>
          <w:lang w:val="en-US" w:eastAsia="zh-CN"/>
        </w:rPr>
      </w:pPr>
    </w:p>
    <w:p w14:paraId="2FB14781">
      <w:pPr>
        <w:tabs>
          <w:tab w:val="left" w:pos="2817"/>
        </w:tabs>
        <w:bidi w:val="0"/>
        <w:jc w:val="left"/>
        <w:rPr>
          <w:rFonts w:hint="eastAsia"/>
          <w:highlight w:val="none"/>
          <w:lang w:val="en-US" w:eastAsia="zh-CN"/>
        </w:rPr>
      </w:pPr>
      <w:r>
        <w:rPr>
          <w:rFonts w:hint="eastAsia"/>
          <w:highlight w:val="none"/>
          <w:lang w:val="en-US" w:eastAsia="zh-CN"/>
        </w:rPr>
        <w:tab/>
      </w:r>
    </w:p>
    <w:p w14:paraId="58795CC6">
      <w:pPr>
        <w:rPr>
          <w:highlight w:val="none"/>
        </w:rPr>
      </w:pPr>
    </w:p>
    <w:sectPr>
      <w:footerReference r:id="rId7" w:type="default"/>
      <w:pgSz w:w="11906" w:h="16838"/>
      <w:pgMar w:top="1134" w:right="850" w:bottom="1134" w:left="850" w:header="0" w:footer="68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ongti SC Bold">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A0AC">
    <w:pPr>
      <w:pStyle w:val="15"/>
      <w:jc w:val="right"/>
    </w:pPr>
  </w:p>
  <w:p w14:paraId="096B7FB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29D9">
    <w:pPr>
      <w:pStyle w:val="1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C02B1">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14:paraId="357C02B1">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2131BA4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0C4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DC5719">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14:paraId="4DDC5719">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74E55">
    <w:pPr>
      <w:pStyle w:val="15"/>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21CDF7">
                          <w:pPr>
                            <w:pStyle w:val="15"/>
                          </w:pPr>
                          <w:r>
                            <w:fldChar w:fldCharType="begin"/>
                          </w:r>
                          <w:r>
                            <w:instrText xml:space="preserve"> PAGE  \* MERGEFORMAT </w:instrText>
                          </w:r>
                          <w:r>
                            <w:fldChar w:fldCharType="separate"/>
                          </w:r>
                          <w:r>
                            <w:t>77</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6C21CDF7">
                    <w:pPr>
                      <w:pStyle w:val="15"/>
                    </w:pPr>
                    <w:r>
                      <w:fldChar w:fldCharType="begin"/>
                    </w:r>
                    <w:r>
                      <w:instrText xml:space="preserve"> PAGE  \* MERGEFORMAT </w:instrText>
                    </w:r>
                    <w:r>
                      <w:fldChar w:fldCharType="separate"/>
                    </w:r>
                    <w:r>
                      <w:t>77</w:t>
                    </w:r>
                    <w:r>
                      <w:fldChar w:fldCharType="end"/>
                    </w:r>
                  </w:p>
                </w:txbxContent>
              </v:textbox>
            </v:shape>
          </w:pict>
        </mc:Fallback>
      </mc:AlternateContent>
    </w:r>
  </w:p>
  <w:p w14:paraId="6DB2B4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559C">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B2AA"/>
    <w:multiLevelType w:val="singleLevel"/>
    <w:tmpl w:val="A5E2B2AA"/>
    <w:lvl w:ilvl="0" w:tentative="0">
      <w:start w:val="3"/>
      <w:numFmt w:val="chineseCounting"/>
      <w:suff w:val="nothing"/>
      <w:lvlText w:val="%1、"/>
      <w:lvlJc w:val="left"/>
      <w:pPr>
        <w:ind w:left="0" w:firstLine="0"/>
      </w:pPr>
    </w:lvl>
  </w:abstractNum>
  <w:abstractNum w:abstractNumId="1">
    <w:nsid w:val="4A897137"/>
    <w:multiLevelType w:val="singleLevel"/>
    <w:tmpl w:val="4A897137"/>
    <w:lvl w:ilvl="0" w:tentative="0">
      <w:start w:val="1"/>
      <w:numFmt w:val="chineseCounting"/>
      <w:suff w:val="space"/>
      <w:lvlText w:val="第%1章"/>
      <w:lvlJc w:val="left"/>
      <w:rPr>
        <w:rFonts w:hint="eastAsia"/>
      </w:rPr>
    </w:lvl>
  </w:abstractNum>
  <w:abstractNum w:abstractNumId="2">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3">
    <w:nsid w:val="669F2904"/>
    <w:multiLevelType w:val="singleLevel"/>
    <w:tmpl w:val="669F2904"/>
    <w:lvl w:ilvl="0" w:tentative="0">
      <w:start w:val="1"/>
      <w:numFmt w:val="decimal"/>
      <w:suff w:val="nothing"/>
      <w:lvlText w:val="（%1）"/>
      <w:lvlJc w:val="left"/>
    </w:lvl>
  </w:abstractNum>
  <w:num w:numId="1">
    <w:abstractNumId w:val="1"/>
  </w:num>
  <w:num w:numId="2">
    <w:abstractNumId w:val="3"/>
  </w:num>
  <w:num w:numId="3">
    <w:abstractNumId w:val="2"/>
  </w:num>
  <w:num w:numId="4">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ZBoSHTQi3uxqAunzjlZvNp/xg/E=" w:salt="1hJM6wcsmZ6yvXyr+x2oDw=="/>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OGNjNmI1YWE1YTczNjU3OTdiYjc3MWFiNjNmMmQifQ=="/>
  </w:docVars>
  <w:rsids>
    <w:rsidRoot w:val="71F43818"/>
    <w:rsid w:val="00020076"/>
    <w:rsid w:val="000C1D1A"/>
    <w:rsid w:val="00190317"/>
    <w:rsid w:val="00283DA2"/>
    <w:rsid w:val="00362F69"/>
    <w:rsid w:val="004748E1"/>
    <w:rsid w:val="005E050E"/>
    <w:rsid w:val="00755FCF"/>
    <w:rsid w:val="007D650B"/>
    <w:rsid w:val="00852759"/>
    <w:rsid w:val="00917AF2"/>
    <w:rsid w:val="009A6180"/>
    <w:rsid w:val="00A13E6F"/>
    <w:rsid w:val="00A328F1"/>
    <w:rsid w:val="00A410B1"/>
    <w:rsid w:val="00AF10F4"/>
    <w:rsid w:val="00BF3FB6"/>
    <w:rsid w:val="00D23152"/>
    <w:rsid w:val="00E704F3"/>
    <w:rsid w:val="00F57F6F"/>
    <w:rsid w:val="018856AF"/>
    <w:rsid w:val="022573A2"/>
    <w:rsid w:val="027D2D3A"/>
    <w:rsid w:val="03190CB5"/>
    <w:rsid w:val="035241C7"/>
    <w:rsid w:val="043B54E7"/>
    <w:rsid w:val="052F4C66"/>
    <w:rsid w:val="054611D9"/>
    <w:rsid w:val="05C96845"/>
    <w:rsid w:val="066C0B87"/>
    <w:rsid w:val="069A65B0"/>
    <w:rsid w:val="0721282E"/>
    <w:rsid w:val="07A92F90"/>
    <w:rsid w:val="07CF5DE6"/>
    <w:rsid w:val="07F615C4"/>
    <w:rsid w:val="08D538D0"/>
    <w:rsid w:val="091566A3"/>
    <w:rsid w:val="0A110938"/>
    <w:rsid w:val="0AE65AEC"/>
    <w:rsid w:val="0B0F299D"/>
    <w:rsid w:val="0BE91440"/>
    <w:rsid w:val="0C1C4786"/>
    <w:rsid w:val="0CDD04C4"/>
    <w:rsid w:val="0CE51C08"/>
    <w:rsid w:val="0D0227BA"/>
    <w:rsid w:val="0D5374B9"/>
    <w:rsid w:val="0F370621"/>
    <w:rsid w:val="111C550B"/>
    <w:rsid w:val="114B6088"/>
    <w:rsid w:val="11B322D4"/>
    <w:rsid w:val="123E04D5"/>
    <w:rsid w:val="128819B3"/>
    <w:rsid w:val="12CF1390"/>
    <w:rsid w:val="13B52D57"/>
    <w:rsid w:val="1434540F"/>
    <w:rsid w:val="14661880"/>
    <w:rsid w:val="16C805D0"/>
    <w:rsid w:val="180E64B6"/>
    <w:rsid w:val="182E0907"/>
    <w:rsid w:val="18DD40DB"/>
    <w:rsid w:val="197467ED"/>
    <w:rsid w:val="19CF7EC7"/>
    <w:rsid w:val="19F21FD6"/>
    <w:rsid w:val="1ADC673A"/>
    <w:rsid w:val="1C0F0A4F"/>
    <w:rsid w:val="1CBF2475"/>
    <w:rsid w:val="1D17405F"/>
    <w:rsid w:val="1D3F0B4F"/>
    <w:rsid w:val="1D4C108D"/>
    <w:rsid w:val="1D81597C"/>
    <w:rsid w:val="1DA84CB7"/>
    <w:rsid w:val="1E222CBC"/>
    <w:rsid w:val="1EE44415"/>
    <w:rsid w:val="1FFB158D"/>
    <w:rsid w:val="21774F7A"/>
    <w:rsid w:val="21D97B35"/>
    <w:rsid w:val="236D2C2B"/>
    <w:rsid w:val="238A2375"/>
    <w:rsid w:val="23AB3753"/>
    <w:rsid w:val="246102B6"/>
    <w:rsid w:val="24967F5F"/>
    <w:rsid w:val="265359DC"/>
    <w:rsid w:val="267A11BB"/>
    <w:rsid w:val="27BA30B5"/>
    <w:rsid w:val="2973261D"/>
    <w:rsid w:val="29A30A29"/>
    <w:rsid w:val="2A810D6A"/>
    <w:rsid w:val="2A8D32ED"/>
    <w:rsid w:val="2AE17A5A"/>
    <w:rsid w:val="2B0F6376"/>
    <w:rsid w:val="2B710DDE"/>
    <w:rsid w:val="2BC76C50"/>
    <w:rsid w:val="2C163734"/>
    <w:rsid w:val="2C267E1B"/>
    <w:rsid w:val="2CEB4BC0"/>
    <w:rsid w:val="2CF9108B"/>
    <w:rsid w:val="2EDA313F"/>
    <w:rsid w:val="2F2B399A"/>
    <w:rsid w:val="2F9E5F1A"/>
    <w:rsid w:val="308710A4"/>
    <w:rsid w:val="30F42A4E"/>
    <w:rsid w:val="32717916"/>
    <w:rsid w:val="32BD0DAD"/>
    <w:rsid w:val="32F553A9"/>
    <w:rsid w:val="334B25BD"/>
    <w:rsid w:val="33D76A35"/>
    <w:rsid w:val="35260E8C"/>
    <w:rsid w:val="354E03E2"/>
    <w:rsid w:val="35527ED3"/>
    <w:rsid w:val="35C53491"/>
    <w:rsid w:val="364853F6"/>
    <w:rsid w:val="378325C5"/>
    <w:rsid w:val="3790083E"/>
    <w:rsid w:val="37AB5678"/>
    <w:rsid w:val="37CB7AC8"/>
    <w:rsid w:val="3889256C"/>
    <w:rsid w:val="391A34DD"/>
    <w:rsid w:val="39324A2E"/>
    <w:rsid w:val="39447B32"/>
    <w:rsid w:val="3A8B353F"/>
    <w:rsid w:val="3B892174"/>
    <w:rsid w:val="3BAA5C47"/>
    <w:rsid w:val="3C1557B6"/>
    <w:rsid w:val="3C797AF3"/>
    <w:rsid w:val="3D0015D6"/>
    <w:rsid w:val="3D4F538F"/>
    <w:rsid w:val="3EFE2128"/>
    <w:rsid w:val="3F316DAB"/>
    <w:rsid w:val="3FC32579"/>
    <w:rsid w:val="3FF4404A"/>
    <w:rsid w:val="403E12AD"/>
    <w:rsid w:val="40A92971"/>
    <w:rsid w:val="414A6E99"/>
    <w:rsid w:val="41656898"/>
    <w:rsid w:val="42095E6B"/>
    <w:rsid w:val="43C233FA"/>
    <w:rsid w:val="43D85DD8"/>
    <w:rsid w:val="44D17985"/>
    <w:rsid w:val="45D20966"/>
    <w:rsid w:val="46904934"/>
    <w:rsid w:val="47963A35"/>
    <w:rsid w:val="484756CC"/>
    <w:rsid w:val="48F14EB5"/>
    <w:rsid w:val="49F70BF1"/>
    <w:rsid w:val="4AC663E7"/>
    <w:rsid w:val="4AFC4344"/>
    <w:rsid w:val="4B14769A"/>
    <w:rsid w:val="4B380F77"/>
    <w:rsid w:val="4B9506C1"/>
    <w:rsid w:val="4BEB208F"/>
    <w:rsid w:val="4C7402D7"/>
    <w:rsid w:val="4CA74191"/>
    <w:rsid w:val="4E3F66C2"/>
    <w:rsid w:val="4EC310A1"/>
    <w:rsid w:val="50A81D2A"/>
    <w:rsid w:val="51025EB1"/>
    <w:rsid w:val="522C3D5E"/>
    <w:rsid w:val="52E57838"/>
    <w:rsid w:val="538F5B46"/>
    <w:rsid w:val="54AD260C"/>
    <w:rsid w:val="54DC44E0"/>
    <w:rsid w:val="555F0A4F"/>
    <w:rsid w:val="56252C91"/>
    <w:rsid w:val="563A7E9B"/>
    <w:rsid w:val="564C7BCE"/>
    <w:rsid w:val="577142D5"/>
    <w:rsid w:val="577218B7"/>
    <w:rsid w:val="578C4726"/>
    <w:rsid w:val="57D63BF4"/>
    <w:rsid w:val="590666CF"/>
    <w:rsid w:val="5B1C4013"/>
    <w:rsid w:val="5B323837"/>
    <w:rsid w:val="5B357A75"/>
    <w:rsid w:val="5B590DC3"/>
    <w:rsid w:val="5B953DC6"/>
    <w:rsid w:val="5C871960"/>
    <w:rsid w:val="5C926829"/>
    <w:rsid w:val="5C98591B"/>
    <w:rsid w:val="5D0515DC"/>
    <w:rsid w:val="5D7874FB"/>
    <w:rsid w:val="5DD24E5D"/>
    <w:rsid w:val="5E7B72A3"/>
    <w:rsid w:val="5F824661"/>
    <w:rsid w:val="603B13E0"/>
    <w:rsid w:val="614222FA"/>
    <w:rsid w:val="619F774C"/>
    <w:rsid w:val="61D75138"/>
    <w:rsid w:val="6223037D"/>
    <w:rsid w:val="64750774"/>
    <w:rsid w:val="64A3027B"/>
    <w:rsid w:val="64D21BE7"/>
    <w:rsid w:val="6509791F"/>
    <w:rsid w:val="659B79F7"/>
    <w:rsid w:val="676E5BF7"/>
    <w:rsid w:val="67BA0E3C"/>
    <w:rsid w:val="69A47FF6"/>
    <w:rsid w:val="6A200EA0"/>
    <w:rsid w:val="6A2852E7"/>
    <w:rsid w:val="6B170353"/>
    <w:rsid w:val="6B5F2BC5"/>
    <w:rsid w:val="6C5630FD"/>
    <w:rsid w:val="6C692E30"/>
    <w:rsid w:val="6C8372DC"/>
    <w:rsid w:val="6C856CB2"/>
    <w:rsid w:val="6C9F4AA4"/>
    <w:rsid w:val="6CEE0DE1"/>
    <w:rsid w:val="6D997745"/>
    <w:rsid w:val="6F190B3E"/>
    <w:rsid w:val="6F457B85"/>
    <w:rsid w:val="6F5C0A2B"/>
    <w:rsid w:val="70052E70"/>
    <w:rsid w:val="70817E10"/>
    <w:rsid w:val="716B764B"/>
    <w:rsid w:val="717257EB"/>
    <w:rsid w:val="7193383D"/>
    <w:rsid w:val="71B92164"/>
    <w:rsid w:val="71F43818"/>
    <w:rsid w:val="720C498A"/>
    <w:rsid w:val="7210751D"/>
    <w:rsid w:val="721B697B"/>
    <w:rsid w:val="721F76EB"/>
    <w:rsid w:val="7258372B"/>
    <w:rsid w:val="72ED47BB"/>
    <w:rsid w:val="74055B35"/>
    <w:rsid w:val="7496678D"/>
    <w:rsid w:val="76982C90"/>
    <w:rsid w:val="76E539FB"/>
    <w:rsid w:val="76FB714E"/>
    <w:rsid w:val="773D7394"/>
    <w:rsid w:val="776021E0"/>
    <w:rsid w:val="77F24622"/>
    <w:rsid w:val="782D3DAB"/>
    <w:rsid w:val="78915613"/>
    <w:rsid w:val="7931117A"/>
    <w:rsid w:val="79B25E17"/>
    <w:rsid w:val="7AB4796D"/>
    <w:rsid w:val="7AED2859"/>
    <w:rsid w:val="7CBA205F"/>
    <w:rsid w:val="7D371058"/>
    <w:rsid w:val="7D8F021D"/>
    <w:rsid w:val="7E6913DD"/>
    <w:rsid w:val="7F4451D2"/>
    <w:rsid w:val="7F596D35"/>
    <w:rsid w:val="7FC71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6" w:lineRule="auto"/>
      <w:outlineLvl w:val="0"/>
    </w:pPr>
    <w:rPr>
      <w:rFonts w:ascii="Times New Roman" w:hAnsi="Times New Roman" w:eastAsia="宋体"/>
      <w:b/>
      <w:bCs/>
      <w:kern w:val="44"/>
      <w:sz w:val="32"/>
      <w:szCs w:val="44"/>
    </w:rPr>
  </w:style>
  <w:style w:type="paragraph" w:styleId="4">
    <w:name w:val="heading 2"/>
    <w:basedOn w:val="1"/>
    <w:next w:val="1"/>
    <w:autoRedefine/>
    <w:qFormat/>
    <w:uiPriority w:val="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paragraph" w:styleId="5">
    <w:name w:val="heading 3"/>
    <w:basedOn w:val="1"/>
    <w:next w:val="1"/>
    <w:autoRedefine/>
    <w:qFormat/>
    <w:uiPriority w:val="9"/>
    <w:pPr>
      <w:keepNext/>
      <w:keepLines/>
      <w:spacing w:before="260" w:after="260" w:line="408" w:lineRule="auto"/>
      <w:outlineLvl w:val="2"/>
    </w:pPr>
    <w:rPr>
      <w:b/>
      <w:bCs/>
      <w:kern w:val="0"/>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pPr>
  </w:style>
  <w:style w:type="paragraph" w:styleId="6">
    <w:name w:val="Body Text 3"/>
    <w:basedOn w:val="1"/>
    <w:qFormat/>
    <w:uiPriority w:val="0"/>
    <w:rPr>
      <w:rFonts w:ascii="宋体"/>
      <w:sz w:val="24"/>
      <w:szCs w:val="20"/>
    </w:rPr>
  </w:style>
  <w:style w:type="paragraph" w:styleId="7">
    <w:name w:val="Body Text"/>
    <w:basedOn w:val="1"/>
    <w:next w:val="8"/>
    <w:autoRedefine/>
    <w:unhideWhenUsed/>
    <w:qFormat/>
    <w:uiPriority w:val="99"/>
    <w:pPr>
      <w:spacing w:after="120"/>
    </w:pPr>
    <w:rPr>
      <w:kern w:val="0"/>
      <w:sz w:val="20"/>
    </w:rPr>
  </w:style>
  <w:style w:type="paragraph" w:styleId="8">
    <w:name w:val="Body Text 2"/>
    <w:basedOn w:val="1"/>
    <w:next w:val="9"/>
    <w:autoRedefine/>
    <w:qFormat/>
    <w:uiPriority w:val="0"/>
    <w:pPr>
      <w:spacing w:line="500" w:lineRule="exact"/>
      <w:jc w:val="center"/>
    </w:pPr>
    <w:rPr>
      <w:rFonts w:eastAsia="方正小标宋_GBK"/>
      <w:spacing w:val="-20"/>
      <w:sz w:val="44"/>
    </w:rPr>
  </w:style>
  <w:style w:type="paragraph" w:styleId="9">
    <w:name w:val="Plain Text"/>
    <w:basedOn w:val="1"/>
    <w:autoRedefine/>
    <w:unhideWhenUsed/>
    <w:qFormat/>
    <w:uiPriority w:val="99"/>
    <w:rPr>
      <w:rFonts w:ascii="Courier New" w:hAnsi="Courier New"/>
      <w:kern w:val="0"/>
      <w:sz w:val="20"/>
      <w:szCs w:val="20"/>
    </w:rPr>
  </w:style>
  <w:style w:type="paragraph" w:styleId="10">
    <w:name w:val="Body Text Indent"/>
    <w:basedOn w:val="1"/>
    <w:next w:val="11"/>
    <w:autoRedefine/>
    <w:unhideWhenUsed/>
    <w:qFormat/>
    <w:uiPriority w:val="99"/>
    <w:pPr>
      <w:spacing w:after="120"/>
      <w:ind w:left="420" w:leftChars="200"/>
    </w:pPr>
    <w:rPr>
      <w:kern w:val="0"/>
      <w:sz w:val="20"/>
    </w:rPr>
  </w:style>
  <w:style w:type="paragraph" w:styleId="11">
    <w:name w:val="Body Text First Indent 2"/>
    <w:basedOn w:val="1"/>
    <w:next w:val="1"/>
    <w:autoRedefine/>
    <w:qFormat/>
    <w:uiPriority w:val="0"/>
    <w:pPr>
      <w:spacing w:before="100" w:beforeAutospacing="1" w:line="360" w:lineRule="auto"/>
      <w:ind w:firstLine="420"/>
    </w:pPr>
    <w:rPr>
      <w:rFonts w:eastAsia="Arial Unicode MS"/>
      <w:color w:val="000000"/>
    </w:rPr>
  </w:style>
  <w:style w:type="paragraph" w:styleId="12">
    <w:name w:val="toc 3"/>
    <w:basedOn w:val="1"/>
    <w:next w:val="1"/>
    <w:autoRedefine/>
    <w:qFormat/>
    <w:uiPriority w:val="39"/>
    <w:pPr>
      <w:ind w:left="840" w:leftChars="400"/>
    </w:pPr>
  </w:style>
  <w:style w:type="paragraph" w:styleId="13">
    <w:name w:val="Date"/>
    <w:basedOn w:val="1"/>
    <w:next w:val="1"/>
    <w:autoRedefine/>
    <w:semiHidden/>
    <w:qFormat/>
    <w:uiPriority w:val="0"/>
    <w:pPr>
      <w:spacing w:before="100" w:beforeAutospacing="1" w:after="100" w:afterAutospacing="1"/>
      <w:ind w:left="2500" w:leftChars="2500"/>
    </w:pPr>
    <w:rPr>
      <w:kern w:val="0"/>
      <w:sz w:val="20"/>
    </w:rPr>
  </w:style>
  <w:style w:type="paragraph" w:styleId="14">
    <w:name w:val="Body Text Indent 2"/>
    <w:basedOn w:val="1"/>
    <w:qFormat/>
    <w:uiPriority w:val="99"/>
    <w:pPr>
      <w:widowControl/>
      <w:spacing w:after="454" w:line="500" w:lineRule="exact"/>
      <w:ind w:left="768" w:firstLine="420" w:firstLineChars="200"/>
      <w:jc w:val="left"/>
    </w:pPr>
    <w:rPr>
      <w:rFonts w:ascii="Calibri" w:hAnsi="Calibri"/>
      <w:color w:val="000000"/>
      <w:kern w:val="0"/>
      <w:sz w:val="24"/>
      <w:szCs w:val="20"/>
    </w:rPr>
  </w:style>
  <w:style w:type="paragraph" w:styleId="15">
    <w:name w:val="footer"/>
    <w:basedOn w:val="1"/>
    <w:autoRedefine/>
    <w:qFormat/>
    <w:uiPriority w:val="99"/>
    <w:pPr>
      <w:tabs>
        <w:tab w:val="center" w:pos="4153"/>
        <w:tab w:val="right" w:pos="8306"/>
      </w:tabs>
      <w:snapToGrid w:val="0"/>
      <w:jc w:val="left"/>
    </w:pPr>
    <w:rPr>
      <w:rFonts w:ascii="Calibri" w:hAnsi="Calibri"/>
      <w:kern w:val="0"/>
      <w:sz w:val="18"/>
      <w:szCs w:val="18"/>
    </w:rPr>
  </w:style>
  <w:style w:type="paragraph" w:styleId="16">
    <w:name w:val="envelope return"/>
    <w:basedOn w:val="1"/>
    <w:unhideWhenUsed/>
    <w:qFormat/>
    <w:uiPriority w:val="99"/>
    <w:pPr>
      <w:snapToGrid w:val="0"/>
    </w:pPr>
    <w:rPr>
      <w:rFonts w:ascii="等线 Light" w:hAnsi="等线 Light" w:eastAsia="等线 Light" w:cs="Times New Roman"/>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unhideWhenUsed/>
    <w:qFormat/>
    <w:uiPriority w:val="39"/>
    <w:pPr>
      <w:spacing w:before="120" w:after="120"/>
      <w:jc w:val="left"/>
    </w:pPr>
    <w:rPr>
      <w:rFonts w:ascii="Calibri" w:hAnsi="Calibri"/>
      <w:b/>
      <w:bCs/>
      <w:caps/>
      <w:sz w:val="20"/>
      <w:szCs w:val="20"/>
    </w:rPr>
  </w:style>
  <w:style w:type="paragraph" w:styleId="19">
    <w:name w:val="footnote text"/>
    <w:basedOn w:val="1"/>
    <w:autoRedefine/>
    <w:qFormat/>
    <w:uiPriority w:val="0"/>
    <w:rPr>
      <w:kern w:val="0"/>
      <w:sz w:val="20"/>
      <w:szCs w:val="20"/>
    </w:rPr>
  </w:style>
  <w:style w:type="paragraph" w:styleId="20">
    <w:name w:val="toc 2"/>
    <w:basedOn w:val="1"/>
    <w:next w:val="1"/>
    <w:autoRedefine/>
    <w:qFormat/>
    <w:uiPriority w:val="39"/>
    <w:pPr>
      <w:ind w:left="420" w:leftChars="200"/>
    </w:pPr>
  </w:style>
  <w:style w:type="paragraph" w:styleId="2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7"/>
    <w:next w:val="11"/>
    <w:autoRedefine/>
    <w:qFormat/>
    <w:uiPriority w:val="0"/>
    <w:pPr>
      <w:spacing w:line="360" w:lineRule="auto"/>
      <w:ind w:firstLine="420"/>
    </w:pPr>
    <w:rPr>
      <w:rFonts w:eastAsia="Arial Unicode MS"/>
      <w:color w:val="000000"/>
      <w:sz w:val="28"/>
      <w:szCs w:val="28"/>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autoRedefine/>
    <w:qFormat/>
    <w:uiPriority w:val="99"/>
    <w:rPr>
      <w:color w:val="000000"/>
      <w:u w:val="none"/>
    </w:r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无间隔1"/>
    <w:qFormat/>
    <w:uiPriority w:val="99"/>
    <w:pPr>
      <w:widowControl w:val="0"/>
      <w:jc w:val="both"/>
    </w:pPr>
    <w:rPr>
      <w:rFonts w:ascii="Calibri" w:hAnsi="Calibri" w:eastAsia="宋体" w:cs="Times New Roman"/>
      <w:kern w:val="2"/>
      <w:sz w:val="21"/>
      <w:szCs w:val="22"/>
      <w:lang w:val="en-US" w:eastAsia="zh-CN" w:bidi="ar-SA"/>
    </w:rPr>
  </w:style>
  <w:style w:type="paragraph" w:styleId="31">
    <w:name w:val="List Paragraph"/>
    <w:basedOn w:val="1"/>
    <w:autoRedefine/>
    <w:qFormat/>
    <w:uiPriority w:val="34"/>
    <w:pPr>
      <w:ind w:firstLine="420" w:firstLineChars="200"/>
    </w:pPr>
    <w:rPr>
      <w:rFonts w:ascii="Calibri" w:hAnsi="Calibri"/>
      <w:szCs w:val="22"/>
    </w:rPr>
  </w:style>
  <w:style w:type="paragraph" w:customStyle="1" w:styleId="32">
    <w:name w:val="正文 A"/>
    <w:autoRedefine/>
    <w:qFormat/>
    <w:uiPriority w:val="0"/>
    <w:pPr>
      <w:widowControl w:val="0"/>
      <w:spacing w:line="360" w:lineRule="auto"/>
      <w:ind w:firstLine="472"/>
      <w:jc w:val="both"/>
    </w:pPr>
    <w:rPr>
      <w:rFonts w:ascii="Songti SC Bold" w:hAnsi="Arial Unicode MS" w:eastAsia="Arial Unicode MS" w:cs="Arial Unicode MS"/>
      <w:color w:val="000000"/>
      <w:sz w:val="24"/>
      <w:szCs w:val="24"/>
      <w:lang w:val="en-US" w:eastAsia="zh-CN" w:bidi="ar-SA"/>
    </w:rPr>
  </w:style>
  <w:style w:type="character" w:customStyle="1" w:styleId="33">
    <w:name w:val="font191"/>
    <w:basedOn w:val="26"/>
    <w:qFormat/>
    <w:uiPriority w:val="0"/>
    <w:rPr>
      <w:rFonts w:ascii="Arial" w:hAnsi="Arial" w:cs="Arial"/>
      <w:color w:val="000000"/>
      <w:sz w:val="20"/>
      <w:szCs w:val="20"/>
      <w:u w:val="none"/>
    </w:rPr>
  </w:style>
  <w:style w:type="character" w:customStyle="1" w:styleId="34">
    <w:name w:val="font71"/>
    <w:basedOn w:val="26"/>
    <w:qFormat/>
    <w:uiPriority w:val="0"/>
    <w:rPr>
      <w:rFonts w:ascii="宋体" w:hAnsi="宋体" w:eastAsia="宋体" w:cs="宋体"/>
      <w:color w:val="000000"/>
      <w:sz w:val="20"/>
      <w:szCs w:val="20"/>
      <w:u w:val="none"/>
    </w:rPr>
  </w:style>
  <w:style w:type="character" w:customStyle="1" w:styleId="35">
    <w:name w:val="font81"/>
    <w:basedOn w:val="26"/>
    <w:qFormat/>
    <w:uiPriority w:val="0"/>
    <w:rPr>
      <w:rFonts w:hint="eastAsia" w:ascii="宋体" w:hAnsi="宋体" w:eastAsia="宋体" w:cs="宋体"/>
      <w:color w:val="000000"/>
      <w:sz w:val="20"/>
      <w:szCs w:val="20"/>
      <w:u w:val="none"/>
    </w:rPr>
  </w:style>
  <w:style w:type="character" w:customStyle="1" w:styleId="36">
    <w:name w:val="font141"/>
    <w:basedOn w:val="26"/>
    <w:qFormat/>
    <w:uiPriority w:val="0"/>
    <w:rPr>
      <w:rFonts w:hint="eastAsia" w:ascii="宋体" w:hAnsi="宋体" w:eastAsia="宋体" w:cs="宋体"/>
      <w:color w:val="FF0000"/>
      <w:sz w:val="20"/>
      <w:szCs w:val="20"/>
      <w:u w:val="none"/>
    </w:rPr>
  </w:style>
  <w:style w:type="character" w:customStyle="1" w:styleId="37">
    <w:name w:val="font151"/>
    <w:basedOn w:val="26"/>
    <w:qFormat/>
    <w:uiPriority w:val="0"/>
    <w:rPr>
      <w:rFonts w:hint="default" w:ascii="Arial" w:hAnsi="Arial" w:cs="Arial"/>
      <w:color w:val="000000"/>
      <w:sz w:val="20"/>
      <w:szCs w:val="20"/>
      <w:u w:val="none"/>
    </w:rPr>
  </w:style>
  <w:style w:type="character" w:customStyle="1" w:styleId="38">
    <w:name w:val="font171"/>
    <w:basedOn w:val="26"/>
    <w:qFormat/>
    <w:uiPriority w:val="0"/>
    <w:rPr>
      <w:rFonts w:hint="default" w:ascii="Arial" w:hAnsi="Arial" w:cs="Arial"/>
      <w:color w:val="000000"/>
      <w:sz w:val="20"/>
      <w:szCs w:val="20"/>
      <w:u w:val="none"/>
    </w:rPr>
  </w:style>
  <w:style w:type="character" w:customStyle="1" w:styleId="39">
    <w:name w:val="font181"/>
    <w:basedOn w:val="26"/>
    <w:qFormat/>
    <w:uiPriority w:val="0"/>
    <w:rPr>
      <w:rFonts w:hint="eastAsia" w:ascii="宋体" w:hAnsi="宋体" w:eastAsia="宋体" w:cs="宋体"/>
      <w:color w:val="000000"/>
      <w:sz w:val="20"/>
      <w:szCs w:val="20"/>
      <w:u w:val="none"/>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character" w:customStyle="1" w:styleId="43">
    <w:name w:val="font11"/>
    <w:basedOn w:val="26"/>
    <w:qFormat/>
    <w:uiPriority w:val="0"/>
    <w:rPr>
      <w:rFonts w:hint="eastAsia" w:ascii="宋体" w:hAnsi="宋体" w:eastAsia="宋体" w:cs="宋体"/>
      <w:color w:val="000000"/>
      <w:sz w:val="20"/>
      <w:szCs w:val="20"/>
      <w:u w:val="none"/>
    </w:rPr>
  </w:style>
  <w:style w:type="character" w:customStyle="1" w:styleId="44">
    <w:name w:val="font15"/>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71</Pages>
  <Words>5713</Words>
  <Characters>6644</Characters>
  <Lines>78</Lines>
  <Paragraphs>80</Paragraphs>
  <TotalTime>155</TotalTime>
  <ScaleCrop>false</ScaleCrop>
  <LinksUpToDate>false</LinksUpToDate>
  <CharactersWithSpaces>6842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2023-02-17T02:28:00Z</dcterms:created>
  <dc:creator>宁 倩</dc:creator>
  <cp:lastModifiedBy>zn</cp:lastModifiedBy>
  <cp:lastPrinted>2025-06-04T14:37:00Z</cp:lastPrinted>
  <dcterms:modified xsi:type="dcterms:W3CDTF">2025-07-14T09:08:02Z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7BF924B954DE4C8AA176D09F6B067AAD_13</vt:lpwstr>
  </property>
  <property fmtid="{D5CDD505-2E9C-101B-9397-08002B2CF9AE}" pid="4" name="KSOTemplateDocerSaveRecord">
    <vt:lpwstr>eyJoZGlkIjoiODY5MzM4M2JiYjVlMWQwOThjZDBjNzEzOWNiYzVjMmMiLCJ1c2VySWQiOiIxNjIxNDg2NDUxIn0=</vt:lpwstr>
  </property>
</Properties>
</file>