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076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kern w:val="0"/>
          <w:sz w:val="56"/>
          <w:szCs w:val="56"/>
          <w:highlight w:val="none"/>
          <w:lang w:eastAsia="zh-CN"/>
        </w:rPr>
      </w:pPr>
      <w:bookmarkStart w:id="112" w:name="_GoBack"/>
      <w:bookmarkEnd w:id="112"/>
    </w:p>
    <w:p w14:paraId="735C439C">
      <w:pPr>
        <w:pStyle w:val="17"/>
        <w:keepNext w:val="0"/>
        <w:keepLines w:val="0"/>
        <w:pageBreakBefore w:val="0"/>
        <w:widowControl/>
        <w:kinsoku w:val="0"/>
        <w:wordWrap/>
        <w:bidi w:val="0"/>
        <w:adjustRightInd w:val="0"/>
        <w:snapToGrid w:val="0"/>
        <w:spacing w:after="0" w:line="360" w:lineRule="auto"/>
        <w:ind w:left="0" w:leftChars="0" w:right="0" w:rightChars="0"/>
        <w:jc w:val="center"/>
        <w:outlineLvl w:val="0"/>
        <w:rPr>
          <w:color w:val="auto"/>
          <w:sz w:val="21"/>
          <w:szCs w:val="16"/>
          <w:highlight w:val="none"/>
        </w:rPr>
      </w:pPr>
      <w:bookmarkStart w:id="0" w:name="_Toc24831"/>
      <w:r>
        <w:rPr>
          <w:rFonts w:hint="eastAsia" w:ascii="宋体" w:hAnsi="宋体" w:cs="宋体"/>
          <w:b/>
          <w:color w:val="auto"/>
          <w:kern w:val="0"/>
          <w:sz w:val="48"/>
          <w:szCs w:val="48"/>
          <w:highlight w:val="none"/>
          <w:lang w:eastAsia="zh-CN"/>
        </w:rPr>
        <w:t>灵宝市农业农村局灵宝市2025年农业防灾救灾补助资金药品采购项目</w:t>
      </w:r>
      <w:bookmarkEnd w:id="0"/>
    </w:p>
    <w:p w14:paraId="51E237C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cs="宋体"/>
          <w:b/>
          <w:color w:val="auto"/>
          <w:spacing w:val="20"/>
          <w:kern w:val="0"/>
          <w:sz w:val="60"/>
          <w:szCs w:val="60"/>
          <w:highlight w:val="none"/>
        </w:rPr>
      </w:pPr>
      <w:bookmarkStart w:id="1" w:name="_Toc11779"/>
    </w:p>
    <w:p w14:paraId="74FC9DCD">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b/>
          <w:color w:val="auto"/>
          <w:spacing w:val="20"/>
          <w:sz w:val="60"/>
          <w:szCs w:val="60"/>
          <w:highlight w:val="none"/>
        </w:rPr>
      </w:pPr>
      <w:bookmarkStart w:id="2" w:name="_Toc22180"/>
      <w:r>
        <w:rPr>
          <w:rFonts w:hint="eastAsia" w:ascii="宋体" w:hAnsi="宋体" w:cs="宋体"/>
          <w:b/>
          <w:color w:val="auto"/>
          <w:spacing w:val="20"/>
          <w:kern w:val="0"/>
          <w:sz w:val="60"/>
          <w:szCs w:val="60"/>
          <w:highlight w:val="none"/>
        </w:rPr>
        <w:t>竞争性磋商文件</w:t>
      </w:r>
      <w:bookmarkEnd w:id="1"/>
      <w:bookmarkEnd w:id="2"/>
    </w:p>
    <w:p w14:paraId="66A64DBE">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cs="宋体"/>
          <w:b/>
          <w:color w:val="auto"/>
          <w:spacing w:val="20"/>
          <w:kern w:val="0"/>
          <w:sz w:val="28"/>
          <w:szCs w:val="28"/>
          <w:highlight w:val="none"/>
          <w:lang w:eastAsia="zh-CN"/>
        </w:rPr>
      </w:pPr>
      <w:r>
        <w:rPr>
          <w:rFonts w:hint="eastAsia" w:ascii="宋体" w:hAnsi="宋体" w:cs="宋体"/>
          <w:b/>
          <w:color w:val="auto"/>
          <w:spacing w:val="20"/>
          <w:kern w:val="0"/>
          <w:sz w:val="28"/>
          <w:szCs w:val="28"/>
          <w:highlight w:val="none"/>
        </w:rPr>
        <w:t>项目编号：</w:t>
      </w:r>
      <w:r>
        <w:rPr>
          <w:rFonts w:hint="eastAsia" w:ascii="宋体" w:hAnsi="宋体" w:cs="宋体"/>
          <w:b/>
          <w:color w:val="auto"/>
          <w:spacing w:val="20"/>
          <w:kern w:val="0"/>
          <w:sz w:val="28"/>
          <w:szCs w:val="28"/>
          <w:highlight w:val="none"/>
          <w:lang w:val="en-US" w:eastAsia="zh-CN"/>
        </w:rPr>
        <w:t>灵宝竞磋采购-2025-</w:t>
      </w:r>
      <w:r>
        <w:rPr>
          <w:rFonts w:hint="eastAsia" w:eastAsia="宋体"/>
          <w:sz w:val="28"/>
          <w:szCs w:val="28"/>
          <w:highlight w:val="none"/>
          <w:lang w:eastAsia="zh-CN"/>
        </w:rPr>
        <w:drawing>
          <wp:anchor distT="0" distB="0" distL="114300" distR="114300" simplePos="0" relativeHeight="251659264" behindDoc="0" locked="0" layoutInCell="1" allowOverlap="1">
            <wp:simplePos x="0" y="0"/>
            <wp:positionH relativeFrom="column">
              <wp:posOffset>588010</wp:posOffset>
            </wp:positionH>
            <wp:positionV relativeFrom="paragraph">
              <wp:posOffset>943610</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9">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r>
        <w:rPr>
          <w:rFonts w:hint="eastAsia" w:ascii="宋体" w:hAnsi="宋体" w:cs="宋体"/>
          <w:b/>
          <w:color w:val="auto"/>
          <w:spacing w:val="20"/>
          <w:kern w:val="0"/>
          <w:sz w:val="28"/>
          <w:szCs w:val="28"/>
          <w:highlight w:val="none"/>
          <w:lang w:val="en-US" w:eastAsia="zh-CN"/>
        </w:rPr>
        <w:t>110</w:t>
      </w:r>
      <w:r>
        <w:rPr>
          <w:rFonts w:hint="eastAsia" w:ascii="宋体" w:hAnsi="宋体" w:cs="宋体"/>
          <w:b/>
          <w:color w:val="auto"/>
          <w:spacing w:val="20"/>
          <w:kern w:val="0"/>
          <w:sz w:val="28"/>
          <w:szCs w:val="28"/>
          <w:highlight w:val="none"/>
          <w:lang w:eastAsia="zh-CN"/>
        </w:rPr>
        <w:t>；</w:t>
      </w:r>
      <w:r>
        <w:rPr>
          <w:rFonts w:hint="eastAsia" w:ascii="宋体" w:hAnsi="宋体" w:cs="宋体"/>
          <w:b/>
          <w:color w:val="auto"/>
          <w:spacing w:val="20"/>
          <w:kern w:val="0"/>
          <w:sz w:val="28"/>
          <w:szCs w:val="28"/>
          <w:highlight w:val="none"/>
          <w:lang w:val="en-US" w:eastAsia="zh-CN"/>
        </w:rPr>
        <w:t>LBGZ[2025]203-ZC150</w:t>
      </w:r>
    </w:p>
    <w:p w14:paraId="7BAA994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cs="宋体"/>
          <w:b/>
          <w:color w:val="auto"/>
          <w:spacing w:val="20"/>
          <w:kern w:val="0"/>
          <w:sz w:val="28"/>
          <w:szCs w:val="28"/>
          <w:highlight w:val="none"/>
          <w:lang w:eastAsia="zh-CN"/>
        </w:rPr>
      </w:pPr>
    </w:p>
    <w:p w14:paraId="35F5B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bidi w:val="0"/>
        <w:adjustRightInd w:val="0"/>
        <w:snapToGrid w:val="0"/>
        <w:spacing w:beforeAutospacing="0" w:afterAutospacing="0" w:line="360" w:lineRule="auto"/>
        <w:ind w:left="0" w:leftChars="0" w:right="0" w:rightChars="0"/>
        <w:jc w:val="center"/>
        <w:rPr>
          <w:rFonts w:hint="eastAsia" w:ascii="宋体" w:hAnsi="宋体" w:cs="宋体"/>
          <w:b/>
          <w:color w:val="auto"/>
          <w:spacing w:val="20"/>
          <w:kern w:val="0"/>
          <w:sz w:val="32"/>
          <w:szCs w:val="32"/>
          <w:highlight w:val="none"/>
          <w:lang w:eastAsia="zh-CN"/>
        </w:rPr>
      </w:pPr>
    </w:p>
    <w:p w14:paraId="60C0FB2C">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kern w:val="0"/>
          <w:sz w:val="36"/>
          <w:szCs w:val="36"/>
          <w:highlight w:val="none"/>
        </w:rPr>
      </w:pPr>
    </w:p>
    <w:p w14:paraId="33256E3E">
      <w:pPr>
        <w:keepNext w:val="0"/>
        <w:keepLines w:val="0"/>
        <w:pageBreakBefore w:val="0"/>
        <w:widowControl/>
        <w:kinsoku w:val="0"/>
        <w:wordWrap/>
        <w:bidi w:val="0"/>
        <w:adjustRightInd w:val="0"/>
        <w:snapToGrid w:val="0"/>
        <w:spacing w:line="480" w:lineRule="auto"/>
        <w:ind w:left="0" w:leftChars="0" w:right="0" w:rightChars="0" w:firstLine="1606" w:firstLineChars="500"/>
        <w:jc w:val="left"/>
        <w:outlineLvl w:val="0"/>
        <w:rPr>
          <w:rFonts w:ascii="宋体" w:hAnsi="宋体" w:cs="宋体"/>
          <w:b/>
          <w:color w:val="auto"/>
          <w:sz w:val="32"/>
          <w:szCs w:val="32"/>
          <w:highlight w:val="none"/>
        </w:rPr>
      </w:pPr>
      <w:bookmarkStart w:id="3" w:name="_Toc19099"/>
      <w:bookmarkStart w:id="4" w:name="_Toc31259"/>
      <w:r>
        <w:rPr>
          <w:rFonts w:hint="eastAsia" w:ascii="宋体" w:hAnsi="宋体" w:cs="宋体"/>
          <w:b/>
          <w:color w:val="auto"/>
          <w:kern w:val="0"/>
          <w:sz w:val="32"/>
          <w:szCs w:val="32"/>
          <w:highlight w:val="none"/>
        </w:rPr>
        <w:t>采购人：灵宝市农业农村局</w:t>
      </w:r>
      <w:bookmarkEnd w:id="3"/>
      <w:bookmarkEnd w:id="4"/>
    </w:p>
    <w:p w14:paraId="63208115">
      <w:pPr>
        <w:keepNext w:val="0"/>
        <w:keepLines w:val="0"/>
        <w:pageBreakBefore w:val="0"/>
        <w:widowControl/>
        <w:kinsoku w:val="0"/>
        <w:wordWrap/>
        <w:bidi w:val="0"/>
        <w:adjustRightInd w:val="0"/>
        <w:snapToGrid w:val="0"/>
        <w:spacing w:line="480" w:lineRule="auto"/>
        <w:ind w:left="0" w:leftChars="0" w:right="0" w:rightChars="0" w:firstLine="1606" w:firstLineChars="500"/>
        <w:jc w:val="left"/>
        <w:outlineLvl w:val="0"/>
        <w:rPr>
          <w:rFonts w:hint="eastAsia" w:ascii="宋体" w:hAnsi="宋体" w:eastAsia="宋体" w:cs="宋体"/>
          <w:b/>
          <w:color w:val="auto"/>
          <w:kern w:val="0"/>
          <w:sz w:val="32"/>
          <w:szCs w:val="32"/>
          <w:highlight w:val="none"/>
          <w:lang w:eastAsia="zh-CN"/>
        </w:rPr>
      </w:pPr>
      <w:bookmarkStart w:id="5" w:name="_Toc16621"/>
      <w:bookmarkStart w:id="6" w:name="_Toc26804"/>
      <w:r>
        <w:rPr>
          <w:rFonts w:hint="eastAsia" w:ascii="宋体" w:hAnsi="宋体" w:cs="宋体"/>
          <w:b/>
          <w:color w:val="auto"/>
          <w:kern w:val="0"/>
          <w:sz w:val="32"/>
          <w:szCs w:val="32"/>
          <w:highlight w:val="none"/>
        </w:rPr>
        <w:t>代理机构：</w:t>
      </w:r>
      <w:bookmarkEnd w:id="5"/>
      <w:r>
        <w:rPr>
          <w:rFonts w:hint="eastAsia" w:ascii="宋体" w:hAnsi="宋体" w:cs="宋体"/>
          <w:b/>
          <w:color w:val="auto"/>
          <w:kern w:val="0"/>
          <w:sz w:val="32"/>
          <w:szCs w:val="32"/>
          <w:highlight w:val="none"/>
          <w:lang w:eastAsia="zh-CN"/>
        </w:rPr>
        <w:t>傲唐集团有限公司</w:t>
      </w:r>
      <w:bookmarkEnd w:id="6"/>
    </w:p>
    <w:p w14:paraId="1F5B05C0">
      <w:pPr>
        <w:keepNext w:val="0"/>
        <w:keepLines w:val="0"/>
        <w:pageBreakBefore w:val="0"/>
        <w:widowControl/>
        <w:kinsoku w:val="0"/>
        <w:wordWrap/>
        <w:bidi w:val="0"/>
        <w:adjustRightInd w:val="0"/>
        <w:snapToGrid w:val="0"/>
        <w:spacing w:line="480" w:lineRule="auto"/>
        <w:ind w:left="0" w:leftChars="0" w:right="0" w:rightChars="0" w:firstLine="1606" w:firstLineChars="500"/>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日</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rPr>
        <w:t>期：二零二</w:t>
      </w: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年</w:t>
      </w:r>
      <w:r>
        <w:rPr>
          <w:rFonts w:hint="eastAsia" w:ascii="宋体" w:hAnsi="宋体" w:cs="宋体"/>
          <w:b/>
          <w:color w:val="auto"/>
          <w:kern w:val="0"/>
          <w:sz w:val="32"/>
          <w:szCs w:val="32"/>
          <w:highlight w:val="none"/>
          <w:lang w:val="en-US" w:eastAsia="zh-CN"/>
        </w:rPr>
        <w:t>七</w:t>
      </w:r>
      <w:r>
        <w:rPr>
          <w:rFonts w:hint="eastAsia" w:ascii="宋体" w:hAnsi="宋体" w:cs="宋体"/>
          <w:b/>
          <w:color w:val="auto"/>
          <w:kern w:val="0"/>
          <w:sz w:val="32"/>
          <w:szCs w:val="32"/>
          <w:highlight w:val="none"/>
        </w:rPr>
        <w:t>月</w:t>
      </w:r>
    </w:p>
    <w:p w14:paraId="7471F6EB">
      <w:pPr>
        <w:pStyle w:val="17"/>
        <w:keepNext w:val="0"/>
        <w:keepLines w:val="0"/>
        <w:pageBreakBefore w:val="0"/>
        <w:widowControl/>
        <w:kinsoku w:val="0"/>
        <w:wordWrap/>
        <w:bidi w:val="0"/>
        <w:adjustRightInd w:val="0"/>
        <w:snapToGrid w:val="0"/>
        <w:spacing w:after="0" w:line="360" w:lineRule="auto"/>
        <w:ind w:left="0" w:leftChars="0" w:right="0" w:rightChars="0"/>
        <w:jc w:val="center"/>
        <w:rPr>
          <w:rFonts w:ascii="宋体" w:hAnsi="宋体" w:eastAsia="宋体" w:cs="Times New Roman"/>
          <w:color w:val="auto"/>
          <w:kern w:val="2"/>
          <w:sz w:val="21"/>
          <w:highlight w:val="none"/>
          <w:lang w:val="en-US" w:eastAsia="zh-CN" w:bidi="ar-SA"/>
        </w:rPr>
        <w:sectPr>
          <w:footerReference r:id="rId5" w:type="default"/>
          <w:pgSz w:w="11906" w:h="16838"/>
          <w:pgMar w:top="1417" w:right="1417" w:bottom="1417" w:left="1417" w:header="851" w:footer="992" w:gutter="0"/>
          <w:pgNumType w:fmt="decimal"/>
          <w:cols w:space="0" w:num="1"/>
          <w:rtlGutter w:val="0"/>
          <w:docGrid w:type="lines" w:linePitch="333" w:charSpace="0"/>
        </w:sectPr>
      </w:pPr>
    </w:p>
    <w:sdt>
      <w:sdtPr>
        <w:rPr>
          <w:rFonts w:ascii="宋体" w:hAnsi="宋体" w:eastAsia="宋体" w:cs="Times New Roman"/>
          <w:color w:val="auto"/>
          <w:kern w:val="2"/>
          <w:sz w:val="21"/>
          <w:highlight w:val="none"/>
          <w:lang w:val="en-US" w:eastAsia="zh-CN" w:bidi="ar-SA"/>
        </w:rPr>
        <w:id w:val="147452345"/>
        <w15:color w:val="DBDBDB"/>
        <w:docPartObj>
          <w:docPartGallery w:val="Table of Contents"/>
          <w:docPartUnique/>
        </w:docPartObj>
      </w:sdtPr>
      <w:sdtEndPr>
        <w:rPr>
          <w:rFonts w:ascii="宋体" w:hAnsi="宋体" w:eastAsia="宋体" w:cs="Times New Roman"/>
          <w:color w:val="auto"/>
          <w:kern w:val="2"/>
          <w:sz w:val="22"/>
          <w:szCs w:val="21"/>
          <w:highlight w:val="none"/>
          <w:lang w:val="en-US" w:eastAsia="zh-CN" w:bidi="ar-SA"/>
        </w:rPr>
      </w:sdtEndPr>
      <w:sdtContent>
        <w:p w14:paraId="3E45A139">
          <w:pPr>
            <w:keepNext w:val="0"/>
            <w:keepLines w:val="0"/>
            <w:pageBreakBefore w:val="0"/>
            <w:widowControl/>
            <w:kinsoku w:val="0"/>
            <w:wordWrap/>
            <w:bidi w:val="0"/>
            <w:adjustRightInd w:val="0"/>
            <w:snapToGrid w:val="0"/>
            <w:spacing w:line="480" w:lineRule="auto"/>
            <w:ind w:left="0" w:leftChars="0" w:right="0" w:rightChars="0"/>
            <w:jc w:val="center"/>
            <w:rPr>
              <w:rFonts w:hint="eastAsia" w:ascii="仿宋" w:hAnsi="仿宋" w:eastAsia="仿宋" w:cs="仿宋"/>
              <w:color w:val="auto"/>
              <w:kern w:val="2"/>
              <w:sz w:val="36"/>
              <w:szCs w:val="36"/>
              <w:highlight w:val="none"/>
              <w:lang w:val="en-US" w:eastAsia="zh-CN" w:bidi="ar-SA"/>
            </w:rPr>
          </w:pPr>
          <w:r>
            <w:rPr>
              <w:rFonts w:hint="eastAsia"/>
              <w:b/>
              <w:color w:val="auto"/>
              <w:sz w:val="40"/>
              <w:highlight w:val="none"/>
            </w:rPr>
            <w:t>目录</w:t>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TOC \o "1-1" \h \u </w:instrText>
          </w:r>
          <w:r>
            <w:rPr>
              <w:rFonts w:hint="eastAsia" w:ascii="仿宋" w:hAnsi="仿宋" w:eastAsia="仿宋" w:cs="仿宋"/>
              <w:color w:val="auto"/>
              <w:sz w:val="36"/>
              <w:szCs w:val="36"/>
              <w:highlight w:val="none"/>
            </w:rPr>
            <w:fldChar w:fldCharType="separate"/>
          </w:r>
        </w:p>
        <w:p w14:paraId="60B0611A">
          <w:pPr>
            <w:pStyle w:val="21"/>
            <w:keepNext w:val="0"/>
            <w:keepLines w:val="0"/>
            <w:pageBreakBefore w:val="0"/>
            <w:widowControl/>
            <w:tabs>
              <w:tab w:val="right" w:leader="dot" w:pos="8312"/>
            </w:tabs>
            <w:kinsoku w:val="0"/>
            <w:wordWrap/>
            <w:bidi w:val="0"/>
            <w:adjustRightInd w:val="0"/>
            <w:snapToGrid w:val="0"/>
            <w:spacing w:line="480" w:lineRule="auto"/>
            <w:ind w:left="0" w:leftChars="0" w:right="0" w:rightChars="0"/>
            <w:jc w:val="center"/>
            <w:rPr>
              <w:sz w:val="28"/>
              <w:szCs w:val="28"/>
              <w:highlight w:val="none"/>
            </w:rPr>
          </w:pPr>
        </w:p>
        <w:p w14:paraId="09EF0BDE">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_Toc30306 </w:instrText>
          </w:r>
          <w:r>
            <w:rPr>
              <w:rFonts w:hint="eastAsia" w:ascii="仿宋" w:hAnsi="仿宋" w:eastAsia="仿宋" w:cs="仿宋"/>
              <w:sz w:val="36"/>
              <w:szCs w:val="44"/>
              <w:highlight w:val="none"/>
            </w:rPr>
            <w:fldChar w:fldCharType="separate"/>
          </w:r>
          <w:r>
            <w:rPr>
              <w:rFonts w:hint="eastAsia"/>
              <w:bCs/>
              <w:sz w:val="36"/>
              <w:szCs w:val="32"/>
              <w:highlight w:val="none"/>
            </w:rPr>
            <w:t>第一章 竞争性磋商公告</w:t>
          </w:r>
          <w:r>
            <w:rPr>
              <w:sz w:val="36"/>
              <w:szCs w:val="36"/>
              <w:highlight w:val="none"/>
            </w:rPr>
            <w:tab/>
          </w:r>
          <w:r>
            <w:rPr>
              <w:sz w:val="36"/>
              <w:szCs w:val="36"/>
              <w:highlight w:val="none"/>
            </w:rPr>
            <w:fldChar w:fldCharType="begin"/>
          </w:r>
          <w:r>
            <w:rPr>
              <w:sz w:val="36"/>
              <w:szCs w:val="36"/>
              <w:highlight w:val="none"/>
            </w:rPr>
            <w:instrText xml:space="preserve"> PAGEREF _Toc30306 \h </w:instrText>
          </w:r>
          <w:r>
            <w:rPr>
              <w:sz w:val="36"/>
              <w:szCs w:val="36"/>
              <w:highlight w:val="none"/>
            </w:rPr>
            <w:fldChar w:fldCharType="separate"/>
          </w:r>
          <w:r>
            <w:rPr>
              <w:sz w:val="36"/>
              <w:szCs w:val="36"/>
              <w:highlight w:val="none"/>
            </w:rPr>
            <w:t>1</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1E02D1EA">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_Toc21402 </w:instrText>
          </w:r>
          <w:r>
            <w:rPr>
              <w:rFonts w:hint="eastAsia" w:ascii="仿宋" w:hAnsi="仿宋" w:eastAsia="仿宋" w:cs="仿宋"/>
              <w:sz w:val="36"/>
              <w:szCs w:val="44"/>
              <w:highlight w:val="none"/>
            </w:rPr>
            <w:fldChar w:fldCharType="separate"/>
          </w:r>
          <w:r>
            <w:rPr>
              <w:rFonts w:hint="eastAsia"/>
              <w:bCs/>
              <w:sz w:val="36"/>
              <w:szCs w:val="32"/>
              <w:highlight w:val="none"/>
            </w:rPr>
            <w:t>第二章 供应商须知</w:t>
          </w:r>
          <w:r>
            <w:rPr>
              <w:sz w:val="36"/>
              <w:szCs w:val="36"/>
              <w:highlight w:val="none"/>
            </w:rPr>
            <w:tab/>
          </w:r>
          <w:r>
            <w:rPr>
              <w:sz w:val="36"/>
              <w:szCs w:val="36"/>
              <w:highlight w:val="none"/>
            </w:rPr>
            <w:fldChar w:fldCharType="begin"/>
          </w:r>
          <w:r>
            <w:rPr>
              <w:sz w:val="36"/>
              <w:szCs w:val="36"/>
              <w:highlight w:val="none"/>
            </w:rPr>
            <w:instrText xml:space="preserve"> PAGEREF _Toc21402 \h </w:instrText>
          </w:r>
          <w:r>
            <w:rPr>
              <w:sz w:val="36"/>
              <w:szCs w:val="36"/>
              <w:highlight w:val="none"/>
            </w:rPr>
            <w:fldChar w:fldCharType="separate"/>
          </w:r>
          <w:r>
            <w:rPr>
              <w:sz w:val="36"/>
              <w:szCs w:val="36"/>
              <w:highlight w:val="none"/>
            </w:rPr>
            <w:t>6</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7A01D197">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_Toc11929 </w:instrText>
          </w:r>
          <w:r>
            <w:rPr>
              <w:rFonts w:hint="eastAsia" w:ascii="仿宋" w:hAnsi="仿宋" w:eastAsia="仿宋" w:cs="仿宋"/>
              <w:sz w:val="36"/>
              <w:szCs w:val="44"/>
              <w:highlight w:val="none"/>
            </w:rPr>
            <w:fldChar w:fldCharType="separate"/>
          </w:r>
          <w:r>
            <w:rPr>
              <w:rFonts w:hAnsi="宋体" w:eastAsia="宋体" w:cs="宋体"/>
              <w:bCs/>
              <w:sz w:val="36"/>
              <w:szCs w:val="44"/>
              <w:highlight w:val="none"/>
            </w:rPr>
            <w:t>第</w:t>
          </w:r>
          <w:r>
            <w:rPr>
              <w:rFonts w:hint="eastAsia" w:hAnsi="宋体" w:eastAsia="宋体" w:cs="宋体"/>
              <w:bCs/>
              <w:sz w:val="36"/>
              <w:szCs w:val="44"/>
              <w:highlight w:val="none"/>
              <w:lang w:val="en-US" w:eastAsia="zh-CN"/>
            </w:rPr>
            <w:t>三</w:t>
          </w:r>
          <w:r>
            <w:rPr>
              <w:rFonts w:hAnsi="宋体" w:eastAsia="宋体" w:cs="宋体"/>
              <w:bCs/>
              <w:sz w:val="36"/>
              <w:szCs w:val="44"/>
              <w:highlight w:val="none"/>
            </w:rPr>
            <w:t>章 评审标准</w:t>
          </w:r>
          <w:r>
            <w:rPr>
              <w:sz w:val="36"/>
              <w:szCs w:val="36"/>
              <w:highlight w:val="none"/>
            </w:rPr>
            <w:tab/>
          </w:r>
          <w:r>
            <w:rPr>
              <w:sz w:val="36"/>
              <w:szCs w:val="36"/>
              <w:highlight w:val="none"/>
            </w:rPr>
            <w:fldChar w:fldCharType="begin"/>
          </w:r>
          <w:r>
            <w:rPr>
              <w:sz w:val="36"/>
              <w:szCs w:val="36"/>
              <w:highlight w:val="none"/>
            </w:rPr>
            <w:instrText xml:space="preserve"> PAGEREF _Toc11929 \h </w:instrText>
          </w:r>
          <w:r>
            <w:rPr>
              <w:sz w:val="36"/>
              <w:szCs w:val="36"/>
              <w:highlight w:val="none"/>
            </w:rPr>
            <w:fldChar w:fldCharType="separate"/>
          </w:r>
          <w:r>
            <w:rPr>
              <w:sz w:val="36"/>
              <w:szCs w:val="36"/>
              <w:highlight w:val="none"/>
            </w:rPr>
            <w:t>3</w:t>
          </w:r>
          <w:r>
            <w:rPr>
              <w:rFonts w:hint="eastAsia"/>
              <w:sz w:val="36"/>
              <w:szCs w:val="36"/>
              <w:highlight w:val="none"/>
              <w:lang w:val="en-US" w:eastAsia="zh-CN"/>
            </w:rPr>
            <w:t>4</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4ACC61C9">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_Toc30035 </w:instrText>
          </w:r>
          <w:r>
            <w:rPr>
              <w:rFonts w:hint="eastAsia" w:ascii="仿宋" w:hAnsi="仿宋" w:eastAsia="仿宋" w:cs="仿宋"/>
              <w:sz w:val="36"/>
              <w:szCs w:val="44"/>
              <w:highlight w:val="none"/>
            </w:rPr>
            <w:fldChar w:fldCharType="separate"/>
          </w:r>
          <w:r>
            <w:rPr>
              <w:rFonts w:hAnsi="宋体" w:eastAsia="宋体" w:cs="宋体"/>
              <w:sz w:val="36"/>
              <w:szCs w:val="44"/>
              <w:highlight w:val="none"/>
            </w:rPr>
            <w:t>第四章 合同条款及各式</w:t>
          </w:r>
          <w:r>
            <w:rPr>
              <w:sz w:val="36"/>
              <w:szCs w:val="36"/>
              <w:highlight w:val="none"/>
            </w:rPr>
            <w:tab/>
          </w:r>
          <w:r>
            <w:rPr>
              <w:sz w:val="36"/>
              <w:szCs w:val="36"/>
              <w:highlight w:val="none"/>
            </w:rPr>
            <w:fldChar w:fldCharType="begin"/>
          </w:r>
          <w:r>
            <w:rPr>
              <w:sz w:val="36"/>
              <w:szCs w:val="36"/>
              <w:highlight w:val="none"/>
            </w:rPr>
            <w:instrText xml:space="preserve"> PAGEREF _Toc30035 \h </w:instrText>
          </w:r>
          <w:r>
            <w:rPr>
              <w:sz w:val="36"/>
              <w:szCs w:val="36"/>
              <w:highlight w:val="none"/>
            </w:rPr>
            <w:fldChar w:fldCharType="separate"/>
          </w:r>
          <w:r>
            <w:rPr>
              <w:sz w:val="36"/>
              <w:szCs w:val="36"/>
              <w:highlight w:val="none"/>
            </w:rPr>
            <w:t>4</w:t>
          </w:r>
          <w:r>
            <w:rPr>
              <w:rFonts w:hint="eastAsia"/>
              <w:sz w:val="36"/>
              <w:szCs w:val="36"/>
              <w:highlight w:val="none"/>
              <w:lang w:val="en-US" w:eastAsia="zh-CN"/>
            </w:rPr>
            <w:t>6</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61245A7B">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_Toc19183 </w:instrText>
          </w:r>
          <w:r>
            <w:rPr>
              <w:rFonts w:hint="eastAsia" w:ascii="仿宋" w:hAnsi="仿宋" w:eastAsia="仿宋" w:cs="仿宋"/>
              <w:sz w:val="36"/>
              <w:szCs w:val="44"/>
              <w:highlight w:val="none"/>
            </w:rPr>
            <w:fldChar w:fldCharType="separate"/>
          </w:r>
          <w:r>
            <w:rPr>
              <w:rFonts w:hint="eastAsia"/>
              <w:bCs/>
              <w:sz w:val="36"/>
              <w:szCs w:val="32"/>
              <w:highlight w:val="none"/>
            </w:rPr>
            <w:t>第</w:t>
          </w:r>
          <w:r>
            <w:rPr>
              <w:rFonts w:hint="eastAsia"/>
              <w:bCs/>
              <w:sz w:val="36"/>
              <w:szCs w:val="32"/>
              <w:highlight w:val="none"/>
              <w:lang w:val="en-US" w:eastAsia="zh-CN"/>
            </w:rPr>
            <w:t>五</w:t>
          </w:r>
          <w:r>
            <w:rPr>
              <w:rFonts w:hint="eastAsia"/>
              <w:bCs/>
              <w:sz w:val="36"/>
              <w:szCs w:val="32"/>
              <w:highlight w:val="none"/>
            </w:rPr>
            <w:t>章 采购</w:t>
          </w:r>
          <w:r>
            <w:rPr>
              <w:rFonts w:hint="eastAsia"/>
              <w:bCs/>
              <w:sz w:val="36"/>
              <w:szCs w:val="32"/>
              <w:highlight w:val="none"/>
              <w:lang w:val="en-US" w:eastAsia="zh-CN"/>
            </w:rPr>
            <w:t>内容及技术要求</w:t>
          </w:r>
          <w:r>
            <w:rPr>
              <w:sz w:val="36"/>
              <w:szCs w:val="36"/>
              <w:highlight w:val="none"/>
            </w:rPr>
            <w:tab/>
          </w:r>
          <w:r>
            <w:rPr>
              <w:sz w:val="36"/>
              <w:szCs w:val="36"/>
              <w:highlight w:val="none"/>
            </w:rPr>
            <w:fldChar w:fldCharType="begin"/>
          </w:r>
          <w:r>
            <w:rPr>
              <w:sz w:val="36"/>
              <w:szCs w:val="36"/>
              <w:highlight w:val="none"/>
            </w:rPr>
            <w:instrText xml:space="preserve"> PAGEREF _Toc19183 \h </w:instrText>
          </w:r>
          <w:r>
            <w:rPr>
              <w:sz w:val="36"/>
              <w:szCs w:val="36"/>
              <w:highlight w:val="none"/>
            </w:rPr>
            <w:fldChar w:fldCharType="separate"/>
          </w:r>
          <w:r>
            <w:rPr>
              <w:rFonts w:hint="eastAsia"/>
              <w:sz w:val="36"/>
              <w:szCs w:val="36"/>
              <w:highlight w:val="none"/>
              <w:lang w:val="en-US" w:eastAsia="zh-CN"/>
            </w:rPr>
            <w:t>48</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5815D74B">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28"/>
              <w:szCs w:val="28"/>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_Toc31215 </w:instrText>
          </w:r>
          <w:r>
            <w:rPr>
              <w:rFonts w:hint="eastAsia" w:ascii="仿宋" w:hAnsi="仿宋" w:eastAsia="仿宋" w:cs="仿宋"/>
              <w:sz w:val="36"/>
              <w:szCs w:val="44"/>
              <w:highlight w:val="none"/>
            </w:rPr>
            <w:fldChar w:fldCharType="separate"/>
          </w:r>
          <w:r>
            <w:rPr>
              <w:rFonts w:hint="eastAsia" w:ascii="宋体" w:hAnsi="宋体" w:cs="宋体"/>
              <w:sz w:val="36"/>
              <w:szCs w:val="44"/>
              <w:highlight w:val="none"/>
            </w:rPr>
            <w:t xml:space="preserve">第六章 </w:t>
          </w:r>
          <w:r>
            <w:rPr>
              <w:rFonts w:hint="eastAsia" w:ascii="宋体" w:hAnsi="宋体" w:cs="宋体"/>
              <w:sz w:val="36"/>
              <w:szCs w:val="44"/>
              <w:highlight w:val="none"/>
              <w:lang w:eastAsia="zh-CN"/>
            </w:rPr>
            <w:t>投标文件</w:t>
          </w:r>
          <w:r>
            <w:rPr>
              <w:rFonts w:hint="eastAsia" w:ascii="宋体" w:hAnsi="宋体" w:cs="宋体"/>
              <w:sz w:val="36"/>
              <w:szCs w:val="44"/>
              <w:highlight w:val="none"/>
            </w:rPr>
            <w:t>格式</w:t>
          </w:r>
          <w:r>
            <w:rPr>
              <w:sz w:val="36"/>
              <w:szCs w:val="36"/>
              <w:highlight w:val="none"/>
            </w:rPr>
            <w:tab/>
          </w:r>
          <w:r>
            <w:rPr>
              <w:sz w:val="36"/>
              <w:szCs w:val="36"/>
              <w:highlight w:val="none"/>
            </w:rPr>
            <w:fldChar w:fldCharType="begin"/>
          </w:r>
          <w:r>
            <w:rPr>
              <w:sz w:val="36"/>
              <w:szCs w:val="36"/>
              <w:highlight w:val="none"/>
            </w:rPr>
            <w:instrText xml:space="preserve"> PAGEREF _Toc31215 \h </w:instrText>
          </w:r>
          <w:r>
            <w:rPr>
              <w:sz w:val="36"/>
              <w:szCs w:val="36"/>
              <w:highlight w:val="none"/>
            </w:rPr>
            <w:fldChar w:fldCharType="separate"/>
          </w:r>
          <w:r>
            <w:rPr>
              <w:sz w:val="36"/>
              <w:szCs w:val="36"/>
              <w:highlight w:val="none"/>
            </w:rPr>
            <w:t>5</w:t>
          </w:r>
          <w:r>
            <w:rPr>
              <w:rFonts w:hint="eastAsia"/>
              <w:sz w:val="36"/>
              <w:szCs w:val="36"/>
              <w:highlight w:val="none"/>
              <w:lang w:val="en-US" w:eastAsia="zh-CN"/>
            </w:rPr>
            <w:t>1</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377B9964">
          <w:pPr>
            <w:pStyle w:val="17"/>
            <w:keepNext w:val="0"/>
            <w:keepLines w:val="0"/>
            <w:pageBreakBefore w:val="0"/>
            <w:widowControl/>
            <w:kinsoku w:val="0"/>
            <w:wordWrap/>
            <w:bidi w:val="0"/>
            <w:adjustRightInd w:val="0"/>
            <w:snapToGrid w:val="0"/>
            <w:spacing w:after="0" w:line="480" w:lineRule="auto"/>
            <w:ind w:left="0" w:leftChars="0" w:right="0" w:rightChars="0"/>
            <w:jc w:val="center"/>
            <w:rPr>
              <w:color w:val="auto"/>
              <w:sz w:val="28"/>
              <w:szCs w:val="21"/>
              <w:highlight w:val="none"/>
            </w:rPr>
          </w:pPr>
          <w:r>
            <w:rPr>
              <w:rFonts w:hint="eastAsia" w:ascii="仿宋" w:hAnsi="仿宋" w:eastAsia="仿宋" w:cs="仿宋"/>
              <w:color w:val="auto"/>
              <w:sz w:val="36"/>
              <w:szCs w:val="36"/>
              <w:highlight w:val="none"/>
            </w:rPr>
            <w:fldChar w:fldCharType="end"/>
          </w:r>
        </w:p>
      </w:sdtContent>
    </w:sdt>
    <w:p w14:paraId="6E76D688">
      <w:pPr>
        <w:keepNext w:val="0"/>
        <w:keepLines w:val="0"/>
        <w:pageBreakBefore w:val="0"/>
        <w:widowControl/>
        <w:kinsoku w:val="0"/>
        <w:wordWrap/>
        <w:bidi w:val="0"/>
        <w:adjustRightInd w:val="0"/>
        <w:snapToGrid w:val="0"/>
        <w:spacing w:line="480" w:lineRule="auto"/>
        <w:ind w:left="0" w:leftChars="0" w:right="0" w:rightChars="0"/>
        <w:rPr>
          <w:color w:val="auto"/>
          <w:sz w:val="28"/>
          <w:szCs w:val="21"/>
          <w:highlight w:val="none"/>
        </w:rPr>
      </w:pPr>
    </w:p>
    <w:p w14:paraId="01013AC5">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b/>
          <w:bCs/>
          <w:color w:val="auto"/>
          <w:sz w:val="32"/>
          <w:szCs w:val="22"/>
          <w:highlight w:val="none"/>
        </w:rPr>
        <w:sectPr>
          <w:pgSz w:w="11906" w:h="16838"/>
          <w:pgMar w:top="1417" w:right="1417" w:bottom="1417" w:left="1417" w:header="851" w:footer="992" w:gutter="0"/>
          <w:cols w:space="0" w:num="1"/>
          <w:rtlGutter w:val="0"/>
          <w:docGrid w:type="lines" w:linePitch="333" w:charSpace="0"/>
        </w:sectPr>
      </w:pPr>
      <w:bookmarkStart w:id="7" w:name="_Toc30306"/>
    </w:p>
    <w:p w14:paraId="7A490019">
      <w:pPr>
        <w:keepNext w:val="0"/>
        <w:keepLines w:val="0"/>
        <w:pageBreakBefore w:val="0"/>
        <w:widowControl/>
        <w:kinsoku w:val="0"/>
        <w:wordWrap/>
        <w:bidi w:val="0"/>
        <w:adjustRightInd w:val="0"/>
        <w:snapToGrid w:val="0"/>
        <w:spacing w:line="360" w:lineRule="auto"/>
        <w:ind w:left="0" w:leftChars="0" w:right="0" w:rightChars="0"/>
        <w:jc w:val="center"/>
        <w:outlineLvl w:val="0"/>
        <w:rPr>
          <w:b/>
          <w:bCs/>
          <w:color w:val="auto"/>
          <w:sz w:val="32"/>
          <w:szCs w:val="22"/>
          <w:highlight w:val="none"/>
        </w:rPr>
      </w:pPr>
      <w:r>
        <w:rPr>
          <w:rFonts w:hint="eastAsia"/>
          <w:b/>
          <w:bCs/>
          <w:color w:val="auto"/>
          <w:sz w:val="32"/>
          <w:szCs w:val="22"/>
          <w:highlight w:val="none"/>
        </w:rPr>
        <w:t>第一章  竞争性磋商公告</w:t>
      </w:r>
      <w:bookmarkEnd w:id="7"/>
    </w:p>
    <w:p w14:paraId="1935AE2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灵宝市农业农村局灵宝市2025年农业防灾救灾补助资金药品采购项目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应凭CA数字证书通过《三门峡市公共资源交易中心网》（网址：http://gzjy.smx.gov.cn）获取招标文件，并于</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0分</w:t>
      </w:r>
      <w:r>
        <w:rPr>
          <w:rFonts w:hint="eastAsia" w:ascii="宋体" w:hAnsi="宋体" w:eastAsia="宋体" w:cs="宋体"/>
          <w:color w:val="auto"/>
          <w:sz w:val="24"/>
          <w:szCs w:val="24"/>
          <w:highlight w:val="none"/>
        </w:rPr>
        <w:t>（北京时间）前递交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39B862B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6CC19BE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1、项目名称：灵宝市农业农村局灵宝市2025年农业防灾救灾补助资金药品采购项目</w:t>
      </w:r>
    </w:p>
    <w:p w14:paraId="2026772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2、项目编号：</w:t>
      </w:r>
      <w:r>
        <w:rPr>
          <w:rFonts w:hint="eastAsia" w:ascii="宋体" w:hAnsi="宋体" w:eastAsia="宋体" w:cs="宋体"/>
          <w:color w:val="auto"/>
          <w:sz w:val="24"/>
          <w:szCs w:val="24"/>
          <w:highlight w:val="none"/>
          <w:lang w:val="en-US" w:eastAsia="zh-CN"/>
        </w:rPr>
        <w:t>灵宝竞磋采购-2025-110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LBGZ[2025]203-ZC150</w:t>
      </w:r>
    </w:p>
    <w:p w14:paraId="5906A1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招标范围</w:t>
      </w:r>
      <w:r>
        <w:rPr>
          <w:rFonts w:hint="eastAsia" w:ascii="宋体" w:hAnsi="宋体" w:eastAsia="宋体" w:cs="宋体"/>
          <w:color w:val="auto"/>
          <w:sz w:val="24"/>
          <w:szCs w:val="24"/>
          <w:highlight w:val="none"/>
          <w:lang w:eastAsia="zh-CN"/>
        </w:rPr>
        <w:t>：灵宝市农业农村局灵宝市2025年农业防灾救灾补助资金药品采购项目，主要内容为农业防灾救灾补助资金药品采购、</w:t>
      </w:r>
      <w:r>
        <w:rPr>
          <w:rFonts w:hint="eastAsia" w:ascii="宋体" w:hAnsi="宋体" w:eastAsia="宋体" w:cs="宋体"/>
          <w:sz w:val="24"/>
          <w:szCs w:val="24"/>
          <w:highlight w:val="none"/>
          <w:lang w:val="en-US" w:eastAsia="zh-CN"/>
        </w:rPr>
        <w:t>生物药剂采购及飞防服务</w:t>
      </w:r>
      <w:r>
        <w:rPr>
          <w:rFonts w:hint="eastAsia" w:ascii="宋体" w:hAnsi="宋体" w:eastAsia="宋体" w:cs="宋体"/>
          <w:color w:val="auto"/>
          <w:sz w:val="24"/>
          <w:szCs w:val="24"/>
          <w:highlight w:val="none"/>
          <w:lang w:eastAsia="zh-CN"/>
        </w:rPr>
        <w:t>，具体详见竞争性磋商文件</w:t>
      </w:r>
      <w:r>
        <w:rPr>
          <w:rFonts w:hint="eastAsia" w:ascii="宋体" w:hAnsi="宋体" w:eastAsia="宋体" w:cs="宋体"/>
          <w:color w:val="auto"/>
          <w:sz w:val="24"/>
          <w:szCs w:val="24"/>
          <w:highlight w:val="none"/>
          <w:lang w:val="en-US" w:eastAsia="zh-CN"/>
        </w:rPr>
        <w:t>采购清单要求</w:t>
      </w:r>
      <w:r>
        <w:rPr>
          <w:rFonts w:hint="eastAsia" w:ascii="宋体" w:hAnsi="宋体" w:eastAsia="宋体" w:cs="宋体"/>
          <w:color w:val="auto"/>
          <w:sz w:val="24"/>
          <w:szCs w:val="24"/>
          <w:highlight w:val="none"/>
          <w:lang w:eastAsia="zh-CN"/>
        </w:rPr>
        <w:t>。</w:t>
      </w:r>
    </w:p>
    <w:p w14:paraId="5ACA889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4、资金来源：财政资金，已落实</w:t>
      </w:r>
      <w:r>
        <w:rPr>
          <w:rFonts w:hint="eastAsia" w:ascii="宋体" w:hAnsi="宋体" w:cs="宋体"/>
          <w:color w:val="auto"/>
          <w:sz w:val="24"/>
          <w:szCs w:val="24"/>
          <w:highlight w:val="none"/>
          <w:lang w:eastAsia="zh-CN"/>
        </w:rPr>
        <w:t>。</w:t>
      </w:r>
    </w:p>
    <w:p w14:paraId="76F1FC9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5、标段划分：</w:t>
      </w:r>
      <w:r>
        <w:rPr>
          <w:rFonts w:hint="eastAsia" w:ascii="宋体" w:hAnsi="宋体" w:eastAsia="宋体" w:cs="宋体"/>
          <w:color w:val="auto"/>
          <w:sz w:val="24"/>
          <w:szCs w:val="24"/>
          <w:highlight w:val="none"/>
          <w:lang w:val="en-US" w:eastAsia="zh-CN"/>
        </w:rPr>
        <w:t>本项目共分为两个</w:t>
      </w: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val="en-US" w:eastAsia="zh-CN"/>
        </w:rPr>
        <w:t>。</w:t>
      </w:r>
    </w:p>
    <w:p w14:paraId="573236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6、采购内容</w:t>
      </w:r>
    </w:p>
    <w:p w14:paraId="05CE285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一标段采购内容：40%唑醚·戊唑醇悬浮剂2100公斤；14%氯虫·高氯氟微囊悬浮</w:t>
      </w:r>
      <w:r>
        <w:rPr>
          <w:rFonts w:hint="eastAsia" w:ascii="宋体" w:hAnsi="宋体" w:eastAsia="宋体" w:cs="宋体"/>
          <w:sz w:val="24"/>
          <w:szCs w:val="24"/>
          <w:highlight w:val="none"/>
          <w:lang w:eastAsia="zh-CN"/>
        </w:rPr>
        <w:t>-悬浮</w:t>
      </w:r>
      <w:r>
        <w:rPr>
          <w:rFonts w:hint="eastAsia" w:ascii="宋体" w:hAnsi="宋体" w:eastAsia="宋体" w:cs="宋体"/>
          <w:sz w:val="24"/>
          <w:szCs w:val="24"/>
          <w:highlight w:val="none"/>
          <w:lang w:val="en-US" w:eastAsia="zh-CN"/>
        </w:rPr>
        <w:t>剂1575公斤；27%苯醚·咯·噻虫悬浮种衣剂108升；主要用于</w:t>
      </w:r>
      <w:r>
        <w:rPr>
          <w:rFonts w:hint="eastAsia" w:ascii="宋体" w:hAnsi="宋体" w:eastAsia="宋体" w:cs="宋体"/>
          <w:sz w:val="24"/>
          <w:szCs w:val="24"/>
          <w:highlight w:val="none"/>
          <w:lang w:eastAsia="zh-CN"/>
        </w:rPr>
        <w:t>玉米</w:t>
      </w:r>
      <w:r>
        <w:rPr>
          <w:rFonts w:hint="eastAsia" w:ascii="宋体" w:hAnsi="宋体" w:eastAsia="宋体" w:cs="宋体"/>
          <w:sz w:val="24"/>
          <w:szCs w:val="24"/>
          <w:highlight w:val="none"/>
        </w:rPr>
        <w:t>重大病虫</w:t>
      </w:r>
      <w:r>
        <w:rPr>
          <w:rFonts w:hint="eastAsia" w:ascii="宋体" w:hAnsi="宋体" w:eastAsia="宋体" w:cs="宋体"/>
          <w:sz w:val="24"/>
          <w:szCs w:val="24"/>
          <w:highlight w:val="none"/>
          <w:lang w:eastAsia="zh-CN"/>
        </w:rPr>
        <w:t>害</w:t>
      </w:r>
      <w:r>
        <w:rPr>
          <w:rFonts w:hint="eastAsia" w:ascii="宋体" w:hAnsi="宋体" w:eastAsia="宋体" w:cs="宋体"/>
          <w:color w:val="auto"/>
          <w:sz w:val="24"/>
          <w:szCs w:val="24"/>
          <w:highlight w:val="none"/>
        </w:rPr>
        <w:t>防控</w:t>
      </w:r>
      <w:r>
        <w:rPr>
          <w:rFonts w:hint="eastAsia" w:ascii="宋体" w:hAnsi="宋体" w:eastAsia="宋体" w:cs="宋体"/>
          <w:color w:val="auto"/>
          <w:sz w:val="24"/>
          <w:szCs w:val="24"/>
          <w:highlight w:val="none"/>
          <w:lang w:eastAsia="zh-CN"/>
        </w:rPr>
        <w:t>和小麦拌种。</w:t>
      </w:r>
    </w:p>
    <w:p w14:paraId="48D25AF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二标段采购内容：玉米</w:t>
      </w:r>
      <w:r>
        <w:rPr>
          <w:rFonts w:hint="eastAsia" w:ascii="宋体" w:hAnsi="宋体" w:eastAsia="宋体" w:cs="宋体"/>
          <w:sz w:val="24"/>
          <w:szCs w:val="24"/>
          <w:highlight w:val="none"/>
        </w:rPr>
        <w:t>生物</w:t>
      </w:r>
      <w:r>
        <w:rPr>
          <w:rFonts w:hint="eastAsia" w:ascii="宋体" w:hAnsi="宋体" w:eastAsia="宋体" w:cs="宋体"/>
          <w:sz w:val="24"/>
          <w:szCs w:val="24"/>
          <w:highlight w:val="none"/>
          <w:lang w:eastAsia="zh-CN"/>
        </w:rPr>
        <w:t>赤眼蜂</w:t>
      </w:r>
      <w:r>
        <w:rPr>
          <w:rFonts w:hint="eastAsia" w:ascii="宋体" w:hAnsi="宋体" w:eastAsia="宋体" w:cs="宋体"/>
          <w:sz w:val="24"/>
          <w:szCs w:val="24"/>
          <w:highlight w:val="none"/>
          <w:lang w:val="en-US" w:eastAsia="zh-CN"/>
        </w:rPr>
        <w:t>统防统治4000亩（每亩无人机投放4个点位，每个点位2500头）；农区蝗虫统防统治5000亩，（生物药剂及飞防服务）；省级农作物病虫疫情智能化监测点仪器设备的升级改造和维护所需的材料和服务。</w:t>
      </w:r>
    </w:p>
    <w:p w14:paraId="3208819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、预算资金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76</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其中一标段53.9万元；二标段22.1万元。</w:t>
      </w:r>
    </w:p>
    <w:p w14:paraId="21DD90A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、质量要求：合格</w:t>
      </w:r>
      <w:r>
        <w:rPr>
          <w:rFonts w:hint="eastAsia" w:ascii="宋体" w:hAnsi="宋体" w:cs="宋体"/>
          <w:color w:val="auto"/>
          <w:sz w:val="24"/>
          <w:szCs w:val="24"/>
          <w:highlight w:val="none"/>
          <w:lang w:eastAsia="zh-CN"/>
        </w:rPr>
        <w:t>。</w:t>
      </w:r>
    </w:p>
    <w:p w14:paraId="6D71A60F">
      <w:pPr>
        <w:pStyle w:val="79"/>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供货服务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签订合同后</w:t>
      </w:r>
      <w:r>
        <w:rPr>
          <w:rFonts w:hint="eastAsia" w:ascii="宋体" w:hAnsi="宋体" w:eastAsia="宋体" w:cs="宋体"/>
          <w:color w:val="auto"/>
          <w:sz w:val="24"/>
          <w:szCs w:val="24"/>
          <w:highlight w:val="none"/>
          <w:lang w:val="en-US" w:eastAsia="zh-CN"/>
        </w:rPr>
        <w:t>5日历天</w:t>
      </w:r>
      <w:r>
        <w:rPr>
          <w:rFonts w:hint="eastAsia" w:ascii="宋体" w:hAnsi="宋体" w:eastAsia="宋体" w:cs="宋体"/>
          <w:color w:val="auto"/>
          <w:sz w:val="24"/>
          <w:szCs w:val="24"/>
          <w:highlight w:val="none"/>
          <w:lang w:eastAsia="zh-CN"/>
        </w:rPr>
        <w:t>内供货完毕</w:t>
      </w:r>
      <w:r>
        <w:rPr>
          <w:rFonts w:hint="eastAsia" w:ascii="宋体" w:hAnsi="宋体" w:cs="宋体"/>
          <w:color w:val="auto"/>
          <w:sz w:val="24"/>
          <w:szCs w:val="24"/>
          <w:highlight w:val="none"/>
          <w:lang w:eastAsia="zh-CN"/>
        </w:rPr>
        <w:t>。</w:t>
      </w:r>
    </w:p>
    <w:p w14:paraId="3308997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、实施地点：灵宝市境内</w:t>
      </w:r>
      <w:r>
        <w:rPr>
          <w:rFonts w:hint="eastAsia" w:ascii="宋体" w:hAnsi="宋体" w:cs="宋体"/>
          <w:color w:val="auto"/>
          <w:sz w:val="24"/>
          <w:szCs w:val="24"/>
          <w:highlight w:val="none"/>
          <w:lang w:eastAsia="zh-CN"/>
        </w:rPr>
        <w:t>。</w:t>
      </w:r>
    </w:p>
    <w:p w14:paraId="71E5AD5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二、供应商资格要求</w:t>
      </w:r>
    </w:p>
    <w:p w14:paraId="36B95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1、满足《中华人民共和国政府采购法》第二十二条规定</w:t>
      </w:r>
      <w:r>
        <w:rPr>
          <w:rFonts w:hint="eastAsia" w:ascii="宋体" w:hAnsi="宋体" w:cs="宋体"/>
          <w:i w:val="0"/>
          <w:iCs w:val="0"/>
          <w:caps w:val="0"/>
          <w:color w:val="333333"/>
          <w:spacing w:val="0"/>
          <w:kern w:val="0"/>
          <w:sz w:val="24"/>
          <w:szCs w:val="24"/>
          <w:highlight w:val="none"/>
          <w:lang w:val="en-US" w:eastAsia="zh-CN" w:bidi="ar"/>
        </w:rPr>
        <w:t>。</w:t>
      </w:r>
    </w:p>
    <w:p w14:paraId="2DA59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2、落实政府采购政策满足的资格要求：</w:t>
      </w:r>
      <w:r>
        <w:rPr>
          <w:rFonts w:hint="eastAsia" w:ascii="宋体" w:hAnsi="宋体" w:eastAsia="宋体" w:cs="宋体"/>
          <w:color w:val="0C0C0C"/>
          <w:kern w:val="0"/>
          <w:sz w:val="24"/>
          <w:szCs w:val="24"/>
          <w:highlight w:val="none"/>
          <w:shd w:val="clear" w:fill="FFFFFF"/>
          <w:lang w:val="en-US" w:eastAsia="zh-CN" w:bidi="ar"/>
        </w:rPr>
        <w:t>本项目非专门面向中小微企业采购项目,执行促进中小企业（监狱企业、残疾人福利性企业）发展等政府采购政策。</w:t>
      </w:r>
    </w:p>
    <w:p w14:paraId="41A37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3、本项目的特定资格要求</w:t>
      </w:r>
    </w:p>
    <w:p w14:paraId="19B2D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0C0C0C"/>
          <w:kern w:val="0"/>
          <w:sz w:val="24"/>
          <w:szCs w:val="24"/>
          <w:highlight w:val="none"/>
          <w:shd w:val="clear" w:fill="FFFFFF"/>
          <w:lang w:val="en-US" w:eastAsia="zh-CN" w:bidi="ar"/>
        </w:rPr>
      </w:pPr>
      <w:r>
        <w:rPr>
          <w:rFonts w:hint="eastAsia" w:ascii="宋体" w:hAnsi="宋体" w:eastAsia="宋体" w:cs="宋体"/>
          <w:color w:val="0C0C0C"/>
          <w:kern w:val="0"/>
          <w:sz w:val="24"/>
          <w:szCs w:val="24"/>
          <w:highlight w:val="none"/>
          <w:shd w:val="clear" w:fill="FFFFFF"/>
          <w:lang w:val="en-US" w:eastAsia="zh-CN" w:bidi="ar"/>
        </w:rPr>
        <w:t>3.1供应商须具有独立承担民事责任的能力和有效营业执照。</w:t>
      </w:r>
    </w:p>
    <w:p w14:paraId="42955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0C0C0C"/>
          <w:kern w:val="0"/>
          <w:sz w:val="24"/>
          <w:szCs w:val="24"/>
          <w:highlight w:val="none"/>
          <w:shd w:val="clear" w:fill="FFFFFF"/>
          <w:lang w:val="en-US" w:eastAsia="zh-CN" w:bidi="ar"/>
        </w:rPr>
      </w:pPr>
      <w:r>
        <w:rPr>
          <w:rFonts w:hint="eastAsia" w:ascii="宋体" w:hAnsi="宋体" w:eastAsia="宋体" w:cs="宋体"/>
          <w:color w:val="0C0C0C"/>
          <w:kern w:val="0"/>
          <w:sz w:val="24"/>
          <w:szCs w:val="24"/>
          <w:highlight w:val="none"/>
          <w:shd w:val="clear" w:fill="FFFFFF"/>
          <w:lang w:val="en-US" w:eastAsia="zh-CN" w:bidi="ar"/>
        </w:rPr>
        <w:t>3.2一标段供应商为生产商的需提供农药生产许可证(登记对象必须包含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)，若供应商为经销商的需提供农药经营许可证；所提供的农药产品须 “三证”（生产许可证或生产批准证、农药登记证(登记对象必须包含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)、产品标准证）齐全，并在有效期内。</w:t>
      </w:r>
    </w:p>
    <w:p w14:paraId="71998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color w:val="0C0C0C"/>
          <w:kern w:val="0"/>
          <w:sz w:val="24"/>
          <w:szCs w:val="24"/>
          <w:highlight w:val="none"/>
          <w:shd w:val="clear" w:fill="FFFFFF"/>
          <w:lang w:val="en-US" w:eastAsia="zh-CN" w:bidi="ar"/>
        </w:rPr>
        <w:t>二标段</w:t>
      </w:r>
      <w:r>
        <w:rPr>
          <w:rFonts w:hint="eastAsia" w:ascii="宋体" w:hAnsi="宋体" w:eastAsia="宋体" w:cs="宋体"/>
          <w:sz w:val="24"/>
          <w:szCs w:val="24"/>
          <w:highlight w:val="none"/>
          <w:u w:val="none"/>
          <w:lang w:eastAsia="zh-CN"/>
        </w:rPr>
        <w:t>供应商</w:t>
      </w:r>
      <w:r>
        <w:rPr>
          <w:rFonts w:hint="eastAsia" w:ascii="宋体" w:hAnsi="宋体" w:eastAsia="宋体" w:cs="宋体"/>
          <w:color w:val="333333"/>
          <w:kern w:val="0"/>
          <w:sz w:val="24"/>
          <w:szCs w:val="24"/>
          <w:highlight w:val="none"/>
          <w:lang w:val="en-US" w:eastAsia="zh-CN" w:bidi="ar"/>
        </w:rPr>
        <w:t>需具有满足本次病虫害统防的植保飞行器作业能力（需提供植保无人机等飞行器相关作业能力证明或承诺函）</w:t>
      </w:r>
      <w:r>
        <w:rPr>
          <w:rFonts w:hint="eastAsia" w:ascii="宋体" w:hAnsi="宋体" w:eastAsia="宋体" w:cs="宋体"/>
          <w:sz w:val="24"/>
          <w:szCs w:val="24"/>
          <w:highlight w:val="none"/>
          <w:lang w:val="en-US" w:eastAsia="zh-CN"/>
        </w:rPr>
        <w:t>。</w:t>
      </w:r>
    </w:p>
    <w:p w14:paraId="43993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3.3供应商具有履行合同所必须的设备和专业能力，具有良好的社会信誉，在实施项目中没有出现不良记录，并且没有出现经营管理、产品质量安全、纳税、环保等问题，能够接受行业管理部门的监督、管理（提供承诺书）。</w:t>
      </w:r>
    </w:p>
    <w:p w14:paraId="65439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3.4参加政府采购活动前三年内，在经营活动中没有重大违法记录（承诺对象公司、法人）。</w:t>
      </w:r>
    </w:p>
    <w:p w14:paraId="058E6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3.5企业自行出具本企业无商业贿赂和不正当竞争行为的承诺书（承诺对象公司、法人）。</w:t>
      </w:r>
    </w:p>
    <w:p w14:paraId="342A9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3.6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cs="宋体"/>
          <w:color w:val="333333"/>
          <w:kern w:val="0"/>
          <w:sz w:val="24"/>
          <w:szCs w:val="24"/>
          <w:highlight w:val="none"/>
          <w:lang w:val="en-US" w:eastAsia="zh-CN" w:bidi="ar"/>
        </w:rPr>
        <w:t>。</w:t>
      </w:r>
    </w:p>
    <w:p w14:paraId="314D3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 xml:space="preserve">3.7单位负责人为同一人或者存在控股、管理关系的不同单位，不得同时参加本项目的投标；（提供“国家企业信用信息公示系统”中公示的公司信息、股东或投资人信息查询截图，查询时间自公告发布之日起）。 </w:t>
      </w:r>
    </w:p>
    <w:p w14:paraId="79909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3.8本项目不接受联合体投标。</w:t>
      </w:r>
    </w:p>
    <w:p w14:paraId="12E5E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3.9本次磋商实行资格后审，资格审查的具体要求见竞争性磋商文件。</w:t>
      </w:r>
    </w:p>
    <w:p w14:paraId="1DBEC2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注：每个供应商可投报多个标包，但只能中一个标包；若同一供应商同时被推荐为多个标包的第一中标候选人，则无条件按照标段序号采取“取前舍后”的原则。</w:t>
      </w:r>
    </w:p>
    <w:p w14:paraId="0797B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三、竞争性磋商文件下载：</w:t>
      </w:r>
    </w:p>
    <w:p w14:paraId="54DCD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1、竞争性磋商文件下载时间：2025年7月31日至2025年8月12日9时00分。</w:t>
      </w:r>
    </w:p>
    <w:p w14:paraId="67667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竞争性磋商文件获取方式：本项目没有报名环节，供应商凭CA数字证书通过三门峡市公共资源交易中心网（网址：gzjy.smx.gov.cn），点击交易平台选择“市场主体登录”，在所参与项目右侧点击参与投标，即可直接下载本项目竞争性磋商文件。本项目采用全电子化招标，不再收取竞争性磋商文件费。</w:t>
      </w:r>
    </w:p>
    <w:p w14:paraId="4E21A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办理CA证书：http://gzjy.smx.gov.cn/bzzx/008001/20211105/57b16af9-ab87-4395-a723-7758c628a3f8.html</w:t>
      </w:r>
    </w:p>
    <w:p w14:paraId="4FBA5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三门峡市公共资源交易平台操作手册：</w:t>
      </w:r>
    </w:p>
    <w:p w14:paraId="65E2E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http://gzjy.smx.gov.cn/bzzx/008001/20200325/1d4d9bd4-82a2-4284-b2f7-428c4c69ef58.html</w:t>
      </w:r>
    </w:p>
    <w:p w14:paraId="2CB73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四、投标文件递交截止时间及地点</w:t>
      </w:r>
    </w:p>
    <w:p w14:paraId="1E9BA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1、投标文件递交截止时间：2025年8月12日9时00分（北京时间）。</w:t>
      </w:r>
    </w:p>
    <w:p w14:paraId="47129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2、投标文件递交地点：在三门峡市公共资源交易中心网络平台上传加密投标文件。</w:t>
      </w:r>
    </w:p>
    <w:p w14:paraId="14F11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项目实行资格后审，审查内容以投标截止时间前在三门峡市公共资源交易中心网提交投标文件的信息为准。其上传资料真实性由供应商自行承担。原件扫描件清晰可辨。否则，由此造成应得分而未得分或资格审查不合格等情况的，由供应商承担责任。</w:t>
      </w:r>
    </w:p>
    <w:p w14:paraId="7D390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五、投标保证金</w:t>
      </w:r>
    </w:p>
    <w:p w14:paraId="5DECB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按照《河南省财政厅关于优化政府采购营商环境有关问题的通知》（豫财购[2019]4号文）的要求本项目不再收取保证金。</w:t>
      </w:r>
    </w:p>
    <w:p w14:paraId="7D25C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六、磋商时间及地点</w:t>
      </w:r>
    </w:p>
    <w:p w14:paraId="45403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1、磋商时间：2025年8月12日9时00分。</w:t>
      </w:r>
    </w:p>
    <w:p w14:paraId="7E871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2、地点：灵宝市公共资源交易中心开标二室（灵宝市金城大道信用联社12楼）。</w:t>
      </w:r>
    </w:p>
    <w:p w14:paraId="57839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3、本项目为不见面开标项目，开标当日，供应商无需到开标现场参加开标会议，供应商应当在投标截止时间前，登陆不见面开标大厅选择登陆三门峡市公共资源电子招投标系统进行登陆（网址为</w:t>
      </w:r>
    </w:p>
    <w:p w14:paraId="451C6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http://122.112.246.33/BidOpening/bidopeninghallaction/hall/login）。在线准时参加开标活动并进行投标文件解密等。每位供应商的解密时间为开标时间起30分钟内完成。因供应商原因未能解密、解密失败或解密超时的将被拒绝。</w:t>
      </w:r>
    </w:p>
    <w:p w14:paraId="69E7A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七、其他事项</w:t>
      </w:r>
    </w:p>
    <w:p w14:paraId="1E0BB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1、本项目实行资格后审，根据优化营商环境的要求，评标时审查内容以投标（响应）文件为准</w:t>
      </w:r>
      <w:r>
        <w:rPr>
          <w:rFonts w:hint="eastAsia" w:ascii="宋体" w:hAnsi="宋体" w:cs="宋体"/>
          <w:color w:val="333333"/>
          <w:kern w:val="0"/>
          <w:sz w:val="24"/>
          <w:szCs w:val="24"/>
          <w:highlight w:val="none"/>
          <w:lang w:val="en-US" w:eastAsia="zh-CN" w:bidi="ar"/>
        </w:rPr>
        <w:t>。</w:t>
      </w:r>
    </w:p>
    <w:p w14:paraId="3E662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（1）资格评（预）审部分：资格评（预）审以投标（响应）文件为准，其上传资料真实性由供应商自行承担。</w:t>
      </w:r>
    </w:p>
    <w:p w14:paraId="59BFA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（2）评标打分部分：评标打分部分仍按照100分制原则进行，涉及到资格审查、企业荣誉、人员业绩、企业业绩等计分部分时，以供应商自行上传到投标（响应）文件中的相应内容为准。</w:t>
      </w:r>
    </w:p>
    <w:p w14:paraId="6BC64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投标文件编制部分：在竞争性磋商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30605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2、供应商递交的资料和投标（响应）文件不论成交与否均不予退还</w:t>
      </w:r>
      <w:r>
        <w:rPr>
          <w:rFonts w:hint="eastAsia" w:ascii="宋体" w:hAnsi="宋体" w:cs="宋体"/>
          <w:color w:val="333333"/>
          <w:kern w:val="0"/>
          <w:sz w:val="24"/>
          <w:szCs w:val="24"/>
          <w:highlight w:val="none"/>
          <w:lang w:val="en-US" w:eastAsia="zh-CN" w:bidi="ar"/>
        </w:rPr>
        <w:t>。</w:t>
      </w:r>
    </w:p>
    <w:p w14:paraId="3FF6D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3、本项目不组织供应商踏勘现场</w:t>
      </w:r>
      <w:r>
        <w:rPr>
          <w:rFonts w:hint="eastAsia" w:ascii="宋体" w:hAnsi="宋体" w:cs="宋体"/>
          <w:color w:val="333333"/>
          <w:kern w:val="0"/>
          <w:sz w:val="24"/>
          <w:szCs w:val="24"/>
          <w:highlight w:val="none"/>
          <w:lang w:val="en-US" w:eastAsia="zh-CN" w:bidi="ar"/>
        </w:rPr>
        <w:t>。</w:t>
      </w:r>
    </w:p>
    <w:p w14:paraId="4664B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4、供应商应仔细阅读操作手册，在本公告中要求的截止时间前完成竞争性磋商投标文件的上传工作。并充分考虑人为操作等因素，因供应商操作不当造成的无法投标等一切后果，由供应商自行承担。</w:t>
      </w:r>
    </w:p>
    <w:p w14:paraId="4EEB6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5、本项目为电子化、无纸化交易项目，开标时不再接受任何纸质资料，为保证您能投标成功，请需仔细阅读竞争性磋商文件和三门峡市公共资源交易中心官网业务办理指南。</w:t>
      </w:r>
    </w:p>
    <w:p w14:paraId="7DEE2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八、发布公告的媒介</w:t>
      </w:r>
    </w:p>
    <w:p w14:paraId="5DCDE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本次磋商公告同时在《河南省政府采购网》、《三门峡市公共资源交易服务平台》、《中国采购与招标网》上发布。</w:t>
      </w:r>
    </w:p>
    <w:p w14:paraId="002E2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九、联系方式</w:t>
      </w:r>
    </w:p>
    <w:p w14:paraId="6C571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监督单位：灵宝市财政局政府采购监督管理科</w:t>
      </w:r>
    </w:p>
    <w:p w14:paraId="1C66F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联系电话：0398-8852670</w:t>
      </w:r>
    </w:p>
    <w:p w14:paraId="74662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监督部门：中 共灵宝市农业农村局党组</w:t>
      </w:r>
    </w:p>
    <w:p w14:paraId="57024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default"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联系电话：</w:t>
      </w:r>
      <w:r>
        <w:rPr>
          <w:rFonts w:hint="eastAsia" w:ascii="宋体" w:hAnsi="宋体" w:cs="宋体"/>
          <w:color w:val="333333"/>
          <w:kern w:val="0"/>
          <w:sz w:val="24"/>
          <w:szCs w:val="24"/>
          <w:highlight w:val="none"/>
          <w:lang w:val="en-US" w:eastAsia="zh-CN" w:bidi="ar"/>
        </w:rPr>
        <w:t>15238907869</w:t>
      </w:r>
    </w:p>
    <w:p w14:paraId="29CCC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采购人：灵宝市农业农村局</w:t>
      </w:r>
    </w:p>
    <w:p w14:paraId="4A7F4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联系人：侯女士</w:t>
      </w:r>
    </w:p>
    <w:p w14:paraId="4F50B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联系方式：0398-8856615</w:t>
      </w:r>
    </w:p>
    <w:p w14:paraId="0AB44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地 址：灵宝市文化广场科技馆内</w:t>
      </w:r>
    </w:p>
    <w:p w14:paraId="06520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代理机构：傲唐集团有限公司</w:t>
      </w:r>
    </w:p>
    <w:p w14:paraId="2C658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联系人：孟女士</w:t>
      </w:r>
    </w:p>
    <w:p w14:paraId="0B26849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联系方式：19526346816</w:t>
      </w:r>
    </w:p>
    <w:p w14:paraId="482A1CA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地址：河南省三门峡市湖滨区召公路明城佳苑五号楼1402室</w:t>
      </w:r>
    </w:p>
    <w:p w14:paraId="6BF596F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p>
    <w:p w14:paraId="64C5A82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14:paraId="2E3712EA">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8" w:name="_Toc21402"/>
      <w:bookmarkStart w:id="9" w:name="_Toc70237179"/>
      <w:r>
        <w:rPr>
          <w:rFonts w:hint="eastAsia" w:ascii="宋体" w:hAnsi="宋体" w:eastAsia="宋体" w:cs="宋体"/>
          <w:b/>
          <w:bCs/>
          <w:color w:val="auto"/>
          <w:sz w:val="32"/>
          <w:szCs w:val="32"/>
          <w:highlight w:val="none"/>
        </w:rPr>
        <w:t>第二章 供应商须知</w:t>
      </w:r>
      <w:bookmarkEnd w:id="8"/>
      <w:bookmarkEnd w:id="9"/>
      <w:bookmarkStart w:id="10" w:name="_Toc44996337"/>
      <w:bookmarkEnd w:id="10"/>
    </w:p>
    <w:tbl>
      <w:tblPr>
        <w:tblStyle w:val="28"/>
        <w:tblW w:w="9058" w:type="dxa"/>
        <w:tblInd w:w="87" w:type="dxa"/>
        <w:tblLayout w:type="fixed"/>
        <w:tblCellMar>
          <w:top w:w="0" w:type="dxa"/>
          <w:left w:w="108" w:type="dxa"/>
          <w:bottom w:w="0" w:type="dxa"/>
          <w:right w:w="108" w:type="dxa"/>
        </w:tblCellMar>
      </w:tblPr>
      <w:tblGrid>
        <w:gridCol w:w="670"/>
        <w:gridCol w:w="1993"/>
        <w:gridCol w:w="6395"/>
      </w:tblGrid>
      <w:tr w14:paraId="550A960E">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2C376A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93" w:type="dxa"/>
            <w:tcBorders>
              <w:top w:val="single" w:color="auto" w:sz="4" w:space="0"/>
              <w:left w:val="nil"/>
              <w:bottom w:val="single" w:color="auto" w:sz="4" w:space="0"/>
              <w:right w:val="single" w:color="auto" w:sz="4" w:space="0"/>
            </w:tcBorders>
            <w:vAlign w:val="center"/>
          </w:tcPr>
          <w:p w14:paraId="32AB2621">
            <w:pPr>
              <w:keepNext w:val="0"/>
              <w:keepLines w:val="0"/>
              <w:pageBreakBefore w:val="0"/>
              <w:widowControl/>
              <w:kinsoku w:val="0"/>
              <w:wordWrap/>
              <w:bidi w:val="0"/>
              <w:adjustRightInd w:val="0"/>
              <w:snapToGrid w:val="0"/>
              <w:spacing w:line="360" w:lineRule="auto"/>
              <w:ind w:left="0" w:leftChars="0" w:right="0" w:rightChars="0"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395" w:type="dxa"/>
            <w:tcBorders>
              <w:top w:val="single" w:color="auto" w:sz="4" w:space="0"/>
              <w:left w:val="nil"/>
              <w:bottom w:val="single" w:color="auto" w:sz="4" w:space="0"/>
              <w:right w:val="single" w:color="auto" w:sz="4" w:space="0"/>
            </w:tcBorders>
          </w:tcPr>
          <w:p w14:paraId="18FD3C4D">
            <w:pPr>
              <w:keepNext w:val="0"/>
              <w:keepLines w:val="0"/>
              <w:pageBreakBefore w:val="0"/>
              <w:widowControl/>
              <w:kinsoku w:val="0"/>
              <w:wordWrap/>
              <w:bidi w:val="0"/>
              <w:adjustRightInd w:val="0"/>
              <w:snapToGrid w:val="0"/>
              <w:spacing w:line="360" w:lineRule="auto"/>
              <w:ind w:left="0" w:leftChars="0" w:right="0" w:rightChars="0" w:firstLine="1080" w:firstLineChars="4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49B84DD">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7028708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93" w:type="dxa"/>
            <w:tcBorders>
              <w:top w:val="single" w:color="auto" w:sz="4" w:space="0"/>
              <w:left w:val="nil"/>
              <w:bottom w:val="single" w:color="auto" w:sz="4" w:space="0"/>
              <w:right w:val="single" w:color="auto" w:sz="4" w:space="0"/>
            </w:tcBorders>
            <w:vAlign w:val="center"/>
          </w:tcPr>
          <w:p w14:paraId="21EBA0C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395" w:type="dxa"/>
            <w:tcBorders>
              <w:top w:val="single" w:color="auto" w:sz="4" w:space="0"/>
              <w:left w:val="nil"/>
              <w:bottom w:val="single" w:color="auto" w:sz="4" w:space="0"/>
              <w:right w:val="single" w:color="auto" w:sz="4" w:space="0"/>
            </w:tcBorders>
          </w:tcPr>
          <w:p w14:paraId="7326AD2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采购人：灵宝市农业农村局</w:t>
            </w:r>
          </w:p>
          <w:p w14:paraId="794BAFE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联系人：</w:t>
            </w:r>
            <w:r>
              <w:rPr>
                <w:rFonts w:hint="eastAsia" w:ascii="宋体" w:hAnsi="宋体" w:eastAsia="宋体" w:cs="宋体"/>
                <w:color w:val="auto"/>
                <w:sz w:val="24"/>
                <w:szCs w:val="24"/>
                <w:highlight w:val="none"/>
                <w:shd w:val="clear" w:color="auto" w:fill="FFFFFF"/>
                <w:lang w:val="en-US" w:eastAsia="zh-CN"/>
              </w:rPr>
              <w:t>侯</w:t>
            </w:r>
            <w:r>
              <w:rPr>
                <w:rFonts w:hint="eastAsia" w:ascii="宋体" w:hAnsi="宋体" w:eastAsia="宋体" w:cs="宋体"/>
                <w:color w:val="auto"/>
                <w:sz w:val="24"/>
                <w:szCs w:val="24"/>
                <w:highlight w:val="none"/>
                <w:shd w:val="clear" w:color="auto" w:fill="FFFFFF"/>
                <w:lang w:eastAsia="zh-CN"/>
              </w:rPr>
              <w:t>女士</w:t>
            </w:r>
          </w:p>
          <w:p w14:paraId="7E8173A6">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地 址：</w:t>
            </w:r>
            <w:r>
              <w:rPr>
                <w:rFonts w:hint="eastAsia" w:ascii="宋体" w:hAnsi="宋体" w:eastAsia="宋体" w:cs="宋体"/>
                <w:color w:val="auto"/>
                <w:sz w:val="24"/>
                <w:szCs w:val="24"/>
                <w:highlight w:val="none"/>
                <w:shd w:val="clear" w:color="auto" w:fill="FFFFFF"/>
                <w:lang w:val="en-US" w:eastAsia="zh-CN"/>
              </w:rPr>
              <w:t>灵宝市文化广场科技馆内</w:t>
            </w:r>
          </w:p>
          <w:p w14:paraId="65B338C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联系方式：0398-8856615</w:t>
            </w:r>
          </w:p>
        </w:tc>
      </w:tr>
      <w:tr w14:paraId="37C2F226">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0BEC53F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93" w:type="dxa"/>
            <w:tcBorders>
              <w:top w:val="single" w:color="auto" w:sz="4" w:space="0"/>
              <w:left w:val="nil"/>
              <w:bottom w:val="single" w:color="auto" w:sz="4" w:space="0"/>
              <w:right w:val="single" w:color="auto" w:sz="4" w:space="0"/>
            </w:tcBorders>
            <w:vAlign w:val="center"/>
          </w:tcPr>
          <w:p w14:paraId="2E57529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6395" w:type="dxa"/>
            <w:tcBorders>
              <w:top w:val="single" w:color="auto" w:sz="4" w:space="0"/>
              <w:left w:val="nil"/>
              <w:bottom w:val="single" w:color="auto" w:sz="4" w:space="0"/>
              <w:right w:val="single" w:color="auto" w:sz="4" w:space="0"/>
            </w:tcBorders>
          </w:tcPr>
          <w:p w14:paraId="61EB655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代理机构：傲唐集团有限公司</w:t>
            </w:r>
          </w:p>
          <w:p w14:paraId="353EED91">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联系人：孟女士</w:t>
            </w:r>
          </w:p>
          <w:p w14:paraId="663819BA">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联系方式：19526346816</w:t>
            </w:r>
          </w:p>
          <w:p w14:paraId="64BBB59A">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地址：河南省三门峡市湖滨区召公路明城佳苑五号楼1402室</w:t>
            </w:r>
          </w:p>
        </w:tc>
      </w:tr>
      <w:tr w14:paraId="10450A1F">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66232C3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93" w:type="dxa"/>
            <w:tcBorders>
              <w:top w:val="single" w:color="auto" w:sz="4" w:space="0"/>
              <w:left w:val="nil"/>
              <w:bottom w:val="single" w:color="auto" w:sz="4" w:space="0"/>
              <w:right w:val="single" w:color="auto" w:sz="4" w:space="0"/>
            </w:tcBorders>
            <w:vAlign w:val="center"/>
          </w:tcPr>
          <w:p w14:paraId="21AC89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95" w:type="dxa"/>
            <w:tcBorders>
              <w:top w:val="single" w:color="auto" w:sz="4" w:space="0"/>
              <w:left w:val="nil"/>
              <w:bottom w:val="single" w:color="auto" w:sz="4" w:space="0"/>
              <w:right w:val="single" w:color="auto" w:sz="4" w:space="0"/>
            </w:tcBorders>
          </w:tcPr>
          <w:p w14:paraId="2538F4C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灵宝市农业农村局灵宝市2025年农业防灾救灾补助资金药品采购项目</w:t>
            </w:r>
          </w:p>
        </w:tc>
      </w:tr>
      <w:tr w14:paraId="0DB026A1">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4993331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93" w:type="dxa"/>
            <w:tcBorders>
              <w:top w:val="single" w:color="auto" w:sz="4" w:space="0"/>
              <w:left w:val="nil"/>
              <w:bottom w:val="single" w:color="auto" w:sz="4" w:space="0"/>
              <w:right w:val="single" w:color="auto" w:sz="4" w:space="0"/>
            </w:tcBorders>
            <w:vAlign w:val="center"/>
          </w:tcPr>
          <w:p w14:paraId="4236082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6395" w:type="dxa"/>
            <w:tcBorders>
              <w:top w:val="single" w:color="auto" w:sz="4" w:space="0"/>
              <w:left w:val="nil"/>
              <w:bottom w:val="single" w:color="auto" w:sz="4" w:space="0"/>
              <w:right w:val="single" w:color="auto" w:sz="4" w:space="0"/>
            </w:tcBorders>
          </w:tcPr>
          <w:p w14:paraId="568E976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76万元</w:t>
            </w:r>
          </w:p>
        </w:tc>
      </w:tr>
      <w:tr w14:paraId="08713E4C">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409A351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93" w:type="dxa"/>
            <w:tcBorders>
              <w:top w:val="single" w:color="auto" w:sz="4" w:space="0"/>
              <w:left w:val="nil"/>
              <w:bottom w:val="single" w:color="auto" w:sz="4" w:space="0"/>
              <w:right w:val="single" w:color="auto" w:sz="4" w:space="0"/>
            </w:tcBorders>
            <w:vAlign w:val="center"/>
          </w:tcPr>
          <w:p w14:paraId="615DD54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395" w:type="dxa"/>
            <w:tcBorders>
              <w:top w:val="single" w:color="auto" w:sz="4" w:space="0"/>
              <w:left w:val="nil"/>
              <w:bottom w:val="single" w:color="auto" w:sz="4" w:space="0"/>
              <w:right w:val="single" w:color="auto" w:sz="4" w:space="0"/>
            </w:tcBorders>
          </w:tcPr>
          <w:p w14:paraId="1A8E30C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财政资金，已落实</w:t>
            </w:r>
          </w:p>
        </w:tc>
      </w:tr>
      <w:tr w14:paraId="329A5A1C">
        <w:tblPrEx>
          <w:tblCellMar>
            <w:top w:w="0" w:type="dxa"/>
            <w:left w:w="108" w:type="dxa"/>
            <w:bottom w:w="0" w:type="dxa"/>
            <w:right w:w="108" w:type="dxa"/>
          </w:tblCellMar>
        </w:tblPrEx>
        <w:trPr>
          <w:trHeight w:val="3979" w:hRule="atLeast"/>
        </w:trPr>
        <w:tc>
          <w:tcPr>
            <w:tcW w:w="670" w:type="dxa"/>
            <w:tcBorders>
              <w:top w:val="single" w:color="auto" w:sz="4" w:space="0"/>
              <w:left w:val="single" w:color="auto" w:sz="4" w:space="0"/>
              <w:bottom w:val="single" w:color="auto" w:sz="4" w:space="0"/>
              <w:right w:val="single" w:color="auto" w:sz="4" w:space="0"/>
            </w:tcBorders>
            <w:vAlign w:val="center"/>
          </w:tcPr>
          <w:p w14:paraId="1D9D4F1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93" w:type="dxa"/>
            <w:tcBorders>
              <w:top w:val="single" w:color="auto" w:sz="4" w:space="0"/>
              <w:left w:val="nil"/>
              <w:bottom w:val="single" w:color="auto" w:sz="4" w:space="0"/>
              <w:right w:val="single" w:color="auto" w:sz="4" w:space="0"/>
            </w:tcBorders>
            <w:vAlign w:val="center"/>
          </w:tcPr>
          <w:p w14:paraId="61431C1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范围</w:t>
            </w:r>
          </w:p>
        </w:tc>
        <w:tc>
          <w:tcPr>
            <w:tcW w:w="6395" w:type="dxa"/>
            <w:tcBorders>
              <w:top w:val="single" w:color="auto" w:sz="4" w:space="0"/>
              <w:left w:val="nil"/>
              <w:bottom w:val="single" w:color="auto" w:sz="4" w:space="0"/>
              <w:right w:val="single" w:color="auto" w:sz="4" w:space="0"/>
            </w:tcBorders>
            <w:vAlign w:val="center"/>
          </w:tcPr>
          <w:p w14:paraId="3DAC3C42">
            <w:pPr>
              <w:keepNext w:val="0"/>
              <w:keepLines w:val="0"/>
              <w:pageBreakBefore w:val="0"/>
              <w:widowControl/>
              <w:kinsoku w:val="0"/>
              <w:wordWrap/>
              <w:bidi w:val="0"/>
              <w:adjustRightInd w:val="0"/>
              <w:snapToGrid w:val="0"/>
              <w:spacing w:line="360" w:lineRule="auto"/>
              <w:ind w:left="0" w:leftChars="0" w:right="0" w:rightChars="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一标段采购内容：40%唑醚·戊唑醇悬浮剂2100公斤；14%氯虫·高氯氟微囊悬浮</w:t>
            </w:r>
            <w:r>
              <w:rPr>
                <w:rFonts w:hint="eastAsia" w:ascii="宋体" w:hAnsi="宋体" w:eastAsia="宋体" w:cs="宋体"/>
                <w:color w:val="auto"/>
                <w:sz w:val="24"/>
                <w:szCs w:val="24"/>
                <w:highlight w:val="none"/>
                <w:shd w:val="clear" w:color="auto" w:fill="FFFFFF"/>
                <w:lang w:eastAsia="zh-CN"/>
              </w:rPr>
              <w:t>-悬浮</w:t>
            </w:r>
            <w:r>
              <w:rPr>
                <w:rFonts w:hint="eastAsia" w:ascii="宋体" w:hAnsi="宋体" w:eastAsia="宋体" w:cs="宋体"/>
                <w:color w:val="auto"/>
                <w:sz w:val="24"/>
                <w:szCs w:val="24"/>
                <w:highlight w:val="none"/>
                <w:shd w:val="clear" w:color="auto" w:fill="FFFFFF"/>
                <w:lang w:val="en-US" w:eastAsia="zh-CN"/>
              </w:rPr>
              <w:t>剂1575公斤；27%苯醚·咯·噻虫悬浮种衣剂108升；主要用于</w:t>
            </w:r>
            <w:r>
              <w:rPr>
                <w:rFonts w:hint="eastAsia" w:ascii="宋体" w:hAnsi="宋体" w:eastAsia="宋体" w:cs="宋体"/>
                <w:color w:val="auto"/>
                <w:sz w:val="24"/>
                <w:szCs w:val="24"/>
                <w:highlight w:val="none"/>
                <w:shd w:val="clear" w:color="auto" w:fill="FFFFFF"/>
                <w:lang w:eastAsia="zh-CN"/>
              </w:rPr>
              <w:t>玉米重大病虫害防控和小麦拌种。</w:t>
            </w:r>
          </w:p>
          <w:p w14:paraId="21B31BC7">
            <w:pPr>
              <w:keepNext w:val="0"/>
              <w:keepLines w:val="0"/>
              <w:pageBreakBefore w:val="0"/>
              <w:widowControl/>
              <w:kinsoku w:val="0"/>
              <w:wordWrap/>
              <w:bidi w:val="0"/>
              <w:adjustRightInd w:val="0"/>
              <w:snapToGrid w:val="0"/>
              <w:spacing w:line="360" w:lineRule="auto"/>
              <w:ind w:left="0" w:leftChars="0" w:right="0" w:rightChars="0"/>
              <w:jc w:val="left"/>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二标段采购内容：玉米</w:t>
            </w:r>
            <w:r>
              <w:rPr>
                <w:rFonts w:hint="eastAsia" w:ascii="宋体" w:hAnsi="宋体" w:eastAsia="宋体" w:cs="宋体"/>
                <w:color w:val="auto"/>
                <w:sz w:val="24"/>
                <w:szCs w:val="24"/>
                <w:highlight w:val="none"/>
                <w:shd w:val="clear" w:color="auto" w:fill="FFFFFF"/>
                <w:lang w:eastAsia="zh-CN"/>
              </w:rPr>
              <w:t>生物赤眼蜂</w:t>
            </w:r>
            <w:r>
              <w:rPr>
                <w:rFonts w:hint="eastAsia" w:ascii="宋体" w:hAnsi="宋体" w:eastAsia="宋体" w:cs="宋体"/>
                <w:color w:val="auto"/>
                <w:sz w:val="24"/>
                <w:szCs w:val="24"/>
                <w:highlight w:val="none"/>
                <w:shd w:val="clear" w:color="auto" w:fill="FFFFFF"/>
                <w:lang w:val="en-US" w:eastAsia="zh-CN"/>
              </w:rPr>
              <w:t>统防统治4000亩（每亩无人机投放4个点位，每个点位2500头）；农区蝗虫统防统治5000亩，（生物药剂及飞防服务）；省级农作物病虫疫情智能化监测点仪器设备的升级改造和维护所需的材料和服务。</w:t>
            </w:r>
          </w:p>
        </w:tc>
      </w:tr>
      <w:tr w14:paraId="4D9EFCC0">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0E2E793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93" w:type="dxa"/>
            <w:tcBorders>
              <w:top w:val="single" w:color="auto" w:sz="4" w:space="0"/>
              <w:left w:val="nil"/>
              <w:bottom w:val="single" w:color="auto" w:sz="4" w:space="0"/>
              <w:right w:val="single" w:color="auto" w:sz="4" w:space="0"/>
            </w:tcBorders>
            <w:vAlign w:val="center"/>
          </w:tcPr>
          <w:p w14:paraId="3FE679D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供货服务期</w:t>
            </w:r>
          </w:p>
        </w:tc>
        <w:tc>
          <w:tcPr>
            <w:tcW w:w="6395" w:type="dxa"/>
            <w:tcBorders>
              <w:top w:val="single" w:color="auto" w:sz="4" w:space="0"/>
              <w:left w:val="nil"/>
              <w:bottom w:val="single" w:color="auto" w:sz="4" w:space="0"/>
              <w:right w:val="single" w:color="auto" w:sz="4" w:space="0"/>
            </w:tcBorders>
            <w:vAlign w:val="top"/>
          </w:tcPr>
          <w:p w14:paraId="4624BB6A">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签订合同后</w:t>
            </w:r>
            <w:r>
              <w:rPr>
                <w:rFonts w:hint="eastAsia" w:ascii="宋体" w:hAnsi="宋体" w:eastAsia="宋体" w:cs="宋体"/>
                <w:color w:val="auto"/>
                <w:sz w:val="24"/>
                <w:szCs w:val="24"/>
                <w:highlight w:val="none"/>
                <w:shd w:val="clear" w:color="auto" w:fill="FFFFFF"/>
                <w:lang w:val="en-US" w:eastAsia="zh-CN"/>
              </w:rPr>
              <w:t>5日历天</w:t>
            </w:r>
            <w:r>
              <w:rPr>
                <w:rFonts w:hint="eastAsia" w:ascii="宋体" w:hAnsi="宋体" w:eastAsia="宋体" w:cs="宋体"/>
                <w:color w:val="auto"/>
                <w:sz w:val="24"/>
                <w:szCs w:val="24"/>
                <w:highlight w:val="none"/>
                <w:shd w:val="clear" w:color="auto" w:fill="FFFFFF"/>
                <w:lang w:eastAsia="zh-CN"/>
              </w:rPr>
              <w:t>内供货完毕</w:t>
            </w:r>
          </w:p>
        </w:tc>
      </w:tr>
      <w:tr w14:paraId="75918905">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61752F9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93" w:type="dxa"/>
            <w:tcBorders>
              <w:top w:val="single" w:color="auto" w:sz="4" w:space="0"/>
              <w:left w:val="nil"/>
              <w:bottom w:val="single" w:color="auto" w:sz="4" w:space="0"/>
              <w:right w:val="single" w:color="auto" w:sz="4" w:space="0"/>
            </w:tcBorders>
            <w:vAlign w:val="center"/>
          </w:tcPr>
          <w:p w14:paraId="4B0B5E2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6395" w:type="dxa"/>
            <w:tcBorders>
              <w:top w:val="single" w:color="auto" w:sz="4" w:space="0"/>
              <w:left w:val="nil"/>
              <w:bottom w:val="single" w:color="auto" w:sz="4" w:space="0"/>
              <w:right w:val="single" w:color="auto" w:sz="4" w:space="0"/>
            </w:tcBorders>
            <w:vAlign w:val="top"/>
          </w:tcPr>
          <w:p w14:paraId="40942DE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同第一章 ：“二、供应商资格要求”</w:t>
            </w:r>
          </w:p>
        </w:tc>
      </w:tr>
      <w:tr w14:paraId="13967B6D">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4DBED1E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93" w:type="dxa"/>
            <w:tcBorders>
              <w:top w:val="single" w:color="auto" w:sz="4" w:space="0"/>
              <w:left w:val="nil"/>
              <w:bottom w:val="single" w:color="auto" w:sz="4" w:space="0"/>
              <w:right w:val="single" w:color="auto" w:sz="4" w:space="0"/>
            </w:tcBorders>
            <w:vAlign w:val="center"/>
          </w:tcPr>
          <w:p w14:paraId="48DA0AB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395" w:type="dxa"/>
            <w:tcBorders>
              <w:top w:val="single" w:color="auto" w:sz="4" w:space="0"/>
              <w:left w:val="nil"/>
              <w:bottom w:val="single" w:color="auto" w:sz="4" w:space="0"/>
              <w:right w:val="single" w:color="auto" w:sz="4" w:space="0"/>
            </w:tcBorders>
            <w:vAlign w:val="center"/>
          </w:tcPr>
          <w:p w14:paraId="031CD4D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■不组织</w:t>
            </w:r>
          </w:p>
        </w:tc>
      </w:tr>
      <w:tr w14:paraId="4DB85296">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337DF6D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93" w:type="dxa"/>
            <w:tcBorders>
              <w:top w:val="single" w:color="auto" w:sz="4" w:space="0"/>
              <w:left w:val="nil"/>
              <w:bottom w:val="single" w:color="auto" w:sz="4" w:space="0"/>
              <w:right w:val="single" w:color="auto" w:sz="4" w:space="0"/>
            </w:tcBorders>
            <w:vAlign w:val="center"/>
          </w:tcPr>
          <w:p w14:paraId="21F4FE8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395" w:type="dxa"/>
            <w:tcBorders>
              <w:top w:val="single" w:color="auto" w:sz="4" w:space="0"/>
              <w:left w:val="nil"/>
              <w:bottom w:val="single" w:color="auto" w:sz="4" w:space="0"/>
              <w:right w:val="single" w:color="auto" w:sz="4" w:space="0"/>
            </w:tcBorders>
            <w:vAlign w:val="center"/>
          </w:tcPr>
          <w:p w14:paraId="24DDC6A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■不召开</w:t>
            </w:r>
          </w:p>
        </w:tc>
      </w:tr>
      <w:tr w14:paraId="1472EFA6">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632D453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93" w:type="dxa"/>
            <w:tcBorders>
              <w:top w:val="single" w:color="auto" w:sz="4" w:space="0"/>
              <w:left w:val="nil"/>
              <w:bottom w:val="single" w:color="auto" w:sz="4" w:space="0"/>
              <w:right w:val="single" w:color="auto" w:sz="4" w:space="0"/>
            </w:tcBorders>
            <w:vAlign w:val="center"/>
          </w:tcPr>
          <w:p w14:paraId="5983865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  包</w:t>
            </w:r>
          </w:p>
        </w:tc>
        <w:tc>
          <w:tcPr>
            <w:tcW w:w="6395" w:type="dxa"/>
            <w:tcBorders>
              <w:top w:val="single" w:color="auto" w:sz="4" w:space="0"/>
              <w:left w:val="nil"/>
              <w:bottom w:val="single" w:color="auto" w:sz="4" w:space="0"/>
              <w:right w:val="single" w:color="auto" w:sz="4" w:space="0"/>
            </w:tcBorders>
            <w:vAlign w:val="center"/>
          </w:tcPr>
          <w:p w14:paraId="53E40D3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■不允许</w:t>
            </w:r>
          </w:p>
        </w:tc>
      </w:tr>
      <w:tr w14:paraId="0A992C4D">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5D2FAA8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93" w:type="dxa"/>
            <w:tcBorders>
              <w:top w:val="single" w:color="auto" w:sz="4" w:space="0"/>
              <w:left w:val="nil"/>
              <w:bottom w:val="single" w:color="auto" w:sz="4" w:space="0"/>
              <w:right w:val="single" w:color="auto" w:sz="4" w:space="0"/>
            </w:tcBorders>
            <w:vAlign w:val="center"/>
          </w:tcPr>
          <w:p w14:paraId="13ED637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  离</w:t>
            </w:r>
          </w:p>
        </w:tc>
        <w:tc>
          <w:tcPr>
            <w:tcW w:w="6395" w:type="dxa"/>
            <w:tcBorders>
              <w:top w:val="single" w:color="auto" w:sz="4" w:space="0"/>
              <w:left w:val="nil"/>
              <w:bottom w:val="single" w:color="auto" w:sz="4" w:space="0"/>
              <w:right w:val="single" w:color="auto" w:sz="4" w:space="0"/>
            </w:tcBorders>
            <w:vAlign w:val="center"/>
          </w:tcPr>
          <w:p w14:paraId="74F179A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rPr>
              <w:t>允许</w:t>
            </w:r>
            <w:r>
              <w:rPr>
                <w:rFonts w:hint="eastAsia" w:ascii="宋体" w:hAnsi="宋体" w:eastAsia="宋体" w:cs="宋体"/>
                <w:color w:val="auto"/>
                <w:sz w:val="24"/>
                <w:szCs w:val="24"/>
                <w:highlight w:val="none"/>
                <w:lang w:val="en-US" w:eastAsia="zh-CN"/>
              </w:rPr>
              <w:t>正偏离</w:t>
            </w:r>
          </w:p>
        </w:tc>
      </w:tr>
      <w:tr w14:paraId="399BFE7D">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357E2E4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93" w:type="dxa"/>
            <w:tcBorders>
              <w:top w:val="single" w:color="auto" w:sz="4" w:space="0"/>
              <w:left w:val="nil"/>
              <w:bottom w:val="single" w:color="auto" w:sz="4" w:space="0"/>
              <w:right w:val="single" w:color="auto" w:sz="4" w:space="0"/>
            </w:tcBorders>
            <w:vAlign w:val="center"/>
          </w:tcPr>
          <w:p w14:paraId="723283B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构成竞争性磋商文件的其他材料</w:t>
            </w:r>
          </w:p>
        </w:tc>
        <w:tc>
          <w:tcPr>
            <w:tcW w:w="6395" w:type="dxa"/>
            <w:tcBorders>
              <w:top w:val="single" w:color="auto" w:sz="4" w:space="0"/>
              <w:left w:val="nil"/>
              <w:bottom w:val="single" w:color="auto" w:sz="4" w:space="0"/>
              <w:right w:val="single" w:color="auto" w:sz="4" w:space="0"/>
            </w:tcBorders>
            <w:vAlign w:val="center"/>
          </w:tcPr>
          <w:p w14:paraId="07F8E29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对竞争性磋商文件所作的澄清（含答疑）、修改，补充构成竞争性磋商文件的组成部分。</w:t>
            </w:r>
          </w:p>
        </w:tc>
      </w:tr>
      <w:tr w14:paraId="5D084BCA">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3A80D22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93" w:type="dxa"/>
            <w:tcBorders>
              <w:top w:val="single" w:color="auto" w:sz="4" w:space="0"/>
              <w:left w:val="nil"/>
              <w:bottom w:val="single" w:color="auto" w:sz="4" w:space="0"/>
              <w:right w:val="single" w:color="auto" w:sz="4" w:space="0"/>
            </w:tcBorders>
            <w:vAlign w:val="center"/>
          </w:tcPr>
          <w:p w14:paraId="103E034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要求澄清竞争性磋商文件的截止时间</w:t>
            </w:r>
          </w:p>
        </w:tc>
        <w:tc>
          <w:tcPr>
            <w:tcW w:w="6395" w:type="dxa"/>
            <w:tcBorders>
              <w:top w:val="single" w:color="auto" w:sz="4" w:space="0"/>
              <w:left w:val="nil"/>
              <w:bottom w:val="single" w:color="auto" w:sz="4" w:space="0"/>
              <w:right w:val="single" w:color="auto" w:sz="4" w:space="0"/>
            </w:tcBorders>
            <w:vAlign w:val="center"/>
          </w:tcPr>
          <w:p w14:paraId="5143FE2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要求为投标截止时间5日前</w:t>
            </w:r>
          </w:p>
        </w:tc>
      </w:tr>
      <w:tr w14:paraId="64C2AA11">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1D033E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93" w:type="dxa"/>
            <w:tcBorders>
              <w:top w:val="single" w:color="auto" w:sz="4" w:space="0"/>
              <w:left w:val="nil"/>
              <w:bottom w:val="single" w:color="auto" w:sz="4" w:space="0"/>
              <w:right w:val="single" w:color="auto" w:sz="4" w:space="0"/>
            </w:tcBorders>
            <w:vAlign w:val="center"/>
          </w:tcPr>
          <w:p w14:paraId="0651DAA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w:t>
            </w:r>
          </w:p>
        </w:tc>
        <w:tc>
          <w:tcPr>
            <w:tcW w:w="6395" w:type="dxa"/>
            <w:tcBorders>
              <w:top w:val="single" w:color="auto" w:sz="4" w:space="0"/>
              <w:left w:val="nil"/>
              <w:bottom w:val="single" w:color="auto" w:sz="4" w:space="0"/>
              <w:right w:val="single" w:color="auto" w:sz="4" w:space="0"/>
            </w:tcBorders>
            <w:vAlign w:val="center"/>
          </w:tcPr>
          <w:p w14:paraId="17B56C5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snapToGrid w:val="0"/>
                <w:sz w:val="24"/>
                <w:szCs w:val="24"/>
                <w:highlight w:val="none"/>
              </w:rPr>
              <w:t>详见磋商公告</w:t>
            </w:r>
          </w:p>
        </w:tc>
      </w:tr>
      <w:tr w14:paraId="1EFA54B1">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75E511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93" w:type="dxa"/>
            <w:tcBorders>
              <w:top w:val="single" w:color="auto" w:sz="4" w:space="0"/>
              <w:left w:val="nil"/>
              <w:bottom w:val="single" w:color="auto" w:sz="4" w:space="0"/>
              <w:right w:val="single" w:color="auto" w:sz="4" w:space="0"/>
            </w:tcBorders>
            <w:vAlign w:val="center"/>
          </w:tcPr>
          <w:p w14:paraId="6DF36D6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构成投标文件</w:t>
            </w:r>
          </w:p>
          <w:p w14:paraId="47B2E6B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的其他材料</w:t>
            </w:r>
          </w:p>
        </w:tc>
        <w:tc>
          <w:tcPr>
            <w:tcW w:w="6395" w:type="dxa"/>
            <w:tcBorders>
              <w:top w:val="single" w:color="auto" w:sz="4" w:space="0"/>
              <w:left w:val="nil"/>
              <w:bottom w:val="single" w:color="auto" w:sz="4" w:space="0"/>
              <w:right w:val="single" w:color="auto" w:sz="4" w:space="0"/>
            </w:tcBorders>
            <w:vAlign w:val="center"/>
          </w:tcPr>
          <w:p w14:paraId="01991B6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招标文件中要求提交和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认为有利于其投标的其他资料</w:t>
            </w:r>
          </w:p>
        </w:tc>
      </w:tr>
      <w:tr w14:paraId="3BCDBA7B">
        <w:tblPrEx>
          <w:tblCellMar>
            <w:top w:w="0" w:type="dxa"/>
            <w:left w:w="108" w:type="dxa"/>
            <w:bottom w:w="0" w:type="dxa"/>
            <w:right w:w="108" w:type="dxa"/>
          </w:tblCellMar>
        </w:tblPrEx>
        <w:trPr>
          <w:trHeight w:val="527" w:hRule="atLeast"/>
        </w:trPr>
        <w:tc>
          <w:tcPr>
            <w:tcW w:w="670" w:type="dxa"/>
            <w:tcBorders>
              <w:top w:val="single" w:color="auto" w:sz="4" w:space="0"/>
              <w:left w:val="single" w:color="auto" w:sz="4" w:space="0"/>
              <w:bottom w:val="single" w:color="auto" w:sz="4" w:space="0"/>
              <w:right w:val="single" w:color="auto" w:sz="4" w:space="0"/>
            </w:tcBorders>
            <w:vAlign w:val="center"/>
          </w:tcPr>
          <w:p w14:paraId="510A52A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993" w:type="dxa"/>
            <w:tcBorders>
              <w:top w:val="single" w:color="auto" w:sz="4" w:space="0"/>
              <w:left w:val="nil"/>
              <w:bottom w:val="single" w:color="auto" w:sz="4" w:space="0"/>
              <w:right w:val="single" w:color="auto" w:sz="4" w:space="0"/>
            </w:tcBorders>
            <w:vAlign w:val="center"/>
          </w:tcPr>
          <w:p w14:paraId="2F0EF5E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395" w:type="dxa"/>
            <w:tcBorders>
              <w:top w:val="single" w:color="auto" w:sz="4" w:space="0"/>
              <w:left w:val="nil"/>
              <w:bottom w:val="single" w:color="auto" w:sz="4" w:space="0"/>
              <w:right w:val="single" w:color="auto" w:sz="4" w:space="0"/>
            </w:tcBorders>
            <w:vAlign w:val="center"/>
          </w:tcPr>
          <w:p w14:paraId="27F9A8B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自投标文件递交截止之日起60日历天</w:t>
            </w:r>
          </w:p>
        </w:tc>
      </w:tr>
      <w:tr w14:paraId="56CDC202">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522C532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993" w:type="dxa"/>
            <w:tcBorders>
              <w:top w:val="single" w:color="auto" w:sz="4" w:space="0"/>
              <w:left w:val="nil"/>
              <w:bottom w:val="single" w:color="auto" w:sz="4" w:space="0"/>
              <w:right w:val="single" w:color="auto" w:sz="4" w:space="0"/>
            </w:tcBorders>
            <w:vAlign w:val="center"/>
          </w:tcPr>
          <w:p w14:paraId="00A2619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395" w:type="dxa"/>
            <w:tcBorders>
              <w:top w:val="single" w:color="auto" w:sz="4" w:space="0"/>
              <w:left w:val="nil"/>
              <w:bottom w:val="single" w:color="auto" w:sz="4" w:space="0"/>
              <w:right w:val="single" w:color="auto" w:sz="4" w:space="0"/>
            </w:tcBorders>
            <w:vAlign w:val="center"/>
          </w:tcPr>
          <w:p w14:paraId="38834D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05464D8D">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316DDC5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993" w:type="dxa"/>
            <w:tcBorders>
              <w:top w:val="single" w:color="auto" w:sz="4" w:space="0"/>
              <w:left w:val="nil"/>
              <w:bottom w:val="single" w:color="auto" w:sz="4" w:space="0"/>
              <w:right w:val="single" w:color="auto" w:sz="4" w:space="0"/>
            </w:tcBorders>
            <w:vAlign w:val="center"/>
          </w:tcPr>
          <w:p w14:paraId="2B7B492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近年完成的类似项目的年份要求</w:t>
            </w:r>
          </w:p>
        </w:tc>
        <w:tc>
          <w:tcPr>
            <w:tcW w:w="6395" w:type="dxa"/>
            <w:tcBorders>
              <w:top w:val="single" w:color="auto" w:sz="4" w:space="0"/>
              <w:left w:val="nil"/>
              <w:bottom w:val="single" w:color="auto" w:sz="4" w:space="0"/>
              <w:right w:val="single" w:color="auto" w:sz="4" w:space="0"/>
            </w:tcBorders>
            <w:vAlign w:val="center"/>
          </w:tcPr>
          <w:p w14:paraId="26A085D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近</w:t>
            </w:r>
            <w:r>
              <w:rPr>
                <w:rFonts w:hint="eastAsia" w:ascii="宋体" w:hAnsi="宋体" w:eastAsia="宋体" w:cs="宋体"/>
                <w:color w:val="auto"/>
                <w:sz w:val="24"/>
                <w:szCs w:val="24"/>
                <w:highlight w:val="none"/>
              </w:rPr>
              <w:t>年，指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w:t>
            </w:r>
          </w:p>
        </w:tc>
      </w:tr>
      <w:tr w14:paraId="0B728E56">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5909A4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993" w:type="dxa"/>
            <w:tcBorders>
              <w:top w:val="single" w:color="auto" w:sz="4" w:space="0"/>
              <w:left w:val="nil"/>
              <w:bottom w:val="single" w:color="auto" w:sz="4" w:space="0"/>
              <w:right w:val="single" w:color="auto" w:sz="4" w:space="0"/>
            </w:tcBorders>
            <w:vAlign w:val="center"/>
          </w:tcPr>
          <w:p w14:paraId="1C7F15E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近年发生的诉讼及仲裁情况的年份要求</w:t>
            </w:r>
          </w:p>
        </w:tc>
        <w:tc>
          <w:tcPr>
            <w:tcW w:w="6395" w:type="dxa"/>
            <w:tcBorders>
              <w:top w:val="single" w:color="auto" w:sz="4" w:space="0"/>
              <w:left w:val="nil"/>
              <w:bottom w:val="single" w:color="auto" w:sz="4" w:space="0"/>
              <w:right w:val="single" w:color="auto" w:sz="4" w:space="0"/>
            </w:tcBorders>
            <w:vAlign w:val="center"/>
          </w:tcPr>
          <w:p w14:paraId="5C9D784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近</w:t>
            </w:r>
            <w:r>
              <w:rPr>
                <w:rFonts w:hint="eastAsia" w:ascii="宋体" w:hAnsi="宋体" w:eastAsia="宋体" w:cs="宋体"/>
                <w:color w:val="auto"/>
                <w:sz w:val="24"/>
                <w:szCs w:val="24"/>
                <w:highlight w:val="none"/>
              </w:rPr>
              <w:t>年，指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w:t>
            </w:r>
          </w:p>
        </w:tc>
      </w:tr>
      <w:tr w14:paraId="0C4A8294">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04CD4F3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993" w:type="dxa"/>
            <w:tcBorders>
              <w:top w:val="single" w:color="auto" w:sz="4" w:space="0"/>
              <w:left w:val="nil"/>
              <w:bottom w:val="single" w:color="auto" w:sz="4" w:space="0"/>
              <w:right w:val="single" w:color="auto" w:sz="4" w:space="0"/>
            </w:tcBorders>
            <w:vAlign w:val="center"/>
          </w:tcPr>
          <w:p w14:paraId="105DF2C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395" w:type="dxa"/>
            <w:tcBorders>
              <w:top w:val="single" w:color="auto" w:sz="4" w:space="0"/>
              <w:left w:val="nil"/>
              <w:bottom w:val="single" w:color="auto" w:sz="4" w:space="0"/>
              <w:right w:val="single" w:color="auto" w:sz="4" w:space="0"/>
            </w:tcBorders>
            <w:vAlign w:val="center"/>
          </w:tcPr>
          <w:p w14:paraId="3B224A7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■不允许</w:t>
            </w:r>
          </w:p>
        </w:tc>
      </w:tr>
      <w:tr w14:paraId="4B4D6271">
        <w:tblPrEx>
          <w:tblCellMar>
            <w:top w:w="0" w:type="dxa"/>
            <w:left w:w="108" w:type="dxa"/>
            <w:bottom w:w="0" w:type="dxa"/>
            <w:right w:w="108" w:type="dxa"/>
          </w:tblCellMar>
        </w:tblPrEx>
        <w:trPr>
          <w:trHeight w:val="2908" w:hRule="atLeast"/>
        </w:trPr>
        <w:tc>
          <w:tcPr>
            <w:tcW w:w="670" w:type="dxa"/>
            <w:tcBorders>
              <w:top w:val="single" w:color="auto" w:sz="4" w:space="0"/>
              <w:left w:val="single" w:color="auto" w:sz="4" w:space="0"/>
              <w:bottom w:val="single" w:color="auto" w:sz="4" w:space="0"/>
              <w:right w:val="single" w:color="auto" w:sz="4" w:space="0"/>
            </w:tcBorders>
            <w:vAlign w:val="center"/>
          </w:tcPr>
          <w:p w14:paraId="264AD36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93" w:type="dxa"/>
            <w:tcBorders>
              <w:top w:val="single" w:color="auto" w:sz="4" w:space="0"/>
              <w:left w:val="nil"/>
              <w:bottom w:val="single" w:color="auto" w:sz="4" w:space="0"/>
              <w:right w:val="single" w:color="auto" w:sz="4" w:space="0"/>
            </w:tcBorders>
            <w:vAlign w:val="center"/>
          </w:tcPr>
          <w:p w14:paraId="1686240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签字和（或）盖章要求</w:t>
            </w:r>
          </w:p>
        </w:tc>
        <w:tc>
          <w:tcPr>
            <w:tcW w:w="6395" w:type="dxa"/>
            <w:tcBorders>
              <w:top w:val="single" w:color="auto" w:sz="4" w:space="0"/>
              <w:left w:val="nil"/>
              <w:bottom w:val="single" w:color="auto" w:sz="4" w:space="0"/>
              <w:right w:val="single" w:color="auto" w:sz="4" w:space="0"/>
            </w:tcBorders>
            <w:vAlign w:val="center"/>
          </w:tcPr>
          <w:p w14:paraId="49AD431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的签章：</w:t>
            </w:r>
          </w:p>
          <w:p w14:paraId="25CCE59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后，应对电子化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进行签章，未对电子化文件进行签章的视为无效投标。</w:t>
            </w:r>
          </w:p>
          <w:p w14:paraId="15901DA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2、竞</w:t>
            </w:r>
            <w:r>
              <w:rPr>
                <w:rFonts w:hint="eastAsia" w:ascii="宋体" w:hAnsi="宋体" w:eastAsia="宋体" w:cs="宋体"/>
                <w:b w:val="0"/>
                <w:bCs w:val="0"/>
                <w:color w:val="auto"/>
                <w:sz w:val="24"/>
                <w:szCs w:val="24"/>
                <w:highlight w:val="none"/>
              </w:rPr>
              <w:t>争性磋商文件中要求法定代表人或授权委托人签字或盖章的，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在进行电子化</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签章时，以签盖法定代表人签章为准。</w:t>
            </w:r>
          </w:p>
        </w:tc>
      </w:tr>
      <w:tr w14:paraId="2985B79E">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4456D67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93" w:type="dxa"/>
            <w:tcBorders>
              <w:top w:val="single" w:color="auto" w:sz="4" w:space="0"/>
              <w:left w:val="nil"/>
              <w:bottom w:val="single" w:color="auto" w:sz="4" w:space="0"/>
              <w:right w:val="single" w:color="auto" w:sz="4" w:space="0"/>
            </w:tcBorders>
            <w:vAlign w:val="center"/>
          </w:tcPr>
          <w:p w14:paraId="44C02B9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递交投标文件地点</w:t>
            </w:r>
          </w:p>
        </w:tc>
        <w:tc>
          <w:tcPr>
            <w:tcW w:w="6395" w:type="dxa"/>
            <w:tcBorders>
              <w:top w:val="single" w:color="auto" w:sz="4" w:space="0"/>
              <w:left w:val="nil"/>
              <w:bottom w:val="single" w:color="auto" w:sz="4" w:space="0"/>
              <w:right w:val="single" w:color="auto" w:sz="4" w:space="0"/>
            </w:tcBorders>
            <w:vAlign w:val="center"/>
          </w:tcPr>
          <w:p w14:paraId="66816EE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加密的电子投标文件上传至三门峡市公共资源交易中心系统；</w:t>
            </w:r>
          </w:p>
          <w:p w14:paraId="5B8A370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rPr>
              <w:t>开标时不再递交纸质</w:t>
            </w:r>
            <w:r>
              <w:rPr>
                <w:rFonts w:hint="eastAsia" w:ascii="宋体" w:hAnsi="宋体" w:eastAsia="宋体" w:cs="宋体"/>
                <w:color w:val="auto"/>
                <w:sz w:val="24"/>
                <w:szCs w:val="24"/>
                <w:highlight w:val="none"/>
                <w:lang w:eastAsia="zh-CN"/>
              </w:rPr>
              <w:t>投标文件</w:t>
            </w:r>
          </w:p>
        </w:tc>
      </w:tr>
      <w:tr w14:paraId="70B26C8A">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26F9C2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993" w:type="dxa"/>
            <w:tcBorders>
              <w:top w:val="single" w:color="auto" w:sz="4" w:space="0"/>
              <w:left w:val="nil"/>
              <w:bottom w:val="single" w:color="auto" w:sz="4" w:space="0"/>
              <w:right w:val="single" w:color="auto" w:sz="4" w:space="0"/>
            </w:tcBorders>
            <w:vAlign w:val="center"/>
          </w:tcPr>
          <w:p w14:paraId="14049EE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开标时间及地点</w:t>
            </w:r>
          </w:p>
        </w:tc>
        <w:tc>
          <w:tcPr>
            <w:tcW w:w="6395" w:type="dxa"/>
            <w:tcBorders>
              <w:top w:val="single" w:color="auto" w:sz="4" w:space="0"/>
              <w:left w:val="nil"/>
              <w:bottom w:val="single" w:color="auto" w:sz="4" w:space="0"/>
              <w:right w:val="single" w:color="auto" w:sz="4" w:space="0"/>
            </w:tcBorders>
            <w:vAlign w:val="center"/>
          </w:tcPr>
          <w:p w14:paraId="414F5E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snapToGrid w:val="0"/>
                <w:sz w:val="24"/>
                <w:szCs w:val="24"/>
                <w:highlight w:val="none"/>
              </w:rPr>
              <w:t>详见磋商公告</w:t>
            </w:r>
          </w:p>
        </w:tc>
      </w:tr>
      <w:tr w14:paraId="6F3F75C4">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3622E9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993" w:type="dxa"/>
            <w:tcBorders>
              <w:top w:val="single" w:color="auto" w:sz="4" w:space="0"/>
              <w:left w:val="nil"/>
              <w:bottom w:val="single" w:color="auto" w:sz="4" w:space="0"/>
              <w:right w:val="single" w:color="auto" w:sz="4" w:space="0"/>
            </w:tcBorders>
            <w:vAlign w:val="center"/>
          </w:tcPr>
          <w:p w14:paraId="19A7B0B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是否退还</w:t>
            </w:r>
            <w:r>
              <w:rPr>
                <w:rFonts w:hint="eastAsia" w:ascii="宋体" w:hAnsi="宋体" w:eastAsia="宋体" w:cs="宋体"/>
                <w:color w:val="auto"/>
                <w:sz w:val="24"/>
                <w:szCs w:val="24"/>
                <w:highlight w:val="none"/>
                <w:lang w:eastAsia="zh-CN"/>
              </w:rPr>
              <w:t>投标文件</w:t>
            </w:r>
          </w:p>
        </w:tc>
        <w:tc>
          <w:tcPr>
            <w:tcW w:w="6395" w:type="dxa"/>
            <w:tcBorders>
              <w:top w:val="single" w:color="auto" w:sz="4" w:space="0"/>
              <w:left w:val="nil"/>
              <w:bottom w:val="single" w:color="auto" w:sz="4" w:space="0"/>
              <w:right w:val="single" w:color="auto" w:sz="4" w:space="0"/>
            </w:tcBorders>
            <w:vAlign w:val="center"/>
          </w:tcPr>
          <w:p w14:paraId="425A71C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52DAC7B7">
        <w:tblPrEx>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vAlign w:val="center"/>
          </w:tcPr>
          <w:p w14:paraId="3935DFC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993" w:type="dxa"/>
            <w:tcBorders>
              <w:top w:val="single" w:color="auto" w:sz="4" w:space="0"/>
              <w:left w:val="nil"/>
              <w:bottom w:val="single" w:color="auto" w:sz="4" w:space="0"/>
              <w:right w:val="single" w:color="auto" w:sz="4" w:space="0"/>
            </w:tcBorders>
            <w:vAlign w:val="center"/>
          </w:tcPr>
          <w:p w14:paraId="26802B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395" w:type="dxa"/>
            <w:tcBorders>
              <w:top w:val="single" w:color="auto" w:sz="4" w:space="0"/>
              <w:left w:val="nil"/>
              <w:bottom w:val="single" w:color="auto" w:sz="4" w:space="0"/>
              <w:right w:val="single" w:color="auto" w:sz="4" w:space="0"/>
            </w:tcBorders>
            <w:vAlign w:val="center"/>
          </w:tcPr>
          <w:p w14:paraId="3132392F">
            <w:pPr>
              <w:keepNext w:val="0"/>
              <w:keepLines w:val="0"/>
              <w:pageBreakBefore w:val="0"/>
              <w:widowControl/>
              <w:kinsoku w:val="0"/>
              <w:wordWrap/>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1．本项目采用</w:t>
            </w:r>
            <w:r>
              <w:rPr>
                <w:rFonts w:hint="eastAsia" w:ascii="宋体" w:hAnsi="宋体" w:eastAsia="宋体" w:cs="宋体"/>
                <w:b/>
                <w:color w:val="auto"/>
                <w:kern w:val="0"/>
                <w:sz w:val="24"/>
                <w:szCs w:val="24"/>
                <w:highlight w:val="none"/>
              </w:rPr>
              <w:t>电子化、无纸化</w:t>
            </w:r>
            <w:r>
              <w:rPr>
                <w:rFonts w:hint="eastAsia" w:ascii="宋体" w:hAnsi="宋体" w:eastAsia="宋体" w:cs="宋体"/>
                <w:color w:val="auto"/>
                <w:kern w:val="0"/>
                <w:sz w:val="24"/>
                <w:szCs w:val="24"/>
                <w:highlight w:val="none"/>
              </w:rPr>
              <w:t>进行招标，开标当日，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无需到开标现场参加开标会议，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3A22BD4A">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2．电子化投标文件采用一次加密方式。开标时，由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使用CA 证书，在规定时间内对其电子化投标文件进行解密。每位</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的解密时间为开标时间起30分钟，因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原因未能解密、解密失败或解密超时的将不予接受。</w:t>
            </w:r>
          </w:p>
          <w:p w14:paraId="45BA0477">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3．电子化投标文件解密异常的处理</w:t>
            </w:r>
          </w:p>
          <w:p w14:paraId="586A6BC4">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如出现</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的电子投标文件无法解密等异常情况，</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应及时致电招标代理机构说明。投标文件异常，按以下步骤进行处理：</w:t>
            </w:r>
          </w:p>
          <w:p w14:paraId="4EB136D4">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（1）首先由技术人员进行问题排查。</w:t>
            </w:r>
          </w:p>
          <w:p w14:paraId="177DDE05">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（2）经技术人员排查后，是</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文件自身问题导致投标文件无法解密的，该投标文件将不予接收、解密和唱标。开标会议继续进行。</w:t>
            </w:r>
          </w:p>
          <w:p w14:paraId="64C902EE">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技术人员排查后，如果是电子化交易系统问题造成投标文件无法解密的，将由技术人员对问题进行处理。如短时间内问题无法解决的，将由招标代理机构向监督部门申请，经监督部门同意后，暂停开标会议，待问题解决后继续开标。</w:t>
            </w:r>
          </w:p>
          <w:p w14:paraId="187FBB01">
            <w:pPr>
              <w:keepNext w:val="0"/>
              <w:keepLines w:val="0"/>
              <w:pageBreakBefore w:val="0"/>
              <w:widowControl/>
              <w:kinsoku w:val="0"/>
              <w:wordWrap/>
              <w:autoSpaceDE w:val="0"/>
              <w:autoSpaceDN w:val="0"/>
              <w:bidi w:val="0"/>
              <w:adjustRightInd w:val="0"/>
              <w:snapToGrid w:val="0"/>
              <w:spacing w:line="360" w:lineRule="auto"/>
              <w:ind w:left="0" w:leftChars="0" w:right="0" w:rightChars="0"/>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4．待所有</w:t>
            </w:r>
            <w:r>
              <w:rPr>
                <w:rFonts w:hint="eastAsia" w:ascii="宋体" w:hAnsi="宋体" w:eastAsia="宋体" w:cs="宋体"/>
                <w:color w:val="auto"/>
                <w:kern w:val="0"/>
                <w:sz w:val="24"/>
                <w:szCs w:val="24"/>
                <w:highlight w:val="none"/>
                <w:lang w:eastAsia="zh-CN"/>
              </w:rPr>
              <w:t>供应</w:t>
            </w:r>
            <w:r>
              <w:rPr>
                <w:rFonts w:hint="eastAsia" w:ascii="宋体" w:hAnsi="宋体" w:eastAsia="宋体" w:cs="宋体"/>
                <w:b w:val="0"/>
                <w:bCs w:val="0"/>
                <w:color w:val="auto"/>
                <w:kern w:val="0"/>
                <w:sz w:val="24"/>
                <w:szCs w:val="24"/>
                <w:highlight w:val="none"/>
                <w:lang w:eastAsia="zh-CN"/>
              </w:rPr>
              <w:t>商</w:t>
            </w:r>
            <w:r>
              <w:rPr>
                <w:rFonts w:hint="eastAsia" w:ascii="宋体" w:hAnsi="宋体" w:eastAsia="宋体" w:cs="宋体"/>
                <w:b w:val="0"/>
                <w:bCs w:val="0"/>
                <w:color w:val="auto"/>
                <w:kern w:val="0"/>
                <w:sz w:val="24"/>
                <w:szCs w:val="24"/>
                <w:highlight w:val="none"/>
              </w:rPr>
              <w:t>投标文件解密完成后，由招标代理机构操作，对所有已解密投标文件进行唱标。</w:t>
            </w:r>
          </w:p>
          <w:p w14:paraId="47173FE2">
            <w:pPr>
              <w:keepNext w:val="0"/>
              <w:keepLines w:val="0"/>
              <w:pageBreakBefore w:val="0"/>
              <w:widowControl/>
              <w:kinsoku w:val="0"/>
              <w:wordWrap/>
              <w:autoSpaceDE w:val="0"/>
              <w:autoSpaceDN w:val="0"/>
              <w:bidi w:val="0"/>
              <w:adjustRightInd w:val="0"/>
              <w:snapToGrid w:val="0"/>
              <w:spacing w:line="360" w:lineRule="auto"/>
              <w:ind w:left="0" w:leftChars="0" w:right="0" w:right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应保证在开标期间电话、电脑、网络能够正常工作，</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因停电、电脑病毒、网络堵塞等原因，未在规定的解密时间内对投标文件进行解密的，其投标文件不予接收、唱标。</w:t>
            </w:r>
          </w:p>
          <w:p w14:paraId="2B157F74">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b w:val="0"/>
                <w:bCs w:val="0"/>
                <w:color w:val="auto"/>
                <w:kern w:val="0"/>
                <w:sz w:val="24"/>
                <w:szCs w:val="24"/>
                <w:highlight w:val="none"/>
              </w:rPr>
              <w:t>5．开标时</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可登录到交易系统中在开标</w:t>
            </w:r>
            <w:r>
              <w:rPr>
                <w:rFonts w:hint="eastAsia" w:ascii="宋体" w:hAnsi="宋体" w:eastAsia="宋体" w:cs="宋体"/>
                <w:color w:val="auto"/>
                <w:kern w:val="0"/>
                <w:sz w:val="24"/>
                <w:szCs w:val="24"/>
                <w:highlight w:val="none"/>
              </w:rPr>
              <w:t>解密栏中点击报价一览表查看自己的投标报价。如对自己的唱标内容有异议的，应在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解密成功后10分钟内向</w:t>
            </w:r>
            <w:r>
              <w:rPr>
                <w:rFonts w:hint="eastAsia" w:ascii="宋体" w:hAnsi="宋体" w:eastAsia="宋体" w:cs="宋体"/>
                <w:color w:val="auto"/>
                <w:sz w:val="24"/>
                <w:szCs w:val="24"/>
                <w:highlight w:val="none"/>
              </w:rPr>
              <w:t>招标代理机构</w:t>
            </w:r>
            <w:r>
              <w:rPr>
                <w:rFonts w:hint="eastAsia" w:ascii="宋体" w:hAnsi="宋体" w:eastAsia="宋体" w:cs="宋体"/>
                <w:color w:val="auto"/>
                <w:kern w:val="0"/>
                <w:sz w:val="24"/>
                <w:szCs w:val="24"/>
                <w:highlight w:val="none"/>
              </w:rPr>
              <w:t>电话质疑。招标代理机构应在监督人员的监督下进行免提通话接受</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的质疑并做好书面记录。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未在规定时间内提出质疑的，视为认可唱标内容。</w:t>
            </w:r>
          </w:p>
        </w:tc>
      </w:tr>
      <w:tr w14:paraId="165BA98E">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7C3D065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993" w:type="dxa"/>
            <w:tcBorders>
              <w:top w:val="single" w:color="auto" w:sz="4" w:space="0"/>
              <w:left w:val="nil"/>
              <w:bottom w:val="single" w:color="auto" w:sz="4" w:space="0"/>
              <w:right w:val="single" w:color="auto" w:sz="4" w:space="0"/>
            </w:tcBorders>
            <w:vAlign w:val="center"/>
          </w:tcPr>
          <w:p w14:paraId="59B254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395" w:type="dxa"/>
            <w:tcBorders>
              <w:top w:val="single" w:color="auto" w:sz="4" w:space="0"/>
              <w:left w:val="nil"/>
              <w:bottom w:val="single" w:color="auto" w:sz="4" w:space="0"/>
              <w:right w:val="single" w:color="auto" w:sz="4" w:space="0"/>
            </w:tcBorders>
            <w:vAlign w:val="center"/>
          </w:tcPr>
          <w:p w14:paraId="4EAE58D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磋商小组构成：3人，其中采购人代表1人，专家2人；</w:t>
            </w:r>
          </w:p>
          <w:p w14:paraId="5D20DDF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2名评标专家确定方式：评标专家从评标专家库中随机抽取。</w:t>
            </w:r>
          </w:p>
        </w:tc>
      </w:tr>
      <w:tr w14:paraId="48A06AEE">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375FC5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993" w:type="dxa"/>
            <w:tcBorders>
              <w:top w:val="single" w:color="auto" w:sz="4" w:space="0"/>
              <w:left w:val="nil"/>
              <w:bottom w:val="single" w:color="auto" w:sz="4" w:space="0"/>
              <w:right w:val="single" w:color="auto" w:sz="4" w:space="0"/>
            </w:tcBorders>
            <w:vAlign w:val="center"/>
          </w:tcPr>
          <w:p w14:paraId="6346F17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是否授权磋商小组确定中标人</w:t>
            </w:r>
          </w:p>
        </w:tc>
        <w:tc>
          <w:tcPr>
            <w:tcW w:w="6395" w:type="dxa"/>
            <w:tcBorders>
              <w:top w:val="single" w:color="auto" w:sz="4" w:space="0"/>
              <w:left w:val="nil"/>
              <w:bottom w:val="single" w:color="auto" w:sz="4" w:space="0"/>
              <w:right w:val="single" w:color="auto" w:sz="4" w:space="0"/>
            </w:tcBorders>
            <w:vAlign w:val="center"/>
          </w:tcPr>
          <w:p w14:paraId="0E3DC2E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否，竞争性磋商小组从质量和服务均能满足磋商文件实质性响应要求的供应商中，按照评审得分由高到低的顺序推荐</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3名成交候选人，由采购人按照竞争性磋商小组推荐的成交候选人顺序确定成交人。</w:t>
            </w:r>
          </w:p>
        </w:tc>
      </w:tr>
      <w:tr w14:paraId="69197101">
        <w:tblPrEx>
          <w:tblCellMar>
            <w:top w:w="0" w:type="dxa"/>
            <w:left w:w="108" w:type="dxa"/>
            <w:bottom w:w="0" w:type="dxa"/>
            <w:right w:w="108" w:type="dxa"/>
          </w:tblCellMar>
        </w:tblPrEx>
        <w:trPr>
          <w:trHeight w:val="4833" w:hRule="atLeast"/>
        </w:trPr>
        <w:tc>
          <w:tcPr>
            <w:tcW w:w="670" w:type="dxa"/>
            <w:tcBorders>
              <w:top w:val="single" w:color="auto" w:sz="4" w:space="0"/>
              <w:left w:val="single" w:color="auto" w:sz="4" w:space="0"/>
              <w:bottom w:val="single" w:color="auto" w:sz="4" w:space="0"/>
              <w:right w:val="single" w:color="auto" w:sz="4" w:space="0"/>
            </w:tcBorders>
            <w:vAlign w:val="center"/>
          </w:tcPr>
          <w:p w14:paraId="36854F1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993" w:type="dxa"/>
            <w:tcBorders>
              <w:top w:val="single" w:color="auto" w:sz="4" w:space="0"/>
              <w:left w:val="nil"/>
              <w:bottom w:val="single" w:color="auto" w:sz="4" w:space="0"/>
              <w:right w:val="single" w:color="auto" w:sz="4" w:space="0"/>
            </w:tcBorders>
            <w:vAlign w:val="center"/>
          </w:tcPr>
          <w:p w14:paraId="503F7E3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采购最高限价</w:t>
            </w:r>
          </w:p>
          <w:p w14:paraId="1B3D79A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报价及费用</w:t>
            </w:r>
            <w:r>
              <w:rPr>
                <w:rFonts w:hint="eastAsia" w:ascii="宋体" w:hAnsi="宋体" w:eastAsia="宋体" w:cs="宋体"/>
                <w:color w:val="auto"/>
                <w:sz w:val="24"/>
                <w:szCs w:val="24"/>
                <w:highlight w:val="none"/>
                <w:lang w:eastAsia="zh-CN"/>
              </w:rPr>
              <w:t>）</w:t>
            </w:r>
          </w:p>
        </w:tc>
        <w:tc>
          <w:tcPr>
            <w:tcW w:w="6395" w:type="dxa"/>
            <w:tcBorders>
              <w:top w:val="single" w:color="auto" w:sz="4" w:space="0"/>
              <w:left w:val="nil"/>
              <w:bottom w:val="single" w:color="auto" w:sz="4" w:space="0"/>
              <w:right w:val="single" w:color="auto" w:sz="4" w:space="0"/>
            </w:tcBorders>
            <w:vAlign w:val="center"/>
          </w:tcPr>
          <w:p w14:paraId="0453CB3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highlight w:val="none"/>
              </w:rPr>
              <w:t>采购最高限价：</w:t>
            </w:r>
            <w:r>
              <w:rPr>
                <w:rFonts w:hint="eastAsia" w:ascii="宋体" w:hAnsi="宋体" w:eastAsia="宋体" w:cs="宋体"/>
                <w:b/>
                <w:bCs/>
                <w:color w:val="auto"/>
                <w:sz w:val="24"/>
                <w:szCs w:val="24"/>
                <w:highlight w:val="none"/>
                <w:lang w:val="en-US" w:eastAsia="zh-CN"/>
              </w:rPr>
              <w:t>￥76万元，其中一标段53.9万；二标段22.1万。</w:t>
            </w:r>
            <w:r>
              <w:rPr>
                <w:rFonts w:hint="eastAsia" w:ascii="宋体" w:hAnsi="宋体" w:eastAsia="宋体" w:cs="宋体"/>
                <w:b/>
                <w:bCs/>
                <w:color w:val="000000"/>
                <w:sz w:val="24"/>
                <w:szCs w:val="24"/>
                <w:highlight w:val="none"/>
                <w:lang w:bidi="ar"/>
              </w:rPr>
              <w:t>若供应商的投标总报价超过采购预算金额（最高限价）即按废标处理。</w:t>
            </w:r>
          </w:p>
          <w:p w14:paraId="5603EFF5">
            <w:pPr>
              <w:keepNext w:val="0"/>
              <w:keepLines w:val="0"/>
              <w:pageBreakBefore w:val="0"/>
              <w:widowControl/>
              <w:suppressLineNumbers w:val="0"/>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1．本项目应以人民币报价，供应商应就该项目完整投标（报价应包含服务费、税费、售后服务费等综合费用），采购人不另外支付其他任何费用。</w:t>
            </w:r>
          </w:p>
          <w:p w14:paraId="51C1A112">
            <w:pPr>
              <w:keepNext w:val="0"/>
              <w:keepLines w:val="0"/>
              <w:pageBreakBefore w:val="0"/>
              <w:widowControl/>
              <w:suppressLineNumbers w:val="0"/>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2.代理报酬的计算方法按以下方式执行：参照豫招协[2023]002号河南省招标投标协会关于印发《河南省招标代理服务收费指导意见》规定的收费标准收取，由中标人缴纳中标服务费。</w:t>
            </w:r>
          </w:p>
        </w:tc>
      </w:tr>
      <w:tr w14:paraId="084656D4">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2B77425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993" w:type="dxa"/>
            <w:tcBorders>
              <w:top w:val="single" w:color="auto" w:sz="4" w:space="0"/>
              <w:left w:val="nil"/>
              <w:bottom w:val="single" w:color="auto" w:sz="4" w:space="0"/>
              <w:right w:val="single" w:color="auto" w:sz="4" w:space="0"/>
            </w:tcBorders>
            <w:vAlign w:val="center"/>
          </w:tcPr>
          <w:p w14:paraId="493DCBE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付款办法</w:t>
            </w:r>
          </w:p>
        </w:tc>
        <w:tc>
          <w:tcPr>
            <w:tcW w:w="6395" w:type="dxa"/>
            <w:tcBorders>
              <w:top w:val="single" w:color="auto" w:sz="4" w:space="0"/>
              <w:left w:val="nil"/>
              <w:bottom w:val="single" w:color="auto" w:sz="4" w:space="0"/>
              <w:right w:val="single" w:color="auto" w:sz="4" w:space="0"/>
            </w:tcBorders>
            <w:vAlign w:val="center"/>
          </w:tcPr>
          <w:p w14:paraId="6083472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按灵宝市财政项目资金拨付程序付款。</w:t>
            </w:r>
          </w:p>
        </w:tc>
      </w:tr>
      <w:tr w14:paraId="3EF8B495">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1F7186C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w:t>
            </w:r>
          </w:p>
        </w:tc>
        <w:tc>
          <w:tcPr>
            <w:tcW w:w="1993" w:type="dxa"/>
            <w:tcBorders>
              <w:top w:val="single" w:color="auto" w:sz="4" w:space="0"/>
              <w:left w:val="nil"/>
              <w:bottom w:val="single" w:color="auto" w:sz="4" w:space="0"/>
              <w:right w:val="single" w:color="auto" w:sz="4" w:space="0"/>
            </w:tcBorders>
            <w:vAlign w:val="center"/>
          </w:tcPr>
          <w:p w14:paraId="0FD7619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履约保证金</w:t>
            </w:r>
          </w:p>
        </w:tc>
        <w:tc>
          <w:tcPr>
            <w:tcW w:w="6395" w:type="dxa"/>
            <w:tcBorders>
              <w:top w:val="single" w:color="auto" w:sz="4" w:space="0"/>
              <w:left w:val="nil"/>
              <w:bottom w:val="single" w:color="auto" w:sz="4" w:space="0"/>
              <w:right w:val="single" w:color="auto" w:sz="4" w:space="0"/>
            </w:tcBorders>
            <w:vAlign w:val="center"/>
          </w:tcPr>
          <w:p w14:paraId="491DB14B">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无</w:t>
            </w:r>
          </w:p>
        </w:tc>
      </w:tr>
      <w:tr w14:paraId="5F441DA8">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25852B2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w:t>
            </w:r>
          </w:p>
        </w:tc>
        <w:tc>
          <w:tcPr>
            <w:tcW w:w="1993" w:type="dxa"/>
            <w:tcBorders>
              <w:top w:val="single" w:color="auto" w:sz="4" w:space="0"/>
              <w:left w:val="nil"/>
              <w:bottom w:val="single" w:color="auto" w:sz="4" w:space="0"/>
              <w:right w:val="single" w:color="auto" w:sz="4" w:space="0"/>
            </w:tcBorders>
            <w:vAlign w:val="center"/>
          </w:tcPr>
          <w:p w14:paraId="3ADDA520">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专门面向中小企业采购</w:t>
            </w:r>
          </w:p>
        </w:tc>
        <w:tc>
          <w:tcPr>
            <w:tcW w:w="6395" w:type="dxa"/>
            <w:tcBorders>
              <w:top w:val="single" w:color="auto" w:sz="4" w:space="0"/>
              <w:left w:val="nil"/>
              <w:bottom w:val="single" w:color="auto" w:sz="4" w:space="0"/>
              <w:right w:val="single" w:color="auto" w:sz="4" w:space="0"/>
            </w:tcBorders>
            <w:vAlign w:val="center"/>
          </w:tcPr>
          <w:p w14:paraId="78FDA75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本项目或相关采购包是否专门面向中小企业采购：否</w:t>
            </w:r>
          </w:p>
        </w:tc>
      </w:tr>
      <w:tr w14:paraId="4E4D8ED9">
        <w:tblPrEx>
          <w:tblCellMar>
            <w:top w:w="0" w:type="dxa"/>
            <w:left w:w="108" w:type="dxa"/>
            <w:bottom w:w="0" w:type="dxa"/>
            <w:right w:w="108" w:type="dxa"/>
          </w:tblCellMar>
        </w:tblPrEx>
        <w:trPr>
          <w:trHeight w:val="697" w:hRule="atLeast"/>
        </w:trPr>
        <w:tc>
          <w:tcPr>
            <w:tcW w:w="670" w:type="dxa"/>
            <w:tcBorders>
              <w:top w:val="single" w:color="auto" w:sz="4" w:space="0"/>
              <w:left w:val="single" w:color="auto" w:sz="4" w:space="0"/>
              <w:bottom w:val="single" w:color="auto" w:sz="4" w:space="0"/>
              <w:right w:val="single" w:color="auto" w:sz="4" w:space="0"/>
            </w:tcBorders>
            <w:vAlign w:val="center"/>
          </w:tcPr>
          <w:p w14:paraId="48E073A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w:t>
            </w:r>
          </w:p>
        </w:tc>
        <w:tc>
          <w:tcPr>
            <w:tcW w:w="1993" w:type="dxa"/>
            <w:tcBorders>
              <w:top w:val="single" w:color="auto" w:sz="4" w:space="0"/>
              <w:left w:val="nil"/>
              <w:bottom w:val="single" w:color="auto" w:sz="4" w:space="0"/>
              <w:right w:val="single" w:color="auto" w:sz="4" w:space="0"/>
            </w:tcBorders>
            <w:vAlign w:val="center"/>
          </w:tcPr>
          <w:p w14:paraId="416EBB2F">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中小微企业扶持政策</w:t>
            </w:r>
          </w:p>
        </w:tc>
        <w:tc>
          <w:tcPr>
            <w:tcW w:w="6395" w:type="dxa"/>
            <w:tcBorders>
              <w:top w:val="single" w:color="auto" w:sz="4" w:space="0"/>
              <w:left w:val="nil"/>
              <w:bottom w:val="single" w:color="auto" w:sz="4" w:space="0"/>
              <w:right w:val="single" w:color="auto" w:sz="4" w:space="0"/>
            </w:tcBorders>
            <w:vAlign w:val="center"/>
          </w:tcPr>
          <w:p w14:paraId="2A1BC11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在政府采购活动中，供应商提供的货物、工程或者服务符合下列情形的，享受本办法规定的中小微企业扶持政策： </w:t>
            </w:r>
          </w:p>
          <w:p w14:paraId="133A93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（一）在货物采购项目中，货物由中小微企业制造，即货物由中小微企业生产且使用该中小微企业商号或者注册商标； </w:t>
            </w:r>
          </w:p>
          <w:p w14:paraId="0A0F0FC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（二）在工程采购项目中，工程由中小微企业承建，即工程施工单位为中小微企业； </w:t>
            </w:r>
          </w:p>
          <w:p w14:paraId="50A3C2E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（三）在服务采购项目中，服务由中小微企业承接，即提供服务的人员为中小微企业依照《中华人民共和国劳动合同法》订立劳动合同的从业人员。 </w:t>
            </w:r>
          </w:p>
          <w:p w14:paraId="4AA3CFC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在货物采购项目中，供应商提供的货物既有中小微企业制造货物，也有大型企业制造货物的，不享受本办法规定的中小微企业扶持政策。</w:t>
            </w:r>
          </w:p>
          <w:p w14:paraId="0DC0EE3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以联合体形式参加政府采购活动，联合体各方均为中小微企业的，联合体视同中小微企业。其中，联合体各方均为小微企业的，联合体视同小微企业。</w:t>
            </w:r>
          </w:p>
        </w:tc>
      </w:tr>
      <w:tr w14:paraId="243BB9A4">
        <w:tblPrEx>
          <w:tblCellMar>
            <w:top w:w="0" w:type="dxa"/>
            <w:left w:w="108" w:type="dxa"/>
            <w:bottom w:w="0" w:type="dxa"/>
            <w:right w:w="108" w:type="dxa"/>
          </w:tblCellMar>
        </w:tblPrEx>
        <w:trPr>
          <w:trHeight w:val="2657" w:hRule="atLeast"/>
        </w:trPr>
        <w:tc>
          <w:tcPr>
            <w:tcW w:w="670" w:type="dxa"/>
            <w:tcBorders>
              <w:top w:val="single" w:color="auto" w:sz="4" w:space="0"/>
              <w:left w:val="single" w:color="auto" w:sz="4" w:space="0"/>
              <w:bottom w:val="single" w:color="auto" w:sz="4" w:space="0"/>
              <w:right w:val="single" w:color="auto" w:sz="4" w:space="0"/>
            </w:tcBorders>
            <w:vAlign w:val="center"/>
          </w:tcPr>
          <w:p w14:paraId="6A5A33F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993" w:type="dxa"/>
            <w:tcBorders>
              <w:top w:val="single" w:color="auto" w:sz="4" w:space="0"/>
              <w:left w:val="nil"/>
              <w:bottom w:val="single" w:color="auto" w:sz="4" w:space="0"/>
              <w:right w:val="single" w:color="auto" w:sz="4" w:space="0"/>
            </w:tcBorders>
            <w:vAlign w:val="center"/>
          </w:tcPr>
          <w:p w14:paraId="353676D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所属行业</w:t>
            </w:r>
          </w:p>
        </w:tc>
        <w:tc>
          <w:tcPr>
            <w:tcW w:w="6395" w:type="dxa"/>
            <w:tcBorders>
              <w:top w:val="single" w:color="auto" w:sz="4" w:space="0"/>
              <w:left w:val="nil"/>
              <w:bottom w:val="single" w:color="auto" w:sz="4" w:space="0"/>
              <w:right w:val="single" w:color="auto" w:sz="4" w:space="0"/>
            </w:tcBorders>
            <w:vAlign w:val="center"/>
          </w:tcPr>
          <w:p w14:paraId="1EE2F47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依据“关于印发中小微企业划型标准规定的通知 工信部联企业〔2011〕300 号”本项目属于农、林、牧、渔业：营业收入 20000 万元以下的为中小微型企业。其中，营业收入 500万元及以上的为中型企业；营业收入 50 万元及以上的为小型企业；营业收入 50 万元以下的为微型企业。</w:t>
            </w:r>
          </w:p>
        </w:tc>
      </w:tr>
      <w:tr w14:paraId="36EF3D1B">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41948EE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993" w:type="dxa"/>
            <w:tcBorders>
              <w:top w:val="single" w:color="auto" w:sz="4" w:space="0"/>
              <w:left w:val="nil"/>
              <w:bottom w:val="single" w:color="auto" w:sz="4" w:space="0"/>
              <w:right w:val="single" w:color="auto" w:sz="4" w:space="0"/>
            </w:tcBorders>
            <w:vAlign w:val="center"/>
          </w:tcPr>
          <w:p w14:paraId="40E0942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是否实行计算机辅助评标</w:t>
            </w:r>
          </w:p>
        </w:tc>
        <w:tc>
          <w:tcPr>
            <w:tcW w:w="6395" w:type="dxa"/>
            <w:tcBorders>
              <w:top w:val="single" w:color="auto" w:sz="4" w:space="0"/>
              <w:left w:val="nil"/>
              <w:bottom w:val="single" w:color="auto" w:sz="4" w:space="0"/>
              <w:right w:val="single" w:color="auto" w:sz="4" w:space="0"/>
            </w:tcBorders>
            <w:vAlign w:val="center"/>
          </w:tcPr>
          <w:p w14:paraId="142BAC3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p w14:paraId="141F0D2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供应商须独立制作、修改和上传投标文件，若因“投标文件制作机器码”与其他供应商一致，机器码一致的所有投标文件按无效文件处理，所造成的不良后果由供应商自行承担。</w:t>
            </w:r>
          </w:p>
        </w:tc>
      </w:tr>
      <w:tr w14:paraId="5657D6D2">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71BE37A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993" w:type="dxa"/>
            <w:tcBorders>
              <w:top w:val="single" w:color="auto" w:sz="4" w:space="0"/>
              <w:left w:val="nil"/>
              <w:bottom w:val="single" w:color="auto" w:sz="4" w:space="0"/>
              <w:right w:val="single" w:color="auto" w:sz="4" w:space="0"/>
            </w:tcBorders>
            <w:vAlign w:val="center"/>
          </w:tcPr>
          <w:p w14:paraId="007ABF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代表出席开标会</w:t>
            </w:r>
          </w:p>
        </w:tc>
        <w:tc>
          <w:tcPr>
            <w:tcW w:w="6395" w:type="dxa"/>
            <w:tcBorders>
              <w:top w:val="single" w:color="auto" w:sz="4" w:space="0"/>
              <w:left w:val="nil"/>
              <w:bottom w:val="single" w:color="auto" w:sz="4" w:space="0"/>
              <w:right w:val="single" w:color="auto" w:sz="4" w:space="0"/>
            </w:tcBorders>
            <w:vAlign w:val="center"/>
          </w:tcPr>
          <w:p w14:paraId="624E9E8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所有投标供应商的法定代表人或其委托代理人无需到现场参加开标会议，仔细阅读磋商文件和三门峡市公共资源交易中心官网业务办理指南</w:t>
            </w:r>
          </w:p>
        </w:tc>
      </w:tr>
      <w:tr w14:paraId="4CA89579">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1D5520A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993" w:type="dxa"/>
            <w:tcBorders>
              <w:top w:val="single" w:color="auto" w:sz="4" w:space="0"/>
              <w:left w:val="nil"/>
              <w:bottom w:val="single" w:color="auto" w:sz="4" w:space="0"/>
              <w:right w:val="single" w:color="auto" w:sz="4" w:space="0"/>
            </w:tcBorders>
            <w:vAlign w:val="center"/>
          </w:tcPr>
          <w:p w14:paraId="33F5222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395" w:type="dxa"/>
            <w:tcBorders>
              <w:top w:val="single" w:color="auto" w:sz="4" w:space="0"/>
              <w:left w:val="nil"/>
              <w:bottom w:val="single" w:color="auto" w:sz="4" w:space="0"/>
              <w:right w:val="single" w:color="auto" w:sz="4" w:space="0"/>
            </w:tcBorders>
            <w:vAlign w:val="center"/>
          </w:tcPr>
          <w:p w14:paraId="6C36EA3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在成交通知书发出前，采购人将成交候选人的情况在本招标项目招标公告发布的同一媒介、交易中心予以公示，接受社会监督</w:t>
            </w:r>
          </w:p>
        </w:tc>
      </w:tr>
      <w:tr w14:paraId="3C14AC30">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1FFFACC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993" w:type="dxa"/>
            <w:tcBorders>
              <w:top w:val="single" w:color="auto" w:sz="4" w:space="0"/>
              <w:left w:val="nil"/>
              <w:bottom w:val="single" w:color="auto" w:sz="4" w:space="0"/>
              <w:right w:val="single" w:color="auto" w:sz="4" w:space="0"/>
            </w:tcBorders>
            <w:vAlign w:val="center"/>
          </w:tcPr>
          <w:p w14:paraId="497AC65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w:t>
            </w:r>
          </w:p>
        </w:tc>
        <w:tc>
          <w:tcPr>
            <w:tcW w:w="6395" w:type="dxa"/>
            <w:tcBorders>
              <w:top w:val="single" w:color="auto" w:sz="4" w:space="0"/>
              <w:left w:val="nil"/>
              <w:bottom w:val="single" w:color="auto" w:sz="4" w:space="0"/>
              <w:right w:val="single" w:color="auto" w:sz="4" w:space="0"/>
            </w:tcBorders>
            <w:vAlign w:val="center"/>
          </w:tcPr>
          <w:p w14:paraId="03EAF7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成本竞争性磋商文件各个组成部分的文件，未经采购人书面同意，供应商不得擅自复印和用于非本招标项目所需的其他目的。采购人全部或者部分使用未成交人投标文件中的技术成果或技术方案时，需征得其书面同意，并不得擅自复印或提供给第三人</w:t>
            </w:r>
          </w:p>
        </w:tc>
      </w:tr>
      <w:tr w14:paraId="503CF4DC">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411187D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1993" w:type="dxa"/>
            <w:tcBorders>
              <w:top w:val="single" w:color="auto" w:sz="4" w:space="0"/>
              <w:left w:val="nil"/>
              <w:bottom w:val="single" w:color="auto" w:sz="4" w:space="0"/>
              <w:right w:val="single" w:color="auto" w:sz="4" w:space="0"/>
            </w:tcBorders>
            <w:vAlign w:val="center"/>
          </w:tcPr>
          <w:p w14:paraId="2682F44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重新招标的其他情形</w:t>
            </w:r>
          </w:p>
        </w:tc>
        <w:tc>
          <w:tcPr>
            <w:tcW w:w="6395" w:type="dxa"/>
            <w:tcBorders>
              <w:top w:val="single" w:color="auto" w:sz="4" w:space="0"/>
              <w:left w:val="nil"/>
              <w:bottom w:val="single" w:color="auto" w:sz="4" w:space="0"/>
              <w:right w:val="single" w:color="auto" w:sz="4" w:space="0"/>
            </w:tcBorders>
            <w:vAlign w:val="center"/>
          </w:tcPr>
          <w:p w14:paraId="0DFABD3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除供应商须知正文第8条规定的情形外，经评标委员会评审，认为所有投标文件都不符合竞争性磋商文件要求的，可以否决所有投标文件，并在评标纪要上详细说明理由</w:t>
            </w:r>
          </w:p>
        </w:tc>
      </w:tr>
      <w:tr w14:paraId="5EC274E8">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5CA750D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993" w:type="dxa"/>
            <w:tcBorders>
              <w:top w:val="single" w:color="auto" w:sz="4" w:space="0"/>
              <w:left w:val="nil"/>
              <w:bottom w:val="single" w:color="auto" w:sz="4" w:space="0"/>
              <w:right w:val="single" w:color="auto" w:sz="4" w:space="0"/>
            </w:tcBorders>
            <w:vAlign w:val="center"/>
          </w:tcPr>
          <w:p w14:paraId="746081E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6395" w:type="dxa"/>
            <w:tcBorders>
              <w:top w:val="single" w:color="auto" w:sz="4" w:space="0"/>
              <w:left w:val="nil"/>
              <w:bottom w:val="single" w:color="auto" w:sz="4" w:space="0"/>
              <w:right w:val="single" w:color="auto" w:sz="4" w:space="0"/>
            </w:tcBorders>
            <w:vAlign w:val="center"/>
          </w:tcPr>
          <w:p w14:paraId="7232D55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本项目的招标投标活动及其相关当事人应当接受有管辖权的建设工程招标投标行政监督部门依法实施的监督</w:t>
            </w:r>
          </w:p>
        </w:tc>
      </w:tr>
      <w:tr w14:paraId="7C896A2E">
        <w:tblPrEx>
          <w:tblCellMar>
            <w:top w:w="0" w:type="dxa"/>
            <w:left w:w="108" w:type="dxa"/>
            <w:bottom w:w="0" w:type="dxa"/>
            <w:right w:w="108" w:type="dxa"/>
          </w:tblCellMar>
        </w:tblPrEx>
        <w:trPr>
          <w:trHeight w:val="4421" w:hRule="atLeast"/>
        </w:trPr>
        <w:tc>
          <w:tcPr>
            <w:tcW w:w="670" w:type="dxa"/>
            <w:tcBorders>
              <w:top w:val="single" w:color="auto" w:sz="4" w:space="0"/>
              <w:left w:val="single" w:color="auto" w:sz="4" w:space="0"/>
              <w:bottom w:val="single" w:color="auto" w:sz="4" w:space="0"/>
              <w:right w:val="single" w:color="auto" w:sz="4" w:space="0"/>
            </w:tcBorders>
            <w:vAlign w:val="center"/>
          </w:tcPr>
          <w:p w14:paraId="76E84DD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p>
        </w:tc>
        <w:tc>
          <w:tcPr>
            <w:tcW w:w="1993" w:type="dxa"/>
            <w:tcBorders>
              <w:top w:val="single" w:color="auto" w:sz="4" w:space="0"/>
              <w:left w:val="nil"/>
              <w:bottom w:val="single" w:color="auto" w:sz="4" w:space="0"/>
              <w:right w:val="single" w:color="auto" w:sz="4" w:space="0"/>
            </w:tcBorders>
            <w:vAlign w:val="center"/>
          </w:tcPr>
          <w:p w14:paraId="06C5E80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解释权</w:t>
            </w:r>
          </w:p>
        </w:tc>
        <w:tc>
          <w:tcPr>
            <w:tcW w:w="6395" w:type="dxa"/>
            <w:tcBorders>
              <w:top w:val="single" w:color="auto" w:sz="4" w:space="0"/>
              <w:left w:val="nil"/>
              <w:bottom w:val="single" w:color="auto" w:sz="4" w:space="0"/>
              <w:right w:val="single" w:color="auto" w:sz="4" w:space="0"/>
            </w:tcBorders>
            <w:vAlign w:val="center"/>
          </w:tcPr>
          <w:p w14:paraId="1981371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采购人或委托代理机构负责解释。</w:t>
            </w:r>
          </w:p>
        </w:tc>
      </w:tr>
      <w:tr w14:paraId="1C739CDE">
        <w:tblPrEx>
          <w:tblCellMar>
            <w:top w:w="0" w:type="dxa"/>
            <w:left w:w="108" w:type="dxa"/>
            <w:bottom w:w="0" w:type="dxa"/>
            <w:right w:w="108" w:type="dxa"/>
          </w:tblCellMar>
        </w:tblPrEx>
        <w:trPr>
          <w:trHeight w:val="5359" w:hRule="atLeast"/>
        </w:trPr>
        <w:tc>
          <w:tcPr>
            <w:tcW w:w="670" w:type="dxa"/>
            <w:tcBorders>
              <w:top w:val="single" w:color="auto" w:sz="4" w:space="0"/>
              <w:left w:val="single" w:color="auto" w:sz="4" w:space="0"/>
              <w:bottom w:val="single" w:color="auto" w:sz="4" w:space="0"/>
              <w:right w:val="single" w:color="auto" w:sz="4" w:space="0"/>
            </w:tcBorders>
            <w:vAlign w:val="center"/>
          </w:tcPr>
          <w:p w14:paraId="6E13E5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p>
        </w:tc>
        <w:tc>
          <w:tcPr>
            <w:tcW w:w="1993" w:type="dxa"/>
            <w:tcBorders>
              <w:top w:val="single" w:color="auto" w:sz="4" w:space="0"/>
              <w:left w:val="nil"/>
              <w:bottom w:val="single" w:color="auto" w:sz="4" w:space="0"/>
              <w:right w:val="single" w:color="auto" w:sz="4" w:space="0"/>
            </w:tcBorders>
            <w:vAlign w:val="center"/>
          </w:tcPr>
          <w:p w14:paraId="613B8E8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质疑</w:t>
            </w:r>
          </w:p>
        </w:tc>
        <w:tc>
          <w:tcPr>
            <w:tcW w:w="6395" w:type="dxa"/>
            <w:tcBorders>
              <w:top w:val="single" w:color="auto" w:sz="4" w:space="0"/>
              <w:left w:val="nil"/>
              <w:bottom w:val="single" w:color="auto" w:sz="4" w:space="0"/>
              <w:right w:val="single" w:color="auto" w:sz="4" w:space="0"/>
            </w:tcBorders>
          </w:tcPr>
          <w:p w14:paraId="64DDF2F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kern w:val="44"/>
                <w:sz w:val="24"/>
                <w:szCs w:val="24"/>
                <w:highlight w:val="none"/>
              </w:rPr>
            </w:pPr>
            <w:r>
              <w:rPr>
                <w:rFonts w:hint="eastAsia" w:ascii="宋体" w:hAnsi="宋体" w:eastAsia="宋体" w:cs="宋体"/>
                <w:b w:val="0"/>
                <w:bCs w:val="0"/>
                <w:color w:val="auto"/>
                <w:kern w:val="44"/>
                <w:sz w:val="24"/>
                <w:szCs w:val="24"/>
                <w:highlight w:val="none"/>
                <w:lang w:val="en-US" w:eastAsia="zh-CN"/>
              </w:rPr>
              <w:t>一、</w:t>
            </w:r>
            <w:r>
              <w:rPr>
                <w:rFonts w:hint="eastAsia" w:ascii="宋体" w:hAnsi="宋体" w:eastAsia="宋体" w:cs="宋体"/>
                <w:b w:val="0"/>
                <w:bCs w:val="0"/>
                <w:color w:val="auto"/>
                <w:kern w:val="44"/>
                <w:sz w:val="24"/>
                <w:szCs w:val="24"/>
                <w:highlight w:val="none"/>
              </w:rPr>
              <w:t>供应商认为自己的权益受到损害的，可以在知道或者应知其权益受到损害之日起七个工作日内，向采购代理机构提出质疑。</w:t>
            </w:r>
          </w:p>
          <w:p w14:paraId="1F7F929E">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kern w:val="44"/>
                <w:sz w:val="24"/>
                <w:szCs w:val="24"/>
                <w:highlight w:val="none"/>
              </w:rPr>
            </w:pPr>
            <w:r>
              <w:rPr>
                <w:rFonts w:hint="eastAsia" w:ascii="宋体" w:hAnsi="宋体" w:eastAsia="宋体" w:cs="宋体"/>
                <w:b w:val="0"/>
                <w:bCs w:val="0"/>
                <w:color w:val="auto"/>
                <w:kern w:val="44"/>
                <w:sz w:val="24"/>
                <w:szCs w:val="24"/>
                <w:highlight w:val="none"/>
              </w:rPr>
              <w:t>质疑函的内容、格式：应符合《中华人民共和国财政部令第 94 号</w:t>
            </w:r>
            <w:r>
              <w:rPr>
                <w:rFonts w:hint="eastAsia" w:ascii="宋体" w:hAnsi="宋体" w:eastAsia="宋体" w:cs="宋体"/>
                <w:b w:val="0"/>
                <w:bCs w:val="0"/>
                <w:color w:val="auto"/>
                <w:kern w:val="44"/>
                <w:sz w:val="24"/>
                <w:szCs w:val="24"/>
                <w:highlight w:val="none"/>
                <w:lang w:eastAsia="zh-CN"/>
              </w:rPr>
              <w:t>—</w:t>
            </w:r>
            <w:r>
              <w:rPr>
                <w:rFonts w:hint="eastAsia" w:ascii="宋体" w:hAnsi="宋体" w:eastAsia="宋体" w:cs="宋体"/>
                <w:b w:val="0"/>
                <w:bCs w:val="0"/>
                <w:color w:val="auto"/>
                <w:kern w:val="44"/>
                <w:sz w:val="24"/>
                <w:szCs w:val="24"/>
                <w:highlight w:val="none"/>
              </w:rPr>
              <w:t>政府采购质疑和投诉办法》相关规定和财政部门制定的《政府采购质疑函范本》格式。</w:t>
            </w:r>
          </w:p>
          <w:p w14:paraId="43BA57A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二、</w:t>
            </w:r>
            <w:r>
              <w:rPr>
                <w:rFonts w:hint="eastAsia" w:ascii="宋体" w:hAnsi="宋体" w:eastAsia="宋体" w:cs="宋体"/>
                <w:b w:val="0"/>
                <w:bCs w:val="0"/>
                <w:color w:val="auto"/>
                <w:kern w:val="44"/>
                <w:sz w:val="24"/>
                <w:szCs w:val="24"/>
                <w:highlight w:val="none"/>
              </w:rPr>
              <w:t>供应商应在法定质疑期内一次性针对同一采购程序环节提出质疑，否则针对再次提出质疑将不予接收。（采购程序环节分为：采购公告、磋商文件、采购过程、成交结果）</w:t>
            </w:r>
          </w:p>
          <w:p w14:paraId="5936886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招标文件的异议：供应商应仔细阅读招标文件所有内容，如有异议应当在招标文件规定的时间（即投标截止时间10日前）内在三门峡市公共资源交易中心平台一次性提出答疑问题并将异议相应的问题可编辑word版本和盖章后的扫描件发送至招标代理机构邮箱1687771614@qq.com（下同），采购人或招标代理机构将在收到异议之日起3日内作出答复。在规定时间内，若供应商未提出异议的，则视同供应商理解并认可招标文件，采购人或招标代理机构将不再接收涉及招标文件的异议。</w:t>
            </w:r>
          </w:p>
          <w:p w14:paraId="6326AC6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公告的异议：供应商或其他利害关系人对本次招标项目的中标公告有异议的，应当在中标公告公示期间在三门峡市公共资源交易中心平台线上提出并按照要求发至招标代理机构邮箱，逾期提出的将不予受理。</w:t>
            </w:r>
          </w:p>
          <w:p w14:paraId="03EA075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w:t>
            </w:r>
          </w:p>
          <w:p w14:paraId="5051808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（1）供应商提出异议时，应提交异议函和必要的证明材料（质疑函应当包含供应商名称、地址、联系人及联系电话、邮箱；质疑项目的名称、编号；提出异议的日期）。</w:t>
            </w:r>
          </w:p>
          <w:p w14:paraId="041D850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议供应商若委托代理人进行异议的，异议函应列明“授权代表”的有关内容，并在异议函中提交由质疑函供应商签署的授权委托书（法定代表人签字或盖章，并加盖单位公章）。授权委托书应载明委托代理人的姓名、代理事项、具体权限、期限和相关事项。</w:t>
            </w:r>
          </w:p>
          <w:p w14:paraId="35EC323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（3）异议函的异议事项应具体、明确，并有必要的事实依据和法律依据。</w:t>
            </w:r>
          </w:p>
          <w:p w14:paraId="2E545EB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异议供应商若存在捏造事实、伪造材料、以非法手段取得的证明材料（异议供应商无法证明其取得方式合法的，视为非法手段取得的证明材料）将被采购人列入不良行为记录名单，造成损失的应依法承担相应法律责任。</w:t>
            </w:r>
          </w:p>
        </w:tc>
      </w:tr>
      <w:tr w14:paraId="404CCDC8">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3F26478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p>
        </w:tc>
        <w:tc>
          <w:tcPr>
            <w:tcW w:w="1993" w:type="dxa"/>
            <w:tcBorders>
              <w:top w:val="single" w:color="auto" w:sz="4" w:space="0"/>
              <w:left w:val="nil"/>
              <w:bottom w:val="single" w:color="auto" w:sz="4" w:space="0"/>
              <w:right w:val="single" w:color="auto" w:sz="4" w:space="0"/>
            </w:tcBorders>
            <w:vAlign w:val="center"/>
          </w:tcPr>
          <w:p w14:paraId="7C26415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电子招标响应性文件递交异常的处理方式</w:t>
            </w:r>
          </w:p>
        </w:tc>
        <w:tc>
          <w:tcPr>
            <w:tcW w:w="6395" w:type="dxa"/>
            <w:tcBorders>
              <w:top w:val="single" w:color="auto" w:sz="4" w:space="0"/>
              <w:left w:val="nil"/>
              <w:bottom w:val="single" w:color="auto" w:sz="4" w:space="0"/>
              <w:right w:val="single" w:color="auto" w:sz="4" w:space="0"/>
            </w:tcBorders>
          </w:tcPr>
          <w:p w14:paraId="62EF5F2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当电子投标（文件打包、上传、解密异常）操作出现异常时，应及时联系平台技术支持人员解决。</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招标人（采购人）有权对供应商提供的证明材料进行核实，如果发现供应商提供虚假信息，将追究提供虚假信息的责任。</w:t>
            </w:r>
          </w:p>
        </w:tc>
      </w:tr>
      <w:tr w14:paraId="11707F14">
        <w:tblPrEx>
          <w:tblCellMar>
            <w:top w:w="0" w:type="dxa"/>
            <w:left w:w="108" w:type="dxa"/>
            <w:bottom w:w="0" w:type="dxa"/>
            <w:right w:w="108" w:type="dxa"/>
          </w:tblCellMar>
        </w:tblPrEx>
        <w:trPr>
          <w:trHeight w:val="6226" w:hRule="atLeast"/>
        </w:trPr>
        <w:tc>
          <w:tcPr>
            <w:tcW w:w="670" w:type="dxa"/>
            <w:tcBorders>
              <w:top w:val="single" w:color="auto" w:sz="4" w:space="0"/>
              <w:left w:val="single" w:color="auto" w:sz="4" w:space="0"/>
              <w:bottom w:val="single" w:color="auto" w:sz="4" w:space="0"/>
              <w:right w:val="single" w:color="auto" w:sz="4" w:space="0"/>
            </w:tcBorders>
          </w:tcPr>
          <w:p w14:paraId="7C20010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p>
        </w:tc>
        <w:tc>
          <w:tcPr>
            <w:tcW w:w="1993" w:type="dxa"/>
            <w:tcBorders>
              <w:top w:val="single" w:color="auto" w:sz="4" w:space="0"/>
              <w:left w:val="nil"/>
              <w:bottom w:val="single" w:color="auto" w:sz="4" w:space="0"/>
              <w:right w:val="single" w:color="auto" w:sz="4" w:space="0"/>
            </w:tcBorders>
          </w:tcPr>
          <w:p w14:paraId="13411686">
            <w:pPr>
              <w:keepNext w:val="0"/>
              <w:keepLines w:val="0"/>
              <w:pageBreakBefore w:val="0"/>
              <w:widowControl/>
              <w:tabs>
                <w:tab w:val="left" w:pos="6330"/>
              </w:tabs>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电子化投标注意事项</w:t>
            </w:r>
          </w:p>
        </w:tc>
        <w:tc>
          <w:tcPr>
            <w:tcW w:w="6395" w:type="dxa"/>
            <w:tcBorders>
              <w:top w:val="single" w:color="auto" w:sz="4" w:space="0"/>
              <w:left w:val="nil"/>
              <w:bottom w:val="single" w:color="auto" w:sz="4" w:space="0"/>
              <w:right w:val="single" w:color="auto" w:sz="4" w:space="0"/>
            </w:tcBorders>
          </w:tcPr>
          <w:p w14:paraId="2899759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7A22D66C">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电子化响应性文件具体制作教材请供应商通过CA证书登录三门峡市公共资源电子化交易系统在 “交易智库”中下载操作流程</w:t>
            </w:r>
          </w:p>
          <w:p w14:paraId="3D789D5E">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温馨提示：本项目为电子化、无纸化交易项目，供应商时不接受任何纸质资料，为保证您能投标成功，请需仔细阅读以下条款。</w:t>
            </w:r>
          </w:p>
          <w:p w14:paraId="4FE862C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一、电子化投标</w:t>
            </w:r>
          </w:p>
          <w:p w14:paraId="7660CC3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（一）电子化响应性文件的签章</w:t>
            </w:r>
          </w:p>
          <w:p w14:paraId="66CDA45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1、供应商在生成电子化响应性文件后，应对电子化响应性文件进行签章，未进行签章的视为无效投标。</w:t>
            </w:r>
          </w:p>
          <w:p w14:paraId="56CF400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w:t>
            </w:r>
            <w:r>
              <w:rPr>
                <w:rFonts w:hint="eastAsia" w:ascii="宋体" w:hAnsi="宋体" w:eastAsia="宋体" w:cs="宋体"/>
                <w:b w:val="0"/>
                <w:bCs w:val="0"/>
                <w:color w:val="auto"/>
                <w:sz w:val="24"/>
                <w:szCs w:val="24"/>
                <w:highlight w:val="none"/>
                <w:lang w:eastAsia="zh-CN"/>
              </w:rPr>
              <w:t>https://download.bqpoint.com/?SourceFrom=Ztb&amp;ZtbSoftXiaQuCode=1506&amp;ZtbSoftType=tballinclusive&amp;SoftGuid=32a56ff8-6d6c-41d4-8bbb-c9bcc14aa552&amp;RootGuid=a05291d9-1069-46fc-806b-01dc60317f84&amp;softtypecode=03</w:t>
            </w:r>
            <w:r>
              <w:rPr>
                <w:rFonts w:hint="eastAsia" w:ascii="宋体" w:hAnsi="宋体" w:eastAsia="宋体" w:cs="宋体"/>
                <w:b w:val="0"/>
                <w:bCs w:val="0"/>
                <w:color w:val="auto"/>
                <w:sz w:val="24"/>
                <w:szCs w:val="24"/>
                <w:highlight w:val="none"/>
              </w:rPr>
              <w:t>进行下载。</w:t>
            </w:r>
          </w:p>
          <w:p w14:paraId="4094B58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（二）电子化响应性文件的格式及上传投标</w:t>
            </w:r>
          </w:p>
          <w:p w14:paraId="15C7881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1、供应商所上传的电子化响应性文件，应是通过中心响应性文件制作系统制作的（响应性文件制作工具下载地址：</w:t>
            </w:r>
            <w:r>
              <w:rPr>
                <w:rFonts w:hint="eastAsia" w:ascii="宋体" w:hAnsi="宋体" w:eastAsia="宋体" w:cs="宋体"/>
                <w:b w:val="0"/>
                <w:bCs w:val="0"/>
                <w:color w:val="auto"/>
                <w:sz w:val="24"/>
                <w:szCs w:val="24"/>
                <w:highlight w:val="none"/>
                <w:lang w:eastAsia="zh-CN"/>
              </w:rPr>
              <w:t>https://download.bqpoint.com/?SourceFrom=Ztb&amp;ZtbSoftXiaQuCode=1506&amp;ZtbSoftType=tballinclusive&amp;SoftGuid=32a56ff8-6d6c-41d4-8bbb-c9bcc14aa552&amp;RootGuid=a05291d9-1069-46fc-806b-01dc60317f84&amp;softtypecode=03</w:t>
            </w:r>
            <w:r>
              <w:rPr>
                <w:rFonts w:hint="eastAsia" w:ascii="宋体" w:hAnsi="宋体" w:eastAsia="宋体" w:cs="宋体"/>
                <w:b w:val="0"/>
                <w:bCs w:val="0"/>
                <w:color w:val="auto"/>
                <w:sz w:val="24"/>
                <w:szCs w:val="24"/>
                <w:highlight w:val="none"/>
              </w:rPr>
              <w:t>），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4A33DE9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注：供应商投报多个标段的，需要每个标段单独制作电子响应性文件。</w:t>
            </w:r>
          </w:p>
          <w:p w14:paraId="2B43B4E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2、电子化响应性文件应在投标截止时间前成功上传至三门峡市公共资源电子化交易系统。至投标截止时间止，仍未上传成功的电子化响应性文件将不予接收。</w:t>
            </w:r>
          </w:p>
          <w:p w14:paraId="26ADEE9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4933D4D">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技术联系电话：</w:t>
            </w:r>
            <w:r>
              <w:rPr>
                <w:rFonts w:hint="eastAsia" w:ascii="宋体" w:hAnsi="宋体" w:eastAsia="宋体" w:cs="宋体"/>
                <w:b w:val="0"/>
                <w:bCs w:val="0"/>
                <w:color w:val="auto"/>
                <w:sz w:val="24"/>
                <w:szCs w:val="24"/>
                <w:highlight w:val="none"/>
                <w:lang w:val="en-US" w:eastAsia="zh-CN"/>
              </w:rPr>
              <w:t>0398-3117871</w:t>
            </w:r>
          </w:p>
          <w:p w14:paraId="6C655B1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主体库咨询电话:0398-3117815</w:t>
            </w:r>
          </w:p>
          <w:p w14:paraId="2D16A656">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CA证书制发:0398-2181635</w:t>
            </w:r>
          </w:p>
          <w:p w14:paraId="2AC695D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科技信息科:0398-3117095</w:t>
            </w:r>
          </w:p>
          <w:p w14:paraId="356A23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（三）电子化项目开标、解密、唱标、评标</w:t>
            </w:r>
          </w:p>
          <w:p w14:paraId="38ED47E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性文件解密等。</w:t>
            </w:r>
          </w:p>
          <w:p w14:paraId="2C88A8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69FF56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3、电子化响应性文件解密异常的处理</w:t>
            </w:r>
          </w:p>
          <w:p w14:paraId="1627A20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如出现供应商的电子响应性文件无法解密等异常情况，供应商应及时致电中介服务机构说明。响应性文件异常，按以下步骤进行处理：</w:t>
            </w:r>
          </w:p>
          <w:p w14:paraId="2BBC48A6">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（1）首先由技术人员进行问题排查。</w:t>
            </w:r>
          </w:p>
          <w:p w14:paraId="6BD8E6C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（2）经技术人员排查后，是供应商文件自身问题导致响应性文件无法解密的，该响应性文件将不予接收、解密和唱标。开标会议继续进行。</w:t>
            </w:r>
          </w:p>
          <w:p w14:paraId="6FFDE341">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7DF4D8F">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4、待所有供应商响应性文件解密完成后，由中介服务机构操作，对所有已解密响应性文件进行唱标。</w:t>
            </w:r>
          </w:p>
          <w:p w14:paraId="3C7D4B2F">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供应商应保证在开标期间电话、电脑、网络能够正常工作，供应商因停电、电脑病毒、网络堵塞等原因，未在规定的解密时间内对响应性文件进行解密的，其响应性文件不予接收、唱标。</w:t>
            </w:r>
          </w:p>
          <w:p w14:paraId="0B5D7A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11AB7D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1C332C8">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7、如评标委员会对需要回复的供应商连续三次致电未接通的，视为供应商放弃回复，评标委员会将自行对需要回复的内容进行认定。</w:t>
            </w:r>
          </w:p>
          <w:p w14:paraId="105A4F7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提示：本项目为电子化、无纸化交易项目，供应商时不再接受任何纸质资料，为保证您能投标成功，请需仔细阅读以上条款。</w:t>
            </w:r>
          </w:p>
        </w:tc>
      </w:tr>
    </w:tbl>
    <w:p w14:paraId="240631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bCs/>
          <w:color w:val="000000" w:themeColor="text1"/>
          <w:kern w:val="10"/>
          <w:sz w:val="24"/>
          <w:szCs w:val="24"/>
          <w:highlight w:val="none"/>
        </w:rPr>
      </w:pPr>
      <w:r>
        <w:rPr>
          <w:rFonts w:hint="eastAsia" w:ascii="宋体" w:hAnsi="宋体" w:eastAsia="宋体" w:cs="宋体"/>
          <w:b w:val="0"/>
          <w:bCs w:val="0"/>
          <w:color w:val="auto"/>
          <w:sz w:val="24"/>
          <w:szCs w:val="24"/>
          <w:highlight w:val="none"/>
        </w:rPr>
        <w:br w:type="page"/>
      </w:r>
      <w:bookmarkStart w:id="11" w:name="_Toc517178993"/>
      <w:bookmarkEnd w:id="11"/>
      <w:bookmarkStart w:id="12" w:name="_Toc513029203"/>
      <w:bookmarkEnd w:id="12"/>
      <w:bookmarkStart w:id="13" w:name="_Toc120614214"/>
      <w:bookmarkEnd w:id="13"/>
      <w:bookmarkStart w:id="14" w:name="_Toc20823275"/>
      <w:bookmarkEnd w:id="14"/>
      <w:bookmarkStart w:id="15" w:name="_Toc16938519"/>
      <w:bookmarkEnd w:id="15"/>
      <w:bookmarkStart w:id="16" w:name="_Toc479757211"/>
      <w:bookmarkStart w:id="17" w:name="_Toc16938558"/>
      <w:r>
        <w:rPr>
          <w:rFonts w:hint="eastAsia" w:ascii="宋体" w:hAnsi="宋体" w:eastAsia="宋体" w:cs="宋体"/>
          <w:b/>
          <w:bCs/>
          <w:color w:val="000000" w:themeColor="text1"/>
          <w:kern w:val="10"/>
          <w:sz w:val="24"/>
          <w:szCs w:val="24"/>
          <w:highlight w:val="none"/>
        </w:rPr>
        <w:t>1、总则</w:t>
      </w:r>
    </w:p>
    <w:p w14:paraId="383FBA0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18" w:name="_Toc152045531"/>
      <w:bookmarkStart w:id="19" w:name="_Toc152042307"/>
      <w:bookmarkStart w:id="20" w:name="_Toc179632548"/>
      <w:bookmarkStart w:id="21" w:name="_Toc144974499"/>
      <w:r>
        <w:rPr>
          <w:rFonts w:hint="eastAsia" w:ascii="宋体" w:hAnsi="宋体" w:eastAsia="宋体" w:cs="宋体"/>
          <w:color w:val="000000" w:themeColor="text1"/>
          <w:sz w:val="24"/>
          <w:szCs w:val="24"/>
          <w:highlight w:val="none"/>
        </w:rPr>
        <w:t>1.1项目概况</w:t>
      </w:r>
    </w:p>
    <w:p w14:paraId="7721B35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1.1.1根据根据《中华人民共和国政府采购法》、《政府采购非招标采购方式管理办法》等有关法律、法规和规章的规定，本招标项目已具备磋商条件，现对本项目进行竞争性磋商。</w:t>
      </w:r>
    </w:p>
    <w:p w14:paraId="30D6D32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1.1.2本项目采购人：见供应商须知前附表。</w:t>
      </w:r>
    </w:p>
    <w:p w14:paraId="39ADA5D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1.1.3本项目采购代理机构：见供应商须知前附表。</w:t>
      </w:r>
    </w:p>
    <w:p w14:paraId="3193C84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1.1.4本项目名称：见供应商须知前附表。</w:t>
      </w:r>
    </w:p>
    <w:bookmarkEnd w:id="18"/>
    <w:bookmarkEnd w:id="19"/>
    <w:bookmarkEnd w:id="20"/>
    <w:bookmarkEnd w:id="21"/>
    <w:p w14:paraId="3CDE75D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1.2资金来源和落实情况</w:t>
      </w:r>
    </w:p>
    <w:p w14:paraId="5A75B9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1.2.1本项目的资金来源：见供应商须知前附表。</w:t>
      </w:r>
    </w:p>
    <w:p w14:paraId="0711952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1.2.2本项目的出资比例：见供应商须知前附表。</w:t>
      </w:r>
    </w:p>
    <w:p w14:paraId="6D24474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1.2.3本项目的资金落实情况：见供应商须知前附表。</w:t>
      </w:r>
    </w:p>
    <w:p w14:paraId="74BE7DA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22" w:name="_Toc152045532"/>
      <w:bookmarkStart w:id="23" w:name="_Toc179632549"/>
      <w:bookmarkStart w:id="24" w:name="_Toc152042308"/>
      <w:bookmarkStart w:id="25" w:name="_Toc144974500"/>
      <w:r>
        <w:rPr>
          <w:rFonts w:hint="eastAsia" w:ascii="宋体" w:hAnsi="宋体" w:eastAsia="宋体" w:cs="宋体"/>
          <w:color w:val="000000" w:themeColor="text1"/>
          <w:sz w:val="24"/>
          <w:szCs w:val="24"/>
          <w:highlight w:val="none"/>
        </w:rPr>
        <w:t>1.3采购内容、采购要求、实施期限、服务地点和质量标准</w:t>
      </w:r>
    </w:p>
    <w:p w14:paraId="0357792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1.3.1本项目采购内容：见供应商须知前附表。</w:t>
      </w:r>
    </w:p>
    <w:p w14:paraId="4F23FA4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1.3.2本项目的质量标准：见供应商须知前附表</w:t>
      </w:r>
    </w:p>
    <w:p w14:paraId="2749FEF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1.3.3本项目的实施期限：见供应商须知前附表。</w:t>
      </w:r>
    </w:p>
    <w:p w14:paraId="007C544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1.3.4本项目服务地点：见供应商须知前附表。</w:t>
      </w:r>
    </w:p>
    <w:bookmarkEnd w:id="22"/>
    <w:bookmarkEnd w:id="23"/>
    <w:bookmarkEnd w:id="24"/>
    <w:bookmarkEnd w:id="25"/>
    <w:p w14:paraId="000CE0A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26" w:name="_Toc144974501"/>
      <w:bookmarkStart w:id="27" w:name="_Toc152045533"/>
      <w:bookmarkStart w:id="28" w:name="_Toc179632550"/>
      <w:bookmarkStart w:id="29" w:name="_Toc152042309"/>
      <w:r>
        <w:rPr>
          <w:rFonts w:hint="eastAsia" w:ascii="宋体" w:hAnsi="宋体" w:eastAsia="宋体" w:cs="宋体"/>
          <w:color w:val="000000" w:themeColor="text1"/>
          <w:sz w:val="24"/>
          <w:szCs w:val="24"/>
          <w:highlight w:val="none"/>
        </w:rPr>
        <w:t>1.4供应商资格要求</w:t>
      </w:r>
      <w:bookmarkEnd w:id="26"/>
      <w:bookmarkEnd w:id="27"/>
      <w:bookmarkEnd w:id="28"/>
      <w:bookmarkEnd w:id="29"/>
      <w:r>
        <w:rPr>
          <w:rFonts w:hint="eastAsia" w:ascii="宋体" w:hAnsi="宋体" w:eastAsia="宋体" w:cs="宋体"/>
          <w:color w:val="000000" w:themeColor="text1"/>
          <w:sz w:val="24"/>
          <w:szCs w:val="24"/>
          <w:highlight w:val="none"/>
        </w:rPr>
        <w:t>：见供应商须知前附表。</w:t>
      </w:r>
    </w:p>
    <w:p w14:paraId="6C01AB7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30" w:name="_Toc144974503"/>
      <w:bookmarkStart w:id="31" w:name="_Toc179632552"/>
      <w:bookmarkStart w:id="32" w:name="_Toc152042311"/>
      <w:bookmarkStart w:id="33" w:name="_Toc152045535"/>
      <w:r>
        <w:rPr>
          <w:rFonts w:hint="eastAsia" w:ascii="宋体" w:hAnsi="宋体" w:eastAsia="宋体" w:cs="宋体"/>
          <w:color w:val="000000" w:themeColor="text1"/>
          <w:sz w:val="24"/>
          <w:szCs w:val="24"/>
          <w:highlight w:val="none"/>
        </w:rPr>
        <w:t>1.5费用承担</w:t>
      </w:r>
      <w:bookmarkEnd w:id="30"/>
      <w:bookmarkEnd w:id="31"/>
      <w:bookmarkEnd w:id="32"/>
      <w:bookmarkEnd w:id="33"/>
    </w:p>
    <w:p w14:paraId="42262B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供应商准备和参加投标活动发生的费用自理。</w:t>
      </w:r>
    </w:p>
    <w:p w14:paraId="47A83D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1.6保密</w:t>
      </w:r>
    </w:p>
    <w:p w14:paraId="257EB0D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参与招标投标活动的各方应对竞争性磋商文件和</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中的商业和技术等秘密保密，违者应对由此造成的后果承担法律责任。</w:t>
      </w:r>
    </w:p>
    <w:p w14:paraId="7F810EF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1.7语言文字</w:t>
      </w:r>
    </w:p>
    <w:p w14:paraId="33EB748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除专用术语外，与招标投标有关的语言均使用中文。专用术语应附有中文注释。</w:t>
      </w:r>
    </w:p>
    <w:p w14:paraId="1E11696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1.8计量单位</w:t>
      </w:r>
    </w:p>
    <w:p w14:paraId="6C73F4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所有计量均采用中华人民共和国法定计量单位。</w:t>
      </w:r>
    </w:p>
    <w:p w14:paraId="43D1A3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1.9踏勘现场</w:t>
      </w:r>
    </w:p>
    <w:p w14:paraId="2F3FBC7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3901A79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1.10投标预备会</w:t>
      </w:r>
    </w:p>
    <w:p w14:paraId="1D25CB9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0DDD08E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1.11分包</w:t>
      </w:r>
    </w:p>
    <w:p w14:paraId="6AA971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489B4D7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1.12偏离</w:t>
      </w:r>
    </w:p>
    <w:p w14:paraId="07263B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1620836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rPr>
      </w:pPr>
      <w:bookmarkStart w:id="34" w:name="_Toc516499647"/>
      <w:r>
        <w:rPr>
          <w:rFonts w:hint="eastAsia" w:ascii="宋体" w:hAnsi="宋体" w:eastAsia="宋体" w:cs="宋体"/>
          <w:b/>
          <w:bCs/>
          <w:color w:val="000000" w:themeColor="text1"/>
          <w:kern w:val="10"/>
          <w:sz w:val="24"/>
          <w:szCs w:val="24"/>
          <w:highlight w:val="none"/>
        </w:rPr>
        <w:t>2、竞争性磋商文件</w:t>
      </w:r>
      <w:bookmarkEnd w:id="34"/>
    </w:p>
    <w:p w14:paraId="5E28CFA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2.1竞争性磋商文件的组成</w:t>
      </w:r>
    </w:p>
    <w:p w14:paraId="1D46176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本竞争性磋商文件包括：</w:t>
      </w:r>
    </w:p>
    <w:p w14:paraId="4EB6A2D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(1）竞争性磋商公告；</w:t>
      </w:r>
    </w:p>
    <w:p w14:paraId="56A784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(2）供应商须知；</w:t>
      </w:r>
    </w:p>
    <w:p w14:paraId="0F48BBB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(3）评标办法；</w:t>
      </w:r>
    </w:p>
    <w:p w14:paraId="33E7EC7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(4）合同条款及格式；</w:t>
      </w:r>
    </w:p>
    <w:p w14:paraId="6FD95E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(5）采购</w:t>
      </w:r>
      <w:r>
        <w:rPr>
          <w:rFonts w:hint="eastAsia" w:ascii="宋体" w:hAnsi="宋体" w:eastAsia="宋体" w:cs="宋体"/>
          <w:color w:val="000000" w:themeColor="text1"/>
          <w:sz w:val="24"/>
          <w:szCs w:val="24"/>
          <w:highlight w:val="none"/>
          <w:lang w:val="en-US" w:eastAsia="zh-CN"/>
        </w:rPr>
        <w:t>内容及技术要求</w:t>
      </w:r>
      <w:r>
        <w:rPr>
          <w:rFonts w:hint="eastAsia" w:ascii="宋体" w:hAnsi="宋体" w:eastAsia="宋体" w:cs="宋体"/>
          <w:color w:val="000000" w:themeColor="text1"/>
          <w:sz w:val="24"/>
          <w:szCs w:val="24"/>
          <w:highlight w:val="none"/>
        </w:rPr>
        <w:t>；</w:t>
      </w:r>
    </w:p>
    <w:p w14:paraId="6E46E0D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格式；</w:t>
      </w:r>
    </w:p>
    <w:p w14:paraId="128B5ED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根据本章第2.2</w:t>
      </w:r>
      <w:r>
        <w:rPr>
          <w:rFonts w:hint="eastAsia" w:ascii="宋体" w:hAnsi="宋体" w:eastAsia="宋体" w:cs="宋体"/>
          <w:color w:val="000000" w:themeColor="text1"/>
          <w:sz w:val="24"/>
          <w:szCs w:val="24"/>
          <w:highlight w:val="none"/>
          <w:lang w:val="en-US" w:eastAsia="zh-CN"/>
        </w:rPr>
        <w:t>款</w:t>
      </w:r>
      <w:r>
        <w:rPr>
          <w:rFonts w:hint="eastAsia" w:ascii="宋体" w:hAnsi="宋体" w:eastAsia="宋体" w:cs="宋体"/>
          <w:color w:val="000000" w:themeColor="text1"/>
          <w:sz w:val="24"/>
          <w:szCs w:val="24"/>
          <w:highlight w:val="none"/>
        </w:rPr>
        <w:t>对竞争性磋商文件所作的澄清、修改，构成竞争性磋商文件的组成部分。</w:t>
      </w:r>
    </w:p>
    <w:p w14:paraId="70F866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2.2竞争性磋商文件澄清与修改</w:t>
      </w:r>
    </w:p>
    <w:p w14:paraId="7195381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2.2.1供应商应仔细阅读和检查采购文件的全部内容。如发现缺页或附件不全，应及时向采购人（或采购代理机构）提出，以便补齐。如有疑问，应在供应商须知前附表规定的时间在</w:t>
      </w:r>
      <w:r>
        <w:rPr>
          <w:rFonts w:hint="eastAsia" w:ascii="宋体" w:hAnsi="宋体" w:eastAsia="宋体" w:cs="宋体"/>
          <w:color w:val="000000" w:themeColor="text1"/>
          <w:sz w:val="24"/>
          <w:szCs w:val="24"/>
          <w:highlight w:val="none"/>
          <w:lang w:val="en-US" w:eastAsia="zh-CN"/>
        </w:rPr>
        <w:t>电子化交易系统</w:t>
      </w:r>
      <w:r>
        <w:rPr>
          <w:rFonts w:hint="eastAsia" w:ascii="宋体" w:hAnsi="宋体" w:eastAsia="宋体" w:cs="宋体"/>
          <w:color w:val="000000" w:themeColor="text1"/>
          <w:sz w:val="24"/>
          <w:szCs w:val="24"/>
          <w:highlight w:val="none"/>
        </w:rPr>
        <w:t>平台上进行提问，要求采购人对采购文件予以澄清。</w:t>
      </w:r>
    </w:p>
    <w:p w14:paraId="0850FD4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编制的，应当在递交首次</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截止时间至少</w:t>
      </w:r>
      <w:r>
        <w:rPr>
          <w:rFonts w:hint="eastAsia" w:ascii="宋体" w:hAnsi="宋体" w:eastAsia="宋体" w:cs="宋体"/>
          <w:color w:val="000000" w:themeColor="text1"/>
          <w:sz w:val="24"/>
          <w:szCs w:val="24"/>
          <w:highlight w:val="none"/>
          <w:lang w:val="en-US" w:eastAsia="zh-CN"/>
        </w:rPr>
        <w:t>5日历天</w:t>
      </w:r>
      <w:r>
        <w:rPr>
          <w:rFonts w:hint="eastAsia" w:ascii="宋体" w:hAnsi="宋体" w:eastAsia="宋体" w:cs="宋体"/>
          <w:color w:val="000000" w:themeColor="text1"/>
          <w:sz w:val="24"/>
          <w:szCs w:val="24"/>
          <w:highlight w:val="none"/>
        </w:rPr>
        <w:t>前，在原公告发布媒体上发布变更公告（或澄清公告），不足</w:t>
      </w:r>
      <w:r>
        <w:rPr>
          <w:rFonts w:hint="eastAsia" w:ascii="宋体" w:hAnsi="宋体" w:eastAsia="宋体" w:cs="宋体"/>
          <w:color w:val="000000" w:themeColor="text1"/>
          <w:sz w:val="24"/>
          <w:szCs w:val="24"/>
          <w:highlight w:val="none"/>
          <w:lang w:val="en-US" w:eastAsia="zh-CN"/>
        </w:rPr>
        <w:t>5日历天</w:t>
      </w:r>
      <w:r>
        <w:rPr>
          <w:rFonts w:hint="eastAsia" w:ascii="宋体" w:hAnsi="宋体" w:eastAsia="宋体" w:cs="宋体"/>
          <w:color w:val="000000" w:themeColor="text1"/>
          <w:sz w:val="24"/>
          <w:szCs w:val="24"/>
          <w:highlight w:val="none"/>
        </w:rPr>
        <w:t>的，应当顺延首次递交</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截止时间。</w:t>
      </w:r>
    </w:p>
    <w:p w14:paraId="7E23664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2.2.3采购文件的澄清将在供应商须知前附表规定的时间在</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公共资源交易平台上公布给供应商，但不指明澄清问题的来源。</w:t>
      </w:r>
    </w:p>
    <w:p w14:paraId="4379D55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2.2.4采购人、采购代理机构对已发出的采购文件进行的澄清、更正或修改，澄清、更正或修改的内容将作为采购文件的组成部分。采购代理机构将通过</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公共资源交易中心交易平台“变更（澄清或更正）公告”和系统内部“答疑文件”告知供应商，各供应商须重新下载最新的答疑、变更（澄清或更正）文件，以此编制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w:t>
      </w:r>
    </w:p>
    <w:p w14:paraId="2691AFD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2.2.5</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公共资源交易中心平台供应商信息在磋商开始前具有保密性，供应商在</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提交截止时间前应当自行查看项目进展、答疑、变更（澄清或更正）通知、澄清及回复，因供应商未及时查看而造成的后果自负</w:t>
      </w:r>
      <w:r>
        <w:rPr>
          <w:rFonts w:hint="eastAsia" w:ascii="宋体" w:hAnsi="宋体" w:eastAsia="宋体" w:cs="宋体"/>
          <w:color w:val="000000" w:themeColor="text1"/>
          <w:sz w:val="24"/>
          <w:szCs w:val="24"/>
          <w:highlight w:val="none"/>
          <w:lang w:val="en-US" w:eastAsia="zh-CN"/>
        </w:rPr>
        <w:t>.</w:t>
      </w:r>
    </w:p>
    <w:p w14:paraId="746868DD">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eastAsia="zh-CN"/>
        </w:rPr>
      </w:pPr>
      <w:r>
        <w:rPr>
          <w:rFonts w:hint="eastAsia" w:ascii="宋体" w:hAnsi="宋体" w:eastAsia="宋体" w:cs="宋体"/>
          <w:b/>
          <w:bCs/>
          <w:color w:val="000000" w:themeColor="text1"/>
          <w:kern w:val="10"/>
          <w:sz w:val="24"/>
          <w:szCs w:val="24"/>
          <w:highlight w:val="none"/>
        </w:rPr>
        <w:t>3、</w:t>
      </w:r>
      <w:r>
        <w:rPr>
          <w:rFonts w:hint="eastAsia" w:ascii="宋体" w:hAnsi="宋体" w:eastAsia="宋体" w:cs="宋体"/>
          <w:b/>
          <w:bCs/>
          <w:color w:val="000000" w:themeColor="text1"/>
          <w:kern w:val="10"/>
          <w:sz w:val="24"/>
          <w:szCs w:val="24"/>
          <w:highlight w:val="none"/>
          <w:lang w:eastAsia="zh-CN"/>
        </w:rPr>
        <w:t>投标文件</w:t>
      </w:r>
    </w:p>
    <w:p w14:paraId="2390EE01">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3.1</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的组成</w:t>
      </w:r>
    </w:p>
    <w:p w14:paraId="5B0F1D6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3.1.1</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应包括下列内容：见</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格式</w:t>
      </w:r>
    </w:p>
    <w:p w14:paraId="2ABE767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zh-CN"/>
        </w:rPr>
      </w:pPr>
      <w:r>
        <w:rPr>
          <w:rFonts w:hint="eastAsia" w:ascii="宋体" w:hAnsi="宋体" w:eastAsia="宋体" w:cs="宋体"/>
          <w:b/>
          <w:bCs/>
          <w:color w:val="000000" w:themeColor="text1"/>
          <w:kern w:val="10"/>
          <w:sz w:val="24"/>
          <w:szCs w:val="24"/>
          <w:highlight w:val="none"/>
          <w:lang w:val="en-US" w:eastAsia="zh-CN"/>
        </w:rPr>
        <w:t>3.2</w:t>
      </w:r>
      <w:r>
        <w:rPr>
          <w:rFonts w:hint="eastAsia" w:ascii="宋体" w:hAnsi="宋体" w:eastAsia="宋体" w:cs="宋体"/>
          <w:b/>
          <w:bCs/>
          <w:color w:val="000000" w:themeColor="text1"/>
          <w:kern w:val="10"/>
          <w:sz w:val="24"/>
          <w:szCs w:val="24"/>
          <w:highlight w:val="none"/>
          <w:lang w:val="zh-CN"/>
        </w:rPr>
        <w:t>投标文件的格式</w:t>
      </w:r>
    </w:p>
    <w:p w14:paraId="4C18B1E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3.2</w:t>
      </w:r>
      <w:r>
        <w:rPr>
          <w:rFonts w:hint="eastAsia" w:ascii="宋体" w:hAnsi="宋体" w:eastAsia="宋体" w:cs="宋体"/>
          <w:color w:val="000000" w:themeColor="text1"/>
          <w:sz w:val="24"/>
          <w:szCs w:val="24"/>
          <w:highlight w:val="none"/>
          <w:lang w:val="zh-CN"/>
        </w:rPr>
        <w:t>.1 供应商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14ED05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注：供应商投报多个标段的，需要每个标段单独制作电子投标文件。</w:t>
      </w:r>
    </w:p>
    <w:p w14:paraId="4FB3C34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zh-CN" w:eastAsia="zh-CN"/>
        </w:rPr>
      </w:pPr>
      <w:bookmarkStart w:id="35" w:name="_Toc3669_WPSOffice_Level3"/>
      <w:r>
        <w:rPr>
          <w:rFonts w:hint="eastAsia" w:ascii="宋体" w:hAnsi="宋体" w:eastAsia="宋体" w:cs="宋体"/>
          <w:b/>
          <w:bCs/>
          <w:color w:val="000000" w:themeColor="text1"/>
          <w:kern w:val="10"/>
          <w:sz w:val="24"/>
          <w:szCs w:val="24"/>
          <w:highlight w:val="none"/>
          <w:lang w:val="en-US" w:eastAsia="zh-CN"/>
        </w:rPr>
        <w:t>3.3</w:t>
      </w:r>
      <w:r>
        <w:rPr>
          <w:rFonts w:hint="eastAsia" w:ascii="宋体" w:hAnsi="宋体" w:eastAsia="宋体" w:cs="宋体"/>
          <w:b/>
          <w:bCs/>
          <w:color w:val="000000" w:themeColor="text1"/>
          <w:kern w:val="10"/>
          <w:sz w:val="24"/>
          <w:szCs w:val="24"/>
          <w:highlight w:val="none"/>
          <w:lang w:val="zh-CN" w:eastAsia="zh-CN"/>
        </w:rPr>
        <w:t>、电子化磋商投标文件的签署</w:t>
      </w:r>
      <w:bookmarkEnd w:id="35"/>
    </w:p>
    <w:p w14:paraId="5DE8FF7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3.3</w:t>
      </w:r>
      <w:r>
        <w:rPr>
          <w:rFonts w:hint="eastAsia" w:ascii="宋体" w:hAnsi="宋体" w:eastAsia="宋体" w:cs="宋体"/>
          <w:color w:val="000000" w:themeColor="text1"/>
          <w:sz w:val="24"/>
          <w:szCs w:val="24"/>
          <w:highlight w:val="none"/>
          <w:lang w:val="zh-CN"/>
        </w:rPr>
        <w:t>.1 供应商在进行电子化磋商投标文件签章时，竞争性磋商文件中要求供应商盖章的，以签盖单位章为准；要求法定代表人签章的，以签盖法定代表人签章为准。电子化磋商投标文件具体制作教材请供应商通过 CA 证书登录三门峡市公共资源电子化交易系统在右上角“组件下载”中查看。</w:t>
      </w:r>
    </w:p>
    <w:p w14:paraId="4FF85BF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zh-CN" w:eastAsia="zh-CN"/>
        </w:rPr>
      </w:pPr>
      <w:bookmarkStart w:id="36" w:name="_Toc1982_WPSOffice_Level3"/>
      <w:r>
        <w:rPr>
          <w:rFonts w:hint="eastAsia" w:ascii="宋体" w:hAnsi="宋体" w:eastAsia="宋体" w:cs="宋体"/>
          <w:b/>
          <w:bCs/>
          <w:color w:val="000000" w:themeColor="text1"/>
          <w:kern w:val="10"/>
          <w:sz w:val="24"/>
          <w:szCs w:val="24"/>
          <w:highlight w:val="none"/>
          <w:lang w:val="en-US" w:eastAsia="zh-CN"/>
        </w:rPr>
        <w:t>3.4</w:t>
      </w:r>
      <w:r>
        <w:rPr>
          <w:rFonts w:hint="eastAsia" w:ascii="宋体" w:hAnsi="宋体" w:eastAsia="宋体" w:cs="宋体"/>
          <w:b/>
          <w:bCs/>
          <w:color w:val="000000" w:themeColor="text1"/>
          <w:kern w:val="10"/>
          <w:sz w:val="24"/>
          <w:szCs w:val="24"/>
          <w:highlight w:val="none"/>
          <w:lang w:val="zh-CN" w:eastAsia="zh-CN"/>
        </w:rPr>
        <w:t>电子化磋商投标文件的上传</w:t>
      </w:r>
      <w:bookmarkEnd w:id="36"/>
    </w:p>
    <w:p w14:paraId="49A5C8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3.4</w:t>
      </w:r>
      <w:r>
        <w:rPr>
          <w:rFonts w:hint="eastAsia" w:ascii="宋体" w:hAnsi="宋体" w:eastAsia="宋体" w:cs="宋体"/>
          <w:color w:val="000000" w:themeColor="text1"/>
          <w:sz w:val="24"/>
          <w:szCs w:val="24"/>
          <w:highlight w:val="none"/>
          <w:lang w:val="zh-CN"/>
        </w:rPr>
        <w:t>.1 电子化磋商投标文件应在磋商截止时间前成功上传至三门峡市公共资源电子化交易系统。至磋商截止时间止，仍未上传成功的电子化磋商投标文件将不予接收。</w:t>
      </w:r>
    </w:p>
    <w:p w14:paraId="3367946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注：如按照电子化投标操作教材制作完成的电子化磋商投标文件无法上传的，供应商应在磋商截止时间前尽早的联系中心技术人员，以便有充分的时间进行处理。供应商应充分考虑到处理技术问题和上传数据等工作的时间问题，磋商投标文件未在磋商截止时间前成功上传的，其磋商投标文件不予接收。</w:t>
      </w:r>
    </w:p>
    <w:p w14:paraId="27E558D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en-US" w:eastAsia="zh-CN"/>
        </w:rPr>
      </w:pPr>
      <w:r>
        <w:rPr>
          <w:rFonts w:hint="eastAsia" w:ascii="宋体" w:hAnsi="宋体" w:eastAsia="宋体" w:cs="宋体"/>
          <w:b/>
          <w:bCs/>
          <w:color w:val="000000" w:themeColor="text1"/>
          <w:kern w:val="10"/>
          <w:sz w:val="24"/>
          <w:szCs w:val="24"/>
          <w:highlight w:val="none"/>
          <w:lang w:val="en-US" w:eastAsia="zh-CN"/>
        </w:rPr>
        <w:t>3.5投标报价</w:t>
      </w:r>
    </w:p>
    <w:p w14:paraId="2DAFDFBC">
      <w:pPr>
        <w:keepNext w:val="0"/>
        <w:keepLines w:val="0"/>
        <w:pageBreakBefore w:val="0"/>
        <w:widowControl/>
        <w:kinsoku w:val="0"/>
        <w:wordWrap/>
        <w:bidi w:val="0"/>
        <w:adjustRightInd w:val="0"/>
        <w:snapToGrid w:val="0"/>
        <w:spacing w:line="360" w:lineRule="auto"/>
        <w:ind w:left="0" w:leftChars="0" w:right="0" w:rightChars="0" w:firstLine="482" w:firstLineChars="200"/>
        <w:jc w:val="left"/>
        <w:rPr>
          <w:rFonts w:hint="eastAsia" w:ascii="宋体" w:hAnsi="宋体" w:eastAsia="宋体" w:cs="宋体"/>
          <w:color w:val="000000" w:themeColor="text1"/>
          <w:sz w:val="24"/>
          <w:szCs w:val="24"/>
          <w:highlight w:val="none"/>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.1</w:t>
      </w:r>
      <w:r>
        <w:rPr>
          <w:rFonts w:hint="eastAsia" w:ascii="宋体" w:hAnsi="宋体" w:eastAsia="宋体" w:cs="宋体"/>
          <w:color w:val="000000" w:themeColor="text1"/>
          <w:sz w:val="24"/>
          <w:szCs w:val="24"/>
          <w:highlight w:val="none"/>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12937A1F">
      <w:pPr>
        <w:keepNext w:val="0"/>
        <w:keepLines w:val="0"/>
        <w:pageBreakBefore w:val="0"/>
        <w:widowControl/>
        <w:kinsoku w:val="0"/>
        <w:wordWrap/>
        <w:bidi w:val="0"/>
        <w:adjustRightInd w:val="0"/>
        <w:snapToGrid w:val="0"/>
        <w:spacing w:line="360" w:lineRule="auto"/>
        <w:ind w:left="0" w:leftChars="0" w:right="0" w:rightChars="0" w:firstLine="482" w:firstLineChars="200"/>
        <w:jc w:val="left"/>
        <w:rPr>
          <w:rFonts w:hint="eastAsia" w:ascii="宋体" w:hAnsi="宋体" w:eastAsia="宋体" w:cs="宋体"/>
          <w:color w:val="000000" w:themeColor="text1"/>
          <w:sz w:val="24"/>
          <w:szCs w:val="24"/>
          <w:highlight w:val="none"/>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.2</w:t>
      </w:r>
      <w:r>
        <w:rPr>
          <w:rFonts w:hint="eastAsia" w:ascii="宋体" w:hAnsi="宋体" w:eastAsia="宋体" w:cs="宋体"/>
          <w:color w:val="000000" w:themeColor="text1"/>
          <w:sz w:val="24"/>
          <w:szCs w:val="24"/>
          <w:highlight w:val="none"/>
        </w:rPr>
        <w:t>参考相关收费标准结合供应商自身情况自主报价，但不得</w:t>
      </w:r>
      <w:r>
        <w:rPr>
          <w:rFonts w:hint="eastAsia" w:ascii="宋体" w:hAnsi="宋体" w:eastAsia="宋体" w:cs="宋体"/>
          <w:color w:val="000000" w:themeColor="text1"/>
          <w:sz w:val="24"/>
          <w:szCs w:val="24"/>
          <w:highlight w:val="none"/>
          <w:lang w:val="en-US" w:eastAsia="zh-CN"/>
        </w:rPr>
        <w:t>以可能影响合同履行的异常低价竞标</w:t>
      </w:r>
      <w:r>
        <w:rPr>
          <w:rFonts w:hint="eastAsia" w:ascii="宋体" w:hAnsi="宋体" w:eastAsia="宋体" w:cs="宋体"/>
          <w:color w:val="000000" w:themeColor="text1"/>
          <w:sz w:val="24"/>
          <w:szCs w:val="24"/>
          <w:highlight w:val="none"/>
        </w:rPr>
        <w:t>。</w:t>
      </w:r>
    </w:p>
    <w:p w14:paraId="0A664E58">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color w:val="000000" w:themeColor="text1"/>
          <w:sz w:val="24"/>
          <w:szCs w:val="24"/>
          <w:highlight w:val="none"/>
          <w:lang w:eastAsia="zh-CN"/>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.3</w:t>
      </w:r>
      <w:r>
        <w:rPr>
          <w:rFonts w:hint="eastAsia" w:ascii="宋体" w:hAnsi="宋体" w:eastAsia="宋体" w:cs="宋体"/>
          <w:color w:val="000000" w:themeColor="text1"/>
          <w:sz w:val="24"/>
          <w:szCs w:val="24"/>
          <w:highlight w:val="none"/>
        </w:rPr>
        <w:t>供应商应参考采购人所提供的采购范围及工作内容、质量标准、采购预算等全部内容，结合本项目实际情况和供应商自身成本、市场行情等因素，自主报价。不得高于采购人给定的预算价或最高限价，否则</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将被认定为无效</w:t>
      </w:r>
      <w:r>
        <w:rPr>
          <w:rFonts w:hint="eastAsia" w:ascii="宋体" w:hAnsi="宋体" w:eastAsia="宋体" w:cs="宋体"/>
          <w:color w:val="000000" w:themeColor="text1"/>
          <w:sz w:val="24"/>
          <w:szCs w:val="24"/>
          <w:highlight w:val="none"/>
          <w:lang w:eastAsia="zh-CN"/>
        </w:rPr>
        <w:t>投标文件。 供应商所报的投标报价均应包括供应商履行本项目所必须的所有成本费用和供应商应承担的一切税费，包括但不限于办公、交通、人员、业务、差旅、调研、资料收集、报告编制、印刷、管理、税费、测试工具费用及其他管理费用等。</w:t>
      </w:r>
    </w:p>
    <w:p w14:paraId="5559645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.4</w:t>
      </w:r>
      <w:r>
        <w:rPr>
          <w:rFonts w:hint="eastAsia" w:ascii="宋体" w:hAnsi="宋体" w:eastAsia="宋体" w:cs="宋体"/>
          <w:color w:val="000000" w:themeColor="text1"/>
          <w:sz w:val="24"/>
          <w:szCs w:val="24"/>
          <w:highlight w:val="none"/>
        </w:rPr>
        <w:t>供应商应当按照采购文件提供的报价表格式如实填写各项货物的单价、分项总价和总报价。供应商</w:t>
      </w:r>
      <w:r>
        <w:rPr>
          <w:rFonts w:hint="eastAsia" w:ascii="宋体" w:hAnsi="宋体" w:eastAsia="宋体" w:cs="宋体"/>
          <w:b w:val="0"/>
          <w:bCs w:val="0"/>
          <w:color w:val="000000" w:themeColor="text1"/>
          <w:sz w:val="24"/>
          <w:szCs w:val="24"/>
          <w:highlight w:val="none"/>
        </w:rPr>
        <w:t>应认真填报所有项目的单价和合价，</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kern w:val="10"/>
          <w:sz w:val="24"/>
          <w:szCs w:val="24"/>
          <w:highlight w:val="none"/>
          <w:lang w:val="en-US" w:eastAsia="zh-CN"/>
        </w:rPr>
        <w:t>3.5</w:t>
      </w:r>
      <w:r>
        <w:rPr>
          <w:rFonts w:hint="eastAsia" w:ascii="宋体" w:hAnsi="宋体" w:eastAsia="宋体" w:cs="宋体"/>
          <w:b w:val="0"/>
          <w:bCs w:val="0"/>
          <w:color w:val="000000" w:themeColor="text1"/>
          <w:sz w:val="24"/>
          <w:szCs w:val="24"/>
          <w:highlight w:val="none"/>
        </w:rPr>
        <w:t>.5投标的报价及合同所有款项的支付均以人民币计算。应当由供应商完成的而供应商在报价组成中没有详细列出的工作内容，其报价均视为包含在报价组成已列出的项目之中，采购人不另行支付。</w:t>
      </w:r>
    </w:p>
    <w:p w14:paraId="70DF23ED">
      <w:pPr>
        <w:keepNext w:val="0"/>
        <w:keepLines w:val="0"/>
        <w:pageBreakBefore w:val="0"/>
        <w:widowControl/>
        <w:kinsoku w:val="0"/>
        <w:wordWrap/>
        <w:bidi w:val="0"/>
        <w:adjustRightInd w:val="0"/>
        <w:snapToGrid w:val="0"/>
        <w:spacing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kern w:val="10"/>
          <w:sz w:val="24"/>
          <w:szCs w:val="24"/>
          <w:highlight w:val="none"/>
          <w:lang w:val="en-US" w:eastAsia="zh-CN"/>
        </w:rPr>
        <w:t>3.5</w:t>
      </w:r>
      <w:r>
        <w:rPr>
          <w:rFonts w:hint="eastAsia" w:ascii="宋体" w:hAnsi="宋体" w:eastAsia="宋体" w:cs="宋体"/>
          <w:b w:val="0"/>
          <w:bCs w:val="0"/>
          <w:color w:val="000000" w:themeColor="text1"/>
          <w:sz w:val="24"/>
          <w:szCs w:val="24"/>
          <w:highlight w:val="none"/>
        </w:rPr>
        <w:t>.6</w:t>
      </w:r>
      <w:r>
        <w:rPr>
          <w:rFonts w:hint="eastAsia" w:ascii="宋体" w:hAnsi="宋体" w:eastAsia="宋体" w:cs="宋体"/>
          <w:b w:val="0"/>
          <w:bCs w:val="0"/>
          <w:color w:val="000000" w:themeColor="text1"/>
          <w:sz w:val="24"/>
          <w:szCs w:val="24"/>
          <w:highlight w:val="none"/>
          <w:lang w:val="en-US" w:eastAsia="zh-CN"/>
        </w:rPr>
        <w:t xml:space="preserve"> </w:t>
      </w:r>
      <w:r>
        <w:rPr>
          <w:rFonts w:hint="eastAsia" w:ascii="宋体" w:hAnsi="宋体" w:eastAsia="宋体" w:cs="宋体"/>
          <w:b w:val="0"/>
          <w:bCs w:val="0"/>
          <w:color w:val="000000" w:themeColor="text1"/>
          <w:sz w:val="24"/>
          <w:szCs w:val="24"/>
          <w:highlight w:val="none"/>
        </w:rPr>
        <w:t>本次磋商允许供应商有二次报价，供应商</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中的报价作为第一次报价，不得高于项目预算金额且不公开；第二轮报价不得高于第一轮报价,最后一次报价为最终报价，成交价以最终报价为准。最终报价是供应商</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的有效组成部分。</w:t>
      </w:r>
    </w:p>
    <w:p w14:paraId="33817F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eastAsia="zh-CN"/>
        </w:rPr>
      </w:pPr>
      <w:r>
        <w:rPr>
          <w:rFonts w:hint="eastAsia" w:ascii="宋体" w:hAnsi="宋体" w:eastAsia="宋体" w:cs="宋体"/>
          <w:b w:val="0"/>
          <w:bCs w:val="0"/>
          <w:color w:val="000000" w:themeColor="text1"/>
          <w:kern w:val="10"/>
          <w:sz w:val="24"/>
          <w:szCs w:val="24"/>
          <w:highlight w:val="none"/>
          <w:lang w:val="en-US" w:eastAsia="zh-CN"/>
        </w:rPr>
        <w:t>3.5</w:t>
      </w:r>
      <w:r>
        <w:rPr>
          <w:rFonts w:hint="eastAsia" w:ascii="宋体" w:hAnsi="宋体" w:eastAsia="宋体" w:cs="宋体"/>
          <w:b w:val="0"/>
          <w:bCs w:val="0"/>
          <w:color w:val="000000" w:themeColor="text1"/>
          <w:sz w:val="24"/>
          <w:szCs w:val="24"/>
          <w:highlight w:val="none"/>
        </w:rPr>
        <w:t>.7供应商的磋商报价不得高于磋商控制价，否则为废标</w:t>
      </w:r>
      <w:r>
        <w:rPr>
          <w:rFonts w:hint="eastAsia" w:ascii="宋体" w:hAnsi="宋体" w:eastAsia="宋体" w:cs="宋体"/>
          <w:b w:val="0"/>
          <w:bCs w:val="0"/>
          <w:color w:val="000000" w:themeColor="text1"/>
          <w:sz w:val="24"/>
          <w:szCs w:val="24"/>
          <w:highlight w:val="none"/>
          <w:lang w:eastAsia="zh-CN"/>
        </w:rPr>
        <w:t>。</w:t>
      </w:r>
    </w:p>
    <w:p w14:paraId="49BDCEF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6</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的编制</w:t>
      </w:r>
    </w:p>
    <w:p w14:paraId="6814F91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6</w:t>
      </w: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应按第六章“</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格式”进行编写，如有必要，可以增加附页，作为</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的组成部分。</w:t>
      </w:r>
    </w:p>
    <w:p w14:paraId="56C5E3E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6</w:t>
      </w:r>
      <w:r>
        <w:rPr>
          <w:rFonts w:hint="eastAsia" w:ascii="宋体" w:hAnsi="宋体" w:eastAsia="宋体" w:cs="宋体"/>
          <w:color w:val="000000" w:themeColor="text1"/>
          <w:sz w:val="24"/>
          <w:szCs w:val="24"/>
          <w:highlight w:val="none"/>
        </w:rPr>
        <w:t>.2</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应当对竞争性磋商文件有关</w:t>
      </w:r>
      <w:r>
        <w:rPr>
          <w:rFonts w:hint="eastAsia" w:ascii="宋体" w:hAnsi="宋体" w:eastAsia="宋体" w:cs="宋体"/>
          <w:color w:val="000000" w:themeColor="text1"/>
          <w:sz w:val="24"/>
          <w:szCs w:val="24"/>
          <w:highlight w:val="none"/>
          <w:lang w:val="en-US" w:eastAsia="zh-CN"/>
        </w:rPr>
        <w:t>供货期（服务周期）</w:t>
      </w:r>
      <w:r>
        <w:rPr>
          <w:rFonts w:hint="eastAsia" w:ascii="宋体" w:hAnsi="宋体" w:eastAsia="宋体" w:cs="宋体"/>
          <w:color w:val="000000" w:themeColor="text1"/>
          <w:sz w:val="24"/>
          <w:szCs w:val="24"/>
          <w:highlight w:val="none"/>
        </w:rPr>
        <w:t>、磋商有效期、质量标准、招标范围、</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的编制等实质性内容作出响应。</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不响应本竞争性磋商文件的实质性要求和条件的，其投标将被拒绝。</w:t>
      </w:r>
    </w:p>
    <w:p w14:paraId="054BE67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3.7.3竞争性磋商文件中要求供应商盖章的，以签盖单位章为准；要求法定代表人或授权委托人签字或盖章的，以签盖法定代表人电子签章为准。</w:t>
      </w:r>
    </w:p>
    <w:p w14:paraId="6474B566">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8</w:t>
      </w:r>
      <w:r>
        <w:rPr>
          <w:rFonts w:hint="eastAsia" w:ascii="宋体" w:hAnsi="宋体" w:eastAsia="宋体" w:cs="宋体"/>
          <w:b/>
          <w:bCs/>
          <w:color w:val="000000" w:themeColor="text1"/>
          <w:sz w:val="24"/>
          <w:szCs w:val="24"/>
          <w:highlight w:val="none"/>
        </w:rPr>
        <w:t>磋商有效期</w:t>
      </w:r>
    </w:p>
    <w:p w14:paraId="7945F2D5">
      <w:pPr>
        <w:keepNext w:val="0"/>
        <w:keepLines w:val="0"/>
        <w:pageBreakBefore w:val="0"/>
        <w:widowControl/>
        <w:tabs>
          <w:tab w:val="left" w:pos="1002"/>
        </w:tabs>
        <w:kinsoku w:val="0"/>
        <w:wordWrap/>
        <w:overflowPunct w:val="0"/>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8</w:t>
      </w:r>
      <w:r>
        <w:rPr>
          <w:rFonts w:hint="eastAsia" w:ascii="宋体" w:hAnsi="宋体" w:eastAsia="宋体" w:cs="宋体"/>
          <w:color w:val="000000" w:themeColor="text1"/>
          <w:sz w:val="24"/>
          <w:szCs w:val="24"/>
          <w:highlight w:val="none"/>
        </w:rPr>
        <w:t>.1自磋商截止时间起60日历天。在磋商有效期内，供应商不得要求撤销或修改其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w:t>
      </w:r>
    </w:p>
    <w:p w14:paraId="0070968C">
      <w:pPr>
        <w:keepNext w:val="0"/>
        <w:keepLines w:val="0"/>
        <w:pageBreakBefore w:val="0"/>
        <w:widowControl/>
        <w:tabs>
          <w:tab w:val="left" w:pos="782"/>
        </w:tabs>
        <w:kinsoku w:val="0"/>
        <w:wordWrap/>
        <w:overflowPunct w:val="0"/>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8</w:t>
      </w:r>
      <w:r>
        <w:rPr>
          <w:rFonts w:hint="eastAsia" w:ascii="宋体" w:hAnsi="宋体" w:eastAsia="宋体" w:cs="宋体"/>
          <w:color w:val="000000" w:themeColor="text1"/>
          <w:sz w:val="24"/>
          <w:szCs w:val="24"/>
          <w:highlight w:val="none"/>
        </w:rPr>
        <w:t>.2出现特殊情况需要延长磋商有效期的，采购人以书面形式通知所有供应商延长磋商有效期。供应商同意延长的，应相应延长其磋商保证金的有效期，但不得要求或被允许修改或撤销其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；供应商拒绝延长的，其投标失效。</w:t>
      </w:r>
    </w:p>
    <w:p w14:paraId="59335536">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9</w:t>
      </w:r>
      <w:r>
        <w:rPr>
          <w:rFonts w:hint="eastAsia" w:ascii="宋体" w:hAnsi="宋体" w:eastAsia="宋体" w:cs="宋体"/>
          <w:b/>
          <w:bCs/>
          <w:color w:val="000000" w:themeColor="text1"/>
          <w:sz w:val="24"/>
          <w:szCs w:val="24"/>
          <w:highlight w:val="none"/>
        </w:rPr>
        <w:t>磋商保证金</w:t>
      </w:r>
    </w:p>
    <w:p w14:paraId="3098EF0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按照《河南省财政厅关于优化政府采购营商环境有关问题的通知》（豫财购[2019]4号文）的要求本项目不再收取磋商保证金。</w:t>
      </w:r>
    </w:p>
    <w:p w14:paraId="6361D7C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10</w:t>
      </w:r>
      <w:r>
        <w:rPr>
          <w:rFonts w:hint="eastAsia" w:ascii="宋体" w:hAnsi="宋体" w:eastAsia="宋体" w:cs="宋体"/>
          <w:b/>
          <w:bCs/>
          <w:color w:val="000000" w:themeColor="text1"/>
          <w:sz w:val="24"/>
          <w:szCs w:val="24"/>
          <w:highlight w:val="none"/>
        </w:rPr>
        <w:t>资格审查资料</w:t>
      </w:r>
    </w:p>
    <w:p w14:paraId="1A04F94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见供应商须知前附表供应商资格要求</w:t>
      </w:r>
    </w:p>
    <w:p w14:paraId="06F801F1">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4.</w:t>
      </w:r>
      <w:r>
        <w:rPr>
          <w:rFonts w:hint="eastAsia" w:ascii="宋体" w:hAnsi="宋体" w:eastAsia="宋体" w:cs="宋体"/>
          <w:b/>
          <w:bCs/>
          <w:color w:val="000000" w:themeColor="text1"/>
          <w:sz w:val="24"/>
          <w:szCs w:val="24"/>
          <w:highlight w:val="none"/>
        </w:rPr>
        <w:t>备选投标方案</w:t>
      </w:r>
    </w:p>
    <w:p w14:paraId="43EC865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rPr>
      </w:pPr>
      <w:r>
        <w:rPr>
          <w:rFonts w:hint="eastAsia" w:ascii="宋体" w:hAnsi="宋体" w:eastAsia="宋体" w:cs="宋体"/>
          <w:b/>
          <w:bCs/>
          <w:color w:val="000000" w:themeColor="text1"/>
          <w:kern w:val="10"/>
          <w:sz w:val="24"/>
          <w:szCs w:val="24"/>
          <w:highlight w:val="none"/>
        </w:rPr>
        <w:t>5．磋商</w:t>
      </w:r>
    </w:p>
    <w:p w14:paraId="31113C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5.1</w:t>
      </w:r>
      <w:r>
        <w:rPr>
          <w:rFonts w:hint="eastAsia" w:ascii="宋体" w:hAnsi="宋体" w:eastAsia="宋体" w:cs="宋体"/>
          <w:color w:val="000000" w:themeColor="text1"/>
          <w:sz w:val="24"/>
          <w:szCs w:val="24"/>
          <w:highlight w:val="none"/>
          <w:lang w:val="en-US" w:eastAsia="zh-CN"/>
        </w:rPr>
        <w:t>磋商会议</w:t>
      </w:r>
    </w:p>
    <w:p w14:paraId="117FDD5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5.1.1采购人和采购代理机构将在“供应商须知前附表”中规定的时间和地点组织磋商会议。供应商无需到现场参加磋商会议，磋商会议采用“远程不见面”方式，供应商须在采购文件规定的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提交截止时间前，登录远程开标大厅，在线准时参加磋商会议活动，并在规定的时间内对</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进行解密、答疑澄清（如需要）、最后报价等。</w:t>
      </w:r>
    </w:p>
    <w:p w14:paraId="5F124D9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5.1.2供应商须在供应商须知前附表规定的时间内完成</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的解密。由于供应商的自</w:t>
      </w:r>
    </w:p>
    <w:p w14:paraId="4BE44F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身原因，在规定时间内解密不成功的，其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将被拒绝。</w:t>
      </w:r>
    </w:p>
    <w:p w14:paraId="3513E71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5.1.3供应商在“</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公共资源交易中心”网站下载采购文件成功后，如未在采购文件</w:t>
      </w:r>
    </w:p>
    <w:p w14:paraId="14E8EC5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规定的“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提交截止时间”前成功上传或误传加密的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，而导致的解密失败，</w:t>
      </w:r>
    </w:p>
    <w:p w14:paraId="2CA38A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将被拒绝。</w:t>
      </w:r>
    </w:p>
    <w:p w14:paraId="73CD4DA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5.1.4供应商代表对磋商会议过程有疑义的，应当在磋商开始前通过交易系统提出询问。</w:t>
      </w:r>
    </w:p>
    <w:p w14:paraId="149CC02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5.1.5在供应商须知前附表规定的时间内完成</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解密的供应商不足3家的，将不再进行磋商（特殊情况除外）。</w:t>
      </w:r>
    </w:p>
    <w:p w14:paraId="159AC74C">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电子化项目开标操作流程</w:t>
      </w:r>
    </w:p>
    <w:p w14:paraId="67ACCAFD">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 </w:instrText>
      </w:r>
      <w:r>
        <w:rPr>
          <w:rFonts w:hint="eastAsia" w:ascii="宋体" w:hAnsi="宋体" w:eastAsia="宋体" w:cs="宋体"/>
          <w:sz w:val="24"/>
          <w:szCs w:val="24"/>
          <w:highlight w:val="none"/>
        </w:rPr>
        <w:fldChar w:fldCharType="separate"/>
      </w:r>
      <w:r>
        <w:rPr>
          <w:rFonts w:hint="eastAsia" w:ascii="宋体" w:hAnsi="宋体" w:eastAsia="宋体" w:cs="宋体"/>
          <w:b w:val="0"/>
          <w:sz w:val="24"/>
          <w:szCs w:val="24"/>
          <w:highlight w:val="none"/>
          <w:lang w:bidi="ar"/>
        </w:rPr>
        <w:t>http://120.194.249.36:10094/BidOpening/bidopeninghallaction/hall/login</w:t>
      </w:r>
      <w:r>
        <w:rPr>
          <w:rFonts w:hint="eastAsia" w:ascii="宋体" w:hAnsi="宋体" w:eastAsia="宋体" w:cs="宋体"/>
          <w:b w:val="0"/>
          <w:sz w:val="24"/>
          <w:szCs w:val="24"/>
          <w:highlight w:val="none"/>
          <w:lang w:bidi="ar"/>
        </w:rPr>
        <w:fldChar w:fldCharType="end"/>
      </w:r>
      <w:r>
        <w:rPr>
          <w:rFonts w:hint="eastAsia" w:ascii="宋体" w:hAnsi="宋体" w:eastAsia="宋体" w:cs="宋体"/>
          <w:b w:val="0"/>
          <w:sz w:val="24"/>
          <w:szCs w:val="24"/>
          <w:highlight w:val="none"/>
          <w:lang w:bidi="ar"/>
        </w:rPr>
        <w:t>）在线准时参加开标活动并进行响应性文件解密等。</w:t>
      </w:r>
    </w:p>
    <w:p w14:paraId="2512603A">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BE80779">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4A194484">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1.首先由技术人员进行问题排查。</w:t>
      </w:r>
    </w:p>
    <w:p w14:paraId="3C03CCF3">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2.经技术人员排查后，是供应商文件自身问题导致响应性文件无法解密的，该响应性文件将不予接收、解密和唱标。开标会议继续进行。</w:t>
      </w:r>
    </w:p>
    <w:p w14:paraId="5F2F77E0">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799FE459">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11B9FCEC">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4D0E65F6">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17605FFB">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left"/>
        <w:rPr>
          <w:rFonts w:hint="eastAsia" w:ascii="宋体" w:hAnsi="宋体" w:eastAsia="宋体" w:cs="宋体"/>
          <w:color w:val="000000" w:themeColor="text1"/>
          <w:sz w:val="24"/>
          <w:szCs w:val="24"/>
          <w:highlight w:val="none"/>
        </w:rPr>
      </w:pPr>
      <w:r>
        <w:rPr>
          <w:rFonts w:hint="eastAsia" w:ascii="宋体" w:hAnsi="宋体" w:eastAsia="宋体" w:cs="宋体"/>
          <w:b w:val="0"/>
          <w:sz w:val="24"/>
          <w:szCs w:val="24"/>
          <w:highlight w:val="none"/>
          <w:lang w:bidi="ar"/>
        </w:rPr>
        <w:t>（7）如磋商小组对需要回复的供应商连续三次致电未接通的，视为供应商放弃回复，磋商小组将自行对需要回复的内容进行认定。</w:t>
      </w:r>
    </w:p>
    <w:p w14:paraId="335F5562">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5.2</w:t>
      </w:r>
      <w:r>
        <w:rPr>
          <w:rFonts w:hint="eastAsia" w:ascii="宋体" w:hAnsi="宋体" w:eastAsia="宋体" w:cs="宋体"/>
          <w:b/>
          <w:bCs/>
          <w:color w:val="000000" w:themeColor="text1"/>
          <w:sz w:val="24"/>
          <w:szCs w:val="24"/>
          <w:highlight w:val="none"/>
        </w:rPr>
        <w:t>.磋商细则</w:t>
      </w:r>
    </w:p>
    <w:p w14:paraId="140C6AB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.1采购人按照上传</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时间的顺序，决定磋商顺序；</w:t>
      </w:r>
    </w:p>
    <w:p w14:paraId="70575E0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.3本次磋商中，</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中的报价为第一次报价。</w:t>
      </w:r>
    </w:p>
    <w:p w14:paraId="7379BD9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.5本项目采用综合评分法，磋商小组成员综合评审各供应商提交的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，按总得分由高到低的顺序推荐3名成交候选人，并编写评审报告。</w:t>
      </w:r>
    </w:p>
    <w:p w14:paraId="6095994A">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5.3</w:t>
      </w:r>
      <w:r>
        <w:rPr>
          <w:rFonts w:hint="eastAsia" w:ascii="宋体" w:hAnsi="宋体" w:eastAsia="宋体" w:cs="宋体"/>
          <w:b/>
          <w:bCs/>
          <w:color w:val="000000" w:themeColor="text1"/>
          <w:sz w:val="24"/>
          <w:szCs w:val="24"/>
          <w:highlight w:val="none"/>
        </w:rPr>
        <w:t>、磋商</w:t>
      </w:r>
      <w:r>
        <w:rPr>
          <w:rFonts w:hint="eastAsia" w:ascii="宋体" w:hAnsi="宋体" w:eastAsia="宋体" w:cs="宋体"/>
          <w:b/>
          <w:bCs/>
          <w:color w:val="000000" w:themeColor="text1"/>
          <w:sz w:val="24"/>
          <w:szCs w:val="24"/>
          <w:highlight w:val="none"/>
          <w:lang w:val="en-US" w:eastAsia="zh-CN"/>
        </w:rPr>
        <w:t>小组</w:t>
      </w:r>
    </w:p>
    <w:p w14:paraId="1306515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.1磋商小组由采购人依法组建，负责磋商。根据《政府采购竞争性磋商采购方式管理办法》的规定，磋商小组应当履行以下义务：</w:t>
      </w:r>
    </w:p>
    <w:p w14:paraId="5721FD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（一）遵纪守法，客观、公正、廉洁地履行职责；</w:t>
      </w:r>
    </w:p>
    <w:p w14:paraId="6906698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根据竞争性磋商文件的规定独立进行评审，对个人的评审意见承担法律责任；磋商小组将综合分析、评审供应商的各项指标，而不以单项指标的优劣评定出成交候选人或成交人。</w:t>
      </w:r>
    </w:p>
    <w:p w14:paraId="3A7809A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参与磋商报告的起草；</w:t>
      </w:r>
    </w:p>
    <w:p w14:paraId="39EDB9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配合采购人、代理机构答复供应商提出的质疑；</w:t>
      </w:r>
    </w:p>
    <w:p w14:paraId="19AC137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配合财政部门的投诉处理和监督检查工作。</w:t>
      </w:r>
    </w:p>
    <w:p w14:paraId="40A28A6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.2磋商小组由有关技术、经济方面的专家组成。磋商小组人数及技术、经济专家的确定方式见供应商须知前附表。</w:t>
      </w:r>
    </w:p>
    <w:p w14:paraId="1991E15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.3磋商原则</w:t>
      </w:r>
    </w:p>
    <w:p w14:paraId="03DCCE0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val="en-US" w:eastAsia="zh-CN"/>
        </w:rPr>
        <w:t>3.1</w:t>
      </w:r>
      <w:r>
        <w:rPr>
          <w:rFonts w:hint="eastAsia" w:ascii="宋体" w:hAnsi="宋体" w:eastAsia="宋体" w:cs="宋体"/>
          <w:color w:val="000000" w:themeColor="text1"/>
          <w:sz w:val="24"/>
          <w:szCs w:val="24"/>
          <w:highlight w:val="none"/>
        </w:rPr>
        <w:t>严格按照竞争性磋商文件中的所有相关规定；按照“客观、公正、审慎”的原则进行磋商。</w:t>
      </w:r>
    </w:p>
    <w:p w14:paraId="60E4E07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val="en-US" w:eastAsia="zh-CN"/>
        </w:rPr>
        <w:t>3</w:t>
      </w:r>
      <w:r>
        <w:rPr>
          <w:rFonts w:hint="eastAsia" w:ascii="宋体" w:hAnsi="宋体" w:eastAsia="宋体" w:cs="宋体"/>
          <w:color w:val="000000" w:themeColor="text1"/>
          <w:sz w:val="24"/>
          <w:szCs w:val="24"/>
          <w:highlight w:val="none"/>
        </w:rPr>
        <w:t>.2反对不正当竞争。</w:t>
      </w:r>
    </w:p>
    <w:p w14:paraId="33B865D8">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5.4</w:t>
      </w:r>
      <w:r>
        <w:rPr>
          <w:rFonts w:hint="eastAsia" w:ascii="宋体" w:hAnsi="宋体" w:eastAsia="宋体" w:cs="宋体"/>
          <w:b/>
          <w:bCs/>
          <w:color w:val="000000" w:themeColor="text1"/>
          <w:sz w:val="24"/>
          <w:szCs w:val="24"/>
          <w:highlight w:val="none"/>
        </w:rPr>
        <w:t>、磋商过程的保密</w:t>
      </w:r>
    </w:p>
    <w:p w14:paraId="2FFFB9C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5.4</w:t>
      </w:r>
      <w:r>
        <w:rPr>
          <w:rFonts w:hint="eastAsia" w:ascii="宋体" w:hAnsi="宋体" w:eastAsia="宋体" w:cs="宋体"/>
          <w:b w:val="0"/>
          <w:bCs w:val="0"/>
          <w:color w:val="000000" w:themeColor="text1"/>
          <w:sz w:val="24"/>
          <w:szCs w:val="24"/>
          <w:highlight w:val="none"/>
        </w:rPr>
        <w:t>.1</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的审查、澄清、评价和比较的有关资料以及成交候选人的推荐情况，与评标有关的其他任何情况均应严格保密。</w:t>
      </w:r>
    </w:p>
    <w:p w14:paraId="66C210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5.4</w:t>
      </w:r>
      <w:r>
        <w:rPr>
          <w:rFonts w:hint="eastAsia" w:ascii="宋体" w:hAnsi="宋体" w:eastAsia="宋体" w:cs="宋体"/>
          <w:b w:val="0"/>
          <w:bCs w:val="0"/>
          <w:color w:val="000000" w:themeColor="text1"/>
          <w:sz w:val="24"/>
          <w:szCs w:val="24"/>
          <w:highlight w:val="none"/>
        </w:rPr>
        <w:t>.2在</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的评审和比较、成交候选人推荐以及授予合同的过程中，供应商向采购人和磋商小组施加影响的任何行为，都将会导致其投标被拒绝。</w:t>
      </w:r>
    </w:p>
    <w:p w14:paraId="031A22E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5.4</w:t>
      </w:r>
      <w:r>
        <w:rPr>
          <w:rFonts w:hint="eastAsia" w:ascii="宋体" w:hAnsi="宋体" w:eastAsia="宋体" w:cs="宋体"/>
          <w:b w:val="0"/>
          <w:bCs w:val="0"/>
          <w:color w:val="000000" w:themeColor="text1"/>
          <w:sz w:val="24"/>
          <w:szCs w:val="24"/>
          <w:highlight w:val="none"/>
        </w:rPr>
        <w:t>.3采购人不对未成交人就评标过程以及未能成交原因作出任何解释。未成交人不得向磋商小组成员和其他有关人员索问评标过程的情况和资料。</w:t>
      </w:r>
    </w:p>
    <w:p w14:paraId="5034B0F9">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5.5</w:t>
      </w:r>
      <w:r>
        <w:rPr>
          <w:rFonts w:hint="eastAsia" w:ascii="宋体" w:hAnsi="宋体" w:eastAsia="宋体" w:cs="宋体"/>
          <w:b/>
          <w:bCs/>
          <w:color w:val="000000" w:themeColor="text1"/>
          <w:sz w:val="24"/>
          <w:szCs w:val="24"/>
          <w:highlight w:val="none"/>
        </w:rPr>
        <w:t>、</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的澄清</w:t>
      </w:r>
    </w:p>
    <w:p w14:paraId="16CACF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.1</w:t>
      </w:r>
      <w:r>
        <w:rPr>
          <w:rFonts w:hint="eastAsia" w:ascii="宋体" w:hAnsi="宋体" w:eastAsia="宋体" w:cs="宋体"/>
          <w:color w:val="000000" w:themeColor="text1"/>
          <w:sz w:val="24"/>
          <w:szCs w:val="24"/>
          <w:highlight w:val="none"/>
        </w:rPr>
        <w:t>在磋商期间，磋商小组可以要求供应商对其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中含义不明确、同类问题表述不一致或者有明显文字和计算错误的内容等作必要的澄清、说明或更正。供应商的澄清、说明或更正应在磋商小组规定的时间内以书面方式进行，并不得超出</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范围或者改变</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的实质性内容。供应商拒不进行澄清、说明、更正的，或者不能在规定时间内作出书面澄清、说明、更正的，其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将被作为无效</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处理。</w:t>
      </w:r>
    </w:p>
    <w:p w14:paraId="174B58A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磋商小组要求供应商澄清、说明或者更正</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将在</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由此造成后果由供应商自行承担</w:t>
      </w:r>
      <w:r>
        <w:rPr>
          <w:rFonts w:hint="eastAsia" w:ascii="宋体" w:hAnsi="宋体" w:eastAsia="宋体" w:cs="宋体"/>
          <w:color w:val="000000" w:themeColor="text1"/>
          <w:sz w:val="24"/>
          <w:szCs w:val="24"/>
          <w:highlight w:val="none"/>
        </w:rPr>
        <w:t>。</w:t>
      </w:r>
    </w:p>
    <w:p w14:paraId="60FE39F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.2供应商应当在采购文件中确定的</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递交截止时间前，登录远程开标大厅，在线准时参加磋商活动并根据需要进行文件答疑澄清等。</w:t>
      </w:r>
    </w:p>
    <w:p w14:paraId="20BBC3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.3供应商的澄清、说明或者更正应当加盖单位的电子签章及法定代表人（或单位负责人）的电子签章（若平台不能提交法定代表人签章或者供应商电子章的除外）。</w:t>
      </w:r>
    </w:p>
    <w:p w14:paraId="18B00D5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.4</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的澄清、说明或者更正不得对</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的内容进行实质性修改。</w:t>
      </w:r>
    </w:p>
    <w:p w14:paraId="2ECEE4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.5供应商的澄清、说明或更正将作为</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的一部分并</w:t>
      </w:r>
      <w:r>
        <w:rPr>
          <w:rFonts w:hint="eastAsia" w:ascii="宋体" w:hAnsi="宋体" w:eastAsia="宋体" w:cs="宋体"/>
          <w:color w:val="000000" w:themeColor="text1"/>
          <w:sz w:val="24"/>
          <w:szCs w:val="24"/>
          <w:highlight w:val="none"/>
        </w:rPr>
        <w:t>取代</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中被澄清的部分</w:t>
      </w:r>
    </w:p>
    <w:p w14:paraId="06EDB36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5.6、投标文件的初步评审</w:t>
      </w:r>
    </w:p>
    <w:p w14:paraId="79AEE739">
      <w:pPr>
        <w:keepNext w:val="0"/>
        <w:keepLines w:val="0"/>
        <w:pageBreakBefore w:val="0"/>
        <w:widowControl/>
        <w:numPr>
          <w:ilvl w:val="0"/>
          <w:numId w:val="0"/>
        </w:numPr>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5.6</w:t>
      </w:r>
      <w:r>
        <w:rPr>
          <w:rFonts w:hint="eastAsia" w:ascii="宋体" w:hAnsi="宋体" w:eastAsia="宋体" w:cs="宋体"/>
          <w:b/>
          <w:bCs/>
          <w:color w:val="000000" w:themeColor="text1"/>
          <w:sz w:val="24"/>
          <w:szCs w:val="24"/>
          <w:highlight w:val="none"/>
        </w:rPr>
        <w:t>.1</w:t>
      </w:r>
      <w:r>
        <w:rPr>
          <w:rFonts w:hint="eastAsia" w:ascii="宋体" w:hAnsi="宋体" w:eastAsia="宋体" w:cs="宋体"/>
          <w:b/>
          <w:bCs/>
          <w:color w:val="000000" w:themeColor="text1"/>
          <w:sz w:val="24"/>
          <w:szCs w:val="24"/>
          <w:highlight w:val="none"/>
          <w:lang w:val="en-US" w:eastAsia="zh-CN"/>
        </w:rPr>
        <w:t xml:space="preserve"> </w:t>
      </w:r>
      <w:r>
        <w:rPr>
          <w:rFonts w:hint="eastAsia" w:ascii="宋体" w:hAnsi="宋体" w:eastAsia="宋体" w:cs="宋体"/>
          <w:b/>
          <w:bCs/>
          <w:color w:val="000000" w:themeColor="text1"/>
          <w:sz w:val="24"/>
          <w:szCs w:val="24"/>
          <w:highlight w:val="none"/>
        </w:rPr>
        <w:t>资格审查</w:t>
      </w:r>
    </w:p>
    <w:p w14:paraId="2C9638A2">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themeColor="text1"/>
          <w:sz w:val="24"/>
          <w:szCs w:val="24"/>
          <w:highlight w:val="none"/>
          <w:lang w:eastAsia="zh-CN"/>
        </w:rPr>
      </w:pPr>
      <w:r>
        <w:rPr>
          <w:rFonts w:hint="eastAsia" w:ascii="宋体" w:hAnsi="宋体" w:eastAsia="宋体" w:cs="宋体"/>
          <w:b w:val="0"/>
          <w:bCs w:val="0"/>
          <w:color w:val="000000" w:themeColor="text1"/>
          <w:sz w:val="24"/>
          <w:szCs w:val="24"/>
          <w:highlight w:val="none"/>
        </w:rPr>
        <w:t>磋商小组依据法律法规和采购文件中规定的内容，对供应商的资格（提交的资格证明材料见供应商须知前附表）进行审查。未通过资格审查的供应商不能进入下一阶段评审</w:t>
      </w:r>
      <w:r>
        <w:rPr>
          <w:rFonts w:hint="eastAsia" w:ascii="宋体" w:hAnsi="宋体" w:eastAsia="宋体" w:cs="宋体"/>
          <w:b w:val="0"/>
          <w:bCs w:val="0"/>
          <w:color w:val="000000" w:themeColor="text1"/>
          <w:sz w:val="24"/>
          <w:szCs w:val="24"/>
          <w:highlight w:val="none"/>
          <w:lang w:eastAsia="zh-CN"/>
        </w:rPr>
        <w:t>。磋商截止时间结束后参加供应商不足3家的，项目予以废标。在评审期间根据财库〔2015〕124号文件，采用竞争性磋商采购方式采购的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99BE8C">
      <w:pPr>
        <w:keepNext w:val="0"/>
        <w:keepLines w:val="0"/>
        <w:pageBreakBefore w:val="0"/>
        <w:widowControl/>
        <w:numPr>
          <w:ilvl w:val="0"/>
          <w:numId w:val="0"/>
        </w:numPr>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lang w:eastAsia="zh-CN"/>
        </w:rPr>
      </w:pPr>
      <w:r>
        <w:rPr>
          <w:rFonts w:hint="eastAsia" w:ascii="宋体" w:hAnsi="宋体" w:eastAsia="宋体" w:cs="宋体"/>
          <w:b/>
          <w:bCs/>
          <w:color w:val="000000" w:themeColor="text1"/>
          <w:sz w:val="24"/>
          <w:szCs w:val="24"/>
          <w:highlight w:val="none"/>
          <w:lang w:val="en-US" w:eastAsia="zh-CN"/>
        </w:rPr>
        <w:t>5.6.2</w:t>
      </w:r>
      <w:r>
        <w:rPr>
          <w:rFonts w:hint="eastAsia" w:ascii="宋体" w:hAnsi="宋体" w:eastAsia="宋体" w:cs="宋体"/>
          <w:b/>
          <w:bCs/>
          <w:color w:val="000000" w:themeColor="text1"/>
          <w:sz w:val="24"/>
          <w:szCs w:val="24"/>
          <w:highlight w:val="none"/>
          <w:lang w:eastAsia="zh-CN"/>
        </w:rPr>
        <w:t>投标文件符合性审查</w:t>
      </w:r>
    </w:p>
    <w:p w14:paraId="79403C6A">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themeColor="text1"/>
          <w:sz w:val="24"/>
          <w:szCs w:val="24"/>
          <w:highlight w:val="none"/>
          <w:lang w:eastAsia="zh-CN"/>
        </w:rPr>
      </w:pPr>
      <w:r>
        <w:rPr>
          <w:rFonts w:hint="eastAsia" w:ascii="宋体" w:hAnsi="宋体" w:eastAsia="宋体" w:cs="宋体"/>
          <w:b w:val="0"/>
          <w:bCs w:val="0"/>
          <w:color w:val="000000" w:themeColor="text1"/>
          <w:sz w:val="24"/>
          <w:szCs w:val="24"/>
          <w:highlight w:val="none"/>
          <w:lang w:eastAsia="zh-CN"/>
        </w:rPr>
        <w:t>符合性审查是指依据采购文件的规定，从商务和技术角度对投标文件的有效性、完整性和响应程度进行审查，以确定是否对采购文件的实质性要求做出响应。供应商应当按照采购文件中的相关要求，提交符合性证明材料。未通过符合性审查的供应商不能进入下一阶段评审，其投标文件将被认定为无效投标文件。</w:t>
      </w:r>
    </w:p>
    <w:p w14:paraId="2A75BE49">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5.7</w:t>
      </w:r>
      <w:r>
        <w:rPr>
          <w:rFonts w:hint="eastAsia" w:ascii="宋体" w:hAnsi="宋体" w:eastAsia="宋体" w:cs="宋体"/>
          <w:b/>
          <w:bCs/>
          <w:color w:val="000000" w:themeColor="text1"/>
          <w:sz w:val="24"/>
          <w:szCs w:val="24"/>
          <w:highlight w:val="none"/>
        </w:rPr>
        <w:t>.</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计算错误的修正</w:t>
      </w:r>
    </w:p>
    <w:p w14:paraId="0919E6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w:t>
      </w:r>
      <w:r>
        <w:rPr>
          <w:rFonts w:hint="eastAsia" w:ascii="宋体" w:hAnsi="宋体" w:eastAsia="宋体" w:cs="宋体"/>
          <w:b w:val="0"/>
          <w:bCs w:val="0"/>
          <w:color w:val="000000" w:themeColor="text1"/>
          <w:sz w:val="24"/>
          <w:szCs w:val="24"/>
          <w:highlight w:val="none"/>
        </w:rPr>
        <w:t>.1磋商小组将对确定为实质上响应竞争性磋商文件要求的</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进行校核，看其是否有计算或表达上的错误，修正错误的原则如下：</w:t>
      </w:r>
    </w:p>
    <w:p w14:paraId="48B94AB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w:t>
      </w:r>
      <w:r>
        <w:rPr>
          <w:rFonts w:hint="eastAsia" w:ascii="宋体" w:hAnsi="宋体" w:eastAsia="宋体" w:cs="宋体"/>
          <w:b w:val="0"/>
          <w:bCs w:val="0"/>
          <w:color w:val="000000" w:themeColor="text1"/>
          <w:sz w:val="24"/>
          <w:szCs w:val="24"/>
          <w:highlight w:val="none"/>
        </w:rPr>
        <w:t>.1如果数字表示的金额和用文字表示的金额不一致时，应以文字表示的金额为准；</w:t>
      </w:r>
    </w:p>
    <w:p w14:paraId="1CCEE6D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w:t>
      </w:r>
      <w:r>
        <w:rPr>
          <w:rFonts w:hint="eastAsia" w:ascii="宋体" w:hAnsi="宋体" w:eastAsia="宋体" w:cs="宋体"/>
          <w:b w:val="0"/>
          <w:bCs w:val="0"/>
          <w:color w:val="000000" w:themeColor="text1"/>
          <w:sz w:val="24"/>
          <w:szCs w:val="24"/>
          <w:highlight w:val="none"/>
        </w:rPr>
        <w:t>.2当单价与数量的乘积与合价不一致时，以单价为准，除非磋商小组认为单价有明显的小数点错误，此时应以标出的合价为准，并修改单价。</w:t>
      </w:r>
    </w:p>
    <w:p w14:paraId="6602D2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5.7.3</w:t>
      </w:r>
      <w:r>
        <w:rPr>
          <w:rFonts w:hint="eastAsia" w:ascii="宋体" w:hAnsi="宋体" w:eastAsia="宋体" w:cs="宋体"/>
          <w:b w:val="0"/>
          <w:bCs w:val="0"/>
          <w:color w:val="000000" w:themeColor="text1"/>
          <w:sz w:val="24"/>
          <w:szCs w:val="24"/>
          <w:highlight w:val="none"/>
        </w:rPr>
        <w:t>按上述修正错误的原则</w:t>
      </w:r>
      <w:r>
        <w:rPr>
          <w:rFonts w:hint="eastAsia" w:ascii="宋体" w:hAnsi="宋体" w:eastAsia="宋体" w:cs="宋体"/>
          <w:color w:val="000000" w:themeColor="text1"/>
          <w:sz w:val="24"/>
          <w:szCs w:val="24"/>
          <w:highlight w:val="none"/>
        </w:rPr>
        <w:t>及方法调整或修正</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的投标报价，供应商同意后，调整后的投标报价对供应商起约束作用。如果供应商不接受修正后的报价，则磋商小组对其不再进行评审。</w:t>
      </w:r>
    </w:p>
    <w:p w14:paraId="369E146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5.8</w:t>
      </w:r>
      <w:r>
        <w:rPr>
          <w:rFonts w:hint="eastAsia" w:ascii="宋体" w:hAnsi="宋体" w:eastAsia="宋体" w:cs="宋体"/>
          <w:b/>
          <w:bCs/>
          <w:color w:val="000000" w:themeColor="text1"/>
          <w:sz w:val="24"/>
          <w:szCs w:val="24"/>
          <w:highlight w:val="none"/>
        </w:rPr>
        <w:t>.</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的评审、比较和否决</w:t>
      </w:r>
    </w:p>
    <w:p w14:paraId="484844C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5.8</w:t>
      </w:r>
      <w:r>
        <w:rPr>
          <w:rFonts w:hint="eastAsia" w:ascii="宋体" w:hAnsi="宋体" w:eastAsia="宋体" w:cs="宋体"/>
          <w:color w:val="000000" w:themeColor="text1"/>
          <w:sz w:val="24"/>
          <w:szCs w:val="24"/>
          <w:highlight w:val="none"/>
        </w:rPr>
        <w:t>.</w:t>
      </w:r>
      <w:r>
        <w:rPr>
          <w:rFonts w:hint="eastAsia" w:ascii="宋体" w:hAnsi="宋体" w:eastAsia="宋体" w:cs="宋体"/>
          <w:b w:val="0"/>
          <w:bCs w:val="0"/>
          <w:color w:val="000000" w:themeColor="text1"/>
          <w:sz w:val="24"/>
          <w:szCs w:val="24"/>
          <w:highlight w:val="none"/>
        </w:rPr>
        <w:t>1磋商小组仅对在实质上响应竞争性磋商文件要求的</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进行评估和比较。</w:t>
      </w:r>
    </w:p>
    <w:p w14:paraId="49105EB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5.8</w:t>
      </w:r>
      <w:r>
        <w:rPr>
          <w:rFonts w:hint="eastAsia" w:ascii="宋体" w:hAnsi="宋体" w:eastAsia="宋体" w:cs="宋体"/>
          <w:b w:val="0"/>
          <w:bCs w:val="0"/>
          <w:color w:val="000000" w:themeColor="text1"/>
          <w:sz w:val="24"/>
          <w:szCs w:val="24"/>
          <w:highlight w:val="none"/>
        </w:rPr>
        <w:t>.2</w:t>
      </w:r>
      <w:r>
        <w:rPr>
          <w:rFonts w:hint="eastAsia" w:ascii="宋体" w:hAnsi="宋体" w:eastAsia="宋体" w:cs="宋体"/>
          <w:b w:val="0"/>
          <w:bCs w:val="0"/>
          <w:color w:val="000000" w:themeColor="text1"/>
          <w:sz w:val="24"/>
          <w:szCs w:val="24"/>
          <w:highlight w:val="none"/>
          <w:lang w:val="en-US" w:eastAsia="zh-CN"/>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供应商不能证明其报价合理性的，磋商小组将其投标文件作为无效投标文件处理。</w:t>
      </w:r>
    </w:p>
    <w:p w14:paraId="3F5371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snapToGrid w:val="0"/>
          <w:color w:val="000000" w:themeColor="text1"/>
          <w:kern w:val="0"/>
          <w:sz w:val="24"/>
          <w:szCs w:val="24"/>
          <w:highlight w:val="none"/>
          <w:shd w:val="clear" w:color="auto" w:fill="FFFFFF"/>
        </w:rPr>
      </w:pPr>
      <w:r>
        <w:rPr>
          <w:rFonts w:hint="eastAsia" w:ascii="宋体" w:hAnsi="宋体" w:eastAsia="宋体" w:cs="宋体"/>
          <w:b w:val="0"/>
          <w:bCs w:val="0"/>
          <w:color w:val="000000" w:themeColor="text1"/>
          <w:sz w:val="24"/>
          <w:szCs w:val="24"/>
          <w:highlight w:val="none"/>
          <w:lang w:val="en-US" w:eastAsia="zh-CN"/>
        </w:rPr>
        <w:t>5.8.3</w:t>
      </w:r>
      <w:r>
        <w:rPr>
          <w:rFonts w:hint="eastAsia" w:ascii="宋体" w:hAnsi="宋体" w:eastAsia="宋体" w:cs="宋体"/>
          <w:b w:val="0"/>
          <w:bCs w:val="0"/>
          <w:snapToGrid w:val="0"/>
          <w:color w:val="000000" w:themeColor="text1"/>
          <w:kern w:val="0"/>
          <w:sz w:val="24"/>
          <w:szCs w:val="24"/>
          <w:highlight w:val="none"/>
          <w:shd w:val="clear" w:color="auto" w:fill="FFFFFF"/>
        </w:rPr>
        <w:t>磋商小组应当要求所有实质性响应的供应商在规定时间内提交最后报价。</w:t>
      </w:r>
    </w:p>
    <w:p w14:paraId="2D6600A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5.8.4</w:t>
      </w:r>
      <w:r>
        <w:rPr>
          <w:rFonts w:hint="eastAsia" w:ascii="宋体" w:hAnsi="宋体" w:eastAsia="宋体" w:cs="宋体"/>
          <w:b w:val="0"/>
          <w:bCs w:val="0"/>
          <w:color w:val="000000" w:themeColor="text1"/>
          <w:sz w:val="24"/>
          <w:szCs w:val="24"/>
          <w:highlight w:val="none"/>
        </w:rPr>
        <w:t>出现下列情形之一的，采购人或者招标代理机构应当终止竞争性磋商活动，发布项目终止公告并说明原因，重新开展招标活动：</w:t>
      </w:r>
    </w:p>
    <w:p w14:paraId="4B1EF9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（一）因情况变化，不再符合规定的竞争性磋商采购方式适用情形的；</w:t>
      </w:r>
    </w:p>
    <w:p w14:paraId="67CA65E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（二）出现影响采购公正的违法、违规行为的；</w:t>
      </w:r>
    </w:p>
    <w:p w14:paraId="364320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（三）</w:t>
      </w:r>
      <w:r>
        <w:rPr>
          <w:rFonts w:hint="eastAsia" w:ascii="宋体" w:hAnsi="宋体" w:eastAsia="宋体" w:cs="宋体"/>
          <w:color w:val="000000" w:themeColor="text1"/>
          <w:sz w:val="24"/>
          <w:szCs w:val="24"/>
          <w:highlight w:val="none"/>
          <w:lang w:val="en-US" w:eastAsia="zh-CN"/>
        </w:rPr>
        <w:t>递交投标文件的</w:t>
      </w:r>
      <w:r>
        <w:rPr>
          <w:rFonts w:hint="eastAsia" w:ascii="宋体" w:hAnsi="宋体" w:eastAsia="宋体" w:cs="宋体"/>
          <w:color w:val="000000" w:themeColor="text1"/>
          <w:sz w:val="24"/>
          <w:szCs w:val="24"/>
          <w:highlight w:val="none"/>
        </w:rPr>
        <w:t>供应商不足3家的。</w:t>
      </w:r>
    </w:p>
    <w:p w14:paraId="196F9F3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000000" w:themeColor="text1"/>
          <w:sz w:val="24"/>
          <w:szCs w:val="24"/>
          <w:highlight w:val="none"/>
        </w:rPr>
      </w:pPr>
      <w:r>
        <w:rPr>
          <w:rFonts w:hint="eastAsia" w:ascii="宋体" w:hAnsi="宋体" w:eastAsia="宋体" w:cs="宋体"/>
          <w:b/>
          <w:bCs w:val="0"/>
          <w:color w:val="000000" w:themeColor="text1"/>
          <w:sz w:val="24"/>
          <w:szCs w:val="24"/>
          <w:highlight w:val="none"/>
          <w:lang w:val="en-US" w:eastAsia="zh-CN"/>
        </w:rPr>
        <w:t>5.9</w:t>
      </w:r>
      <w:r>
        <w:rPr>
          <w:rFonts w:hint="eastAsia" w:ascii="宋体" w:hAnsi="宋体" w:eastAsia="宋体" w:cs="宋体"/>
          <w:b/>
          <w:bCs w:val="0"/>
          <w:color w:val="000000" w:themeColor="text1"/>
          <w:sz w:val="24"/>
          <w:szCs w:val="24"/>
          <w:highlight w:val="none"/>
        </w:rPr>
        <w:t>、成交原则</w:t>
      </w:r>
    </w:p>
    <w:p w14:paraId="4D20E51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磋商小组根据综合评分情况，按照评审得分由高到低顺序推荐3名</w:t>
      </w:r>
      <w:r>
        <w:rPr>
          <w:rFonts w:hint="eastAsia" w:ascii="宋体" w:hAnsi="宋体" w:eastAsia="宋体" w:cs="宋体"/>
          <w:bCs/>
          <w:color w:val="000000" w:themeColor="text1"/>
          <w:sz w:val="24"/>
          <w:szCs w:val="24"/>
          <w:highlight w:val="none"/>
          <w:lang w:val="en-US" w:eastAsia="zh-CN"/>
        </w:rPr>
        <w:t>成交</w:t>
      </w:r>
      <w:r>
        <w:rPr>
          <w:rFonts w:hint="eastAsia" w:ascii="宋体" w:hAnsi="宋体" w:eastAsia="宋体" w:cs="宋体"/>
          <w:bCs/>
          <w:color w:val="000000" w:themeColor="text1"/>
          <w:sz w:val="24"/>
          <w:szCs w:val="24"/>
          <w:highlight w:val="none"/>
        </w:rPr>
        <w:t>供应商，并编写评审报告并在报告上签字。评审得分相同的，按照最后报价由低到高的顺序推荐。评审得分且最后报价相同的，按照技术指标优劣顺序推荐。</w:t>
      </w:r>
    </w:p>
    <w:p w14:paraId="13CF90D2">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000000" w:themeColor="text1"/>
          <w:sz w:val="24"/>
          <w:szCs w:val="24"/>
          <w:highlight w:val="none"/>
        </w:rPr>
      </w:pPr>
      <w:r>
        <w:rPr>
          <w:rFonts w:hint="eastAsia" w:ascii="宋体" w:hAnsi="宋体" w:eastAsia="宋体" w:cs="宋体"/>
          <w:b/>
          <w:bCs w:val="0"/>
          <w:color w:val="000000" w:themeColor="text1"/>
          <w:sz w:val="24"/>
          <w:szCs w:val="24"/>
          <w:highlight w:val="none"/>
          <w:lang w:val="en-US" w:eastAsia="zh-CN"/>
        </w:rPr>
        <w:t>5.10</w:t>
      </w:r>
      <w:r>
        <w:rPr>
          <w:rFonts w:hint="eastAsia" w:ascii="宋体" w:hAnsi="宋体" w:eastAsia="宋体" w:cs="宋体"/>
          <w:b/>
          <w:bCs w:val="0"/>
          <w:color w:val="000000" w:themeColor="text1"/>
          <w:sz w:val="24"/>
          <w:szCs w:val="24"/>
          <w:highlight w:val="none"/>
        </w:rPr>
        <w:t>、评审报告</w:t>
      </w:r>
    </w:p>
    <w:p w14:paraId="4E2267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磋商小组组应当根据评审记录和评审结果编写评审报告，其主要内容包括：</w:t>
      </w:r>
    </w:p>
    <w:p w14:paraId="5BA2EC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 w:val="0"/>
          <w:bCs/>
          <w:color w:val="000000" w:themeColor="text1"/>
          <w:sz w:val="24"/>
          <w:szCs w:val="24"/>
          <w:highlight w:val="none"/>
        </w:rPr>
        <w:t>.1招标活</w:t>
      </w:r>
      <w:r>
        <w:rPr>
          <w:rFonts w:hint="eastAsia" w:ascii="宋体" w:hAnsi="宋体" w:eastAsia="宋体" w:cs="宋体"/>
          <w:bCs/>
          <w:color w:val="000000" w:themeColor="text1"/>
          <w:sz w:val="24"/>
          <w:szCs w:val="24"/>
          <w:highlight w:val="none"/>
        </w:rPr>
        <w:t>动的具体方式和相关情况，以及参加招标活动的供应商名单；</w:t>
      </w:r>
    </w:p>
    <w:p w14:paraId="54F3D2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 w:val="0"/>
          <w:bCs/>
          <w:color w:val="000000" w:themeColor="text1"/>
          <w:sz w:val="24"/>
          <w:szCs w:val="24"/>
          <w:highlight w:val="none"/>
        </w:rPr>
        <w:t>.2评审</w:t>
      </w:r>
      <w:r>
        <w:rPr>
          <w:rFonts w:hint="eastAsia" w:ascii="宋体" w:hAnsi="宋体" w:eastAsia="宋体" w:cs="宋体"/>
          <w:bCs/>
          <w:color w:val="000000" w:themeColor="text1"/>
          <w:sz w:val="24"/>
          <w:szCs w:val="24"/>
          <w:highlight w:val="none"/>
        </w:rPr>
        <w:t>日期和地点，磋商小组成员名单；</w:t>
      </w:r>
    </w:p>
    <w:p w14:paraId="603EB2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Cs/>
          <w:color w:val="000000" w:themeColor="text1"/>
          <w:sz w:val="24"/>
          <w:szCs w:val="24"/>
          <w:highlight w:val="none"/>
        </w:rPr>
        <w:t>.3评审情况记录和说明，包括对供应商的资格审查情况、</w:t>
      </w:r>
      <w:r>
        <w:rPr>
          <w:rFonts w:hint="eastAsia" w:ascii="宋体" w:hAnsi="宋体" w:eastAsia="宋体" w:cs="宋体"/>
          <w:bCs/>
          <w:color w:val="000000" w:themeColor="text1"/>
          <w:sz w:val="24"/>
          <w:szCs w:val="24"/>
          <w:highlight w:val="none"/>
          <w:lang w:eastAsia="zh-CN"/>
        </w:rPr>
        <w:t>投标文件</w:t>
      </w:r>
      <w:r>
        <w:rPr>
          <w:rFonts w:hint="eastAsia" w:ascii="宋体" w:hAnsi="宋体" w:eastAsia="宋体" w:cs="宋体"/>
          <w:bCs/>
          <w:color w:val="000000" w:themeColor="text1"/>
          <w:sz w:val="24"/>
          <w:szCs w:val="24"/>
          <w:highlight w:val="none"/>
        </w:rPr>
        <w:t>评审情况、磋商情况、报价情况等；</w:t>
      </w:r>
    </w:p>
    <w:p w14:paraId="1E56616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Cs/>
          <w:color w:val="000000" w:themeColor="text1"/>
          <w:sz w:val="24"/>
          <w:szCs w:val="24"/>
          <w:highlight w:val="none"/>
        </w:rPr>
        <w:t>.4提出的成交候选人的名单及理由。</w:t>
      </w:r>
    </w:p>
    <w:p w14:paraId="541F3A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Cs/>
          <w:color w:val="000000" w:themeColor="text1"/>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000000" w:themeColor="text1"/>
          <w:sz w:val="24"/>
          <w:szCs w:val="24"/>
          <w:highlight w:val="none"/>
        </w:rPr>
        <w:t>。</w:t>
      </w:r>
    </w:p>
    <w:p w14:paraId="2DA927E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000000" w:themeColor="text1"/>
          <w:sz w:val="24"/>
          <w:szCs w:val="24"/>
          <w:highlight w:val="none"/>
          <w:lang w:val="zh-CN" w:eastAsia="zh-CN"/>
        </w:rPr>
      </w:pPr>
      <w:r>
        <w:rPr>
          <w:rFonts w:hint="eastAsia" w:ascii="宋体" w:hAnsi="宋体" w:eastAsia="宋体" w:cs="宋体"/>
          <w:b/>
          <w:bCs w:val="0"/>
          <w:color w:val="000000" w:themeColor="text1"/>
          <w:sz w:val="24"/>
          <w:szCs w:val="24"/>
          <w:highlight w:val="none"/>
          <w:lang w:val="en-US" w:eastAsia="zh-CN"/>
        </w:rPr>
        <w:t>6、</w:t>
      </w:r>
      <w:r>
        <w:rPr>
          <w:rFonts w:hint="eastAsia" w:ascii="宋体" w:hAnsi="宋体" w:eastAsia="宋体" w:cs="宋体"/>
          <w:b/>
          <w:bCs w:val="0"/>
          <w:color w:val="000000" w:themeColor="text1"/>
          <w:sz w:val="24"/>
          <w:szCs w:val="24"/>
          <w:highlight w:val="none"/>
          <w:lang w:val="zh-CN" w:eastAsia="zh-CN"/>
        </w:rPr>
        <w:t>确定成交供应商</w:t>
      </w:r>
    </w:p>
    <w:p w14:paraId="40E0BC7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6</w:t>
      </w:r>
      <w:r>
        <w:rPr>
          <w:rFonts w:hint="eastAsia" w:ascii="宋体" w:hAnsi="宋体" w:eastAsia="宋体" w:cs="宋体"/>
          <w:color w:val="000000" w:themeColor="text1"/>
          <w:sz w:val="24"/>
          <w:szCs w:val="24"/>
          <w:highlight w:val="none"/>
          <w:lang w:val="zh-CN"/>
        </w:rPr>
        <w:t>.1 磋商小组应当根据综合评分情况，按照评审</w:t>
      </w:r>
      <w:r>
        <w:rPr>
          <w:rFonts w:hint="eastAsia" w:ascii="宋体" w:hAnsi="宋体" w:eastAsia="宋体" w:cs="宋体"/>
          <w:color w:val="000000" w:themeColor="text1"/>
          <w:sz w:val="24"/>
          <w:szCs w:val="24"/>
          <w:highlight w:val="none"/>
        </w:rPr>
        <w:t>由</w:t>
      </w:r>
      <w:r>
        <w:rPr>
          <w:rFonts w:hint="eastAsia" w:ascii="宋体" w:hAnsi="宋体" w:eastAsia="宋体" w:cs="宋体"/>
          <w:color w:val="000000" w:themeColor="text1"/>
          <w:sz w:val="24"/>
          <w:szCs w:val="24"/>
          <w:highlight w:val="none"/>
          <w:lang w:val="zh-CN"/>
        </w:rPr>
        <w:t>高到低的顺序推荐</w:t>
      </w:r>
      <w:r>
        <w:rPr>
          <w:rFonts w:hint="eastAsia" w:ascii="宋体" w:hAnsi="宋体" w:eastAsia="宋体" w:cs="宋体"/>
          <w:color w:val="000000" w:themeColor="text1"/>
          <w:sz w:val="24"/>
          <w:szCs w:val="24"/>
          <w:highlight w:val="none"/>
        </w:rPr>
        <w:t>3名</w:t>
      </w:r>
      <w:r>
        <w:rPr>
          <w:rFonts w:hint="eastAsia" w:ascii="宋体" w:hAnsi="宋体" w:eastAsia="宋体" w:cs="宋体"/>
          <w:color w:val="000000" w:themeColor="text1"/>
          <w:sz w:val="24"/>
          <w:szCs w:val="24"/>
          <w:highlight w:val="none"/>
          <w:lang w:val="zh-CN"/>
        </w:rPr>
        <w:t>成交候选人，并向采购人提供书面评审报告，</w:t>
      </w:r>
      <w:r>
        <w:rPr>
          <w:rFonts w:hint="eastAsia" w:ascii="宋体" w:hAnsi="宋体" w:eastAsia="宋体" w:cs="宋体"/>
          <w:color w:val="000000" w:themeColor="text1"/>
          <w:sz w:val="24"/>
          <w:szCs w:val="24"/>
          <w:highlight w:val="none"/>
        </w:rPr>
        <w:t>由采购人确定排名第一的为成交供应商</w:t>
      </w:r>
      <w:r>
        <w:rPr>
          <w:rFonts w:hint="eastAsia" w:ascii="宋体" w:hAnsi="宋体" w:eastAsia="宋体" w:cs="宋体"/>
          <w:color w:val="000000" w:themeColor="text1"/>
          <w:sz w:val="24"/>
          <w:szCs w:val="24"/>
          <w:highlight w:val="none"/>
          <w:lang w:val="zh-CN"/>
        </w:rPr>
        <w:t>，采购人及采购代理机构在政府采购项目评审结束之日当天完成评标报告的报送、中标（成交）供应商的确定、中标（成交）公告发布及中标（成交）通知书的发出等。</w:t>
      </w:r>
    </w:p>
    <w:p w14:paraId="4C4D7BBA">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7</w:t>
      </w:r>
      <w:r>
        <w:rPr>
          <w:rFonts w:hint="eastAsia" w:ascii="宋体" w:hAnsi="宋体" w:eastAsia="宋体" w:cs="宋体"/>
          <w:b/>
          <w:bCs/>
          <w:color w:val="000000" w:themeColor="text1"/>
          <w:sz w:val="24"/>
          <w:szCs w:val="24"/>
          <w:highlight w:val="none"/>
        </w:rPr>
        <w:t>、成交通知</w:t>
      </w:r>
    </w:p>
    <w:p w14:paraId="09822E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7</w:t>
      </w:r>
      <w:r>
        <w:rPr>
          <w:rFonts w:hint="eastAsia" w:ascii="宋体" w:hAnsi="宋体" w:eastAsia="宋体" w:cs="宋体"/>
          <w:b w:val="0"/>
          <w:bCs w:val="0"/>
          <w:color w:val="000000" w:themeColor="text1"/>
          <w:sz w:val="24"/>
          <w:szCs w:val="24"/>
          <w:highlight w:val="none"/>
        </w:rPr>
        <w:t>.1成交供应商确定后，采购人向成交供应商签发《成交通知书》，并将成交结果通知所有未成交的供应商。</w:t>
      </w:r>
    </w:p>
    <w:p w14:paraId="3CDE993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7</w:t>
      </w:r>
      <w:r>
        <w:rPr>
          <w:rFonts w:hint="eastAsia" w:ascii="宋体" w:hAnsi="宋体" w:eastAsia="宋体" w:cs="宋体"/>
          <w:b w:val="0"/>
          <w:bCs w:val="0"/>
          <w:color w:val="000000" w:themeColor="text1"/>
          <w:sz w:val="24"/>
          <w:szCs w:val="24"/>
          <w:highlight w:val="none"/>
        </w:rPr>
        <w:t>.2《成交通知书》作为签订合同的依据，对采购人和成交供应商均具有法律效力，成交通知书发出后，采购人改变成交结果或者成交供应商放弃项目，应依法承担法律责任。</w:t>
      </w:r>
    </w:p>
    <w:p w14:paraId="3915E507">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8</w:t>
      </w:r>
      <w:r>
        <w:rPr>
          <w:rFonts w:hint="eastAsia" w:ascii="宋体" w:hAnsi="宋体" w:eastAsia="宋体" w:cs="宋体"/>
          <w:b/>
          <w:bCs/>
          <w:color w:val="000000" w:themeColor="text1"/>
          <w:sz w:val="24"/>
          <w:szCs w:val="24"/>
          <w:highlight w:val="none"/>
        </w:rPr>
        <w:t>、合同授予</w:t>
      </w:r>
    </w:p>
    <w:p w14:paraId="5A3FBDE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.1成交供应商接到《成交通知书》后</w:t>
      </w:r>
      <w:r>
        <w:rPr>
          <w:rFonts w:hint="eastAsia" w:ascii="宋体" w:hAnsi="宋体" w:eastAsia="宋体" w:cs="宋体"/>
          <w:b w:val="0"/>
          <w:bCs w:val="0"/>
          <w:color w:val="000000" w:themeColor="text1"/>
          <w:sz w:val="24"/>
          <w:szCs w:val="24"/>
          <w:highlight w:val="none"/>
          <w:lang w:val="en-US" w:eastAsia="zh-CN"/>
        </w:rPr>
        <w:t>1个工作</w:t>
      </w:r>
      <w:r>
        <w:rPr>
          <w:rFonts w:hint="eastAsia" w:ascii="宋体" w:hAnsi="宋体" w:eastAsia="宋体" w:cs="宋体"/>
          <w:b w:val="0"/>
          <w:bCs w:val="0"/>
          <w:color w:val="000000" w:themeColor="text1"/>
          <w:sz w:val="24"/>
          <w:szCs w:val="24"/>
          <w:highlight w:val="none"/>
          <w:lang w:val="zh-CN" w:eastAsia="zh-CN"/>
        </w:rPr>
        <w:t>日内按指定地点与采购人签订采购合同；采购人应当在合同签订后</w:t>
      </w:r>
      <w:r>
        <w:rPr>
          <w:rFonts w:hint="eastAsia" w:ascii="宋体" w:hAnsi="宋体" w:eastAsia="宋体" w:cs="宋体"/>
          <w:b w:val="0"/>
          <w:bCs w:val="0"/>
          <w:color w:val="000000" w:themeColor="text1"/>
          <w:sz w:val="24"/>
          <w:szCs w:val="24"/>
          <w:highlight w:val="none"/>
          <w:lang w:val="en-US" w:eastAsia="zh-CN"/>
        </w:rPr>
        <w:t>2</w:t>
      </w:r>
      <w:r>
        <w:rPr>
          <w:rFonts w:hint="eastAsia" w:ascii="宋体" w:hAnsi="宋体" w:eastAsia="宋体" w:cs="宋体"/>
          <w:b w:val="0"/>
          <w:bCs w:val="0"/>
          <w:color w:val="000000" w:themeColor="text1"/>
          <w:sz w:val="24"/>
          <w:szCs w:val="24"/>
          <w:highlight w:val="none"/>
          <w:lang w:val="zh-CN" w:eastAsia="zh-CN"/>
        </w:rPr>
        <w:t>个工作日内在河南政府采购网公示采购合同，并完成合同备案。</w:t>
      </w:r>
    </w:p>
    <w:p w14:paraId="5BCEC39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.2采购人签发的成交通知书、竞争性磋商文件、成交供应商的磋商投标文件及其澄清文件等，均为签订合同的依据。</w:t>
      </w:r>
    </w:p>
    <w:p w14:paraId="2DBC054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.3成交供应商如不按本供应商须知的规定与采购人订立合同，则采购人将废除授标，并做出相应的处罚，同时依法承担相应法律责任。</w:t>
      </w:r>
    </w:p>
    <w:p w14:paraId="4CCFF9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.4成交供应商需向采购代理机构支付代理服务费。</w:t>
      </w:r>
    </w:p>
    <w:p w14:paraId="2A2279E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2" w:firstLineChars="200"/>
        <w:jc w:val="left"/>
        <w:outlineLvl w:val="3"/>
        <w:rPr>
          <w:rFonts w:hint="eastAsia" w:ascii="宋体" w:hAnsi="宋体" w:eastAsia="宋体" w:cs="宋体"/>
          <w:b/>
          <w:bCs/>
          <w:color w:val="000000" w:themeColor="text1"/>
          <w:sz w:val="24"/>
          <w:szCs w:val="24"/>
          <w:highlight w:val="none"/>
          <w:lang w:val="zh-CN"/>
        </w:rPr>
      </w:pPr>
      <w:r>
        <w:rPr>
          <w:rFonts w:hint="eastAsia" w:ascii="宋体" w:hAnsi="宋体" w:eastAsia="宋体" w:cs="宋体"/>
          <w:b/>
          <w:bCs/>
          <w:color w:val="000000" w:themeColor="text1"/>
          <w:sz w:val="24"/>
          <w:szCs w:val="24"/>
          <w:highlight w:val="none"/>
          <w:lang w:val="en-US" w:eastAsia="zh-CN"/>
        </w:rPr>
        <w:t>9</w:t>
      </w:r>
      <w:r>
        <w:rPr>
          <w:rFonts w:hint="eastAsia" w:ascii="宋体" w:hAnsi="宋体" w:eastAsia="宋体" w:cs="宋体"/>
          <w:b/>
          <w:bCs/>
          <w:color w:val="000000" w:themeColor="text1"/>
          <w:sz w:val="24"/>
          <w:szCs w:val="24"/>
          <w:highlight w:val="none"/>
        </w:rPr>
        <w:t>、</w:t>
      </w:r>
      <w:bookmarkStart w:id="37" w:name="_Toc7342_WPSOffice_Level3"/>
      <w:r>
        <w:rPr>
          <w:rFonts w:hint="eastAsia" w:ascii="宋体" w:hAnsi="宋体" w:eastAsia="宋体" w:cs="宋体"/>
          <w:b/>
          <w:bCs/>
          <w:color w:val="000000" w:themeColor="text1"/>
          <w:sz w:val="24"/>
          <w:szCs w:val="24"/>
          <w:highlight w:val="none"/>
          <w:lang w:val="zh-CN"/>
        </w:rPr>
        <w:t>特别注意事项</w:t>
      </w:r>
      <w:bookmarkEnd w:id="37"/>
    </w:p>
    <w:p w14:paraId="6BB472F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9</w:t>
      </w:r>
      <w:r>
        <w:rPr>
          <w:rFonts w:hint="eastAsia" w:ascii="宋体" w:hAnsi="宋体" w:eastAsia="宋体" w:cs="宋体"/>
          <w:color w:val="000000" w:themeColor="text1"/>
          <w:sz w:val="24"/>
          <w:szCs w:val="24"/>
          <w:highlight w:val="none"/>
          <w:lang w:val="zh-CN"/>
        </w:rPr>
        <w:t>.1现下列情形之一的，磋商小组可取消其磋商资格：</w:t>
      </w:r>
    </w:p>
    <w:p w14:paraId="42B388F4">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（1）未按磋商文件要求和规定提交实质性响应材料的；</w:t>
      </w:r>
    </w:p>
    <w:p w14:paraId="05CC40E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（2）相互串通磋商的（有下列情形之一的，视为供应商相互串通磋商）；</w:t>
      </w:r>
    </w:p>
    <w:p w14:paraId="74D42B5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A、不同供应商的投标文件由同一单位或者个人编制</w:t>
      </w:r>
    </w:p>
    <w:p w14:paraId="4C73FD7C">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B、不同供应商委托同一单位或者个人办理磋商事宜</w:t>
      </w:r>
    </w:p>
    <w:p w14:paraId="3DB6488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C、不同供应商的投标文件载明的项目管理成员为同一人</w:t>
      </w:r>
    </w:p>
    <w:p w14:paraId="54BE521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D、不同供应商的投标文件异常一致或者磋商报价呈规律性差异</w:t>
      </w:r>
    </w:p>
    <w:p w14:paraId="206265F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E、不同供应商的磋商保证金从同一单位的账户转出</w:t>
      </w:r>
    </w:p>
    <w:p w14:paraId="5EF29083">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en-US" w:eastAsia="zh-CN"/>
        </w:rPr>
        <w:t>9</w:t>
      </w:r>
      <w:r>
        <w:rPr>
          <w:rFonts w:hint="eastAsia" w:ascii="宋体" w:hAnsi="宋体" w:eastAsia="宋体" w:cs="宋体"/>
          <w:color w:val="000000" w:themeColor="text1"/>
          <w:sz w:val="24"/>
          <w:szCs w:val="24"/>
          <w:highlight w:val="none"/>
          <w:lang w:val="zh-CN" w:eastAsia="zh-CN"/>
        </w:rPr>
        <w:t>.2供应商出现下列情形之一的，将被视为非实质性响应磋商文件要求：</w:t>
      </w:r>
    </w:p>
    <w:p w14:paraId="0A97980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（1）供货期限不确切或不符合磋商文件要求的；</w:t>
      </w:r>
    </w:p>
    <w:p w14:paraId="3A40B47F">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（2）最后报价有选择性的；</w:t>
      </w:r>
    </w:p>
    <w:p w14:paraId="28EA74D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（3）最后报价超过采购预算金额的；</w:t>
      </w:r>
    </w:p>
    <w:p w14:paraId="70414768">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（4）被磋商小组认定存在重大负偏离的；</w:t>
      </w:r>
    </w:p>
    <w:p w14:paraId="15C00891">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注：所谓重大负偏离是指供应商对磋商文件的响应在范围、质量、数量和供货期限要求等方面明显不能满足采购需求的。重大负偏离的认定须经磋商小组三分之二以上同意。</w:t>
      </w:r>
    </w:p>
    <w:p w14:paraId="10262C5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10</w:t>
      </w:r>
      <w:r>
        <w:rPr>
          <w:rFonts w:hint="eastAsia" w:ascii="宋体" w:hAnsi="宋体" w:eastAsia="宋体" w:cs="宋体"/>
          <w:b/>
          <w:bCs/>
          <w:color w:val="000000" w:themeColor="text1"/>
          <w:sz w:val="24"/>
          <w:szCs w:val="24"/>
          <w:highlight w:val="none"/>
        </w:rPr>
        <w:t>、纪律和监督</w:t>
      </w:r>
    </w:p>
    <w:p w14:paraId="20D694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.1对采购人的纪律要求</w:t>
      </w:r>
    </w:p>
    <w:p w14:paraId="793CAB4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采购人不得泄漏竞争性磋商中应当保密的情况和资料，不得与供应商串通损害国家利益、社会公共利益或者他人合法权益。</w:t>
      </w:r>
    </w:p>
    <w:p w14:paraId="228C0C1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.2对供应商的纪律要求</w:t>
      </w:r>
    </w:p>
    <w:p w14:paraId="1003AF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.3对磋商小组成员的纪律要求</w:t>
      </w:r>
    </w:p>
    <w:p w14:paraId="5173F8F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磋商小组成员不得收受他人的财物或者其他好处，不得向他人透漏对</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的评审和比较、成交候选人的推荐情况以及与磋商有关的其他情况。在磋商活动中，磋商小组成员不得擅离职守，影响磋商程序正常进行。</w:t>
      </w:r>
    </w:p>
    <w:p w14:paraId="4A4E878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.4对与磋商活动有关的工作人员的纪律要求</w:t>
      </w:r>
    </w:p>
    <w:p w14:paraId="19CCB7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与磋商活动有关的工作人员不得收受他人的财物或者其他好处，不得向他人透漏对</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的评审和比较、成交候选人的推荐情况以及与磋商有关的其他情况。在磋商活动中，与磋商活动有关的工作人员不得擅离职守，影响磋商程序正常进行。</w:t>
      </w:r>
    </w:p>
    <w:p w14:paraId="29C978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.5投诉</w:t>
      </w:r>
    </w:p>
    <w:p w14:paraId="116A5F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供应商和其他利害关系人认为本次竞争性磋商违反法律、法规和规章规定的，有权向有关行政监督部门投诉。</w:t>
      </w:r>
    </w:p>
    <w:p w14:paraId="5A8F3E3B">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11</w:t>
      </w:r>
      <w:r>
        <w:rPr>
          <w:rFonts w:hint="eastAsia" w:ascii="宋体" w:hAnsi="宋体" w:eastAsia="宋体" w:cs="宋体"/>
          <w:b/>
          <w:bCs/>
          <w:color w:val="000000" w:themeColor="text1"/>
          <w:sz w:val="24"/>
          <w:szCs w:val="24"/>
          <w:highlight w:val="none"/>
        </w:rPr>
        <w:t>、质疑程序及处理</w:t>
      </w:r>
    </w:p>
    <w:p w14:paraId="47BF6F0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（一）对可以质疑的磋商文件提出质疑的，为收到磋商文件之日或者磋商文件公告期限届满之日；</w:t>
      </w:r>
    </w:p>
    <w:p w14:paraId="059DF0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（二）对采购过程提出质疑的，为各采购程序环节结束之日；</w:t>
      </w:r>
    </w:p>
    <w:p w14:paraId="5645AE0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（三）对成交结果提出质疑的，为成交结果公告期限届满之日。</w:t>
      </w:r>
    </w:p>
    <w:p w14:paraId="712C97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.2质疑书应当包括下列主要内容，并按照“谁主张、谁举证”的原则，附上相关证明材料。否则，采购人不予受理：</w:t>
      </w:r>
    </w:p>
    <w:p w14:paraId="66DEA8F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（一）质疑供应商全称、地址、法定代表人、联系人及联系电话、邮政编码等；</w:t>
      </w:r>
    </w:p>
    <w:p w14:paraId="1D6C5DD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（二）被质疑采购项目的名称、编号；</w:t>
      </w:r>
    </w:p>
    <w:p w14:paraId="6570D0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（三）质疑的具体事项、明确的请求和主张；</w:t>
      </w:r>
    </w:p>
    <w:p w14:paraId="5C45417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（四）质疑所依据的法律依据（具体条款）、具体事实和具体理由。质疑书依据理由部分只有主观陈述、推理、猜测等，而没有提供客观事实依据、法律依据的；</w:t>
      </w:r>
    </w:p>
    <w:p w14:paraId="5326C79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（六）充足有效的相关证明材料；如果涉及到产品功能或技术指标的，应出具相关制造商的证明文件；</w:t>
      </w:r>
    </w:p>
    <w:p w14:paraId="6443D5A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（七）质疑材料中有外文资料的，应一并附上中文译本，并以中文译本为准。</w:t>
      </w:r>
    </w:p>
    <w:p w14:paraId="5285410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（八）提起质疑的日期</w:t>
      </w:r>
    </w:p>
    <w:p w14:paraId="1282C51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.4供应商委托代理人办理质疑事宜，应当提交授权委托书，并载明委托代理的具体权限和事项。授权委托书应当由委托人签字并加盖单位公章。</w:t>
      </w:r>
    </w:p>
    <w:p w14:paraId="09139B2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.9质疑供应商对采购人的答复不满意以及采购人未在规定的时间内做出答复的，可以在答复期满后15个工作日内向财政部门投诉。</w:t>
      </w:r>
    </w:p>
    <w:p w14:paraId="7BBA3F0A">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2" w:firstLineChars="200"/>
        <w:jc w:val="left"/>
        <w:outlineLvl w:val="3"/>
        <w:rPr>
          <w:rFonts w:hint="eastAsia" w:ascii="宋体" w:hAnsi="宋体" w:eastAsia="宋体" w:cs="宋体"/>
          <w:b/>
          <w:bCs/>
          <w:color w:val="000000" w:themeColor="text1"/>
          <w:sz w:val="24"/>
          <w:szCs w:val="24"/>
          <w:highlight w:val="none"/>
          <w:lang w:val="zh-CN" w:eastAsia="zh-CN"/>
        </w:rPr>
      </w:pPr>
      <w:bookmarkStart w:id="38" w:name="_Toc4433565"/>
      <w:bookmarkStart w:id="39" w:name="_Toc3220174"/>
      <w:r>
        <w:rPr>
          <w:rFonts w:hint="eastAsia" w:ascii="宋体" w:hAnsi="宋体" w:eastAsia="宋体" w:cs="宋体"/>
          <w:b/>
          <w:bCs/>
          <w:color w:val="000000" w:themeColor="text1"/>
          <w:sz w:val="24"/>
          <w:szCs w:val="24"/>
          <w:highlight w:val="none"/>
          <w:lang w:val="en-US" w:eastAsia="zh-CN"/>
        </w:rPr>
        <w:t>12、</w:t>
      </w:r>
      <w:r>
        <w:rPr>
          <w:rFonts w:hint="eastAsia" w:ascii="宋体" w:hAnsi="宋体" w:eastAsia="宋体" w:cs="宋体"/>
          <w:b/>
          <w:bCs/>
          <w:color w:val="000000" w:themeColor="text1"/>
          <w:sz w:val="24"/>
          <w:szCs w:val="24"/>
          <w:highlight w:val="none"/>
          <w:lang w:val="zh-CN" w:eastAsia="zh-CN"/>
        </w:rPr>
        <w:t>重新开展采购活动</w:t>
      </w:r>
      <w:bookmarkEnd w:id="38"/>
      <w:bookmarkEnd w:id="39"/>
    </w:p>
    <w:p w14:paraId="7043951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出现下列情形之一的，将终止竞争性磋商采购活动，发布项目终止公告并说明原因，重新开展采购活动：</w:t>
      </w:r>
    </w:p>
    <w:p w14:paraId="7DB6974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12.1、不符合法律、法规和竞争性磋商文件中规定的其他实质性要求的；</w:t>
      </w:r>
    </w:p>
    <w:p w14:paraId="65EB885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12.2、其他法律、法规及本竞争性磋商文件规定的属响应无效的情形。终止竞争性磋商采购活动的条款；</w:t>
      </w:r>
    </w:p>
    <w:p w14:paraId="5E5D57E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12.3、因情况变化，不再符合规定的竞争性磋商采购方式适用情形的；出现影响采购公正的违法、违规行为的；</w:t>
      </w:r>
    </w:p>
    <w:p w14:paraId="2807E52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12.4、磋商截止时间结束后参加供应商不足3家的，应重新组织采购。</w:t>
      </w:r>
    </w:p>
    <w:p w14:paraId="5CBE946B">
      <w:pPr>
        <w:keepNext w:val="0"/>
        <w:keepLines w:val="0"/>
        <w:pageBreakBefore w:val="0"/>
        <w:widowControl/>
        <w:tabs>
          <w:tab w:val="left" w:pos="1341"/>
        </w:tabs>
        <w:kinsoku w:val="0"/>
        <w:wordWrap/>
        <w:autoSpaceDE w:val="0"/>
        <w:autoSpaceDN w:val="0"/>
        <w:bidi w:val="0"/>
        <w:adjustRightInd w:val="0"/>
        <w:snapToGrid w:val="0"/>
        <w:spacing w:line="360" w:lineRule="auto"/>
        <w:ind w:left="0" w:leftChars="0" w:right="0" w:rightChars="0" w:firstLine="478" w:firstLineChars="200"/>
        <w:rPr>
          <w:rFonts w:hint="eastAsia" w:ascii="宋体" w:hAnsi="宋体" w:eastAsia="宋体" w:cs="宋体"/>
          <w:b/>
          <w:bCs/>
          <w:color w:val="000000" w:themeColor="text1"/>
          <w:spacing w:val="-1"/>
          <w:sz w:val="24"/>
          <w:szCs w:val="24"/>
          <w:highlight w:val="none"/>
          <w:lang w:bidi="zh-CN"/>
        </w:rPr>
      </w:pPr>
      <w:r>
        <w:rPr>
          <w:rFonts w:hint="eastAsia" w:ascii="宋体" w:hAnsi="宋体" w:eastAsia="宋体" w:cs="宋体"/>
          <w:b/>
          <w:bCs/>
          <w:color w:val="000000" w:themeColor="text1"/>
          <w:spacing w:val="-1"/>
          <w:sz w:val="24"/>
          <w:szCs w:val="24"/>
          <w:highlight w:val="none"/>
          <w:lang w:val="en-US" w:eastAsia="zh-CN" w:bidi="zh-CN"/>
        </w:rPr>
        <w:t>13、</w:t>
      </w:r>
      <w:r>
        <w:rPr>
          <w:rFonts w:hint="eastAsia" w:ascii="宋体" w:hAnsi="宋体" w:eastAsia="宋体" w:cs="宋体"/>
          <w:b/>
          <w:bCs/>
          <w:color w:val="000000" w:themeColor="text1"/>
          <w:spacing w:val="-1"/>
          <w:sz w:val="24"/>
          <w:szCs w:val="24"/>
          <w:highlight w:val="none"/>
          <w:lang w:bidi="zh-CN"/>
        </w:rPr>
        <w:t>招标代理服务收费参照豫招协[2023]002号河南省招标投标协会关于印发《河南省招标代理服务收费指导意见》规定的收费标准收取中标服务费。</w:t>
      </w:r>
    </w:p>
    <w:p w14:paraId="31D37727">
      <w:pPr>
        <w:keepNext w:val="0"/>
        <w:keepLines w:val="0"/>
        <w:pageBreakBefore w:val="0"/>
        <w:widowControl/>
        <w:tabs>
          <w:tab w:val="left" w:pos="1341"/>
        </w:tabs>
        <w:kinsoku w:val="0"/>
        <w:wordWrap/>
        <w:autoSpaceDE w:val="0"/>
        <w:autoSpaceDN w:val="0"/>
        <w:bidi w:val="0"/>
        <w:adjustRightInd w:val="0"/>
        <w:snapToGrid w:val="0"/>
        <w:spacing w:line="360" w:lineRule="auto"/>
        <w:ind w:left="0" w:leftChars="0" w:right="0" w:rightChars="0" w:firstLine="478" w:firstLineChars="200"/>
        <w:rPr>
          <w:rFonts w:hint="eastAsia" w:ascii="宋体" w:hAnsi="宋体" w:eastAsia="宋体" w:cs="宋体"/>
          <w:b/>
          <w:bCs/>
          <w:color w:val="000000" w:themeColor="text1"/>
          <w:spacing w:val="-1"/>
          <w:sz w:val="24"/>
          <w:szCs w:val="24"/>
          <w:highlight w:val="none"/>
          <w:lang w:bidi="zh-CN"/>
        </w:rPr>
      </w:pPr>
      <w:r>
        <w:rPr>
          <w:rFonts w:hint="eastAsia" w:ascii="宋体" w:hAnsi="宋体" w:eastAsia="宋体" w:cs="宋体"/>
          <w:b/>
          <w:bCs/>
          <w:color w:val="000000" w:themeColor="text1"/>
          <w:spacing w:val="-1"/>
          <w:sz w:val="24"/>
          <w:szCs w:val="24"/>
          <w:highlight w:val="none"/>
          <w:lang w:bidi="zh-CN"/>
        </w:rPr>
        <w:t>河南省招标代理服务费计算标准</w:t>
      </w:r>
    </w:p>
    <w:tbl>
      <w:tblPr>
        <w:tblStyle w:val="28"/>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0.045%</w:t>
            </w:r>
          </w:p>
        </w:tc>
        <w:tc>
          <w:tcPr>
            <w:tcW w:w="1433" w:type="dxa"/>
            <w:tcBorders>
              <w:top w:val="single" w:color="000000" w:sz="4" w:space="0"/>
              <w:left w:val="single" w:color="000000" w:sz="4" w:space="0"/>
              <w:right w:val="single" w:color="000000" w:sz="4" w:space="0"/>
            </w:tcBorders>
            <w:noWrap w:val="0"/>
            <w:vAlign w:val="center"/>
          </w:tcPr>
          <w:p w14:paraId="7838471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0.045%</w:t>
            </w:r>
          </w:p>
        </w:tc>
        <w:tc>
          <w:tcPr>
            <w:tcW w:w="1711" w:type="dxa"/>
            <w:tcBorders>
              <w:top w:val="single" w:color="000000" w:sz="4" w:space="0"/>
              <w:left w:val="single" w:color="000000" w:sz="4" w:space="0"/>
              <w:right w:val="single" w:color="000000" w:sz="4" w:space="0"/>
            </w:tcBorders>
            <w:noWrap w:val="0"/>
            <w:vAlign w:val="center"/>
          </w:tcPr>
          <w:p w14:paraId="1D91E43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50亿--100亿元（含</w:t>
            </w:r>
            <w:r>
              <w:rPr>
                <w:rFonts w:hint="eastAsia" w:ascii="宋体" w:hAnsi="宋体" w:eastAsia="宋体" w:cs="宋体"/>
                <w:color w:val="000000" w:themeColor="text1"/>
                <w:sz w:val="24"/>
                <w:szCs w:val="24"/>
                <w:highlight w:val="none"/>
                <w:lang w:bidi="zh-CN"/>
              </w:rPr>
              <w:t>100</w:t>
            </w:r>
            <w:r>
              <w:rPr>
                <w:rFonts w:hint="eastAsia" w:ascii="宋体" w:hAnsi="宋体" w:eastAsia="宋体" w:cs="宋体"/>
                <w:color w:val="000000" w:themeColor="text1"/>
                <w:sz w:val="24"/>
                <w:szCs w:val="24"/>
                <w:highlight w:val="none"/>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注：1.按本表费率计算的收费金额为招标代理服务费的基准价格，不含工程量清单、最高投标限价（招标控制价）或标底的编制费用。</w:t>
            </w:r>
          </w:p>
          <w:p w14:paraId="52C32E11">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bidi="zh-CN"/>
              </w:rPr>
            </w:pPr>
            <w:r>
              <w:rPr>
                <w:rFonts w:hint="eastAsia" w:ascii="宋体" w:hAnsi="宋体" w:eastAsia="宋体" w:cs="宋体"/>
                <w:color w:val="000000" w:themeColor="text1"/>
                <w:sz w:val="24"/>
                <w:szCs w:val="24"/>
                <w:highlight w:val="none"/>
                <w:lang w:bidi="zh-CN"/>
              </w:rPr>
              <w:t>2.招标代理服务收费按差额定率累进法计算。</w:t>
            </w:r>
          </w:p>
          <w:p w14:paraId="18B03A8A">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例如：某工程招标代理业务，项目预算金额（招标控制价）为10000 万元，招标代理服务收费计算如下：</w:t>
            </w:r>
          </w:p>
          <w:p w14:paraId="3E0E8685">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bidi="zh-CN"/>
              </w:rPr>
              <w:t xml:space="preserve"> </w:t>
            </w:r>
            <w:r>
              <w:rPr>
                <w:rFonts w:hint="eastAsia" w:ascii="宋体" w:hAnsi="宋体" w:eastAsia="宋体" w:cs="宋体"/>
                <w:color w:val="000000" w:themeColor="text1"/>
                <w:sz w:val="24"/>
                <w:szCs w:val="24"/>
                <w:highlight w:val="none"/>
                <w:lang w:val="zh-CN" w:bidi="zh-CN"/>
              </w:rPr>
              <w:t>100万元×1.2%=1.2万元</w:t>
            </w:r>
          </w:p>
          <w:p w14:paraId="0ADC5F48">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（500-100）万元×1.0%=4万元</w:t>
            </w:r>
          </w:p>
          <w:p w14:paraId="70718E86">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（1000-500）×0.7%=3.5万元</w:t>
            </w:r>
          </w:p>
          <w:p w14:paraId="3AE9F4E3">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（5000-1000）×0.4%=16万元</w:t>
            </w:r>
          </w:p>
          <w:p w14:paraId="5575C17B">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（10000-5000）×0.25%=12.5万元合计收费=1.2+4+3.5+16+12.5=37.2万元</w:t>
            </w:r>
          </w:p>
        </w:tc>
      </w:tr>
    </w:tbl>
    <w:p w14:paraId="7FE1540E">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14、需要补充的其他内容</w:t>
      </w:r>
    </w:p>
    <w:p w14:paraId="7EB17B4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.1采购人不承诺最低价中标，而且采购人没有义务解释说明未中标原因。</w:t>
      </w:r>
    </w:p>
    <w:p w14:paraId="25637B5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.2其它未尽事宜，按国家有关法律、法规执行。</w:t>
      </w:r>
    </w:p>
    <w:p w14:paraId="7C537AB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.3本招标文件解释权归采购人。</w:t>
      </w:r>
    </w:p>
    <w:p w14:paraId="46274CA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.4本项目落实节能环保、中小微型企业扶持等相关政府采购政策，本项目支持河南省政府采购合同融资政策。</w:t>
      </w:r>
    </w:p>
    <w:p w14:paraId="5E3C51B1">
      <w:pPr>
        <w:keepNext w:val="0"/>
        <w:keepLines w:val="0"/>
        <w:pageBreakBefore w:val="0"/>
        <w:widowControl/>
        <w:kinsoku w:val="0"/>
        <w:wordWrap/>
        <w:autoSpaceDE w:val="0"/>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bookmarkEnd w:id="16"/>
    <w:bookmarkEnd w:id="17"/>
    <w:p w14:paraId="00C373A0">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07E7CC4">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B47EE7C">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4290081B">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7F31DEBC">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F7F26D5">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6963559">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D1069A9">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7D6C6605">
      <w:pPr>
        <w:keepNext w:val="0"/>
        <w:keepLines w:val="0"/>
        <w:pageBreakBefore w:val="0"/>
        <w:widowControl/>
        <w:kinsoku w:val="0"/>
        <w:wordWrap/>
        <w:bidi w:val="0"/>
        <w:adjustRightInd w:val="0"/>
        <w:snapToGrid w:val="0"/>
        <w:spacing w:line="360" w:lineRule="auto"/>
        <w:ind w:right="0" w:righ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275B8D3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C8F8B18">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16E5AB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27DB305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6B38A83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5706A7A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40167B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21C71CB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5EB2A504">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AC347E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3C4DBD2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32259BB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1D66A5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03EDD92A">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259803D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45096B7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7E858B7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p>
    <w:p w14:paraId="560DB0B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4BBEB4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p>
    <w:p w14:paraId="61CD841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1FB805E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184247DD">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5B3005D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6DFF7D5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7E87EC7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3CC4A893">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28C402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0" w:name="_Toc11929"/>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章  评审标准</w:t>
      </w:r>
      <w:bookmarkEnd w:id="40"/>
    </w:p>
    <w:p w14:paraId="582A31A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bookmarkStart w:id="41" w:name="OLE_LINK2"/>
      <w:bookmarkEnd w:id="41"/>
      <w:r>
        <w:rPr>
          <w:rFonts w:hint="eastAsia" w:ascii="宋体" w:hAnsi="宋体" w:eastAsia="宋体" w:cs="宋体"/>
          <w:color w:val="auto"/>
          <w:sz w:val="24"/>
          <w:szCs w:val="24"/>
          <w:highlight w:val="none"/>
        </w:rPr>
        <w:t>一、初步审查详见下表</w:t>
      </w:r>
    </w:p>
    <w:tbl>
      <w:tblPr>
        <w:tblStyle w:val="2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38"/>
        <w:gridCol w:w="1569"/>
        <w:gridCol w:w="6410"/>
      </w:tblGrid>
      <w:tr w14:paraId="137D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38" w:type="dxa"/>
            <w:gridSpan w:val="2"/>
            <w:tcBorders>
              <w:top w:val="single" w:color="auto" w:sz="4" w:space="0"/>
              <w:left w:val="single" w:color="auto" w:sz="4" w:space="0"/>
              <w:bottom w:val="single" w:color="auto" w:sz="4" w:space="0"/>
              <w:right w:val="single" w:color="auto" w:sz="4" w:space="0"/>
            </w:tcBorders>
            <w:vAlign w:val="center"/>
          </w:tcPr>
          <w:p w14:paraId="192B75FB">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569" w:type="dxa"/>
            <w:tcBorders>
              <w:top w:val="single" w:color="auto" w:sz="4" w:space="0"/>
              <w:left w:val="nil"/>
              <w:bottom w:val="single" w:color="auto" w:sz="4" w:space="0"/>
              <w:right w:val="single" w:color="auto" w:sz="4" w:space="0"/>
            </w:tcBorders>
            <w:vAlign w:val="center"/>
          </w:tcPr>
          <w:p w14:paraId="2006E171">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410" w:type="dxa"/>
            <w:tcBorders>
              <w:top w:val="single" w:color="auto" w:sz="4" w:space="0"/>
              <w:left w:val="nil"/>
              <w:bottom w:val="single" w:color="auto" w:sz="4" w:space="0"/>
              <w:right w:val="single" w:color="auto" w:sz="4" w:space="0"/>
            </w:tcBorders>
            <w:vAlign w:val="center"/>
          </w:tcPr>
          <w:p w14:paraId="32D6EE1D">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30C2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0" w:type="dxa"/>
            <w:vMerge w:val="restart"/>
            <w:tcBorders>
              <w:top w:val="nil"/>
              <w:left w:val="single" w:color="auto" w:sz="4" w:space="0"/>
              <w:bottom w:val="single" w:color="auto" w:sz="4" w:space="0"/>
              <w:right w:val="single" w:color="auto" w:sz="4" w:space="0"/>
            </w:tcBorders>
            <w:vAlign w:val="center"/>
          </w:tcPr>
          <w:p w14:paraId="51737D22">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938" w:type="dxa"/>
            <w:vMerge w:val="restart"/>
            <w:tcBorders>
              <w:top w:val="nil"/>
              <w:left w:val="nil"/>
              <w:bottom w:val="single" w:color="auto" w:sz="4" w:space="0"/>
              <w:right w:val="single" w:color="auto" w:sz="4" w:space="0"/>
            </w:tcBorders>
            <w:vAlign w:val="center"/>
          </w:tcPr>
          <w:p w14:paraId="695EA5E3">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w:t>
            </w:r>
          </w:p>
          <w:p w14:paraId="5FA2E2D7">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审标准</w:t>
            </w:r>
          </w:p>
        </w:tc>
        <w:tc>
          <w:tcPr>
            <w:tcW w:w="1569" w:type="dxa"/>
            <w:tcBorders>
              <w:top w:val="single" w:color="auto" w:sz="4" w:space="0"/>
              <w:left w:val="nil"/>
              <w:bottom w:val="single" w:color="auto" w:sz="4" w:space="0"/>
              <w:right w:val="single" w:color="auto" w:sz="4" w:space="0"/>
            </w:tcBorders>
            <w:vAlign w:val="center"/>
          </w:tcPr>
          <w:p w14:paraId="593FFCB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410" w:type="dxa"/>
            <w:tcBorders>
              <w:top w:val="single" w:color="auto" w:sz="4" w:space="0"/>
              <w:left w:val="nil"/>
              <w:bottom w:val="single" w:color="auto" w:sz="4" w:space="0"/>
              <w:right w:val="single" w:color="auto" w:sz="4" w:space="0"/>
            </w:tcBorders>
            <w:vAlign w:val="center"/>
          </w:tcPr>
          <w:p w14:paraId="7DA7EE6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w:t>
            </w:r>
          </w:p>
        </w:tc>
      </w:tr>
      <w:tr w14:paraId="50CF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24B61F15">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37089FE3">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711D76D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资质要求</w:t>
            </w:r>
          </w:p>
        </w:tc>
        <w:tc>
          <w:tcPr>
            <w:tcW w:w="6410" w:type="dxa"/>
            <w:tcBorders>
              <w:top w:val="single" w:color="auto" w:sz="4" w:space="0"/>
              <w:left w:val="nil"/>
              <w:bottom w:val="single" w:color="auto" w:sz="4" w:space="0"/>
              <w:right w:val="single" w:color="auto" w:sz="4" w:space="0"/>
            </w:tcBorders>
            <w:vAlign w:val="center"/>
          </w:tcPr>
          <w:p w14:paraId="022E9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right="0" w:rightChars="0"/>
              <w:jc w:val="left"/>
              <w:rPr>
                <w:rFonts w:hint="eastAsia" w:ascii="宋体" w:hAnsi="宋体" w:eastAsia="宋体" w:cs="宋体"/>
                <w:color w:val="0C0C0C"/>
                <w:kern w:val="0"/>
                <w:sz w:val="24"/>
                <w:szCs w:val="24"/>
                <w:highlight w:val="none"/>
                <w:shd w:val="clear" w:fill="FFFFFF"/>
                <w:lang w:val="en-US" w:eastAsia="zh-CN" w:bidi="ar"/>
              </w:rPr>
            </w:pPr>
            <w:r>
              <w:rPr>
                <w:rFonts w:hint="eastAsia" w:ascii="宋体" w:hAnsi="宋体" w:eastAsia="宋体" w:cs="宋体"/>
                <w:color w:val="0C0C0C"/>
                <w:kern w:val="0"/>
                <w:sz w:val="24"/>
                <w:szCs w:val="24"/>
                <w:highlight w:val="none"/>
                <w:shd w:val="clear" w:fill="FFFFFF"/>
                <w:lang w:val="en-US" w:eastAsia="zh-CN" w:bidi="ar"/>
              </w:rPr>
              <w:t>一标段供应商为生产商的需提供农药生产许可证(登记对象必须包含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)，若供应商为经销商的需提供农药经营许可证；所提供的农药产品须 “三证”（生产许可证或生产批准证、农药登记证(登记对象必须包含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)、产品标准证）齐全，并在有效期内。</w:t>
            </w:r>
          </w:p>
          <w:p w14:paraId="66EB59A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0C0C0C"/>
                <w:kern w:val="0"/>
                <w:sz w:val="24"/>
                <w:szCs w:val="24"/>
                <w:highlight w:val="none"/>
                <w:shd w:val="clear" w:fill="FFFFFF"/>
                <w:lang w:val="en-US" w:eastAsia="zh-CN" w:bidi="ar"/>
              </w:rPr>
              <w:t>二标段</w:t>
            </w:r>
            <w:r>
              <w:rPr>
                <w:rFonts w:hint="eastAsia" w:ascii="宋体" w:hAnsi="宋体" w:eastAsia="宋体" w:cs="宋体"/>
                <w:sz w:val="24"/>
                <w:szCs w:val="24"/>
                <w:highlight w:val="none"/>
                <w:u w:val="none"/>
                <w:lang w:eastAsia="zh-CN"/>
              </w:rPr>
              <w:t>供应商</w:t>
            </w:r>
            <w:r>
              <w:rPr>
                <w:rFonts w:hint="eastAsia" w:ascii="宋体" w:hAnsi="宋体" w:eastAsia="宋体" w:cs="宋体"/>
                <w:color w:val="333333"/>
                <w:kern w:val="0"/>
                <w:sz w:val="24"/>
                <w:szCs w:val="24"/>
                <w:highlight w:val="none"/>
                <w:lang w:val="en-US" w:eastAsia="zh-CN" w:bidi="ar"/>
              </w:rPr>
              <w:t>需具有满足本次病虫害统防的植保飞行器作业能力（需提供植保无人机等飞行器相关作业能力证明或承诺函）</w:t>
            </w:r>
          </w:p>
        </w:tc>
      </w:tr>
      <w:tr w14:paraId="67D0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57FA36D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220D239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32EAC66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承诺书</w:t>
            </w:r>
          </w:p>
        </w:tc>
        <w:tc>
          <w:tcPr>
            <w:tcW w:w="6410" w:type="dxa"/>
            <w:tcBorders>
              <w:top w:val="single" w:color="auto" w:sz="4" w:space="0"/>
              <w:left w:val="nil"/>
              <w:bottom w:val="single" w:color="auto" w:sz="4" w:space="0"/>
              <w:right w:val="single" w:color="auto" w:sz="4" w:space="0"/>
            </w:tcBorders>
            <w:vAlign w:val="center"/>
          </w:tcPr>
          <w:p w14:paraId="44B9D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供应商具有履行合同所必须的设备和专业能力，具有良好的社会信誉，在实施项目中没有出现不良记录，并且没有出现经营管理、产品质量安全、纳税、环保等问题，能够接受行业管理部门的监督、管理（提供承诺书）2、参加政府采购活动前三年内，在经营活动中没有重大违法记录（承诺对象公司、法人）。</w:t>
            </w:r>
          </w:p>
          <w:p w14:paraId="2B6A9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333333"/>
                <w:kern w:val="0"/>
                <w:sz w:val="24"/>
                <w:szCs w:val="24"/>
                <w:highlight w:val="none"/>
                <w:lang w:val="en-US" w:eastAsia="zh-CN" w:bidi="ar"/>
              </w:rPr>
              <w:t>3、企业自行出具本企业无商业贿赂和不正当竞争行为的承诺书（承诺对象公司、法人）。</w:t>
            </w:r>
          </w:p>
        </w:tc>
      </w:tr>
      <w:tr w14:paraId="59EF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7C595BA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442C495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5D51344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信用查询</w:t>
            </w:r>
          </w:p>
        </w:tc>
        <w:tc>
          <w:tcPr>
            <w:tcW w:w="6410" w:type="dxa"/>
            <w:tcBorders>
              <w:top w:val="single" w:color="auto" w:sz="4" w:space="0"/>
              <w:left w:val="nil"/>
              <w:bottom w:val="single" w:color="auto" w:sz="4" w:space="0"/>
              <w:right w:val="single" w:color="auto" w:sz="4" w:space="0"/>
            </w:tcBorders>
            <w:vAlign w:val="center"/>
          </w:tcPr>
          <w:p w14:paraId="24527CC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333333"/>
                <w:kern w:val="0"/>
                <w:sz w:val="24"/>
                <w:szCs w:val="24"/>
                <w:highlight w:val="none"/>
                <w:lang w:val="en-US" w:eastAsia="zh-CN" w:bidi="ar"/>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69FB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6AE2D3F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7923FC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7BCE36B1">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“国家企业信用信息公示系统”网页</w:t>
            </w:r>
          </w:p>
          <w:p w14:paraId="71331755">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查询</w:t>
            </w:r>
          </w:p>
        </w:tc>
        <w:tc>
          <w:tcPr>
            <w:tcW w:w="6410" w:type="dxa"/>
            <w:tcBorders>
              <w:top w:val="single" w:color="auto" w:sz="4" w:space="0"/>
              <w:left w:val="nil"/>
              <w:bottom w:val="single" w:color="auto" w:sz="4" w:space="0"/>
              <w:right w:val="single" w:color="auto" w:sz="4" w:space="0"/>
            </w:tcBorders>
            <w:vAlign w:val="center"/>
          </w:tcPr>
          <w:p w14:paraId="3975D39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333333"/>
                <w:kern w:val="0"/>
                <w:sz w:val="24"/>
                <w:szCs w:val="24"/>
                <w:highlight w:val="none"/>
                <w:lang w:val="en-US" w:eastAsia="zh-CN" w:bidi="ar"/>
              </w:rPr>
              <w:t>单位负责人为同一人或者存在控股、管理关系的不同单位，不得同时参加本项目的投标；（提供“国家企业信用信息公示系统”中公示的公司信息、股东或投资人信息查询截图（查询时间自公告发布之日起）。</w:t>
            </w:r>
          </w:p>
        </w:tc>
      </w:tr>
      <w:tr w14:paraId="04D2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0" w:type="dxa"/>
            <w:vMerge w:val="restart"/>
            <w:tcBorders>
              <w:top w:val="nil"/>
              <w:left w:val="single" w:color="auto" w:sz="4" w:space="0"/>
              <w:right w:val="single" w:color="auto" w:sz="4" w:space="0"/>
            </w:tcBorders>
            <w:vAlign w:val="center"/>
          </w:tcPr>
          <w:p w14:paraId="003A13B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w:t>
            </w:r>
          </w:p>
        </w:tc>
        <w:tc>
          <w:tcPr>
            <w:tcW w:w="938" w:type="dxa"/>
            <w:vMerge w:val="restart"/>
            <w:tcBorders>
              <w:top w:val="nil"/>
              <w:left w:val="nil"/>
              <w:bottom w:val="single" w:color="auto" w:sz="4" w:space="0"/>
              <w:right w:val="single" w:color="auto" w:sz="4" w:space="0"/>
            </w:tcBorders>
            <w:vAlign w:val="center"/>
          </w:tcPr>
          <w:p w14:paraId="05B62A3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569" w:type="dxa"/>
            <w:tcBorders>
              <w:top w:val="single" w:color="auto" w:sz="4" w:space="0"/>
              <w:left w:val="nil"/>
              <w:bottom w:val="single" w:color="auto" w:sz="4" w:space="0"/>
              <w:right w:val="single" w:color="auto" w:sz="4" w:space="0"/>
            </w:tcBorders>
            <w:vAlign w:val="center"/>
          </w:tcPr>
          <w:p w14:paraId="67B97FA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6410" w:type="dxa"/>
            <w:tcBorders>
              <w:top w:val="single" w:color="auto" w:sz="4" w:space="0"/>
              <w:left w:val="nil"/>
              <w:bottom w:val="single" w:color="auto" w:sz="4" w:space="0"/>
              <w:right w:val="single" w:color="auto" w:sz="4" w:space="0"/>
            </w:tcBorders>
            <w:vAlign w:val="center"/>
          </w:tcPr>
          <w:p w14:paraId="0C515B9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与营业执照一致</w:t>
            </w:r>
          </w:p>
        </w:tc>
      </w:tr>
      <w:tr w14:paraId="6D68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0" w:type="dxa"/>
            <w:vMerge w:val="continue"/>
            <w:tcBorders>
              <w:left w:val="single" w:color="auto" w:sz="4" w:space="0"/>
              <w:right w:val="single" w:color="auto" w:sz="4" w:space="0"/>
            </w:tcBorders>
            <w:vAlign w:val="center"/>
          </w:tcPr>
          <w:p w14:paraId="746AB5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506716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5DF87FD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磋商函签字盖章</w:t>
            </w:r>
          </w:p>
        </w:tc>
        <w:tc>
          <w:tcPr>
            <w:tcW w:w="6410" w:type="dxa"/>
            <w:tcBorders>
              <w:top w:val="single" w:color="auto" w:sz="4" w:space="0"/>
              <w:left w:val="nil"/>
              <w:bottom w:val="single" w:color="auto" w:sz="4" w:space="0"/>
              <w:right w:val="single" w:color="auto" w:sz="4" w:space="0"/>
            </w:tcBorders>
            <w:vAlign w:val="center"/>
          </w:tcPr>
          <w:p w14:paraId="3FE22C4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后，应对电子化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进行签章，未对电子化文件进行签章的视为无效投标。</w:t>
            </w:r>
          </w:p>
          <w:p w14:paraId="7273A5B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2、竞争性磋商文件中要求</w:t>
            </w:r>
            <w:r>
              <w:rPr>
                <w:rFonts w:hint="eastAsia" w:ascii="宋体" w:hAnsi="宋体" w:eastAsia="宋体" w:cs="宋体"/>
                <w:b/>
                <w:bCs/>
                <w:color w:val="auto"/>
                <w:sz w:val="24"/>
                <w:szCs w:val="24"/>
                <w:highlight w:val="none"/>
              </w:rPr>
              <w:t>法定代表人或授权委托人签字或盖章的，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w:t>
            </w:r>
            <w:r>
              <w:rPr>
                <w:rFonts w:hint="eastAsia" w:ascii="宋体" w:hAnsi="宋体" w:eastAsia="宋体" w:cs="宋体"/>
                <w:b/>
                <w:bCs/>
                <w:color w:val="auto"/>
                <w:sz w:val="24"/>
                <w:szCs w:val="24"/>
                <w:highlight w:val="none"/>
              </w:rPr>
              <w:t>电子化</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签章时，以签盖法定代表人签章为准</w:t>
            </w:r>
            <w:r>
              <w:rPr>
                <w:rFonts w:hint="eastAsia" w:ascii="宋体" w:hAnsi="宋体" w:eastAsia="宋体" w:cs="宋体"/>
                <w:color w:val="auto"/>
                <w:sz w:val="24"/>
                <w:szCs w:val="24"/>
                <w:highlight w:val="none"/>
              </w:rPr>
              <w:t>。</w:t>
            </w:r>
          </w:p>
        </w:tc>
      </w:tr>
      <w:tr w14:paraId="1F8C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3CCBE32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6A3EA37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14:paraId="14480107">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color w:val="000000"/>
                <w:sz w:val="24"/>
                <w:szCs w:val="24"/>
                <w:highlight w:val="none"/>
                <w:lang w:eastAsia="zh-CN"/>
              </w:rPr>
              <w:t>投标文件</w:t>
            </w:r>
            <w:r>
              <w:rPr>
                <w:rFonts w:hint="eastAsia" w:ascii="宋体" w:hAnsi="宋体" w:eastAsia="宋体" w:cs="宋体"/>
                <w:snapToGrid w:val="0"/>
                <w:color w:val="000000"/>
                <w:sz w:val="24"/>
                <w:szCs w:val="24"/>
                <w:highlight w:val="none"/>
              </w:rPr>
              <w:t>格式</w:t>
            </w:r>
          </w:p>
        </w:tc>
        <w:tc>
          <w:tcPr>
            <w:tcW w:w="6410" w:type="dxa"/>
            <w:tcBorders>
              <w:top w:val="single" w:color="auto" w:sz="4" w:space="0"/>
              <w:left w:val="nil"/>
              <w:bottom w:val="single" w:color="auto" w:sz="4" w:space="0"/>
              <w:right w:val="single" w:color="auto" w:sz="4" w:space="0"/>
            </w:tcBorders>
            <w:vAlign w:val="top"/>
          </w:tcPr>
          <w:p w14:paraId="34AC60D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snapToGrid w:val="0"/>
                <w:color w:val="000000"/>
                <w:sz w:val="24"/>
                <w:szCs w:val="24"/>
                <w:highlight w:val="none"/>
              </w:rPr>
              <w:t>符合“</w:t>
            </w:r>
            <w:r>
              <w:rPr>
                <w:rFonts w:hint="eastAsia" w:ascii="宋体" w:hAnsi="宋体" w:eastAsia="宋体" w:cs="宋体"/>
                <w:snapToGrid w:val="0"/>
                <w:color w:val="000000"/>
                <w:sz w:val="24"/>
                <w:szCs w:val="24"/>
                <w:highlight w:val="none"/>
                <w:lang w:eastAsia="zh-CN"/>
              </w:rPr>
              <w:t>投标文件</w:t>
            </w:r>
            <w:r>
              <w:rPr>
                <w:rFonts w:hint="eastAsia" w:ascii="宋体" w:hAnsi="宋体" w:eastAsia="宋体" w:cs="宋体"/>
                <w:snapToGrid w:val="0"/>
                <w:color w:val="000000"/>
                <w:sz w:val="24"/>
                <w:szCs w:val="24"/>
                <w:highlight w:val="none"/>
              </w:rPr>
              <w:t>格式”的要求</w:t>
            </w:r>
          </w:p>
        </w:tc>
      </w:tr>
      <w:tr w14:paraId="0AFA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3466BA4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B3DB37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4D12E22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报价唯一</w:t>
            </w:r>
          </w:p>
        </w:tc>
        <w:tc>
          <w:tcPr>
            <w:tcW w:w="6410" w:type="dxa"/>
            <w:tcBorders>
              <w:top w:val="single" w:color="auto" w:sz="4" w:space="0"/>
              <w:left w:val="nil"/>
              <w:bottom w:val="single" w:color="auto" w:sz="4" w:space="0"/>
              <w:right w:val="single" w:color="auto" w:sz="4" w:space="0"/>
            </w:tcBorders>
            <w:vAlign w:val="center"/>
          </w:tcPr>
          <w:p w14:paraId="6A70D95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中只能有一个有效报价，且不超过采购预算价</w:t>
            </w:r>
          </w:p>
        </w:tc>
      </w:tr>
      <w:tr w14:paraId="758F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restart"/>
            <w:tcBorders>
              <w:top w:val="nil"/>
              <w:left w:val="single" w:color="auto" w:sz="4" w:space="0"/>
              <w:right w:val="single" w:color="auto" w:sz="4" w:space="0"/>
            </w:tcBorders>
            <w:vAlign w:val="center"/>
          </w:tcPr>
          <w:p w14:paraId="174C13E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21.1.3</w:t>
            </w:r>
          </w:p>
        </w:tc>
        <w:tc>
          <w:tcPr>
            <w:tcW w:w="938" w:type="dxa"/>
            <w:vMerge w:val="restart"/>
            <w:tcBorders>
              <w:top w:val="nil"/>
              <w:left w:val="nil"/>
              <w:right w:val="single" w:color="auto" w:sz="4" w:space="0"/>
            </w:tcBorders>
            <w:vAlign w:val="center"/>
          </w:tcPr>
          <w:p w14:paraId="10464DC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响应性评审标准</w:t>
            </w:r>
          </w:p>
        </w:tc>
        <w:tc>
          <w:tcPr>
            <w:tcW w:w="1569" w:type="dxa"/>
            <w:tcBorders>
              <w:top w:val="single" w:color="auto" w:sz="4" w:space="0"/>
              <w:left w:val="nil"/>
              <w:bottom w:val="single" w:color="auto" w:sz="4" w:space="0"/>
              <w:right w:val="single" w:color="auto" w:sz="4" w:space="0"/>
            </w:tcBorders>
            <w:vAlign w:val="center"/>
          </w:tcPr>
          <w:p w14:paraId="25873F8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采购内容</w:t>
            </w:r>
          </w:p>
        </w:tc>
        <w:tc>
          <w:tcPr>
            <w:tcW w:w="6410" w:type="dxa"/>
            <w:tcBorders>
              <w:top w:val="single" w:color="auto" w:sz="4" w:space="0"/>
              <w:left w:val="nil"/>
              <w:bottom w:val="single" w:color="auto" w:sz="4" w:space="0"/>
              <w:right w:val="single" w:color="auto" w:sz="4" w:space="0"/>
            </w:tcBorders>
            <w:vAlign w:val="center"/>
          </w:tcPr>
          <w:p w14:paraId="123DC8B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符合磋商文件要求</w:t>
            </w:r>
          </w:p>
        </w:tc>
      </w:tr>
      <w:tr w14:paraId="79D8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350F322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32A5943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5883045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lang w:eastAsia="zh-CN"/>
              </w:rPr>
              <w:t>交货</w:t>
            </w:r>
            <w:r>
              <w:rPr>
                <w:rFonts w:hint="eastAsia" w:ascii="宋体" w:hAnsi="宋体" w:eastAsia="宋体" w:cs="宋体"/>
                <w:snapToGrid w:val="0"/>
                <w:sz w:val="24"/>
                <w:szCs w:val="24"/>
                <w:highlight w:val="none"/>
                <w:lang w:val="en-US" w:eastAsia="zh-CN"/>
              </w:rPr>
              <w:t>服务</w:t>
            </w:r>
            <w:r>
              <w:rPr>
                <w:rFonts w:hint="eastAsia" w:ascii="宋体" w:hAnsi="宋体" w:eastAsia="宋体" w:cs="宋体"/>
                <w:snapToGrid w:val="0"/>
                <w:sz w:val="24"/>
                <w:szCs w:val="24"/>
                <w:highlight w:val="none"/>
                <w:lang w:eastAsia="zh-CN"/>
              </w:rPr>
              <w:t>期</w:t>
            </w:r>
          </w:p>
        </w:tc>
        <w:tc>
          <w:tcPr>
            <w:tcW w:w="6410" w:type="dxa"/>
            <w:tcBorders>
              <w:top w:val="single" w:color="auto" w:sz="4" w:space="0"/>
              <w:left w:val="nil"/>
              <w:bottom w:val="single" w:color="auto" w:sz="4" w:space="0"/>
              <w:right w:val="single" w:color="auto" w:sz="4" w:space="0"/>
            </w:tcBorders>
            <w:vAlign w:val="center"/>
          </w:tcPr>
          <w:p w14:paraId="19416ED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符合磋商文件要求</w:t>
            </w:r>
          </w:p>
        </w:tc>
      </w:tr>
      <w:tr w14:paraId="5DDC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7A13B9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32B6057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top"/>
          </w:tcPr>
          <w:p w14:paraId="6AC9708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质量要求</w:t>
            </w:r>
          </w:p>
        </w:tc>
        <w:tc>
          <w:tcPr>
            <w:tcW w:w="6410" w:type="dxa"/>
            <w:tcBorders>
              <w:top w:val="single" w:color="auto" w:sz="4" w:space="0"/>
              <w:left w:val="nil"/>
              <w:bottom w:val="single" w:color="auto" w:sz="4" w:space="0"/>
              <w:right w:val="single" w:color="auto" w:sz="4" w:space="0"/>
            </w:tcBorders>
            <w:vAlign w:val="top"/>
          </w:tcPr>
          <w:p w14:paraId="4751058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符合磋商文件要求</w:t>
            </w:r>
          </w:p>
        </w:tc>
      </w:tr>
      <w:tr w14:paraId="7CEB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1CBEEE6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2FA9363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6794E64A">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6410" w:type="dxa"/>
            <w:tcBorders>
              <w:top w:val="single" w:color="auto" w:sz="4" w:space="0"/>
              <w:left w:val="nil"/>
              <w:bottom w:val="single" w:color="auto" w:sz="4" w:space="0"/>
              <w:right w:val="single" w:color="auto" w:sz="4" w:space="0"/>
            </w:tcBorders>
            <w:vAlign w:val="center"/>
          </w:tcPr>
          <w:p w14:paraId="6CE9681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符合竞争性磋商文件要求</w:t>
            </w:r>
          </w:p>
        </w:tc>
      </w:tr>
      <w:tr w14:paraId="0FEC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dxa"/>
            <w:vMerge w:val="continue"/>
            <w:tcBorders>
              <w:left w:val="single" w:color="auto" w:sz="4" w:space="0"/>
              <w:bottom w:val="single" w:color="auto" w:sz="4" w:space="0"/>
              <w:right w:val="single" w:color="auto" w:sz="4" w:space="0"/>
            </w:tcBorders>
            <w:vAlign w:val="center"/>
          </w:tcPr>
          <w:p w14:paraId="33172D3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bottom w:val="single" w:color="auto" w:sz="4" w:space="0"/>
              <w:right w:val="single" w:color="auto" w:sz="4" w:space="0"/>
            </w:tcBorders>
            <w:vAlign w:val="center"/>
          </w:tcPr>
          <w:p w14:paraId="0C2D56F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4360CA4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000000"/>
                <w:sz w:val="24"/>
                <w:szCs w:val="24"/>
                <w:highlight w:val="none"/>
              </w:rPr>
              <w:t>磋商价格</w:t>
            </w:r>
          </w:p>
        </w:tc>
        <w:tc>
          <w:tcPr>
            <w:tcW w:w="6410" w:type="dxa"/>
            <w:tcBorders>
              <w:top w:val="single" w:color="auto" w:sz="4" w:space="0"/>
              <w:left w:val="nil"/>
              <w:bottom w:val="single" w:color="auto" w:sz="4" w:space="0"/>
              <w:right w:val="single" w:color="auto" w:sz="4" w:space="0"/>
            </w:tcBorders>
            <w:vAlign w:val="center"/>
          </w:tcPr>
          <w:p w14:paraId="3110396C">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bCs/>
                <w:snapToGrid w:val="0"/>
                <w:sz w:val="24"/>
                <w:szCs w:val="24"/>
                <w:highlight w:val="none"/>
              </w:rPr>
              <w:t>本次磋商采用二轮（最终）报价法，供应商递交的</w:t>
            </w:r>
            <w:r>
              <w:rPr>
                <w:rFonts w:hint="eastAsia" w:ascii="宋体" w:hAnsi="宋体" w:eastAsia="宋体" w:cs="宋体"/>
                <w:bCs/>
                <w:snapToGrid w:val="0"/>
                <w:sz w:val="24"/>
                <w:szCs w:val="24"/>
                <w:highlight w:val="none"/>
                <w:lang w:eastAsia="zh-CN"/>
              </w:rPr>
              <w:t>投标文件</w:t>
            </w:r>
            <w:r>
              <w:rPr>
                <w:rFonts w:hint="eastAsia" w:ascii="宋体" w:hAnsi="宋体" w:eastAsia="宋体" w:cs="宋体"/>
                <w:bCs/>
                <w:snapToGrid w:val="0"/>
                <w:sz w:val="24"/>
                <w:szCs w:val="24"/>
                <w:highlight w:val="none"/>
              </w:rPr>
              <w:t>中的报价为第一轮报价，</w:t>
            </w:r>
            <w:r>
              <w:rPr>
                <w:rFonts w:hint="eastAsia" w:ascii="宋体" w:hAnsi="宋体" w:eastAsia="宋体" w:cs="宋体"/>
                <w:snapToGrid w:val="0"/>
                <w:sz w:val="24"/>
                <w:szCs w:val="24"/>
                <w:highlight w:val="none"/>
              </w:rPr>
              <w:t>供应商的两轮磋商报价都不得高于采购人公布的控制价，否则其投标将被否决。</w:t>
            </w:r>
          </w:p>
        </w:tc>
      </w:tr>
    </w:tbl>
    <w:p w14:paraId="5F5DF66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p w14:paraId="7EAB13C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p w14:paraId="41B6CF8B">
      <w:pPr>
        <w:keepNext w:val="0"/>
        <w:keepLines w:val="0"/>
        <w:pageBreakBefore w:val="0"/>
        <w:widowControl/>
        <w:numPr>
          <w:ilvl w:val="0"/>
          <w:numId w:val="2"/>
        </w:numPr>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详细评审标准</w:t>
      </w:r>
    </w:p>
    <w:p w14:paraId="1A383493">
      <w:pPr>
        <w:keepNext w:val="0"/>
        <w:keepLines w:val="0"/>
        <w:pageBreakBefore w:val="0"/>
        <w:widowControl/>
        <w:numPr>
          <w:ilvl w:val="0"/>
          <w:numId w:val="0"/>
        </w:numPr>
        <w:kinsoku w:val="0"/>
        <w:wordWrap/>
        <w:bidi w:val="0"/>
        <w:adjustRightInd w:val="0"/>
        <w:snapToGrid w:val="0"/>
        <w:spacing w:line="360" w:lineRule="auto"/>
        <w:ind w:right="0" w:righ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一标段</w:t>
      </w:r>
    </w:p>
    <w:tbl>
      <w:tblPr>
        <w:tblStyle w:val="28"/>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639"/>
        <w:gridCol w:w="6441"/>
      </w:tblGrid>
      <w:tr w14:paraId="78EE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276" w:type="dxa"/>
            <w:vAlign w:val="center"/>
          </w:tcPr>
          <w:p w14:paraId="6827C9AF">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639" w:type="dxa"/>
            <w:vAlign w:val="center"/>
          </w:tcPr>
          <w:p w14:paraId="1B6FD869">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6441" w:type="dxa"/>
            <w:vAlign w:val="center"/>
          </w:tcPr>
          <w:p w14:paraId="5EC6D676">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790B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276" w:type="dxa"/>
            <w:vAlign w:val="center"/>
          </w:tcPr>
          <w:p w14:paraId="15889E0F">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价格部分</w:t>
            </w:r>
            <w:r>
              <w:rPr>
                <w:rFonts w:hint="eastAsia" w:ascii="宋体" w:hAnsi="宋体" w:eastAsia="宋体" w:cs="宋体"/>
                <w:b w:val="0"/>
                <w:bCs w:val="0"/>
                <w:snapToGrid w:val="0"/>
                <w:sz w:val="24"/>
                <w:szCs w:val="24"/>
                <w:highlight w:val="none"/>
                <w:lang w:val="en-US" w:eastAsia="zh-CN"/>
              </w:rPr>
              <w:t>30</w:t>
            </w:r>
            <w:r>
              <w:rPr>
                <w:rFonts w:hint="eastAsia" w:ascii="宋体" w:hAnsi="宋体" w:eastAsia="宋体" w:cs="宋体"/>
                <w:b w:val="0"/>
                <w:bCs w:val="0"/>
                <w:snapToGrid w:val="0"/>
                <w:sz w:val="24"/>
                <w:szCs w:val="24"/>
                <w:highlight w:val="none"/>
              </w:rPr>
              <w:t>分</w:t>
            </w:r>
          </w:p>
        </w:tc>
        <w:tc>
          <w:tcPr>
            <w:tcW w:w="1639" w:type="dxa"/>
            <w:vAlign w:val="center"/>
          </w:tcPr>
          <w:p w14:paraId="3DDAC60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投标报价</w:t>
            </w:r>
          </w:p>
        </w:tc>
        <w:tc>
          <w:tcPr>
            <w:tcW w:w="6441" w:type="dxa"/>
            <w:vAlign w:val="top"/>
          </w:tcPr>
          <w:p w14:paraId="7081232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4F5A34D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6583B8F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4288A9B3">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462E0B3E">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所投小微企业产品报价=所投小微企业产品报价×（1-20%）</w:t>
            </w:r>
          </w:p>
          <w:p w14:paraId="6C561A37">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379A4E0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37F7311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0067F186">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D01886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3FC2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73EE860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技术部分（0-50分）</w:t>
            </w:r>
          </w:p>
        </w:tc>
        <w:tc>
          <w:tcPr>
            <w:tcW w:w="1639" w:type="dxa"/>
            <w:vAlign w:val="center"/>
          </w:tcPr>
          <w:p w14:paraId="21CE28A7">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技术参数</w:t>
            </w:r>
          </w:p>
          <w:p w14:paraId="26FC33B6">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（10分）</w:t>
            </w:r>
          </w:p>
        </w:tc>
        <w:tc>
          <w:tcPr>
            <w:tcW w:w="6441" w:type="dxa"/>
            <w:vAlign w:val="center"/>
          </w:tcPr>
          <w:p w14:paraId="691F5FE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供应商投标产品满足技术参数要求，得满分10分，有一项不满足招标文件要求的扣3分，扣完为止。</w:t>
            </w:r>
          </w:p>
        </w:tc>
      </w:tr>
      <w:tr w14:paraId="265E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114B374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79E0AEF1">
            <w:pPr>
              <w:keepNext w:val="0"/>
              <w:keepLines w:val="0"/>
              <w:pageBreakBefore w:val="0"/>
              <w:widowControl/>
              <w:numPr>
                <w:ilvl w:val="0"/>
                <w:numId w:val="0"/>
              </w:numPr>
              <w:kinsoku w:val="0"/>
              <w:wordWrap/>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271C47E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（0-10分）</w:t>
            </w:r>
          </w:p>
        </w:tc>
        <w:tc>
          <w:tcPr>
            <w:tcW w:w="6441" w:type="dxa"/>
            <w:vAlign w:val="top"/>
          </w:tcPr>
          <w:p w14:paraId="4E2EFCD6">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lang w:val="en-US" w:eastAsia="zh-CN"/>
              </w:rPr>
              <w:t>提供项目组织实施方案，评委根据方案中人员组织、进度安排、实施步骤、保障措施等内容及优惠服务等内容进行对比，详细、完整、合理的得7-10分，较详细、完整、合理的得3-7分，一般的得3分，否则不得分。</w:t>
            </w:r>
          </w:p>
        </w:tc>
      </w:tr>
      <w:tr w14:paraId="4EEED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5F87BFEA">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4447E1C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质量保障措施</w:t>
            </w:r>
            <w:r>
              <w:rPr>
                <w:rFonts w:hint="eastAsia" w:ascii="宋体" w:hAnsi="宋体" w:eastAsia="宋体" w:cs="宋体"/>
                <w:color w:val="auto"/>
                <w:sz w:val="24"/>
                <w:szCs w:val="24"/>
                <w:highlight w:val="none"/>
                <w:lang w:val="en-US" w:eastAsia="zh-CN"/>
              </w:rPr>
              <w:t>（0-10分）</w:t>
            </w:r>
          </w:p>
        </w:tc>
        <w:tc>
          <w:tcPr>
            <w:tcW w:w="6441" w:type="dxa"/>
            <w:vAlign w:val="center"/>
          </w:tcPr>
          <w:p w14:paraId="40FAE31B">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根据供应商提供的质量保障措施是否科学、合理、可行。</w:t>
            </w:r>
          </w:p>
          <w:p w14:paraId="3A08828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投标人提供的质量保证措施便于实施、具有针对性、完善程度高</w:t>
            </w:r>
            <w:r>
              <w:rPr>
                <w:rFonts w:hint="eastAsia" w:ascii="宋体" w:hAnsi="宋体" w:eastAsia="宋体" w:cs="宋体"/>
                <w:sz w:val="24"/>
                <w:szCs w:val="24"/>
                <w:highlight w:val="none"/>
                <w:lang w:eastAsia="zh-CN"/>
              </w:rPr>
              <w:t>，质量稳定，包装完整、环保，能够提供相关的证明</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7AA82E7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投标人提供的质量保证措施合理便于实施、但完善程度一般不够详尽的</w:t>
            </w:r>
            <w:r>
              <w:rPr>
                <w:rFonts w:hint="eastAsia" w:ascii="宋体" w:hAnsi="宋体" w:eastAsia="宋体" w:cs="宋体"/>
                <w:sz w:val="24"/>
                <w:szCs w:val="24"/>
                <w:highlight w:val="none"/>
                <w:lang w:eastAsia="zh-CN"/>
              </w:rPr>
              <w:t>，相关证明和保证措施内容基本完整</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分；</w:t>
            </w:r>
          </w:p>
          <w:p w14:paraId="16B6FE0D">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投标人提供的质量保证措施合理性一般，不便于实施，完善程度一般不够详尽的</w:t>
            </w:r>
            <w:r>
              <w:rPr>
                <w:rFonts w:hint="eastAsia" w:ascii="宋体" w:hAnsi="宋体" w:eastAsia="宋体" w:cs="宋体"/>
                <w:sz w:val="24"/>
                <w:szCs w:val="24"/>
                <w:highlight w:val="none"/>
                <w:lang w:eastAsia="zh-CN"/>
              </w:rPr>
              <w:t>。相关证明和保证措施内容一般</w:t>
            </w:r>
            <w:r>
              <w:rPr>
                <w:rFonts w:hint="eastAsia" w:ascii="宋体" w:hAnsi="宋体" w:eastAsia="宋体" w:cs="宋体"/>
                <w:sz w:val="24"/>
                <w:szCs w:val="24"/>
                <w:highlight w:val="none"/>
              </w:rPr>
              <w:t>得3分。</w:t>
            </w:r>
          </w:p>
          <w:p w14:paraId="627BE1D2">
            <w:pPr>
              <w:keepNext w:val="0"/>
              <w:keepLines w:val="0"/>
              <w:pageBreakBefore w:val="0"/>
              <w:widowControl/>
              <w:kinsoku w:val="0"/>
              <w:wordWrap/>
              <w:bidi w:val="0"/>
              <w:adjustRightInd w:val="0"/>
              <w:snapToGrid w:val="0"/>
              <w:spacing w:line="360" w:lineRule="auto"/>
              <w:ind w:left="0" w:leftChars="0" w:right="0" w:rightChars="0"/>
              <w:jc w:val="left"/>
              <w:rPr>
                <w:rFonts w:hint="eastAsia"/>
                <w:highlight w:val="none"/>
              </w:rPr>
            </w:pPr>
            <w:r>
              <w:rPr>
                <w:rFonts w:hint="eastAsia" w:ascii="宋体" w:hAnsi="宋体" w:eastAsia="宋体" w:cs="宋体"/>
                <w:sz w:val="24"/>
                <w:szCs w:val="24"/>
                <w:highlight w:val="none"/>
              </w:rPr>
              <w:t>投标人没有提供上述内容，或提供的不完整有缺项的得0 分</w:t>
            </w:r>
          </w:p>
        </w:tc>
      </w:tr>
      <w:tr w14:paraId="4EEB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5A8959C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53DF90D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供货方案（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10分）</w:t>
            </w:r>
          </w:p>
        </w:tc>
        <w:tc>
          <w:tcPr>
            <w:tcW w:w="6441" w:type="dxa"/>
            <w:vAlign w:val="center"/>
          </w:tcPr>
          <w:p w14:paraId="6227D220">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根据采购人实际需求，针对项目实际情况，提供农药统一进行送货到指定地点的实施有详细的供货、组织协调计划，人员、车辆配备合理、可行，供货保证措施明确、具体的，得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36AE936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根据采购人实际需求，针对项目实际情况，提供农药统一进行送货到指定地点的实施有基本合理的供货、组织协调计划，人员、车辆配备基本满足供货需求，供货保证措施基本可行的，得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分；</w:t>
            </w:r>
          </w:p>
          <w:p w14:paraId="3423F22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针对项目实际情况，提供农药统一进行送货到指定地点的实施有详细的供货、基本合理。有人员安排计划、供货计划的，得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1212C8B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没有不得分</w:t>
            </w:r>
            <w:r>
              <w:rPr>
                <w:rFonts w:hint="eastAsia" w:ascii="宋体" w:hAnsi="宋体" w:eastAsia="宋体" w:cs="宋体"/>
                <w:sz w:val="24"/>
                <w:szCs w:val="24"/>
                <w:highlight w:val="none"/>
                <w:lang w:eastAsia="zh-CN"/>
              </w:rPr>
              <w:t>；</w:t>
            </w:r>
          </w:p>
        </w:tc>
      </w:tr>
      <w:tr w14:paraId="16E1A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47D8A1F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20D61D9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安全保障措施</w:t>
            </w:r>
            <w:r>
              <w:rPr>
                <w:rFonts w:hint="eastAsia" w:ascii="宋体" w:hAnsi="宋体" w:eastAsia="宋体" w:cs="宋体"/>
                <w:sz w:val="24"/>
                <w:szCs w:val="24"/>
                <w:highlight w:val="none"/>
                <w:lang w:val="en-US" w:eastAsia="zh-CN"/>
              </w:rPr>
              <w:t>（0-10分）</w:t>
            </w:r>
          </w:p>
        </w:tc>
        <w:tc>
          <w:tcPr>
            <w:tcW w:w="6441" w:type="dxa"/>
            <w:vAlign w:val="center"/>
          </w:tcPr>
          <w:p w14:paraId="05B7832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有制定全面的服务安全保障</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，对服务过程中的关键节点有具体安全控制措施，有相应的人力、物力投入安排，能够确保服务安全的，得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46E8D4F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w:t>
            </w:r>
            <w:r>
              <w:rPr>
                <w:rFonts w:hint="eastAsia" w:ascii="宋体" w:hAnsi="宋体" w:eastAsia="宋体" w:cs="宋体"/>
                <w:sz w:val="24"/>
                <w:szCs w:val="24"/>
                <w:highlight w:val="none"/>
              </w:rPr>
              <w:t>安全保障</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较完整详细、基本合理、可靠性较强的，得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分；</w:t>
            </w:r>
          </w:p>
          <w:p w14:paraId="0A834E1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安全保障</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一般、合理性和可靠性一般的，得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5C154076">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没有不得分</w:t>
            </w:r>
            <w:r>
              <w:rPr>
                <w:rFonts w:hint="eastAsia" w:ascii="宋体" w:hAnsi="宋体" w:eastAsia="宋体" w:cs="宋体"/>
                <w:sz w:val="24"/>
                <w:szCs w:val="24"/>
                <w:highlight w:val="none"/>
                <w:lang w:eastAsia="zh-CN"/>
              </w:rPr>
              <w:t>；</w:t>
            </w:r>
          </w:p>
        </w:tc>
      </w:tr>
      <w:tr w14:paraId="3DCF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restart"/>
            <w:vAlign w:val="center"/>
          </w:tcPr>
          <w:p w14:paraId="382468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w:t>
            </w:r>
          </w:p>
          <w:p w14:paraId="2F21FBA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c>
          <w:tcPr>
            <w:tcW w:w="1639" w:type="dxa"/>
            <w:vAlign w:val="center"/>
          </w:tcPr>
          <w:p w14:paraId="638EAFFF">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tc>
        <w:tc>
          <w:tcPr>
            <w:tcW w:w="6441" w:type="dxa"/>
            <w:vAlign w:val="center"/>
          </w:tcPr>
          <w:p w14:paraId="2F08B65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w:t>
            </w:r>
            <w:r>
              <w:rPr>
                <w:rFonts w:hint="eastAsia" w:ascii="宋体" w:hAnsi="宋体" w:eastAsia="宋体" w:cs="宋体"/>
                <w:color w:val="auto"/>
                <w:sz w:val="24"/>
                <w:szCs w:val="24"/>
                <w:highlight w:val="none"/>
                <w:lang w:val="en-US" w:eastAsia="zh-CN"/>
              </w:rPr>
              <w:t>1日</w:t>
            </w:r>
            <w:r>
              <w:rPr>
                <w:rFonts w:hint="eastAsia" w:ascii="宋体" w:hAnsi="宋体" w:eastAsia="宋体" w:cs="宋体"/>
                <w:color w:val="auto"/>
                <w:sz w:val="24"/>
                <w:szCs w:val="24"/>
                <w:highlight w:val="none"/>
              </w:rPr>
              <w:t>以来承接过类似项目的，每个得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分（提供合同协议，以合同签订日期为准）。</w:t>
            </w:r>
          </w:p>
        </w:tc>
      </w:tr>
      <w:tr w14:paraId="5064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continue"/>
            <w:vAlign w:val="center"/>
          </w:tcPr>
          <w:p w14:paraId="3B94D4E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639" w:type="dxa"/>
            <w:vAlign w:val="center"/>
          </w:tcPr>
          <w:p w14:paraId="4ABB61E5">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default"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优惠承诺承诺</w:t>
            </w:r>
          </w:p>
          <w:p w14:paraId="06F7C6A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rPr>
            </w:pPr>
            <w:r>
              <w:rPr>
                <w:rFonts w:hint="eastAsia" w:ascii="宋体" w:hAnsi="宋体" w:eastAsia="宋体" w:cs="宋体"/>
                <w:snapToGrid w:val="0"/>
                <w:kern w:val="2"/>
                <w:sz w:val="24"/>
                <w:szCs w:val="24"/>
                <w:highlight w:val="none"/>
                <w:lang w:val="en-US" w:eastAsia="zh-CN"/>
              </w:rPr>
              <w:t>(0-4分)</w:t>
            </w:r>
          </w:p>
        </w:tc>
        <w:tc>
          <w:tcPr>
            <w:tcW w:w="6441" w:type="dxa"/>
            <w:vAlign w:val="center"/>
          </w:tcPr>
          <w:p w14:paraId="47B3FED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磋商小组根据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172551A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优惠服务承诺</w:t>
            </w:r>
            <w:r>
              <w:rPr>
                <w:rFonts w:hint="eastAsia" w:ascii="宋体" w:hAnsi="宋体" w:eastAsia="宋体" w:cs="宋体"/>
                <w:sz w:val="24"/>
                <w:szCs w:val="24"/>
                <w:highlight w:val="none"/>
              </w:rPr>
              <w:t>便于实施、科学、合理、可行</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B0EE38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优惠服务承诺</w:t>
            </w:r>
            <w:r>
              <w:rPr>
                <w:rFonts w:hint="eastAsia" w:ascii="宋体" w:hAnsi="宋体" w:eastAsia="宋体" w:cs="宋体"/>
                <w:sz w:val="24"/>
                <w:szCs w:val="24"/>
                <w:highlight w:val="none"/>
              </w:rPr>
              <w:t>合理性一般，不便于实施，完善程度一般，不够详尽的，得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17C4CF75">
            <w:pPr>
              <w:pStyle w:val="44"/>
              <w:keepNext w:val="0"/>
              <w:keepLines w:val="0"/>
              <w:pageBreakBefore w:val="0"/>
              <w:widowControl/>
              <w:kinsoku w:val="0"/>
              <w:wordWrap/>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3C7EA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continue"/>
            <w:vAlign w:val="center"/>
          </w:tcPr>
          <w:p w14:paraId="49DA1F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639" w:type="dxa"/>
            <w:vAlign w:val="center"/>
          </w:tcPr>
          <w:p w14:paraId="6E5F3743">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分）</w:t>
            </w:r>
          </w:p>
        </w:tc>
        <w:tc>
          <w:tcPr>
            <w:tcW w:w="6441" w:type="dxa"/>
            <w:vAlign w:val="center"/>
          </w:tcPr>
          <w:p w14:paraId="7617C4C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1.有优惠条件，有完善的售后服务计划、稳定的售后服务队伍、良好的服务信誉，服务热线、详细的人员培训计划</w:t>
            </w:r>
            <w:r>
              <w:rPr>
                <w:rFonts w:hint="eastAsia" w:ascii="宋体" w:hAnsi="宋体" w:eastAsia="宋体" w:cs="宋体"/>
                <w:color w:val="auto"/>
                <w:sz w:val="24"/>
                <w:szCs w:val="24"/>
                <w:highlight w:val="none"/>
                <w:lang w:eastAsia="zh-CN"/>
              </w:rPr>
              <w:t>。</w:t>
            </w:r>
          </w:p>
          <w:p w14:paraId="70C6AF5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2.质保期内，出现任何问题，无条件负责等承诺情况；</w:t>
            </w:r>
          </w:p>
          <w:p w14:paraId="3A5A236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3.供应商应书面对本次对投标产品的性能、货源组织安排进行详细描述，发放到指定地点，配备相应技术人员和服务团队，为采购人免费提供技术培训、指导等承诺；</w:t>
            </w:r>
          </w:p>
          <w:p w14:paraId="60C56F9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4.后期指导服务方案。</w:t>
            </w:r>
          </w:p>
          <w:p w14:paraId="510E163B">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第一档：服务方案、措施及承诺特别全面、合理、可行、可实施性强，有详细的产品退换货方案及措施，能较好的满足本项目要求的得</w:t>
            </w:r>
            <w:r>
              <w:rPr>
                <w:rFonts w:hint="eastAsia" w:ascii="宋体" w:hAnsi="宋体" w:eastAsia="宋体" w:cs="宋体"/>
                <w:color w:val="auto"/>
                <w:sz w:val="24"/>
                <w:szCs w:val="24"/>
                <w:highlight w:val="none"/>
                <w:lang w:val="en-US" w:eastAsia="zh-CN"/>
              </w:rPr>
              <w:t>7-10</w:t>
            </w:r>
            <w:r>
              <w:rPr>
                <w:rFonts w:hint="eastAsia" w:ascii="宋体" w:hAnsi="宋体" w:eastAsia="宋体" w:cs="宋体"/>
                <w:color w:val="auto"/>
                <w:sz w:val="24"/>
                <w:szCs w:val="24"/>
                <w:highlight w:val="none"/>
              </w:rPr>
              <w:t>分；</w:t>
            </w:r>
          </w:p>
          <w:p w14:paraId="00154348">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第二档：服务方案各方面安排较合理，产品退换货方案及措施简单、可实践实施的得</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分；</w:t>
            </w:r>
          </w:p>
          <w:p w14:paraId="5D11C7BF">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第三档：服务方案各方面安排较差、均为通用性的说明，产品退换货方案及措施不具有实践实施性的得</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p w14:paraId="1C3A2E28">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第四档：有服务方案，但内容与本项目实际不符，无操作性的得</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分；</w:t>
            </w:r>
          </w:p>
          <w:p w14:paraId="74EE3E7B">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第五档：完全不满足不得分。</w:t>
            </w:r>
          </w:p>
        </w:tc>
      </w:tr>
      <w:tr w14:paraId="5AD9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356" w:type="dxa"/>
            <w:gridSpan w:val="3"/>
            <w:vAlign w:val="center"/>
          </w:tcPr>
          <w:p w14:paraId="15231F1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备注：1、评标打分部分：评标打分部分仍按照100分制原则进行，涉及到资格审查、企业荣誉、人员业绩、企业业绩等计分部分时，以投标单位自行上传到投标文件中的相应内容为准。</w:t>
            </w:r>
          </w:p>
          <w:p w14:paraId="2307CC0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2、投标文件编制部分：在招标文件中要求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投标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00F53A9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3、磋商文件中涉及到资格审查、企业荣誉、人员业绩、企业业绩等计分部分，以投标单位自行上传到投标文件中的相应内容为准.</w:t>
            </w:r>
          </w:p>
          <w:p w14:paraId="14B8A61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p w14:paraId="1C5FEF1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供应商综合得分等于投标报价、技术部分、综合部分的汇总得分。</w:t>
            </w:r>
          </w:p>
          <w:p w14:paraId="73127F49">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磋商小组对各供应商的得分进行汇总，计算过程中磋商小组个人分值按四舍五入保留三位小数，最终结果按四舍五入保留两位小数。以各磋商小组打分的算术平均值作为该供应商的最终得分</w:t>
            </w:r>
          </w:p>
        </w:tc>
      </w:tr>
    </w:tbl>
    <w:p w14:paraId="74DA70C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vanish/>
          <w:color w:val="auto"/>
          <w:sz w:val="24"/>
          <w:szCs w:val="24"/>
          <w:highlight w:val="none"/>
        </w:rPr>
      </w:pPr>
    </w:p>
    <w:p w14:paraId="232C98F9">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b/>
          <w:snapToGrid w:val="0"/>
          <w:color w:val="000000"/>
          <w:sz w:val="24"/>
          <w:szCs w:val="24"/>
          <w:highlight w:val="none"/>
          <w:lang w:val="en-US" w:eastAsia="zh-CN"/>
        </w:rPr>
      </w:pPr>
      <w:r>
        <w:rPr>
          <w:rFonts w:hint="eastAsia" w:ascii="宋体" w:hAnsi="宋体" w:eastAsia="宋体" w:cs="宋体"/>
          <w:b/>
          <w:snapToGrid w:val="0"/>
          <w:color w:val="000000"/>
          <w:sz w:val="24"/>
          <w:szCs w:val="24"/>
          <w:highlight w:val="none"/>
          <w:lang w:val="en-US" w:eastAsia="zh-CN"/>
        </w:rPr>
        <w:t>二标段</w:t>
      </w:r>
    </w:p>
    <w:tbl>
      <w:tblPr>
        <w:tblStyle w:val="28"/>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887"/>
        <w:gridCol w:w="6092"/>
      </w:tblGrid>
      <w:tr w14:paraId="2CBB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260" w:type="dxa"/>
            <w:vAlign w:val="center"/>
          </w:tcPr>
          <w:p w14:paraId="0AD24135">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887" w:type="dxa"/>
            <w:vAlign w:val="center"/>
          </w:tcPr>
          <w:p w14:paraId="430106B1">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6092" w:type="dxa"/>
            <w:vAlign w:val="center"/>
          </w:tcPr>
          <w:p w14:paraId="009B0556">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397B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260" w:type="dxa"/>
            <w:vAlign w:val="center"/>
          </w:tcPr>
          <w:p w14:paraId="3E6F7B3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价格部分</w:t>
            </w:r>
            <w:r>
              <w:rPr>
                <w:rFonts w:hint="eastAsia" w:ascii="宋体" w:hAnsi="宋体" w:eastAsia="宋体" w:cs="宋体"/>
                <w:b w:val="0"/>
                <w:bCs w:val="0"/>
                <w:snapToGrid w:val="0"/>
                <w:sz w:val="24"/>
                <w:szCs w:val="24"/>
                <w:highlight w:val="none"/>
                <w:lang w:val="en-US" w:eastAsia="zh-CN"/>
              </w:rPr>
              <w:t>20</w:t>
            </w:r>
            <w:r>
              <w:rPr>
                <w:rFonts w:hint="eastAsia" w:ascii="宋体" w:hAnsi="宋体" w:eastAsia="宋体" w:cs="宋体"/>
                <w:b w:val="0"/>
                <w:bCs w:val="0"/>
                <w:snapToGrid w:val="0"/>
                <w:sz w:val="24"/>
                <w:szCs w:val="24"/>
                <w:highlight w:val="none"/>
              </w:rPr>
              <w:t>分</w:t>
            </w:r>
          </w:p>
        </w:tc>
        <w:tc>
          <w:tcPr>
            <w:tcW w:w="1887" w:type="dxa"/>
            <w:vAlign w:val="center"/>
          </w:tcPr>
          <w:p w14:paraId="537070C9">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投标报价</w:t>
            </w:r>
          </w:p>
        </w:tc>
        <w:tc>
          <w:tcPr>
            <w:tcW w:w="6092" w:type="dxa"/>
            <w:vAlign w:val="top"/>
          </w:tcPr>
          <w:p w14:paraId="5270BDF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1、价格分采用低价优先法计算，即满足招标文件通过资格性和形式性审查且投标价格最低的投标报价为评标基准价，其价格得分为满分20分。</w:t>
            </w:r>
          </w:p>
          <w:p w14:paraId="24406441">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4DF95B3D">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default"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投标报价得分=(评标基准价／投标报价)×20</w:t>
            </w:r>
          </w:p>
          <w:p w14:paraId="0C70DD57">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04991D93">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所投小微企业产品报价=所投小微企业产品报价×（1-20%）</w:t>
            </w:r>
          </w:p>
          <w:p w14:paraId="14722B00">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132296CE">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5DBF508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6F0BEDC3">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569B5FB5">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7CBA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restart"/>
            <w:vAlign w:val="center"/>
          </w:tcPr>
          <w:p w14:paraId="0F72D3E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技术部分（0-60分）</w:t>
            </w:r>
          </w:p>
        </w:tc>
        <w:tc>
          <w:tcPr>
            <w:tcW w:w="1887" w:type="dxa"/>
            <w:vAlign w:val="center"/>
          </w:tcPr>
          <w:p w14:paraId="23730151">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技术参数</w:t>
            </w:r>
          </w:p>
          <w:p w14:paraId="0769F045">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（10分）</w:t>
            </w:r>
          </w:p>
        </w:tc>
        <w:tc>
          <w:tcPr>
            <w:tcW w:w="6092" w:type="dxa"/>
            <w:vAlign w:val="center"/>
          </w:tcPr>
          <w:p w14:paraId="4724E850">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供应商投标产品满足技术参数要求，得满分10分，有一项不满足招标文件要求的扣3分，扣完为止。</w:t>
            </w:r>
          </w:p>
        </w:tc>
      </w:tr>
      <w:tr w14:paraId="51F1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15C0CF6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3F97F25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服务方案（0-10分）</w:t>
            </w:r>
          </w:p>
        </w:tc>
        <w:tc>
          <w:tcPr>
            <w:tcW w:w="6092" w:type="dxa"/>
            <w:vAlign w:val="center"/>
          </w:tcPr>
          <w:p w14:paraId="1C889148">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服务方案针对本项目的特点，考虑周全、措施到位、条理清晰、思路明确、表述准确，方案技术含量高。</w:t>
            </w:r>
          </w:p>
          <w:p w14:paraId="5A1D841B">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服务方案全面、详尽、合理、有保障、完全满足项目要求的，得7-10分；方案不全面、或者不详尽的，得3-7分；方案不合理或者技术质量无保障的，得3分；缺项的不得分。</w:t>
            </w:r>
          </w:p>
        </w:tc>
      </w:tr>
      <w:tr w14:paraId="3E1E1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6596F6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5CEF3CB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质量保障措施</w:t>
            </w:r>
            <w:r>
              <w:rPr>
                <w:rFonts w:hint="eastAsia" w:ascii="宋体" w:hAnsi="宋体" w:eastAsia="宋体" w:cs="宋体"/>
                <w:color w:val="auto"/>
                <w:sz w:val="24"/>
                <w:szCs w:val="24"/>
                <w:highlight w:val="none"/>
                <w:lang w:val="en-US" w:eastAsia="zh-CN"/>
              </w:rPr>
              <w:t>（0-10分）</w:t>
            </w:r>
          </w:p>
        </w:tc>
        <w:tc>
          <w:tcPr>
            <w:tcW w:w="6092" w:type="dxa"/>
            <w:vAlign w:val="center"/>
          </w:tcPr>
          <w:p w14:paraId="3D7196A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根据供应商提供的质量保障措施是否科学、合理、可行。</w:t>
            </w:r>
          </w:p>
          <w:p w14:paraId="3BE7D9C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投标人提供的质量保证措施便于实施、具有针对性、完善程度高</w:t>
            </w:r>
            <w:r>
              <w:rPr>
                <w:rFonts w:hint="eastAsia" w:ascii="宋体" w:hAnsi="宋体" w:eastAsia="宋体" w:cs="宋体"/>
                <w:sz w:val="24"/>
                <w:szCs w:val="24"/>
                <w:highlight w:val="none"/>
                <w:lang w:eastAsia="zh-CN"/>
              </w:rPr>
              <w:t>，质量稳定</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43ADD32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投标人提供的质量保证措施合理便于实施、但完善程度一般不够详尽的得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 xml:space="preserve"> 分；</w:t>
            </w:r>
          </w:p>
          <w:p w14:paraId="698ACD4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投标人提供的质量保证措施合理性一般，不便于实施，完善程度一般不够详尽的得3分。</w:t>
            </w:r>
          </w:p>
          <w:p w14:paraId="61DE6A26">
            <w:pPr>
              <w:keepNext w:val="0"/>
              <w:keepLines w:val="0"/>
              <w:pageBreakBefore w:val="0"/>
              <w:widowControl/>
              <w:kinsoku w:val="0"/>
              <w:wordWrap/>
              <w:bidi w:val="0"/>
              <w:adjustRightInd w:val="0"/>
              <w:snapToGrid w:val="0"/>
              <w:spacing w:line="360" w:lineRule="auto"/>
              <w:ind w:left="0" w:leftChars="0" w:right="0" w:rightChars="0"/>
              <w:jc w:val="left"/>
              <w:rPr>
                <w:rFonts w:hint="eastAsia"/>
                <w:highlight w:val="none"/>
              </w:rPr>
            </w:pPr>
            <w:r>
              <w:rPr>
                <w:rFonts w:hint="eastAsia" w:ascii="宋体" w:hAnsi="宋体" w:eastAsia="宋体" w:cs="宋体"/>
                <w:sz w:val="24"/>
                <w:szCs w:val="24"/>
                <w:highlight w:val="none"/>
              </w:rPr>
              <w:t>投标人没有提供上述内容，或提供的不完整有缺项的得0 分</w:t>
            </w:r>
          </w:p>
        </w:tc>
      </w:tr>
      <w:tr w14:paraId="5E9D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1696B97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0C185955">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保证重大病虫害防治率及漏喷率不超出文件要求的措施及方法</w:t>
            </w:r>
            <w:r>
              <w:rPr>
                <w:rFonts w:hint="eastAsia" w:ascii="宋体" w:hAnsi="宋体" w:eastAsia="宋体" w:cs="宋体"/>
                <w:color w:val="auto"/>
                <w:sz w:val="24"/>
                <w:szCs w:val="24"/>
                <w:highlight w:val="none"/>
                <w:lang w:val="en-US" w:eastAsia="zh-CN"/>
              </w:rPr>
              <w:t>（0-10 分）</w:t>
            </w:r>
          </w:p>
        </w:tc>
        <w:tc>
          <w:tcPr>
            <w:tcW w:w="6092" w:type="dxa"/>
            <w:vAlign w:val="center"/>
          </w:tcPr>
          <w:p w14:paraId="491C12DB">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保证重大病虫害防治率及漏喷率不超出文件要求的措施及方法</w:t>
            </w:r>
          </w:p>
          <w:p w14:paraId="0A9C65C5">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服务方案全面、详尽、合理、有保障、完全满足项目要求的，得7-10分；方案不全面、或者不详尽的，得3-7分；方案不合理或者技术质量无保障的，得3分；缺项的不得分。</w:t>
            </w:r>
          </w:p>
        </w:tc>
      </w:tr>
      <w:tr w14:paraId="0B50E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263A638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5062F74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配合项目实施，针对实施过程中注意事项及中毒急救措施方案</w:t>
            </w:r>
            <w:r>
              <w:rPr>
                <w:rFonts w:hint="eastAsia" w:ascii="宋体" w:hAnsi="宋体" w:eastAsia="宋体" w:cs="宋体"/>
                <w:color w:val="auto"/>
                <w:sz w:val="24"/>
                <w:szCs w:val="24"/>
                <w:highlight w:val="none"/>
                <w:lang w:val="en-US" w:eastAsia="zh-CN"/>
              </w:rPr>
              <w:t>（0-10分）</w:t>
            </w:r>
          </w:p>
        </w:tc>
        <w:tc>
          <w:tcPr>
            <w:tcW w:w="6092" w:type="dxa"/>
            <w:vAlign w:val="center"/>
          </w:tcPr>
          <w:p w14:paraId="3D54DD7D">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配合项目实施，针对实施过程中注意事项及中毒急救措施方案</w:t>
            </w:r>
          </w:p>
          <w:p w14:paraId="19CC6784">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服务方案全面、详尽、合理、有保障、完全满足项目要求的得7-10分；方案不全面、或者不详尽的得3-7分；方案不合理或者技术质量无保障的得3分；缺项的不得分。</w:t>
            </w:r>
          </w:p>
        </w:tc>
      </w:tr>
      <w:tr w14:paraId="54AD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0416C3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246E030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因服务质量问题引起纠纷时提供的应急解决方案及赔偿标准</w:t>
            </w:r>
            <w:r>
              <w:rPr>
                <w:rFonts w:hint="eastAsia" w:ascii="宋体" w:hAnsi="宋体" w:eastAsia="宋体" w:cs="宋体"/>
                <w:color w:val="auto"/>
                <w:sz w:val="24"/>
                <w:szCs w:val="24"/>
                <w:highlight w:val="none"/>
                <w:lang w:val="en-US" w:eastAsia="zh-CN"/>
              </w:rPr>
              <w:t>（0-5分）</w:t>
            </w:r>
          </w:p>
        </w:tc>
        <w:tc>
          <w:tcPr>
            <w:tcW w:w="6092" w:type="dxa"/>
            <w:vAlign w:val="center"/>
          </w:tcPr>
          <w:p w14:paraId="5B91F50B">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因服务质量问题引起纠纷时提供的应急解决方案及赔偿标准</w:t>
            </w:r>
          </w:p>
          <w:p w14:paraId="7B7D74C4">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服务方案全面、详尽、合理、有保障、完全满足项目要求的，得5分；方案不全面、或者不详尽的，得3分；方案不合理或者技术质量无保障的，得1分；缺项的不得分。</w:t>
            </w:r>
          </w:p>
        </w:tc>
      </w:tr>
      <w:tr w14:paraId="0DA2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1A618F6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2CB4EB40">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突发应急措施</w:t>
            </w:r>
            <w:r>
              <w:rPr>
                <w:rFonts w:hint="eastAsia" w:ascii="宋体" w:hAnsi="宋体" w:eastAsia="宋体" w:cs="宋体"/>
                <w:color w:val="auto"/>
                <w:sz w:val="24"/>
                <w:szCs w:val="24"/>
                <w:highlight w:val="none"/>
                <w:lang w:val="en-US" w:eastAsia="zh-CN"/>
              </w:rPr>
              <w:t>（0-5分）</w:t>
            </w:r>
          </w:p>
        </w:tc>
        <w:tc>
          <w:tcPr>
            <w:tcW w:w="6092" w:type="dxa"/>
            <w:vAlign w:val="center"/>
          </w:tcPr>
          <w:p w14:paraId="4D1F7603">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服务方案中的突发应急措施</w:t>
            </w:r>
          </w:p>
          <w:p w14:paraId="1BF5B6D9">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服务方案全面、详尽、合理、有保障、完全满足项目要求的，得5分；方案不全面、或者不详尽的，得3分；方案不合理或者技术质量无保障的得1分；缺项的不得分。</w:t>
            </w:r>
          </w:p>
        </w:tc>
      </w:tr>
      <w:tr w14:paraId="7AC10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60" w:type="dxa"/>
            <w:vMerge w:val="restart"/>
            <w:vAlign w:val="center"/>
          </w:tcPr>
          <w:p w14:paraId="77AF78D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w:t>
            </w:r>
          </w:p>
          <w:p w14:paraId="6C45037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c>
          <w:tcPr>
            <w:tcW w:w="1887" w:type="dxa"/>
            <w:vAlign w:val="center"/>
          </w:tcPr>
          <w:p w14:paraId="4967D021">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tc>
        <w:tc>
          <w:tcPr>
            <w:tcW w:w="6092" w:type="dxa"/>
            <w:vAlign w:val="center"/>
          </w:tcPr>
          <w:p w14:paraId="0214962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w:t>
            </w:r>
            <w:r>
              <w:rPr>
                <w:rFonts w:hint="eastAsia" w:ascii="宋体" w:hAnsi="宋体" w:eastAsia="宋体" w:cs="宋体"/>
                <w:color w:val="auto"/>
                <w:sz w:val="24"/>
                <w:szCs w:val="24"/>
                <w:highlight w:val="none"/>
                <w:lang w:val="en-US" w:eastAsia="zh-CN"/>
              </w:rPr>
              <w:t>1日</w:t>
            </w:r>
            <w:r>
              <w:rPr>
                <w:rFonts w:hint="eastAsia" w:ascii="宋体" w:hAnsi="宋体" w:eastAsia="宋体" w:cs="宋体"/>
                <w:color w:val="auto"/>
                <w:sz w:val="24"/>
                <w:szCs w:val="24"/>
                <w:highlight w:val="none"/>
              </w:rPr>
              <w:t>以来承接过类似项目的，每个得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分（提供合同协议，以合同签订日期为准）。</w:t>
            </w:r>
          </w:p>
        </w:tc>
      </w:tr>
      <w:tr w14:paraId="104E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60" w:type="dxa"/>
            <w:vMerge w:val="continue"/>
            <w:vAlign w:val="center"/>
          </w:tcPr>
          <w:p w14:paraId="0ECEFA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887" w:type="dxa"/>
            <w:vAlign w:val="center"/>
          </w:tcPr>
          <w:p w14:paraId="4D5A2521">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000000" w:themeColor="text1"/>
                <w:kern w:val="2"/>
                <w:sz w:val="21"/>
                <w:szCs w:val="21"/>
                <w:highlight w:val="none"/>
              </w:rPr>
            </w:pPr>
            <w:r>
              <w:rPr>
                <w:rFonts w:hint="eastAsia" w:ascii="宋体" w:hAnsi="宋体" w:eastAsia="宋体" w:cs="宋体"/>
                <w:color w:val="auto"/>
                <w:kern w:val="2"/>
                <w:sz w:val="24"/>
                <w:szCs w:val="24"/>
                <w:highlight w:val="none"/>
                <w:lang w:val="en-US" w:eastAsia="zh-CN" w:bidi="ar-SA"/>
              </w:rPr>
              <w:t>资源配置（5分）</w:t>
            </w:r>
          </w:p>
        </w:tc>
        <w:tc>
          <w:tcPr>
            <w:tcW w:w="6092" w:type="dxa"/>
            <w:vAlign w:val="center"/>
          </w:tcPr>
          <w:p w14:paraId="69F4E39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可投入使用的无人机每日作业能力应不低于4000亩得2分。（需提供植保无人机等飞行器相关作业能力证明，作业能力按照合格证或说明书提供的数据作为标准，合格证或说明书未做说明的需提供其他作业能力证明或承诺书。</w:t>
            </w:r>
          </w:p>
          <w:p w14:paraId="30A3767A">
            <w:pPr>
              <w:keepNext w:val="0"/>
              <w:keepLines w:val="0"/>
              <w:pageBreakBefore w:val="0"/>
              <w:widowControl/>
              <w:kinsoku w:val="0"/>
              <w:wordWrap/>
              <w:bidi w:val="0"/>
              <w:adjustRightInd w:val="0"/>
              <w:snapToGrid w:val="0"/>
              <w:spacing w:line="360" w:lineRule="auto"/>
              <w:ind w:left="0" w:leftChars="0" w:right="0" w:rightChars="0"/>
              <w:rPr>
                <w:rFonts w:hint="default" w:ascii="宋体" w:hAnsi="宋体" w:cs="宋体"/>
                <w:color w:val="000000" w:themeColor="text1"/>
                <w:kern w:val="2"/>
                <w:sz w:val="21"/>
                <w:szCs w:val="21"/>
                <w:highlight w:val="none"/>
                <w:lang w:val="en-US" w:eastAsia="zh-CN"/>
              </w:rPr>
            </w:pPr>
            <w:r>
              <w:rPr>
                <w:rFonts w:hint="eastAsia" w:ascii="宋体" w:hAnsi="宋体" w:eastAsia="宋体" w:cs="宋体"/>
                <w:color w:val="auto"/>
                <w:kern w:val="2"/>
                <w:sz w:val="24"/>
                <w:szCs w:val="24"/>
                <w:highlight w:val="none"/>
                <w:lang w:val="en-US" w:eastAsia="zh-CN" w:bidi="ar-SA"/>
              </w:rPr>
              <w:t>2、①自有无人机需提供购机发票；②生产企业需提供入库单，无人机检测报告；③是租赁的，需提供相关租赁合同④无人机对应操作人员需提供培训合格证（操作员或教员证）。3分，资料不全不得分。</w:t>
            </w:r>
          </w:p>
        </w:tc>
      </w:tr>
      <w:tr w14:paraId="5E4F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60" w:type="dxa"/>
            <w:vMerge w:val="continue"/>
            <w:vAlign w:val="center"/>
          </w:tcPr>
          <w:p w14:paraId="15855E3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887" w:type="dxa"/>
            <w:vAlign w:val="top"/>
          </w:tcPr>
          <w:p w14:paraId="0ABAB0F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售后服务承诺（</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分）</w:t>
            </w:r>
          </w:p>
        </w:tc>
        <w:tc>
          <w:tcPr>
            <w:tcW w:w="6092" w:type="dxa"/>
            <w:vAlign w:val="top"/>
          </w:tcPr>
          <w:p w14:paraId="108F2F9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提供的售后服务方案及承诺，人员配备、保障措施、应急措施等，方案详尽、完整、合理、可行得</w:t>
            </w:r>
            <w:r>
              <w:rPr>
                <w:rFonts w:hint="eastAsia" w:ascii="宋体" w:hAnsi="宋体" w:eastAsia="宋体" w:cs="宋体"/>
                <w:sz w:val="24"/>
                <w:szCs w:val="24"/>
                <w:highlight w:val="none"/>
                <w:lang w:val="en-US" w:eastAsia="zh-CN"/>
              </w:rPr>
              <w:t>6-9</w:t>
            </w:r>
            <w:r>
              <w:rPr>
                <w:rFonts w:hint="eastAsia" w:ascii="宋体" w:hAnsi="宋体" w:eastAsia="宋体" w:cs="宋体"/>
                <w:sz w:val="24"/>
                <w:szCs w:val="24"/>
                <w:highlight w:val="none"/>
              </w:rPr>
              <w:t>分。</w:t>
            </w:r>
          </w:p>
          <w:p w14:paraId="1DC3EF8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提供的售后服务方案及承诺，人员配备、保障措施、应急措施等，方案简单、基本完整、合理、可行得</w:t>
            </w:r>
            <w:r>
              <w:rPr>
                <w:rFonts w:hint="eastAsia" w:ascii="宋体" w:hAnsi="宋体" w:eastAsia="宋体" w:cs="宋体"/>
                <w:sz w:val="24"/>
                <w:szCs w:val="24"/>
                <w:highlight w:val="none"/>
                <w:lang w:val="en-US" w:eastAsia="zh-CN"/>
              </w:rPr>
              <w:t>3-6</w:t>
            </w:r>
            <w:r>
              <w:rPr>
                <w:rFonts w:hint="eastAsia" w:ascii="宋体" w:hAnsi="宋体" w:eastAsia="宋体" w:cs="宋体"/>
                <w:sz w:val="24"/>
                <w:szCs w:val="24"/>
                <w:highlight w:val="none"/>
              </w:rPr>
              <w:t>分。</w:t>
            </w:r>
          </w:p>
          <w:p w14:paraId="1520542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提供的售后服务方案及承诺，人员配备、保障措施、应急措施等，方案差、合理、可行得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70DAF70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提供的售后服务方案及承诺，人员配备、保障措施、应急措施等，方案差、不合理、不可行得0分。</w:t>
            </w:r>
          </w:p>
        </w:tc>
      </w:tr>
      <w:tr w14:paraId="518F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239" w:type="dxa"/>
            <w:gridSpan w:val="3"/>
            <w:vAlign w:val="center"/>
          </w:tcPr>
          <w:p w14:paraId="1969CBF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备注：1、评标打分部分：评标打分部分仍按照100分制原则进行，涉及到资格审查、企业荣誉、人员业绩、企业业绩等计分部分时，以投标单位自行上传到投标文件中的相应内容为准。</w:t>
            </w:r>
          </w:p>
          <w:p w14:paraId="4128695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2、投标文件编制部分：在招标文件中要求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投标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231C18D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3、磋商文件中涉及到资格审查、企业荣誉、人员业绩、企业业绩等计分部分，以投标单位自行上传到投标文件中的相应内容为准.</w:t>
            </w:r>
          </w:p>
          <w:p w14:paraId="591EC5B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p w14:paraId="02830B7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供应商综合得分等于投标报价、技术部分、综合部分的汇总得分。</w:t>
            </w:r>
          </w:p>
          <w:p w14:paraId="771F5227">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磋商小组对各供应商的得分进行汇总，计算过程中磋商小组个人分值按四舍五入保留三位小数，最终结果按四舍五入保留两位小数。以各磋商小组打分的算术平均值作为该供应商的最终得分</w:t>
            </w:r>
          </w:p>
        </w:tc>
      </w:tr>
    </w:tbl>
    <w:p w14:paraId="42EE498A">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b/>
          <w:snapToGrid w:val="0"/>
          <w:color w:val="000000"/>
          <w:sz w:val="24"/>
          <w:szCs w:val="24"/>
          <w:highlight w:val="none"/>
        </w:rPr>
      </w:pPr>
    </w:p>
    <w:p w14:paraId="7E881387">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 磋商文件的评审、比较和否决</w:t>
      </w:r>
    </w:p>
    <w:p w14:paraId="021ADCD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1.1</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将按照竞争性磋商文件的规定，仅对在实质上响应竞争性磋商文件要求的磋商文件进行评估和比较。</w:t>
      </w:r>
    </w:p>
    <w:p w14:paraId="7FE09562">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1.2</w:t>
      </w:r>
      <w:r>
        <w:rPr>
          <w:rFonts w:hint="eastAsia" w:ascii="宋体" w:hAnsi="宋体" w:eastAsia="宋体" w:cs="宋体"/>
          <w:snapToGrid w:val="0"/>
          <w:color w:val="000000"/>
          <w:sz w:val="24"/>
          <w:szCs w:val="24"/>
          <w:highlight w:val="none"/>
        </w:rPr>
        <w:t>根据相关法律法规及有关磋商文件规定，结合本项目具体情况，制定本次采购评标办法。并按照“公平、公正、科学、择优”的原则进行评标。采用百分制综合评估法进行评比。</w:t>
      </w:r>
    </w:p>
    <w:p w14:paraId="369F395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1.3</w:t>
      </w:r>
      <w:r>
        <w:rPr>
          <w:rFonts w:hint="eastAsia" w:ascii="宋体" w:hAnsi="宋体" w:eastAsia="宋体" w:cs="宋体"/>
          <w:snapToGrid w:val="0"/>
          <w:color w:val="000000"/>
          <w:sz w:val="24"/>
          <w:szCs w:val="24"/>
          <w:highlight w:val="none"/>
        </w:rPr>
        <w:t>在评审过程中，</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可以以书面形式要求磋商供应商就磋商文件中含义不明确的内容进行书面说明并提供相关材料；</w:t>
      </w:r>
      <w:r>
        <w:rPr>
          <w:rFonts w:hint="eastAsia" w:ascii="宋体" w:hAnsi="宋体" w:eastAsia="宋体" w:cs="宋体"/>
          <w:snapToGrid w:val="0"/>
          <w:color w:val="000000"/>
          <w:spacing w:val="-12"/>
          <w:sz w:val="24"/>
          <w:szCs w:val="24"/>
          <w:highlight w:val="none"/>
        </w:rPr>
        <w:t>凡遇到竞争性磋商文件中无界定或界定不清、前后不一致使评委会成员</w:t>
      </w:r>
      <w:r>
        <w:rPr>
          <w:rFonts w:hint="eastAsia" w:ascii="宋体" w:hAnsi="宋体" w:eastAsia="宋体" w:cs="宋体"/>
          <w:snapToGrid w:val="0"/>
          <w:color w:val="000000"/>
          <w:sz w:val="24"/>
          <w:szCs w:val="24"/>
          <w:highlight w:val="none"/>
        </w:rPr>
        <w:t>意见</w:t>
      </w:r>
      <w:r>
        <w:rPr>
          <w:rFonts w:hint="eastAsia" w:ascii="宋体" w:hAnsi="宋体" w:eastAsia="宋体" w:cs="宋体"/>
          <w:snapToGrid w:val="0"/>
          <w:color w:val="000000"/>
          <w:spacing w:val="-12"/>
          <w:sz w:val="24"/>
          <w:szCs w:val="24"/>
          <w:highlight w:val="none"/>
        </w:rPr>
        <w:t>有分歧且又难于协商一致的问题，均由评委会予以表决，获半数以上同意的即为通过，未获半数同意的即为否决</w:t>
      </w:r>
      <w:r>
        <w:rPr>
          <w:rFonts w:hint="eastAsia" w:ascii="宋体" w:hAnsi="宋体" w:eastAsia="宋体" w:cs="宋体"/>
          <w:snapToGrid w:val="0"/>
          <w:color w:val="000000"/>
          <w:sz w:val="24"/>
          <w:szCs w:val="24"/>
          <w:highlight w:val="none"/>
        </w:rPr>
        <w:t>。</w:t>
      </w:r>
    </w:p>
    <w:p w14:paraId="2031BE2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1.4</w:t>
      </w:r>
      <w:r>
        <w:rPr>
          <w:rFonts w:hint="eastAsia" w:ascii="宋体" w:hAnsi="宋体" w:eastAsia="宋体" w:cs="宋体"/>
          <w:snapToGrid w:val="0"/>
          <w:color w:val="000000"/>
          <w:sz w:val="24"/>
          <w:szCs w:val="24"/>
          <w:highlight w:val="none"/>
        </w:rPr>
        <w:t>评标时，磋商报价是评标的重要依据，但不是唯一依据，采购人不承诺将合同授予报价最低或最高的磋商供应商。</w:t>
      </w:r>
    </w:p>
    <w:p w14:paraId="174A5810">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1.5</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依据竞争性磋商文件中规定的评标标准和方法，对磋商文件进行评审和比较，向采购人提出书面评标报告，并推荐合格的中标候选人。采购人根据</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提出的书面评标报告和推荐的中标候选人按序确定中标人。</w:t>
      </w:r>
    </w:p>
    <w:p w14:paraId="6C69191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snapToGrid w:val="0"/>
          <w:color w:val="000000"/>
          <w:sz w:val="24"/>
          <w:szCs w:val="24"/>
          <w:highlight w:val="none"/>
        </w:rPr>
      </w:pPr>
      <w:bookmarkStart w:id="42" w:name="_Toc4591"/>
      <w:r>
        <w:rPr>
          <w:rFonts w:hint="eastAsia" w:ascii="宋体" w:hAnsi="宋体" w:eastAsia="宋体" w:cs="宋体"/>
          <w:b/>
          <w:snapToGrid w:val="0"/>
          <w:color w:val="000000"/>
          <w:sz w:val="24"/>
          <w:szCs w:val="24"/>
          <w:highlight w:val="none"/>
        </w:rPr>
        <w:t>2. 评审程序</w:t>
      </w:r>
      <w:bookmarkEnd w:id="42"/>
    </w:p>
    <w:p w14:paraId="0D8D770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2.1 资格审查</w:t>
      </w:r>
    </w:p>
    <w:p w14:paraId="68C8FB5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本项目采用资格后审</w:t>
      </w:r>
    </w:p>
    <w:p w14:paraId="219A91B9">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按照竞争性磋商文件供应商资格要求，对磋商供应商的磋商文件进行初步评审，有一项不符合的，视为未通过初步审查，按废标处理，符合的进入下一评标程序。</w:t>
      </w:r>
    </w:p>
    <w:p w14:paraId="3DB24F1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72" w:firstLineChars="196"/>
        <w:outlineLvl w:val="1"/>
        <w:rPr>
          <w:rFonts w:hint="eastAsia" w:ascii="宋体" w:hAnsi="宋体" w:eastAsia="宋体" w:cs="宋体"/>
          <w:b/>
          <w:snapToGrid w:val="0"/>
          <w:color w:val="000000"/>
          <w:sz w:val="24"/>
          <w:szCs w:val="24"/>
          <w:highlight w:val="none"/>
        </w:rPr>
      </w:pPr>
      <w:bookmarkStart w:id="43" w:name="_Toc3412"/>
      <w:r>
        <w:rPr>
          <w:rFonts w:hint="eastAsia" w:ascii="宋体" w:hAnsi="宋体" w:eastAsia="宋体" w:cs="宋体"/>
          <w:b/>
          <w:snapToGrid w:val="0"/>
          <w:color w:val="000000"/>
          <w:sz w:val="24"/>
          <w:szCs w:val="24"/>
          <w:highlight w:val="none"/>
        </w:rPr>
        <w:t>3.评标具体方法和标准</w:t>
      </w:r>
      <w:bookmarkEnd w:id="43"/>
    </w:p>
    <w:p w14:paraId="0EED3D44">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根据评标原则和办法对所有磋商文件进行集中审核，分别评价。</w:t>
      </w:r>
    </w:p>
    <w:p w14:paraId="2180E8BE">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投标报价有算术错误的，磋商小组按以下原则对投标报价进行修正，修正的价格经供应商书面确认后具有约束力。供应商不接受修正价格的，其投标作废标处理。</w:t>
      </w:r>
    </w:p>
    <w:p w14:paraId="4EDC428A">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中的大写金额与小写金额不一致的，以大写金额为准；</w:t>
      </w:r>
    </w:p>
    <w:p w14:paraId="53D6B23B">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b w:val="0"/>
          <w:bCs w:val="0"/>
          <w:color w:val="000000"/>
          <w:sz w:val="24"/>
          <w:szCs w:val="24"/>
          <w:highlight w:val="none"/>
        </w:rPr>
      </w:pPr>
      <w:r>
        <w:rPr>
          <w:rFonts w:hint="eastAsia" w:ascii="宋体" w:hAnsi="宋体" w:eastAsia="宋体" w:cs="宋体"/>
          <w:color w:val="000000"/>
          <w:sz w:val="24"/>
          <w:szCs w:val="24"/>
          <w:highlight w:val="none"/>
        </w:rPr>
        <w:t>(2）总价金额与依据单价计算</w:t>
      </w:r>
      <w:r>
        <w:rPr>
          <w:rFonts w:hint="eastAsia" w:ascii="宋体" w:hAnsi="宋体" w:eastAsia="宋体" w:cs="宋体"/>
          <w:b w:val="0"/>
          <w:bCs w:val="0"/>
          <w:color w:val="000000"/>
          <w:sz w:val="24"/>
          <w:szCs w:val="24"/>
          <w:highlight w:val="none"/>
        </w:rPr>
        <w:t>出的结果不一致的，以单价金额为准修正总价，但单价金额小数点有明显错误的除外。</w:t>
      </w:r>
    </w:p>
    <w:p w14:paraId="04C1E580">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snapToGrid w:val="0"/>
          <w:color w:val="000000"/>
          <w:sz w:val="24"/>
          <w:szCs w:val="24"/>
          <w:highlight w:val="none"/>
          <w:lang w:val="en-US" w:eastAsia="zh-CN"/>
        </w:rPr>
        <w:t>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w:t>
      </w:r>
      <w:r>
        <w:rPr>
          <w:rFonts w:hint="eastAsia" w:ascii="宋体" w:hAnsi="宋体" w:eastAsia="宋体" w:cs="宋体"/>
          <w:b w:val="0"/>
          <w:bCs w:val="0"/>
          <w:snapToGrid w:val="0"/>
          <w:color w:val="000000"/>
          <w:sz w:val="24"/>
          <w:szCs w:val="24"/>
          <w:highlight w:val="none"/>
          <w:lang w:eastAsia="zh-CN"/>
        </w:rPr>
        <w:t>供应商</w:t>
      </w:r>
      <w:r>
        <w:rPr>
          <w:rFonts w:hint="eastAsia" w:ascii="宋体" w:hAnsi="宋体" w:eastAsia="宋体" w:cs="宋体"/>
          <w:b w:val="0"/>
          <w:bCs w:val="0"/>
          <w:snapToGrid w:val="0"/>
          <w:color w:val="000000"/>
          <w:sz w:val="24"/>
          <w:szCs w:val="24"/>
          <w:highlight w:val="none"/>
        </w:rPr>
        <w:t>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w:t>
      </w:r>
      <w:r>
        <w:rPr>
          <w:rFonts w:hint="eastAsia" w:ascii="宋体" w:hAnsi="宋体" w:eastAsia="宋体" w:cs="宋体"/>
          <w:b w:val="0"/>
          <w:bCs w:val="0"/>
          <w:snapToGrid w:val="0"/>
          <w:color w:val="000000"/>
          <w:sz w:val="24"/>
          <w:szCs w:val="24"/>
          <w:highlight w:val="none"/>
          <w:lang w:eastAsia="zh-CN"/>
        </w:rPr>
        <w:t>供应商</w:t>
      </w:r>
      <w:r>
        <w:rPr>
          <w:rFonts w:hint="eastAsia" w:ascii="宋体" w:hAnsi="宋体" w:eastAsia="宋体" w:cs="宋体"/>
          <w:b w:val="0"/>
          <w:bCs w:val="0"/>
          <w:snapToGrid w:val="0"/>
          <w:color w:val="000000"/>
          <w:sz w:val="24"/>
          <w:szCs w:val="24"/>
          <w:highlight w:val="none"/>
        </w:rPr>
        <w:t>作出书面澄清、说明或补正，不予以否决投标。</w:t>
      </w:r>
    </w:p>
    <w:p w14:paraId="60F7EC2E">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对通过初步评审的磋商文件，磋商小组按本规定的量化因素和分值进行打分，并计算出综合评估得分。每个供应商最终得分为各评委打分的算术平均值。</w:t>
      </w:r>
    </w:p>
    <w:p w14:paraId="311181B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Cs/>
          <w:snapToGrid w:val="0"/>
          <w:color w:val="000000"/>
          <w:sz w:val="24"/>
          <w:szCs w:val="24"/>
          <w:highlight w:val="none"/>
        </w:rPr>
      </w:pPr>
      <w:r>
        <w:rPr>
          <w:rFonts w:hint="eastAsia" w:ascii="宋体" w:hAnsi="宋体" w:eastAsia="宋体" w:cs="宋体"/>
          <w:b/>
          <w:snapToGrid w:val="0"/>
          <w:color w:val="000000"/>
          <w:sz w:val="24"/>
          <w:szCs w:val="24"/>
          <w:highlight w:val="none"/>
          <w:lang w:val="en-US" w:eastAsia="zh-CN"/>
        </w:rPr>
        <w:t>4、</w:t>
      </w:r>
      <w:r>
        <w:rPr>
          <w:rFonts w:hint="eastAsia" w:ascii="宋体" w:hAnsi="宋体" w:eastAsia="宋体" w:cs="宋体"/>
          <w:b/>
          <w:snapToGrid w:val="0"/>
          <w:color w:val="000000"/>
          <w:sz w:val="24"/>
          <w:szCs w:val="24"/>
          <w:highlight w:val="none"/>
        </w:rPr>
        <w:t>定标办法</w:t>
      </w:r>
    </w:p>
    <w:p w14:paraId="59B154B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1、供应商的排名按得分顺序从高到低排列；得分相同的，按响应报价由低到高顺序排列；得分且响应报价相同的，按技术指标优劣顺序排列。</w:t>
      </w:r>
    </w:p>
    <w:p w14:paraId="6EF76E9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2、评标委员会写出评标报告推荐3名成交候选人。</w:t>
      </w:r>
    </w:p>
    <w:p w14:paraId="759369D1">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b/>
          <w:bCs/>
          <w:color w:val="auto"/>
          <w:sz w:val="24"/>
          <w:szCs w:val="24"/>
          <w:highlight w:val="none"/>
        </w:rPr>
      </w:pPr>
    </w:p>
    <w:p w14:paraId="70A70321">
      <w:pPr>
        <w:pStyle w:val="11"/>
        <w:keepNext w:val="0"/>
        <w:keepLines w:val="0"/>
        <w:pageBreakBefore w:val="0"/>
        <w:widowControl/>
        <w:kinsoku w:val="0"/>
        <w:wordWrap/>
        <w:bidi w:val="0"/>
        <w:adjustRightInd w:val="0"/>
        <w:snapToGrid w:val="0"/>
        <w:spacing w:after="0"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14:paraId="37E15EEE">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4" w:name="_Toc30035"/>
      <w:r>
        <w:rPr>
          <w:rFonts w:hint="eastAsia" w:ascii="宋体" w:hAnsi="宋体" w:eastAsia="宋体" w:cs="宋体"/>
          <w:b/>
          <w:bCs/>
          <w:color w:val="auto"/>
          <w:sz w:val="32"/>
          <w:szCs w:val="32"/>
          <w:highlight w:val="none"/>
        </w:rPr>
        <w:t>第四章   合同条款及各式</w:t>
      </w:r>
      <w:bookmarkEnd w:id="44"/>
    </w:p>
    <w:p w14:paraId="22B53C8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注：本合同仅为合同的参考文本，合同签订双方可根据项目的具体要求进行修订。</w:t>
      </w:r>
    </w:p>
    <w:p w14:paraId="56322DC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049D668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w:t>
      </w:r>
    </w:p>
    <w:p w14:paraId="0FC46A0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w:t>
      </w:r>
    </w:p>
    <w:p w14:paraId="7D09E9C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经过双方友好协商，依据《中华人民共和国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》，双方同意签订以下合同条款，以便双方共同遵守、履行合同。</w:t>
      </w:r>
    </w:p>
    <w:p w14:paraId="0CE76D6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一、产品清单及付款方式</w:t>
      </w:r>
    </w:p>
    <w:p w14:paraId="7889022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1．产品清单及价格</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76"/>
        <w:gridCol w:w="2940"/>
        <w:gridCol w:w="976"/>
        <w:gridCol w:w="900"/>
        <w:gridCol w:w="1028"/>
      </w:tblGrid>
      <w:tr w14:paraId="154F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0EA70AF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76" w:type="dxa"/>
            <w:vAlign w:val="center"/>
          </w:tcPr>
          <w:p w14:paraId="1B109493">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940" w:type="dxa"/>
            <w:vAlign w:val="center"/>
          </w:tcPr>
          <w:p w14:paraId="352E6AF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6" w:type="dxa"/>
            <w:vAlign w:val="center"/>
          </w:tcPr>
          <w:p w14:paraId="78C8090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00" w:type="dxa"/>
            <w:vAlign w:val="center"/>
          </w:tcPr>
          <w:p w14:paraId="0886881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28" w:type="dxa"/>
            <w:vAlign w:val="center"/>
          </w:tcPr>
          <w:p w14:paraId="2FFB9B72">
            <w:pPr>
              <w:keepNext w:val="0"/>
              <w:keepLines w:val="0"/>
              <w:pageBreakBefore w:val="0"/>
              <w:widowControl/>
              <w:kinsoku w:val="0"/>
              <w:wordWrap/>
              <w:bidi w:val="0"/>
              <w:adjustRightInd w:val="0"/>
              <w:snapToGrid w:val="0"/>
              <w:spacing w:line="360" w:lineRule="auto"/>
              <w:ind w:left="0" w:leftChars="0" w:right="0" w:righ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3D5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4A02556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77ED5765">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41AEB28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3AABB9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4175C3E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5E6CBBC6">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4631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63376D1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22FE9AC1">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5C7BE78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0A71AC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3A80DE69">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08892C1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38C0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3AB04D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190B65A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22FB304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B5AB6C8">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1D83856D">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6C93885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10FD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1C36786F">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085C9BBE">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2F8F80E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873E51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28834C0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339D3F08">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3E5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6440DBD">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2CFA65E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6AFAF0D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728A4BBC">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18F3C87C">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2ACAF41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2BB2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22" w:type="dxa"/>
            <w:gridSpan w:val="6"/>
            <w:vAlign w:val="center"/>
          </w:tcPr>
          <w:p w14:paraId="25594BD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中标总价（小写）：</w:t>
            </w:r>
          </w:p>
        </w:tc>
      </w:tr>
      <w:tr w14:paraId="566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22" w:type="dxa"/>
            <w:gridSpan w:val="6"/>
            <w:vAlign w:val="center"/>
          </w:tcPr>
          <w:p w14:paraId="5E3EEC6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中标总价（大写）：</w:t>
            </w:r>
          </w:p>
        </w:tc>
      </w:tr>
    </w:tbl>
    <w:p w14:paraId="3FC191C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14:paraId="7F1DDA8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二、交货时间及地点</w:t>
      </w:r>
    </w:p>
    <w:p w14:paraId="0300581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1．交货时间：_________（响应性文件承诺时间）。若延期交货，乙方每天应向甲方缴纳延期额的千分之一作为罚金。因不可抗拒力所导致的交货、服务及付款延迟等按照《中华人民共和国合同法》有关条文处理。</w:t>
      </w:r>
    </w:p>
    <w:p w14:paraId="579B0E5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w:t>
      </w:r>
    </w:p>
    <w:p w14:paraId="742B960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三、相关权利及义务</w:t>
      </w:r>
    </w:p>
    <w:p w14:paraId="2D06398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1．甲方收到乙方设备后，乙方应在_________政府采购管理办公室、_________监察审计部门、_________集中采购机构的共同监督下及时验收，验收时可对不符合合同要求及评标样本的设备或产品拒绝接收；</w:t>
      </w:r>
    </w:p>
    <w:p w14:paraId="2D3ABE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2．甲方有权监督乙方对所交付设备进行安装调试，并督导完成；</w:t>
      </w:r>
    </w:p>
    <w:p w14:paraId="266D29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3．甲方有权监督乙方的售后服务，并对乙方的售后服务不符合合同要求时加以指出乃至追究合同责任；</w:t>
      </w:r>
    </w:p>
    <w:p w14:paraId="6F4244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4．甲方在合同约定期限内履行付款责任；</w:t>
      </w:r>
    </w:p>
    <w:p w14:paraId="45B7DE4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5．甲方在乙方进行安装调试时应给予协助和协调各方关系，乙方应及时提出需要甲方协助和协调的内容，以便保证合同的正常履行；</w:t>
      </w:r>
    </w:p>
    <w:p w14:paraId="3299E19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6．甲方对乙方的技术及商业机密予以保密；</w:t>
      </w:r>
    </w:p>
    <w:p w14:paraId="4EA358F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7．乙方有权按照合同，要求甲方支付相应款项；</w:t>
      </w:r>
    </w:p>
    <w:p w14:paraId="246FD8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8．乙方有权在实施安装调试时，提出合乎情理的协助要求；</w:t>
      </w:r>
    </w:p>
    <w:p w14:paraId="58A634F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9．双方指定联系人，所有保修过程均应由双方经手人签字记录。</w:t>
      </w:r>
    </w:p>
    <w:p w14:paraId="46802F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四、争议</w:t>
      </w:r>
    </w:p>
    <w:p w14:paraId="4DCC72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双方本着友好合作的态度，对合同履行过程中发生的违约行为进行及时的协商解决，如不能协商解决，可通过XX仲裁委员会仲裁解决。</w:t>
      </w:r>
    </w:p>
    <w:p w14:paraId="10CC444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五、其它</w:t>
      </w:r>
    </w:p>
    <w:p w14:paraId="7E4A16E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1．本合同一式四份，甲乙双方各执一份，政府采购管理办公室一份，集中采购机构一份；</w:t>
      </w:r>
    </w:p>
    <w:p w14:paraId="087793D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2．本合同自签订之日起生效；</w:t>
      </w:r>
    </w:p>
    <w:p w14:paraId="47620E1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3．本项目的竞争性磋商文件、响应性文件、中标通知书是合同的附件，与合同具有同等的法律效力；</w:t>
      </w:r>
    </w:p>
    <w:p w14:paraId="7016253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4．其它未尽事宜，由双方友好协商解决，并参照《中华人民共和国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》有关条款执行。</w:t>
      </w:r>
    </w:p>
    <w:p w14:paraId="587F86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甲方（盖章）：_________　　　　　乙方（盖章）：________</w:t>
      </w:r>
    </w:p>
    <w:p w14:paraId="13B0BE8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082C325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法定代表人（签字）：_________　　法定代表人（签字）：</w:t>
      </w:r>
    </w:p>
    <w:p w14:paraId="227A69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4EA511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_______年____月____日　　　______年____月____日</w:t>
      </w:r>
    </w:p>
    <w:p w14:paraId="7B98D3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45" w:name="_Toc70237183"/>
      <w:bookmarkStart w:id="46" w:name="_Toc22552"/>
      <w:r>
        <w:rPr>
          <w:rFonts w:hint="eastAsia" w:ascii="宋体" w:hAnsi="宋体" w:eastAsia="宋体" w:cs="宋体"/>
          <w:color w:val="auto"/>
          <w:sz w:val="24"/>
          <w:szCs w:val="24"/>
          <w:highlight w:val="none"/>
        </w:rPr>
        <w:t>签订地点：_________　　　　　　签订地点：______</w:t>
      </w:r>
      <w:bookmarkEnd w:id="45"/>
      <w:bookmarkEnd w:id="46"/>
    </w:p>
    <w:p w14:paraId="270F51E7">
      <w:pPr>
        <w:pStyle w:val="16"/>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b/>
          <w:bCs/>
          <w:color w:val="auto"/>
          <w:sz w:val="24"/>
          <w:szCs w:val="24"/>
          <w:highlight w:val="none"/>
        </w:rPr>
      </w:pPr>
    </w:p>
    <w:p w14:paraId="0335C88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F55467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7" w:name="_Toc19183"/>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章  </w:t>
      </w:r>
      <w:bookmarkEnd w:id="47"/>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val="en-US" w:eastAsia="zh-CN"/>
        </w:rPr>
        <w:t>内容及技术要求</w:t>
      </w:r>
    </w:p>
    <w:p w14:paraId="0863C368">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sz w:val="24"/>
          <w:szCs w:val="24"/>
          <w:highlight w:val="none"/>
        </w:rPr>
      </w:pPr>
    </w:p>
    <w:tbl>
      <w:tblPr>
        <w:tblStyle w:val="28"/>
        <w:tblpPr w:leftFromText="180" w:rightFromText="180" w:vertAnchor="text" w:horzAnchor="page" w:tblpX="1343" w:tblpY="278"/>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3574"/>
        <w:gridCol w:w="858"/>
        <w:gridCol w:w="1006"/>
        <w:gridCol w:w="1276"/>
        <w:gridCol w:w="1917"/>
      </w:tblGrid>
      <w:tr w14:paraId="2DC0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507" w:type="dxa"/>
            <w:tcBorders>
              <w:top w:val="single" w:color="auto" w:sz="4" w:space="0"/>
              <w:left w:val="single" w:color="auto" w:sz="4" w:space="0"/>
              <w:bottom w:val="single" w:color="auto" w:sz="4" w:space="0"/>
              <w:right w:val="single" w:color="auto" w:sz="4" w:space="0"/>
            </w:tcBorders>
            <w:noWrap w:val="0"/>
            <w:vAlign w:val="center"/>
          </w:tcPr>
          <w:p w14:paraId="49F0799E">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9830EEA">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采购内容</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D74C8A5">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AEDB496">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采购数量</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11D4CF3">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小计</w:t>
            </w:r>
          </w:p>
          <w:p w14:paraId="04317020">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（万元）</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0003020">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674B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507" w:type="dxa"/>
            <w:vMerge w:val="restart"/>
            <w:tcBorders>
              <w:top w:val="single" w:color="auto" w:sz="4" w:space="0"/>
              <w:left w:val="single" w:color="auto" w:sz="4" w:space="0"/>
              <w:right w:val="single" w:color="auto" w:sz="4" w:space="0"/>
            </w:tcBorders>
            <w:noWrap w:val="0"/>
            <w:vAlign w:val="center"/>
          </w:tcPr>
          <w:p w14:paraId="52BB6B2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第一标段</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B5CB7C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40%唑醚·戊唑醇悬浮剂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B7598A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20克/袋</w:t>
            </w:r>
          </w:p>
        </w:tc>
        <w:tc>
          <w:tcPr>
            <w:tcW w:w="1006" w:type="dxa"/>
            <w:tcBorders>
              <w:left w:val="single" w:color="auto" w:sz="4" w:space="0"/>
              <w:right w:val="single" w:color="auto" w:sz="4" w:space="0"/>
            </w:tcBorders>
            <w:noWrap w:val="0"/>
            <w:vAlign w:val="center"/>
          </w:tcPr>
          <w:p w14:paraId="449124D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2100公斤</w:t>
            </w:r>
          </w:p>
        </w:tc>
        <w:tc>
          <w:tcPr>
            <w:tcW w:w="1276" w:type="dxa"/>
            <w:vMerge w:val="restart"/>
            <w:tcBorders>
              <w:left w:val="single" w:color="auto" w:sz="4" w:space="0"/>
              <w:right w:val="single" w:color="auto" w:sz="4" w:space="0"/>
            </w:tcBorders>
            <w:noWrap w:val="0"/>
            <w:vAlign w:val="center"/>
          </w:tcPr>
          <w:p w14:paraId="3A9A8D8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53.9</w:t>
            </w:r>
          </w:p>
        </w:tc>
        <w:tc>
          <w:tcPr>
            <w:tcW w:w="1917" w:type="dxa"/>
            <w:vMerge w:val="restart"/>
            <w:tcBorders>
              <w:left w:val="single" w:color="auto" w:sz="4" w:space="0"/>
              <w:right w:val="single" w:color="auto" w:sz="4" w:space="0"/>
            </w:tcBorders>
            <w:noWrap w:val="0"/>
            <w:vAlign w:val="center"/>
          </w:tcPr>
          <w:p w14:paraId="0808066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生产许可证或生产批准证、农药登记证、产品标准证“三证”齐全，生产日期在本年度内</w:t>
            </w:r>
            <w:r>
              <w:rPr>
                <w:rFonts w:hint="eastAsia" w:ascii="宋体" w:hAnsi="宋体" w:cs="宋体"/>
                <w:color w:val="auto"/>
                <w:kern w:val="2"/>
                <w:sz w:val="24"/>
                <w:szCs w:val="24"/>
                <w:highlight w:val="none"/>
                <w:lang w:val="en-US" w:eastAsia="zh-CN" w:bidi="ar-SA"/>
              </w:rPr>
              <w:t>，(登记对象必须包含玉米)</w:t>
            </w:r>
          </w:p>
        </w:tc>
      </w:tr>
      <w:tr w14:paraId="669F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507" w:type="dxa"/>
            <w:vMerge w:val="continue"/>
            <w:tcBorders>
              <w:left w:val="single" w:color="auto" w:sz="4" w:space="0"/>
              <w:right w:val="single" w:color="auto" w:sz="4" w:space="0"/>
            </w:tcBorders>
            <w:noWrap w:val="0"/>
            <w:vAlign w:val="center"/>
          </w:tcPr>
          <w:p w14:paraId="6BEA3D1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10D3F2D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14%氯虫·高氯氟微囊悬浮-悬浮剂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3F05A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15克/袋</w:t>
            </w:r>
          </w:p>
        </w:tc>
        <w:tc>
          <w:tcPr>
            <w:tcW w:w="1006" w:type="dxa"/>
            <w:tcBorders>
              <w:left w:val="single" w:color="auto" w:sz="4" w:space="0"/>
              <w:right w:val="single" w:color="auto" w:sz="4" w:space="0"/>
            </w:tcBorders>
            <w:noWrap w:val="0"/>
            <w:vAlign w:val="center"/>
          </w:tcPr>
          <w:p w14:paraId="183DBB6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1575公斤</w:t>
            </w:r>
          </w:p>
        </w:tc>
        <w:tc>
          <w:tcPr>
            <w:tcW w:w="1276" w:type="dxa"/>
            <w:vMerge w:val="continue"/>
            <w:tcBorders>
              <w:left w:val="single" w:color="auto" w:sz="4" w:space="0"/>
              <w:right w:val="single" w:color="auto" w:sz="4" w:space="0"/>
            </w:tcBorders>
            <w:noWrap w:val="0"/>
            <w:vAlign w:val="center"/>
          </w:tcPr>
          <w:p w14:paraId="065653C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1917" w:type="dxa"/>
            <w:vMerge w:val="continue"/>
            <w:tcBorders>
              <w:left w:val="single" w:color="auto" w:sz="4" w:space="0"/>
              <w:right w:val="single" w:color="auto" w:sz="4" w:space="0"/>
            </w:tcBorders>
            <w:noWrap w:val="0"/>
            <w:vAlign w:val="center"/>
          </w:tcPr>
          <w:p w14:paraId="51C9EB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r>
      <w:tr w14:paraId="2496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exact"/>
        </w:trPr>
        <w:tc>
          <w:tcPr>
            <w:tcW w:w="507" w:type="dxa"/>
            <w:vMerge w:val="continue"/>
            <w:tcBorders>
              <w:left w:val="single" w:color="auto" w:sz="4" w:space="0"/>
              <w:bottom w:val="single" w:color="auto" w:sz="4" w:space="0"/>
              <w:right w:val="single" w:color="auto" w:sz="4" w:space="0"/>
            </w:tcBorders>
            <w:noWrap w:val="0"/>
            <w:vAlign w:val="center"/>
          </w:tcPr>
          <w:p w14:paraId="3A9EE5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4A4913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27%苯醚·咯·噻虫悬浮种衣剂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219050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30毫升/瓶</w:t>
            </w:r>
          </w:p>
        </w:tc>
        <w:tc>
          <w:tcPr>
            <w:tcW w:w="1006" w:type="dxa"/>
            <w:tcBorders>
              <w:left w:val="single" w:color="auto" w:sz="4" w:space="0"/>
              <w:right w:val="single" w:color="auto" w:sz="4" w:space="0"/>
            </w:tcBorders>
            <w:noWrap w:val="0"/>
            <w:vAlign w:val="center"/>
          </w:tcPr>
          <w:p w14:paraId="36FAA01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108升</w:t>
            </w:r>
          </w:p>
        </w:tc>
        <w:tc>
          <w:tcPr>
            <w:tcW w:w="1276" w:type="dxa"/>
            <w:vMerge w:val="continue"/>
            <w:tcBorders>
              <w:left w:val="single" w:color="auto" w:sz="4" w:space="0"/>
              <w:right w:val="single" w:color="auto" w:sz="4" w:space="0"/>
            </w:tcBorders>
            <w:noWrap w:val="0"/>
            <w:vAlign w:val="center"/>
          </w:tcPr>
          <w:p w14:paraId="6229ACE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1917" w:type="dxa"/>
            <w:vMerge w:val="continue"/>
            <w:tcBorders>
              <w:left w:val="single" w:color="auto" w:sz="4" w:space="0"/>
              <w:right w:val="single" w:color="auto" w:sz="4" w:space="0"/>
            </w:tcBorders>
            <w:noWrap w:val="0"/>
            <w:vAlign w:val="center"/>
          </w:tcPr>
          <w:p w14:paraId="6063952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r>
      <w:tr w14:paraId="6387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507" w:type="dxa"/>
            <w:vMerge w:val="restart"/>
            <w:tcBorders>
              <w:top w:val="single" w:color="auto" w:sz="4" w:space="0"/>
              <w:left w:val="single" w:color="auto" w:sz="4" w:space="0"/>
              <w:right w:val="single" w:color="auto" w:sz="4" w:space="0"/>
            </w:tcBorders>
            <w:noWrap w:val="0"/>
            <w:vAlign w:val="center"/>
          </w:tcPr>
          <w:p w14:paraId="74978C7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第二标段</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1ED067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玉米生物防治（每亩使用无人机释放赤眼蜂4个点共1万头）</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CE4246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30元/亩</w:t>
            </w:r>
          </w:p>
        </w:tc>
        <w:tc>
          <w:tcPr>
            <w:tcW w:w="1006" w:type="dxa"/>
            <w:tcBorders>
              <w:left w:val="single" w:color="auto" w:sz="4" w:space="0"/>
              <w:right w:val="single" w:color="auto" w:sz="4" w:space="0"/>
            </w:tcBorders>
            <w:noWrap w:val="0"/>
            <w:vAlign w:val="center"/>
          </w:tcPr>
          <w:p w14:paraId="7150E3E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4000亩</w:t>
            </w:r>
          </w:p>
        </w:tc>
        <w:tc>
          <w:tcPr>
            <w:tcW w:w="1276" w:type="dxa"/>
            <w:vMerge w:val="restart"/>
            <w:tcBorders>
              <w:left w:val="single" w:color="auto" w:sz="4" w:space="0"/>
              <w:right w:val="single" w:color="auto" w:sz="4" w:space="0"/>
            </w:tcBorders>
            <w:noWrap w:val="0"/>
            <w:vAlign w:val="center"/>
          </w:tcPr>
          <w:p w14:paraId="6B6862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22.1</w:t>
            </w:r>
          </w:p>
        </w:tc>
        <w:tc>
          <w:tcPr>
            <w:tcW w:w="1917" w:type="dxa"/>
            <w:tcBorders>
              <w:left w:val="single" w:color="auto" w:sz="4" w:space="0"/>
              <w:right w:val="single" w:color="auto" w:sz="4" w:space="0"/>
            </w:tcBorders>
            <w:noWrap w:val="0"/>
            <w:vAlign w:val="center"/>
          </w:tcPr>
          <w:p w14:paraId="6549C3F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r>
      <w:tr w14:paraId="2E4B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trPr>
        <w:tc>
          <w:tcPr>
            <w:tcW w:w="507" w:type="dxa"/>
            <w:vMerge w:val="continue"/>
            <w:tcBorders>
              <w:left w:val="single" w:color="auto" w:sz="4" w:space="0"/>
              <w:right w:val="single" w:color="auto" w:sz="4" w:space="0"/>
            </w:tcBorders>
            <w:noWrap w:val="0"/>
            <w:vAlign w:val="center"/>
          </w:tcPr>
          <w:p w14:paraId="5FF7C9C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37C3EB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农区蝗虫植保飞防服务费</w:t>
            </w:r>
          </w:p>
          <w:p w14:paraId="0DFAC12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（包含飞防服务费和飞防生物药剂）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A4A9BF6">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12元/亩</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9522EB3">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5000亩</w:t>
            </w:r>
          </w:p>
        </w:tc>
        <w:tc>
          <w:tcPr>
            <w:tcW w:w="1276" w:type="dxa"/>
            <w:vMerge w:val="continue"/>
            <w:tcBorders>
              <w:left w:val="single" w:color="auto" w:sz="4" w:space="0"/>
              <w:right w:val="single" w:color="auto" w:sz="4" w:space="0"/>
            </w:tcBorders>
            <w:noWrap w:val="0"/>
            <w:vAlign w:val="center"/>
          </w:tcPr>
          <w:p w14:paraId="50E9433D">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p>
        </w:tc>
        <w:tc>
          <w:tcPr>
            <w:tcW w:w="1917" w:type="dxa"/>
            <w:tcBorders>
              <w:left w:val="single" w:color="auto" w:sz="4" w:space="0"/>
              <w:right w:val="single" w:color="auto" w:sz="4" w:space="0"/>
            </w:tcBorders>
            <w:noWrap w:val="0"/>
            <w:vAlign w:val="center"/>
          </w:tcPr>
          <w:p w14:paraId="102CF47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使用专业植保无人机，按照行业技术规范操作。</w:t>
            </w:r>
          </w:p>
        </w:tc>
      </w:tr>
      <w:tr w14:paraId="2EF0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exact"/>
        </w:trPr>
        <w:tc>
          <w:tcPr>
            <w:tcW w:w="507" w:type="dxa"/>
            <w:vMerge w:val="continue"/>
            <w:tcBorders>
              <w:left w:val="single" w:color="auto" w:sz="4" w:space="0"/>
              <w:bottom w:val="single" w:color="auto" w:sz="4" w:space="0"/>
              <w:right w:val="single" w:color="auto" w:sz="4" w:space="0"/>
            </w:tcBorders>
            <w:noWrap w:val="0"/>
            <w:vAlign w:val="center"/>
          </w:tcPr>
          <w:p w14:paraId="2FFF3EBD">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p>
        </w:tc>
        <w:tc>
          <w:tcPr>
            <w:tcW w:w="5438" w:type="dxa"/>
            <w:gridSpan w:val="3"/>
            <w:tcBorders>
              <w:top w:val="single" w:color="auto" w:sz="4" w:space="0"/>
              <w:left w:val="single" w:color="auto" w:sz="4" w:space="0"/>
              <w:bottom w:val="single" w:color="auto" w:sz="4" w:space="0"/>
              <w:right w:val="single" w:color="auto" w:sz="4" w:space="0"/>
            </w:tcBorders>
            <w:noWrap w:val="0"/>
            <w:vAlign w:val="center"/>
          </w:tcPr>
          <w:p w14:paraId="2EB1CE80">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购买省级农作物病虫疫情智能化监测点仪器设备的升级改造和维护所需的材料和服务。硬件设备智能化升级，提升环境参数和病虫害识别的准确率；物联网与通信模块升级，田间监测点数据传输的稳定性，易耗品及日常维护保养，确保4个田间监测点正常运转。</w:t>
            </w:r>
          </w:p>
        </w:tc>
        <w:tc>
          <w:tcPr>
            <w:tcW w:w="1276" w:type="dxa"/>
            <w:vMerge w:val="continue"/>
            <w:tcBorders>
              <w:left w:val="single" w:color="auto" w:sz="4" w:space="0"/>
              <w:right w:val="single" w:color="auto" w:sz="4" w:space="0"/>
            </w:tcBorders>
            <w:noWrap w:val="0"/>
            <w:vAlign w:val="center"/>
          </w:tcPr>
          <w:p w14:paraId="3CC2D4D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p>
        </w:tc>
        <w:tc>
          <w:tcPr>
            <w:tcW w:w="1917" w:type="dxa"/>
            <w:tcBorders>
              <w:left w:val="single" w:color="auto" w:sz="4" w:space="0"/>
              <w:right w:val="single" w:color="auto" w:sz="4" w:space="0"/>
            </w:tcBorders>
            <w:noWrap w:val="0"/>
            <w:vAlign w:val="center"/>
          </w:tcPr>
          <w:p w14:paraId="00D71BA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p>
        </w:tc>
      </w:tr>
    </w:tbl>
    <w:p w14:paraId="7E939192">
      <w:pPr>
        <w:pStyle w:val="79"/>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二、农药供应商应当具备的条件</w:t>
      </w:r>
    </w:p>
    <w:p w14:paraId="0E2E779E">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（一）农药供货单位应为信誉高、产品质量好的生产企业或经销商、具有履行合同所必须的设备和专业能力。</w:t>
      </w:r>
    </w:p>
    <w:p w14:paraId="0AAA0F93">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（二）农药产品必须“三证”（ 生产许可证或生产批准证、农药登记证、产品标准证）齐全，生产日期在本年度内。</w:t>
      </w:r>
    </w:p>
    <w:p w14:paraId="6E81104D">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（三）中标单位签订合同后5日内供货完毕。</w:t>
      </w:r>
    </w:p>
    <w:p w14:paraId="4802EC48">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三、防治服务要求</w:t>
      </w:r>
    </w:p>
    <w:p w14:paraId="5F7F855C">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（一）时间安排：供应商按照采购人安排的时间，准时到达服务区域开展飞防服务。</w:t>
      </w:r>
    </w:p>
    <w:p w14:paraId="702F2A2B">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（二）防治对象：东亚飞蝗。</w:t>
      </w:r>
    </w:p>
    <w:p w14:paraId="7DBCA810">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（三）作业模式：按照相关农药使用规范，使用植保无人机对农区飞蝗，使用生物农药进行统防统治，严格按照药剂使用量规范操作。</w:t>
      </w:r>
    </w:p>
    <w:p w14:paraId="6F56BBF6">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（四）防治效果：保证防治效果达到90%以上。</w:t>
      </w:r>
    </w:p>
    <w:p w14:paraId="5EAA291D">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（五）登记造册：供应商在作业结束后需向采购人提供经乡镇行政村负责飞防人员签字确认的飞防面积清册、配药及飞防作业时显示时间地点的影像资料及飞行图。</w:t>
      </w:r>
    </w:p>
    <w:p w14:paraId="5F1E9455">
      <w:pPr>
        <w:pStyle w:val="79"/>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四、采购产品质量抽检要求</w:t>
      </w:r>
    </w:p>
    <w:p w14:paraId="54271527">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sectPr>
          <w:footerReference r:id="rId6" w:type="default"/>
          <w:pgSz w:w="11906" w:h="16838"/>
          <w:pgMar w:top="1417" w:right="1417" w:bottom="1417" w:left="1417" w:header="851" w:footer="992" w:gutter="0"/>
          <w:pgNumType w:fmt="decimal" w:start="1"/>
          <w:cols w:space="0" w:num="1"/>
          <w:rtlGutter w:val="0"/>
          <w:docGrid w:type="lines" w:linePitch="333" w:charSpace="0"/>
        </w:sectPr>
      </w:pPr>
      <w:r>
        <w:rPr>
          <w:rFonts w:hint="eastAsia" w:ascii="宋体" w:hAnsi="宋体" w:eastAsia="宋体" w:cs="宋体"/>
          <w:color w:val="auto"/>
          <w:kern w:val="2"/>
          <w:sz w:val="24"/>
          <w:szCs w:val="24"/>
          <w:highlight w:val="none"/>
          <w:lang w:val="en-US" w:eastAsia="zh-CN" w:bidi="ar-SA"/>
        </w:rPr>
        <w:t>产品抽检程序。严格按照国家标准、行业标准或企业标准的要求对采购产品进行抽样。所抽取样品必须是具有本批次质量合格检验证明的产品。</w:t>
      </w:r>
    </w:p>
    <w:p w14:paraId="5157294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
          <w:bCs w:val="0"/>
          <w:color w:val="000000"/>
          <w:kern w:val="0"/>
          <w:sz w:val="24"/>
          <w:szCs w:val="24"/>
          <w:highlight w:val="none"/>
          <w:lang w:eastAsia="zh-CN"/>
        </w:rPr>
      </w:pPr>
      <w:r>
        <w:rPr>
          <w:rFonts w:hint="eastAsia" w:ascii="宋体" w:hAnsi="宋体" w:eastAsia="宋体" w:cs="宋体"/>
          <w:b/>
          <w:bCs w:val="0"/>
          <w:color w:val="000000"/>
          <w:kern w:val="0"/>
          <w:sz w:val="24"/>
          <w:szCs w:val="24"/>
          <w:highlight w:val="none"/>
        </w:rPr>
        <w:t>赤眼蜂</w:t>
      </w:r>
      <w:r>
        <w:rPr>
          <w:rFonts w:hint="eastAsia" w:ascii="宋体" w:hAnsi="宋体" w:eastAsia="宋体" w:cs="宋体"/>
          <w:b/>
          <w:bCs w:val="0"/>
          <w:color w:val="000000"/>
          <w:kern w:val="0"/>
          <w:sz w:val="24"/>
          <w:szCs w:val="24"/>
          <w:highlight w:val="none"/>
          <w:lang w:eastAsia="zh-CN"/>
        </w:rPr>
        <w:t>主要</w:t>
      </w:r>
      <w:r>
        <w:rPr>
          <w:rFonts w:hint="eastAsia" w:ascii="宋体" w:hAnsi="宋体" w:eastAsia="宋体" w:cs="宋体"/>
          <w:b/>
          <w:bCs w:val="0"/>
          <w:color w:val="000000"/>
          <w:kern w:val="0"/>
          <w:sz w:val="24"/>
          <w:szCs w:val="24"/>
          <w:highlight w:val="none"/>
        </w:rPr>
        <w:t>技术</w:t>
      </w:r>
      <w:r>
        <w:rPr>
          <w:rFonts w:hint="eastAsia" w:ascii="宋体" w:hAnsi="宋体" w:eastAsia="宋体" w:cs="宋体"/>
          <w:b/>
          <w:bCs w:val="0"/>
          <w:color w:val="000000"/>
          <w:kern w:val="0"/>
          <w:sz w:val="24"/>
          <w:szCs w:val="24"/>
          <w:highlight w:val="none"/>
          <w:lang w:eastAsia="zh-CN"/>
        </w:rPr>
        <w:t>参数</w:t>
      </w:r>
    </w:p>
    <w:p w14:paraId="33043BF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
          <w:color w:val="000000"/>
          <w:kern w:val="0"/>
          <w:sz w:val="24"/>
          <w:szCs w:val="24"/>
          <w:highlight w:val="none"/>
          <w:lang w:eastAsia="zh-CN"/>
        </w:rPr>
      </w:pPr>
    </w:p>
    <w:p w14:paraId="2B9C840E">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一、赤眼蜂</w:t>
      </w:r>
      <w:r>
        <w:rPr>
          <w:rFonts w:hint="eastAsia" w:ascii="宋体" w:hAnsi="宋体" w:eastAsia="宋体" w:cs="宋体"/>
          <w:b/>
          <w:bCs/>
          <w:color w:val="000000"/>
          <w:kern w:val="0"/>
          <w:sz w:val="24"/>
          <w:szCs w:val="24"/>
          <w:highlight w:val="none"/>
        </w:rPr>
        <w:t>技术</w:t>
      </w:r>
      <w:r>
        <w:rPr>
          <w:rFonts w:hint="eastAsia" w:ascii="宋体" w:hAnsi="宋体" w:eastAsia="宋体" w:cs="宋体"/>
          <w:b/>
          <w:bCs/>
          <w:color w:val="000000"/>
          <w:kern w:val="0"/>
          <w:sz w:val="24"/>
          <w:szCs w:val="24"/>
          <w:highlight w:val="none"/>
          <w:lang w:eastAsia="zh-CN"/>
        </w:rPr>
        <w:t>参数</w:t>
      </w:r>
      <w:r>
        <w:rPr>
          <w:rFonts w:hint="eastAsia" w:ascii="宋体" w:hAnsi="宋体" w:eastAsia="宋体" w:cs="宋体"/>
          <w:b/>
          <w:bCs/>
          <w:color w:val="000000"/>
          <w:kern w:val="0"/>
          <w:sz w:val="24"/>
          <w:szCs w:val="24"/>
          <w:highlight w:val="none"/>
        </w:rPr>
        <w:t>：</w:t>
      </w:r>
    </w:p>
    <w:p w14:paraId="03C09B0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1． 蜂种：</w:t>
      </w:r>
      <w:r>
        <w:rPr>
          <w:rFonts w:hint="eastAsia" w:ascii="宋体" w:hAnsi="宋体" w:eastAsia="宋体" w:cs="宋体"/>
          <w:b w:val="0"/>
          <w:bCs w:val="0"/>
          <w:color w:val="000000"/>
          <w:kern w:val="0"/>
          <w:sz w:val="24"/>
          <w:szCs w:val="24"/>
          <w:highlight w:val="none"/>
          <w:lang w:eastAsia="zh-CN"/>
        </w:rPr>
        <w:t>玉米螟</w:t>
      </w:r>
      <w:r>
        <w:rPr>
          <w:rFonts w:hint="eastAsia" w:ascii="宋体" w:hAnsi="宋体" w:eastAsia="宋体" w:cs="宋体"/>
          <w:b w:val="0"/>
          <w:bCs w:val="0"/>
          <w:color w:val="000000"/>
          <w:kern w:val="0"/>
          <w:sz w:val="24"/>
          <w:szCs w:val="24"/>
          <w:highlight w:val="none"/>
        </w:rPr>
        <w:t>赤眼蜂</w:t>
      </w:r>
      <w:r>
        <w:rPr>
          <w:rFonts w:hint="eastAsia" w:ascii="宋体" w:hAnsi="宋体" w:eastAsia="宋体" w:cs="宋体"/>
          <w:b w:val="0"/>
          <w:bCs w:val="0"/>
          <w:color w:val="000000"/>
          <w:kern w:val="0"/>
          <w:sz w:val="24"/>
          <w:szCs w:val="24"/>
          <w:highlight w:val="none"/>
          <w:lang w:eastAsia="zh-CN"/>
        </w:rPr>
        <w:t>和螟黄赤眼蜂混合蜂种，比例为</w:t>
      </w:r>
      <w:r>
        <w:rPr>
          <w:rFonts w:hint="eastAsia" w:ascii="宋体" w:hAnsi="宋体" w:eastAsia="宋体" w:cs="宋体"/>
          <w:b w:val="0"/>
          <w:bCs w:val="0"/>
          <w:color w:val="000000"/>
          <w:kern w:val="0"/>
          <w:sz w:val="24"/>
          <w:szCs w:val="24"/>
          <w:highlight w:val="none"/>
          <w:lang w:val="en-US" w:eastAsia="zh-CN"/>
        </w:rPr>
        <w:t>1:1；</w:t>
      </w:r>
    </w:p>
    <w:p w14:paraId="284B856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 中间寄主：</w:t>
      </w:r>
      <w:r>
        <w:rPr>
          <w:rFonts w:hint="eastAsia" w:ascii="宋体" w:hAnsi="宋体" w:eastAsia="宋体" w:cs="宋体"/>
          <w:b w:val="0"/>
          <w:bCs w:val="0"/>
          <w:color w:val="000000"/>
          <w:kern w:val="0"/>
          <w:sz w:val="24"/>
          <w:szCs w:val="24"/>
          <w:highlight w:val="none"/>
          <w:lang w:eastAsia="zh-CN"/>
        </w:rPr>
        <w:t>鳞翅目昆虫卵</w:t>
      </w:r>
      <w:r>
        <w:rPr>
          <w:rFonts w:hint="eastAsia" w:ascii="宋体" w:hAnsi="宋体" w:eastAsia="宋体" w:cs="宋体"/>
          <w:b w:val="0"/>
          <w:bCs w:val="0"/>
          <w:color w:val="000000"/>
          <w:kern w:val="0"/>
          <w:sz w:val="24"/>
          <w:szCs w:val="24"/>
          <w:highlight w:val="none"/>
        </w:rPr>
        <w:t>；</w:t>
      </w:r>
    </w:p>
    <w:p w14:paraId="495D3DB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  寄生率：≥</w:t>
      </w:r>
      <w:r>
        <w:rPr>
          <w:rFonts w:hint="eastAsia" w:ascii="宋体" w:hAnsi="宋体" w:eastAsia="宋体" w:cs="宋体"/>
          <w:b w:val="0"/>
          <w:bCs w:val="0"/>
          <w:color w:val="000000"/>
          <w:kern w:val="0"/>
          <w:sz w:val="24"/>
          <w:szCs w:val="24"/>
          <w:highlight w:val="none"/>
          <w:lang w:val="en-US" w:eastAsia="zh-CN"/>
        </w:rPr>
        <w:t>85</w:t>
      </w:r>
      <w:r>
        <w:rPr>
          <w:rFonts w:hint="eastAsia" w:ascii="宋体" w:hAnsi="宋体" w:eastAsia="宋体" w:cs="宋体"/>
          <w:b w:val="0"/>
          <w:bCs w:val="0"/>
          <w:color w:val="000000"/>
          <w:kern w:val="0"/>
          <w:sz w:val="24"/>
          <w:szCs w:val="24"/>
          <w:highlight w:val="none"/>
        </w:rPr>
        <w:t>%；</w:t>
      </w:r>
    </w:p>
    <w:p w14:paraId="3AD1AA5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  雌蜂率：</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75</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w:t>
      </w:r>
    </w:p>
    <w:p w14:paraId="23F9B25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  羽化率：≥</w:t>
      </w:r>
      <w:r>
        <w:rPr>
          <w:rFonts w:hint="eastAsia" w:ascii="宋体" w:hAnsi="宋体" w:eastAsia="宋体" w:cs="宋体"/>
          <w:b w:val="0"/>
          <w:bCs w:val="0"/>
          <w:color w:val="000000"/>
          <w:kern w:val="0"/>
          <w:sz w:val="24"/>
          <w:szCs w:val="24"/>
          <w:highlight w:val="none"/>
          <w:lang w:val="en-US" w:eastAsia="zh-CN"/>
        </w:rPr>
        <w:t>80</w:t>
      </w:r>
      <w:r>
        <w:rPr>
          <w:rFonts w:hint="eastAsia" w:ascii="宋体" w:hAnsi="宋体" w:eastAsia="宋体" w:cs="宋体"/>
          <w:b w:val="0"/>
          <w:bCs w:val="0"/>
          <w:color w:val="000000"/>
          <w:kern w:val="0"/>
          <w:sz w:val="24"/>
          <w:szCs w:val="24"/>
          <w:highlight w:val="none"/>
        </w:rPr>
        <w:t>%；</w:t>
      </w:r>
    </w:p>
    <w:p w14:paraId="1862388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rPr>
        <w:t>.  弱蜂率：≤3% ；</w:t>
      </w:r>
    </w:p>
    <w:p w14:paraId="5170075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7</w:t>
      </w:r>
      <w:r>
        <w:rPr>
          <w:rFonts w:hint="eastAsia" w:ascii="宋体" w:hAnsi="宋体" w:eastAsia="宋体" w:cs="宋体"/>
          <w:b w:val="0"/>
          <w:bCs w:val="0"/>
          <w:color w:val="000000"/>
          <w:kern w:val="0"/>
          <w:sz w:val="24"/>
          <w:szCs w:val="24"/>
          <w:highlight w:val="none"/>
        </w:rPr>
        <w:t>.  有效蜂量：≥</w:t>
      </w:r>
      <w:r>
        <w:rPr>
          <w:rFonts w:hint="eastAsia" w:ascii="宋体" w:hAnsi="宋体" w:eastAsia="宋体" w:cs="宋体"/>
          <w:b w:val="0"/>
          <w:bCs w:val="0"/>
          <w:color w:val="000000"/>
          <w:kern w:val="0"/>
          <w:sz w:val="24"/>
          <w:szCs w:val="24"/>
          <w:highlight w:val="none"/>
          <w:lang w:val="en-US" w:eastAsia="zh-CN"/>
        </w:rPr>
        <w:t>25</w:t>
      </w:r>
      <w:r>
        <w:rPr>
          <w:rFonts w:hint="eastAsia" w:ascii="宋体" w:hAnsi="宋体" w:eastAsia="宋体" w:cs="宋体"/>
          <w:b w:val="0"/>
          <w:bCs w:val="0"/>
          <w:color w:val="000000"/>
          <w:kern w:val="0"/>
          <w:sz w:val="24"/>
          <w:szCs w:val="24"/>
          <w:highlight w:val="none"/>
          <w:lang w:val="en-US"/>
        </w:rPr>
        <w:t>00</w:t>
      </w:r>
      <w:r>
        <w:rPr>
          <w:rFonts w:hint="eastAsia" w:ascii="宋体" w:hAnsi="宋体" w:eastAsia="宋体" w:cs="宋体"/>
          <w:b w:val="0"/>
          <w:bCs w:val="0"/>
          <w:color w:val="000000"/>
          <w:kern w:val="0"/>
          <w:sz w:val="24"/>
          <w:szCs w:val="24"/>
          <w:highlight w:val="none"/>
        </w:rPr>
        <w:t>头/</w:t>
      </w:r>
      <w:r>
        <w:rPr>
          <w:rFonts w:hint="eastAsia" w:ascii="宋体" w:hAnsi="宋体" w:eastAsia="宋体" w:cs="宋体"/>
          <w:b w:val="0"/>
          <w:bCs w:val="0"/>
          <w:color w:val="000000"/>
          <w:kern w:val="0"/>
          <w:sz w:val="24"/>
          <w:szCs w:val="24"/>
          <w:highlight w:val="none"/>
          <w:lang w:eastAsia="zh-CN"/>
        </w:rPr>
        <w:t>枚</w:t>
      </w:r>
      <w:r>
        <w:rPr>
          <w:rFonts w:hint="eastAsia" w:ascii="宋体" w:hAnsi="宋体" w:eastAsia="宋体" w:cs="宋体"/>
          <w:b w:val="0"/>
          <w:bCs w:val="0"/>
          <w:color w:val="000000"/>
          <w:kern w:val="0"/>
          <w:sz w:val="24"/>
          <w:szCs w:val="24"/>
          <w:highlight w:val="none"/>
        </w:rPr>
        <w:t>；</w:t>
      </w:r>
    </w:p>
    <w:p w14:paraId="6B2A5B2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 xml:space="preserve">8.  </w:t>
      </w:r>
      <w:r>
        <w:rPr>
          <w:rFonts w:hint="eastAsia" w:ascii="宋体" w:hAnsi="宋体" w:eastAsia="宋体" w:cs="宋体"/>
          <w:b w:val="0"/>
          <w:bCs w:val="0"/>
          <w:color w:val="000000"/>
          <w:kern w:val="0"/>
          <w:sz w:val="24"/>
          <w:szCs w:val="24"/>
          <w:highlight w:val="none"/>
        </w:rPr>
        <w:t>释放方式</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无人植保机投放</w:t>
      </w:r>
      <w:r>
        <w:rPr>
          <w:rFonts w:hint="eastAsia" w:ascii="宋体" w:hAnsi="宋体" w:eastAsia="宋体" w:cs="宋体"/>
          <w:b w:val="0"/>
          <w:bCs w:val="0"/>
          <w:color w:val="000000"/>
          <w:kern w:val="0"/>
          <w:sz w:val="24"/>
          <w:szCs w:val="24"/>
          <w:highlight w:val="none"/>
          <w:lang w:eastAsia="zh-CN"/>
        </w:rPr>
        <w:t>；</w:t>
      </w:r>
    </w:p>
    <w:p w14:paraId="0756B5C3">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eastAsia="zh-CN"/>
        </w:rPr>
        <w:t>放蜂器材质降解要求：</w:t>
      </w:r>
      <w:r>
        <w:rPr>
          <w:rFonts w:hint="eastAsia" w:ascii="宋体" w:hAnsi="宋体" w:eastAsia="宋体" w:cs="宋体"/>
          <w:color w:val="000000"/>
          <w:kern w:val="0"/>
          <w:sz w:val="24"/>
          <w:szCs w:val="24"/>
          <w:highlight w:val="none"/>
          <w:lang w:val="en-US" w:eastAsia="zh-CN"/>
        </w:rPr>
        <w:t>生物基降解树脂</w:t>
      </w:r>
      <w:r>
        <w:rPr>
          <w:rFonts w:hint="eastAsia" w:ascii="宋体" w:hAnsi="宋体" w:eastAsia="宋体" w:cs="宋体"/>
          <w:color w:val="000000"/>
          <w:kern w:val="0"/>
          <w:sz w:val="24"/>
          <w:szCs w:val="24"/>
          <w:highlight w:val="none"/>
          <w:lang w:eastAsia="zh-CN"/>
        </w:rPr>
        <w:t>。</w:t>
      </w:r>
    </w:p>
    <w:p w14:paraId="783F86A3">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二、放蜂器技术参数：</w:t>
      </w:r>
    </w:p>
    <w:p w14:paraId="3F10BCA3">
      <w:pPr>
        <w:pStyle w:val="108"/>
        <w:keepNext w:val="0"/>
        <w:keepLines w:val="0"/>
        <w:pageBreakBefore w:val="0"/>
        <w:widowControl/>
        <w:kinsoku w:val="0"/>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放蜂器为棕色空心球体，由上、下两个半球扣合而成。下半球底向上附一圆柱筒，装载</w:t>
      </w:r>
      <w:r>
        <w:rPr>
          <w:rFonts w:hint="eastAsia" w:ascii="宋体" w:hAnsi="宋体" w:eastAsia="宋体" w:cs="宋体"/>
          <w:b w:val="0"/>
          <w:bCs w:val="0"/>
          <w:color w:val="000000"/>
          <w:kern w:val="0"/>
          <w:sz w:val="24"/>
          <w:szCs w:val="24"/>
          <w:highlight w:val="none"/>
          <w:lang w:eastAsia="zh-CN"/>
        </w:rPr>
        <w:t>玉米螟</w:t>
      </w:r>
      <w:r>
        <w:rPr>
          <w:rFonts w:hint="eastAsia" w:ascii="宋体" w:hAnsi="宋体" w:eastAsia="宋体" w:cs="宋体"/>
          <w:b w:val="0"/>
          <w:bCs w:val="0"/>
          <w:color w:val="000000"/>
          <w:kern w:val="0"/>
          <w:sz w:val="24"/>
          <w:szCs w:val="24"/>
          <w:highlight w:val="none"/>
        </w:rPr>
        <w:t>赤眼蜂</w:t>
      </w:r>
      <w:r>
        <w:rPr>
          <w:rFonts w:hint="eastAsia" w:ascii="宋体" w:hAnsi="宋体" w:eastAsia="宋体" w:cs="宋体"/>
          <w:b w:val="0"/>
          <w:bCs w:val="0"/>
          <w:color w:val="000000"/>
          <w:kern w:val="0"/>
          <w:sz w:val="24"/>
          <w:szCs w:val="24"/>
          <w:highlight w:val="none"/>
          <w:lang w:eastAsia="zh-CN"/>
        </w:rPr>
        <w:t>和螟黄赤眼蜂混合蜂种</w:t>
      </w:r>
      <w:r>
        <w:rPr>
          <w:rFonts w:hint="eastAsia" w:ascii="宋体" w:hAnsi="宋体" w:eastAsia="宋体" w:cs="宋体"/>
          <w:sz w:val="24"/>
          <w:szCs w:val="24"/>
          <w:highlight w:val="none"/>
          <w:lang w:val="en-US" w:eastAsia="zh-CN"/>
        </w:rPr>
        <w:t>。放蜂器直径</w:t>
      </w:r>
      <w:r>
        <w:rPr>
          <w:rFonts w:hint="eastAsia" w:ascii="宋体" w:hAnsi="宋体" w:eastAsia="宋体" w:cs="宋体"/>
          <w:color w:val="auto"/>
          <w:sz w:val="24"/>
          <w:szCs w:val="24"/>
          <w:highlight w:val="none"/>
          <w:lang w:val="en-US" w:eastAsia="zh-CN"/>
        </w:rPr>
        <w:t>26mm±0.2mm，漂浮沿直径26.6mm±0.2mm。上半球厚度0.9mm±0.1mm，球体上均匀分布6个狭长状出蜂口，出蜂口长2.5mm±0.15mm，宽0.5mm±0.15mm。下半球四边厚度0.9mm±0.1mm，底部厚度4mm±1mm，筒直径13mm±0.1mm，高20mm±0.1mm。</w:t>
      </w:r>
    </w:p>
    <w:p w14:paraId="19F9F52E">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三、服务项目</w:t>
      </w:r>
    </w:p>
    <w:p w14:paraId="1F1F3D9F">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1、于</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5日前在预设放蜂地块设置不少于</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lang w:eastAsia="zh-CN"/>
        </w:rPr>
        <w:t>个玉米螟成虫监测点，并派技术人员每天统计发生情况以掌握最佳放蜂时间。</w:t>
      </w:r>
    </w:p>
    <w:p w14:paraId="3B72D872">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2、赤眼蜂释放采取无人植保机飞防作业模式，日作业量不少于3000亩次。</w:t>
      </w:r>
    </w:p>
    <w:p w14:paraId="79B1F099">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3、放蜂后及时对放蜂地块出蜂率、寄生率等关键数据进行跟踪调查，并整理汇总提交到植保站。</w:t>
      </w:r>
    </w:p>
    <w:p w14:paraId="5B792247">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597835B7">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1604753D">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0419AD53">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4E8F1676">
      <w:pPr>
        <w:pStyle w:val="4"/>
        <w:keepNext w:val="0"/>
        <w:keepLines w:val="0"/>
        <w:pageBreakBefore w:val="0"/>
        <w:widowControl/>
        <w:kinsoku w:val="0"/>
        <w:wordWrap/>
        <w:bidi w:val="0"/>
        <w:adjustRightInd w:val="0"/>
        <w:snapToGrid w:val="0"/>
        <w:spacing w:before="0" w:line="360" w:lineRule="auto"/>
        <w:ind w:left="0" w:leftChars="0" w:right="0" w:rightChars="0"/>
        <w:outlineLvl w:val="9"/>
        <w:rPr>
          <w:color w:val="auto"/>
          <w:highlight w:val="none"/>
        </w:rPr>
      </w:pPr>
    </w:p>
    <w:p w14:paraId="6AFC05AE">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8" w:name="_Toc31215"/>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eastAsia="zh-CN"/>
        </w:rPr>
        <w:t>投标文件</w:t>
      </w:r>
      <w:r>
        <w:rPr>
          <w:rFonts w:hint="eastAsia" w:ascii="宋体" w:hAnsi="宋体" w:eastAsia="宋体" w:cs="宋体"/>
          <w:b/>
          <w:bCs/>
          <w:color w:val="auto"/>
          <w:sz w:val="32"/>
          <w:szCs w:val="32"/>
          <w:highlight w:val="none"/>
        </w:rPr>
        <w:t>格式</w:t>
      </w:r>
      <w:bookmarkEnd w:id="48"/>
    </w:p>
    <w:p w14:paraId="6B0D063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5AAA20A0">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1A9BBEED">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default" w:ascii="宋体" w:hAnsi="宋体" w:eastAsia="宋体" w:cs="宋体"/>
          <w:b/>
          <w:bCs/>
          <w:color w:val="auto"/>
          <w:sz w:val="72"/>
          <w:szCs w:val="72"/>
          <w:highlight w:val="none"/>
          <w:lang w:val="en-US" w:eastAsia="zh-CN"/>
        </w:rPr>
      </w:pPr>
      <w:bookmarkStart w:id="49" w:name="_Toc28286"/>
      <w:bookmarkStart w:id="50" w:name="_Toc5605"/>
      <w:r>
        <w:rPr>
          <w:rFonts w:hint="eastAsia" w:ascii="宋体" w:hAnsi="宋体" w:eastAsia="宋体" w:cs="宋体"/>
          <w:b/>
          <w:bCs/>
          <w:color w:val="auto"/>
          <w:sz w:val="72"/>
          <w:szCs w:val="72"/>
          <w:highlight w:val="none"/>
        </w:rPr>
        <w:t>（项目名称）</w:t>
      </w:r>
      <w:bookmarkEnd w:id="49"/>
      <w:r>
        <w:rPr>
          <w:rFonts w:hint="eastAsia" w:ascii="宋体" w:hAnsi="宋体" w:cs="宋体"/>
          <w:b/>
          <w:bCs/>
          <w:color w:val="auto"/>
          <w:sz w:val="72"/>
          <w:szCs w:val="72"/>
          <w:highlight w:val="none"/>
          <w:lang w:eastAsia="zh-CN"/>
        </w:rPr>
        <w:t>、</w:t>
      </w:r>
      <w:r>
        <w:rPr>
          <w:rFonts w:hint="eastAsia" w:ascii="宋体" w:hAnsi="宋体" w:cs="宋体"/>
          <w:b/>
          <w:bCs/>
          <w:color w:val="auto"/>
          <w:sz w:val="72"/>
          <w:szCs w:val="72"/>
          <w:highlight w:val="none"/>
          <w:lang w:val="en-US" w:eastAsia="zh-CN"/>
        </w:rPr>
        <w:t>标段</w:t>
      </w:r>
      <w:bookmarkEnd w:id="50"/>
    </w:p>
    <w:p w14:paraId="7F02E5BE">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0641BE3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3A490400">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b/>
          <w:bCs/>
          <w:color w:val="auto"/>
          <w:sz w:val="72"/>
          <w:szCs w:val="72"/>
          <w:highlight w:val="none"/>
        </w:rPr>
      </w:pPr>
      <w:bookmarkStart w:id="51" w:name="_Toc17705"/>
      <w:bookmarkStart w:id="52" w:name="_Toc21316"/>
      <w:bookmarkStart w:id="53" w:name="_Toc24018"/>
      <w:r>
        <w:rPr>
          <w:rFonts w:hint="eastAsia" w:ascii="宋体" w:hAnsi="宋体" w:cs="宋体"/>
          <w:b/>
          <w:bCs/>
          <w:color w:val="auto"/>
          <w:sz w:val="72"/>
          <w:szCs w:val="72"/>
          <w:highlight w:val="none"/>
          <w:lang w:val="en-US" w:eastAsia="zh-CN"/>
        </w:rPr>
        <w:t>投 标</w:t>
      </w:r>
      <w:r>
        <w:rPr>
          <w:rFonts w:hint="eastAsia" w:ascii="宋体" w:hAnsi="宋体" w:cs="宋体"/>
          <w:b/>
          <w:bCs/>
          <w:color w:val="auto"/>
          <w:sz w:val="72"/>
          <w:szCs w:val="72"/>
          <w:highlight w:val="none"/>
        </w:rPr>
        <w:t xml:space="preserve"> 文 件</w:t>
      </w:r>
      <w:bookmarkEnd w:id="51"/>
      <w:bookmarkEnd w:id="52"/>
      <w:bookmarkEnd w:id="53"/>
    </w:p>
    <w:p w14:paraId="3890DFB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黑体"/>
          <w:b/>
          <w:color w:val="auto"/>
          <w:sz w:val="32"/>
          <w:szCs w:val="32"/>
          <w:highlight w:val="none"/>
        </w:rPr>
      </w:pPr>
      <w:r>
        <w:rPr>
          <w:rFonts w:hint="eastAsia" w:ascii="宋体" w:hAnsi="宋体" w:cs="黑体"/>
          <w:b/>
          <w:color w:val="auto"/>
          <w:sz w:val="32"/>
          <w:szCs w:val="32"/>
          <w:highlight w:val="none"/>
        </w:rPr>
        <w:t>（项目编号：</w:t>
      </w:r>
      <w:r>
        <w:rPr>
          <w:rFonts w:hint="eastAsia" w:ascii="宋体" w:hAnsi="宋体" w:cs="黑体"/>
          <w:b/>
          <w:color w:val="auto"/>
          <w:sz w:val="32"/>
          <w:szCs w:val="32"/>
          <w:highlight w:val="none"/>
          <w:lang w:val="en-US" w:eastAsia="zh-CN"/>
        </w:rPr>
        <w:t xml:space="preserve">    </w:t>
      </w:r>
      <w:r>
        <w:rPr>
          <w:rFonts w:hint="eastAsia" w:ascii="宋体" w:hAnsi="宋体" w:cs="黑体"/>
          <w:b/>
          <w:color w:val="auto"/>
          <w:sz w:val="32"/>
          <w:szCs w:val="32"/>
          <w:highlight w:val="none"/>
        </w:rPr>
        <w:t>）</w:t>
      </w:r>
    </w:p>
    <w:p w14:paraId="1A20A17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576E973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6DA091A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6882170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3A51430E">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74CA2788">
      <w:pPr>
        <w:pStyle w:val="17"/>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p w14:paraId="27BFDDA5">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bookmarkStart w:id="54" w:name="_Toc6470"/>
      <w:bookmarkEnd w:id="54"/>
      <w:bookmarkStart w:id="55" w:name="_Toc394651920"/>
      <w:bookmarkEnd w:id="55"/>
      <w:bookmarkStart w:id="56" w:name="_Toc144974856"/>
      <w:bookmarkEnd w:id="56"/>
      <w:bookmarkStart w:id="57" w:name="_Toc179632807"/>
      <w:bookmarkEnd w:id="57"/>
      <w:bookmarkStart w:id="58" w:name="_Toc152045787"/>
      <w:bookmarkEnd w:id="58"/>
      <w:bookmarkStart w:id="59" w:name="_Toc247085873"/>
      <w:bookmarkEnd w:id="59"/>
      <w:bookmarkStart w:id="60" w:name="_Toc246996355"/>
      <w:bookmarkEnd w:id="60"/>
      <w:bookmarkStart w:id="61" w:name="_Toc152042576"/>
      <w:bookmarkEnd w:id="61"/>
      <w:bookmarkStart w:id="62" w:name="_Toc528078065"/>
      <w:bookmarkStart w:id="63" w:name="_Toc246997098"/>
    </w:p>
    <w:p w14:paraId="53055284">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p>
    <w:p w14:paraId="700A47E5">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p>
    <w:p w14:paraId="1FBB8FEA">
      <w:pPr>
        <w:keepNext w:val="0"/>
        <w:keepLines w:val="0"/>
        <w:pageBreakBefore w:val="0"/>
        <w:widowControl/>
        <w:kinsoku w:val="0"/>
        <w:wordWrap/>
        <w:bidi w:val="0"/>
        <w:adjustRightInd w:val="0"/>
        <w:snapToGrid w:val="0"/>
        <w:spacing w:line="360" w:lineRule="auto"/>
        <w:ind w:left="0" w:leftChars="0" w:right="0" w:rightChars="0" w:firstLine="1400" w:firstLineChars="500"/>
        <w:rPr>
          <w:rFonts w:ascii="宋体" w:hAnsi="宋体"/>
          <w:color w:val="auto"/>
          <w:sz w:val="28"/>
          <w:szCs w:val="20"/>
          <w:highlight w:val="none"/>
        </w:rPr>
      </w:pPr>
      <w:r>
        <w:rPr>
          <w:rFonts w:hint="eastAsia" w:ascii="宋体" w:hAnsi="宋体"/>
          <w:color w:val="auto"/>
          <w:sz w:val="28"/>
          <w:szCs w:val="20"/>
          <w:highlight w:val="none"/>
          <w:lang w:val="en-US" w:eastAsia="zh-CN"/>
        </w:rPr>
        <w:t>供应商</w:t>
      </w:r>
      <w:r>
        <w:rPr>
          <w:rFonts w:hint="eastAsia" w:ascii="宋体" w:hAnsi="宋体"/>
          <w:color w:val="auto"/>
          <w:sz w:val="28"/>
          <w:szCs w:val="20"/>
          <w:highlight w:val="none"/>
        </w:rPr>
        <w:t>：</w:t>
      </w:r>
      <w:r>
        <w:rPr>
          <w:rFonts w:hint="eastAsia" w:ascii="宋体" w:hAnsi="宋体" w:cs="宋体"/>
          <w:color w:val="auto"/>
          <w:sz w:val="28"/>
          <w:szCs w:val="20"/>
          <w:highlight w:val="none"/>
          <w:u w:val="single"/>
        </w:rPr>
        <w:t xml:space="preserve">                     </w:t>
      </w:r>
      <w:r>
        <w:rPr>
          <w:rFonts w:hint="eastAsia" w:ascii="宋体" w:hAnsi="宋体"/>
          <w:color w:val="auto"/>
          <w:sz w:val="28"/>
          <w:szCs w:val="20"/>
          <w:highlight w:val="none"/>
        </w:rPr>
        <w:t>（电子签章）</w:t>
      </w:r>
    </w:p>
    <w:p w14:paraId="553942E1">
      <w:pPr>
        <w:keepNext w:val="0"/>
        <w:keepLines w:val="0"/>
        <w:pageBreakBefore w:val="0"/>
        <w:widowControl/>
        <w:kinsoku w:val="0"/>
        <w:wordWrap/>
        <w:bidi w:val="0"/>
        <w:adjustRightInd w:val="0"/>
        <w:snapToGrid w:val="0"/>
        <w:spacing w:line="360" w:lineRule="auto"/>
        <w:ind w:left="0" w:leftChars="0" w:right="0" w:rightChars="0" w:firstLine="1400" w:firstLineChars="500"/>
        <w:jc w:val="left"/>
        <w:rPr>
          <w:rFonts w:ascii="宋体" w:hAnsi="宋体"/>
          <w:color w:val="auto"/>
          <w:sz w:val="28"/>
          <w:szCs w:val="20"/>
          <w:highlight w:val="none"/>
        </w:rPr>
      </w:pPr>
      <w:r>
        <w:rPr>
          <w:rFonts w:hint="eastAsia" w:ascii="宋体" w:hAnsi="宋体"/>
          <w:color w:val="auto"/>
          <w:sz w:val="28"/>
          <w:szCs w:val="20"/>
          <w:highlight w:val="none"/>
        </w:rPr>
        <w:t>法定代表人：</w:t>
      </w:r>
      <w:r>
        <w:rPr>
          <w:rFonts w:hint="eastAsia" w:ascii="宋体" w:hAnsi="宋体" w:cs="宋体"/>
          <w:color w:val="auto"/>
          <w:sz w:val="28"/>
          <w:szCs w:val="20"/>
          <w:highlight w:val="none"/>
          <w:u w:val="single"/>
        </w:rPr>
        <w:t xml:space="preserve">                     </w:t>
      </w:r>
      <w:r>
        <w:rPr>
          <w:rFonts w:hint="eastAsia" w:ascii="宋体" w:hAnsi="宋体"/>
          <w:color w:val="auto"/>
          <w:sz w:val="28"/>
          <w:szCs w:val="20"/>
          <w:highlight w:val="none"/>
        </w:rPr>
        <w:t>（电子签章）</w:t>
      </w:r>
    </w:p>
    <w:p w14:paraId="3AAD681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olor w:val="auto"/>
          <w:sz w:val="28"/>
          <w:szCs w:val="20"/>
          <w:highlight w:val="none"/>
        </w:rPr>
      </w:pP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年</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月</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日</w:t>
      </w:r>
    </w:p>
    <w:p w14:paraId="7A69393F">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 w:val="36"/>
          <w:szCs w:val="36"/>
          <w:highlight w:val="none"/>
        </w:rPr>
      </w:pPr>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目   录</w:t>
      </w:r>
      <w:bookmarkEnd w:id="62"/>
      <w:bookmarkEnd w:id="63"/>
    </w:p>
    <w:p w14:paraId="6418CBDA">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 w:val="30"/>
          <w:szCs w:val="30"/>
          <w:highlight w:val="none"/>
        </w:rPr>
      </w:pPr>
      <w:r>
        <w:rPr>
          <w:rFonts w:hint="eastAsia" w:ascii="宋体" w:hAnsi="宋体" w:cs="宋体"/>
          <w:color w:val="auto"/>
          <w:sz w:val="30"/>
          <w:szCs w:val="30"/>
          <w:highlight w:val="none"/>
        </w:rPr>
        <w:t>（自拟）</w:t>
      </w:r>
    </w:p>
    <w:p w14:paraId="7FDFCDBD">
      <w:pPr>
        <w:keepNext w:val="0"/>
        <w:keepLines w:val="0"/>
        <w:pageBreakBefore w:val="0"/>
        <w:widowControl/>
        <w:kinsoku w:val="0"/>
        <w:wordWrap/>
        <w:bidi w:val="0"/>
        <w:adjustRightInd w:val="0"/>
        <w:snapToGrid w:val="0"/>
        <w:spacing w:line="360" w:lineRule="auto"/>
        <w:ind w:left="0" w:leftChars="0" w:right="0" w:rightChars="0" w:firstLine="820" w:firstLineChars="342"/>
        <w:rPr>
          <w:rFonts w:ascii="宋体" w:hAnsi="宋体" w:cs="宋体"/>
          <w:color w:val="auto"/>
          <w:highlight w:val="none"/>
        </w:rPr>
      </w:pPr>
    </w:p>
    <w:p w14:paraId="0BFEA04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2E9F13A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4484A58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7A0547E0">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5BF8875C">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71FD0727">
      <w:pPr>
        <w:pStyle w:val="4"/>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bookmarkStart w:id="64" w:name="_Toc27687"/>
      <w:bookmarkEnd w:id="64"/>
      <w:bookmarkStart w:id="65" w:name="_Toc528078066"/>
      <w:bookmarkStart w:id="66" w:name="_Toc394651921"/>
      <w:r>
        <w:rPr>
          <w:rFonts w:hint="eastAsia" w:ascii="宋体" w:hAnsi="宋体" w:eastAsia="宋体" w:cs="宋体"/>
          <w:b w:val="0"/>
          <w:bCs w:val="0"/>
          <w:color w:val="auto"/>
          <w:highlight w:val="none"/>
        </w:rPr>
        <w:br w:type="page"/>
      </w:r>
      <w:bookmarkEnd w:id="65"/>
      <w:bookmarkEnd w:id="66"/>
      <w:bookmarkStart w:id="67" w:name="_Toc70237184"/>
      <w:bookmarkStart w:id="68" w:name="_Toc23721"/>
      <w:r>
        <w:rPr>
          <w:rFonts w:hint="eastAsia" w:ascii="宋体" w:hAnsi="宋体" w:eastAsia="宋体" w:cs="宋体"/>
          <w:b w:val="0"/>
          <w:bCs w:val="0"/>
          <w:color w:val="auto"/>
          <w:highlight w:val="none"/>
        </w:rPr>
        <w:t>一、磋商响应书及第一轮报价表</w:t>
      </w:r>
      <w:bookmarkEnd w:id="67"/>
      <w:bookmarkEnd w:id="68"/>
    </w:p>
    <w:p w14:paraId="6D011751">
      <w:pPr>
        <w:keepNext w:val="0"/>
        <w:keepLines w:val="0"/>
        <w:pageBreakBefore w:val="0"/>
        <w:widowControl/>
        <w:kinsoku w:val="0"/>
        <w:wordWrap/>
        <w:bidi w:val="0"/>
        <w:adjustRightInd w:val="0"/>
        <w:snapToGrid w:val="0"/>
        <w:spacing w:line="360" w:lineRule="auto"/>
        <w:ind w:left="0" w:leftChars="0" w:right="0" w:rightChars="0"/>
        <w:jc w:val="center"/>
        <w:outlineLvl w:val="2"/>
        <w:rPr>
          <w:rFonts w:ascii="宋体" w:hAnsi="宋体" w:cs="宋体"/>
          <w:color w:val="auto"/>
          <w:sz w:val="28"/>
          <w:szCs w:val="28"/>
          <w:highlight w:val="none"/>
          <w:u w:val="single"/>
        </w:rPr>
      </w:pPr>
      <w:bookmarkStart w:id="69" w:name="_Toc19389"/>
      <w:bookmarkEnd w:id="69"/>
      <w:bookmarkStart w:id="70" w:name="_Toc246996357"/>
      <w:bookmarkEnd w:id="70"/>
      <w:bookmarkStart w:id="71" w:name="_Toc247085875"/>
      <w:bookmarkEnd w:id="71"/>
      <w:bookmarkStart w:id="72" w:name="_Toc394651922"/>
      <w:bookmarkEnd w:id="72"/>
      <w:bookmarkStart w:id="73" w:name="_Toc152042578"/>
      <w:bookmarkEnd w:id="73"/>
      <w:bookmarkStart w:id="74" w:name="_Toc144974858"/>
      <w:bookmarkEnd w:id="74"/>
      <w:bookmarkStart w:id="75" w:name="_Toc179632809"/>
      <w:bookmarkEnd w:id="75"/>
      <w:bookmarkStart w:id="76" w:name="_Toc246997100"/>
      <w:bookmarkEnd w:id="76"/>
      <w:bookmarkStart w:id="77" w:name="_Toc152045789"/>
      <w:bookmarkEnd w:id="77"/>
      <w:bookmarkStart w:id="78" w:name="_Toc528078067"/>
      <w:bookmarkStart w:id="79" w:name="_Toc70237185"/>
      <w:r>
        <w:rPr>
          <w:rFonts w:hint="eastAsia" w:ascii="宋体" w:hAnsi="宋体" w:cs="宋体"/>
          <w:color w:val="auto"/>
          <w:sz w:val="32"/>
          <w:szCs w:val="32"/>
          <w:highlight w:val="none"/>
        </w:rPr>
        <w:t>（一）</w:t>
      </w:r>
      <w:bookmarkEnd w:id="78"/>
      <w:r>
        <w:rPr>
          <w:rFonts w:hint="eastAsia" w:ascii="宋体" w:hAnsi="宋体" w:cs="宋体"/>
          <w:color w:val="auto"/>
          <w:sz w:val="32"/>
          <w:szCs w:val="32"/>
          <w:highlight w:val="none"/>
        </w:rPr>
        <w:t>磋商响应书</w:t>
      </w:r>
      <w:bookmarkEnd w:id="79"/>
    </w:p>
    <w:p w14:paraId="0317C3CE">
      <w:pPr>
        <w:keepNext w:val="0"/>
        <w:keepLines w:val="0"/>
        <w:pageBreakBefore w:val="0"/>
        <w:widowControl/>
        <w:kinsoku w:val="0"/>
        <w:wordWrap/>
        <w:bidi w:val="0"/>
        <w:adjustRightInd w:val="0"/>
        <w:snapToGrid w:val="0"/>
        <w:spacing w:line="360" w:lineRule="auto"/>
        <w:ind w:left="0" w:leftChars="0" w:right="0" w:rightChars="0" w:firstLine="480" w:firstLineChars="200"/>
        <w:outlineLvl w:val="0"/>
        <w:rPr>
          <w:rFonts w:ascii="宋体" w:hAnsi="宋体" w:cs="宋体"/>
          <w:color w:val="auto"/>
          <w:szCs w:val="24"/>
          <w:highlight w:val="none"/>
          <w:u w:val="single"/>
        </w:rPr>
      </w:pPr>
      <w:bookmarkStart w:id="80" w:name="_Toc70237186"/>
      <w:bookmarkStart w:id="81" w:name="_Toc11920"/>
      <w:bookmarkStart w:id="82" w:name="_Toc23604"/>
      <w:bookmarkStart w:id="83" w:name="_Toc8092"/>
      <w:r>
        <w:rPr>
          <w:rFonts w:hint="eastAsia" w:ascii="宋体" w:hAnsi="宋体" w:cs="宋体"/>
          <w:color w:val="auto"/>
          <w:szCs w:val="24"/>
          <w:highlight w:val="none"/>
        </w:rPr>
        <w:t>致:</w:t>
      </w:r>
      <w:r>
        <w:rPr>
          <w:rFonts w:hint="eastAsia" w:ascii="宋体" w:hAnsi="宋体" w:cs="宋体"/>
          <w:color w:val="auto"/>
          <w:szCs w:val="24"/>
          <w:highlight w:val="none"/>
          <w:u w:val="single"/>
        </w:rPr>
        <w:t xml:space="preserve">                （采购人）</w:t>
      </w:r>
      <w:bookmarkEnd w:id="80"/>
      <w:bookmarkEnd w:id="81"/>
      <w:bookmarkEnd w:id="82"/>
      <w:bookmarkEnd w:id="83"/>
    </w:p>
    <w:p w14:paraId="576D50A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我方收到了</w:t>
      </w:r>
      <w:r>
        <w:rPr>
          <w:rFonts w:hint="eastAsia" w:ascii="宋体" w:hAnsi="宋体" w:cs="宋体"/>
          <w:b/>
          <w:bCs/>
          <w:color w:val="auto"/>
          <w:sz w:val="24"/>
          <w:szCs w:val="20"/>
          <w:highlight w:val="none"/>
          <w:u w:val="single"/>
        </w:rPr>
        <w:t>（项目名称）</w:t>
      </w:r>
      <w:r>
        <w:rPr>
          <w:rFonts w:hint="eastAsia" w:ascii="宋体" w:hAnsi="宋体" w:cs="宋体"/>
          <w:b/>
          <w:bCs/>
          <w:color w:val="auto"/>
          <w:sz w:val="24"/>
          <w:szCs w:val="20"/>
          <w:highlight w:val="none"/>
          <w:u w:val="single"/>
          <w:lang w:eastAsia="zh-CN"/>
        </w:rPr>
        <w:t>、</w:t>
      </w:r>
      <w:r>
        <w:rPr>
          <w:rFonts w:hint="eastAsia" w:ascii="宋体" w:hAnsi="宋体" w:cs="宋体"/>
          <w:b/>
          <w:bCs/>
          <w:color w:val="auto"/>
          <w:sz w:val="24"/>
          <w:szCs w:val="20"/>
          <w:highlight w:val="none"/>
          <w:u w:val="single"/>
        </w:rPr>
        <w:t>（</w:t>
      </w:r>
      <w:r>
        <w:rPr>
          <w:rFonts w:hint="eastAsia" w:ascii="宋体" w:hAnsi="宋体" w:cs="宋体"/>
          <w:b/>
          <w:bCs/>
          <w:color w:val="auto"/>
          <w:sz w:val="24"/>
          <w:szCs w:val="20"/>
          <w:highlight w:val="none"/>
          <w:u w:val="single"/>
          <w:lang w:val="en-US" w:eastAsia="zh-CN"/>
        </w:rPr>
        <w:t>所投</w:t>
      </w:r>
      <w:r>
        <w:rPr>
          <w:rFonts w:hint="eastAsia" w:ascii="宋体" w:hAnsi="宋体" w:cs="宋体"/>
          <w:b/>
          <w:bCs/>
          <w:color w:val="auto"/>
          <w:sz w:val="24"/>
          <w:szCs w:val="20"/>
          <w:highlight w:val="none"/>
          <w:u w:val="single"/>
        </w:rPr>
        <w:t>标段）</w:t>
      </w:r>
      <w:r>
        <w:rPr>
          <w:rFonts w:hint="eastAsia" w:ascii="宋体" w:hAnsi="宋体" w:cs="宋体"/>
          <w:color w:val="auto"/>
          <w:sz w:val="24"/>
          <w:szCs w:val="20"/>
          <w:highlight w:val="none"/>
        </w:rPr>
        <w:t>的招标文件，经详细研究决定参加该项目投标活动，郑重声明以下诸点并负法律责任：</w:t>
      </w:r>
    </w:p>
    <w:p w14:paraId="6A96CF5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(1)我方愿意以人民币（大写）：</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；（小写）¥</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的投标总报价完成本项目</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标段相关的所有工作，并严格按照合同约定，供货、交付本项目全部内容，并在合同约定的期限内完成合同规定的全部内容。</w:t>
      </w:r>
    </w:p>
    <w:p w14:paraId="762416B0">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highlight w:val="none"/>
        </w:rPr>
      </w:pPr>
      <w:r>
        <w:rPr>
          <w:rFonts w:hint="eastAsia" w:ascii="宋体" w:hAnsi="宋体" w:cs="宋体"/>
          <w:color w:val="auto"/>
          <w:sz w:val="24"/>
          <w:szCs w:val="20"/>
          <w:highlight w:val="none"/>
        </w:rPr>
        <w:t>(2)如果我方中标，我方保证交货</w:t>
      </w:r>
      <w:r>
        <w:rPr>
          <w:rFonts w:hint="eastAsia" w:ascii="宋体" w:hAnsi="宋体" w:cs="宋体"/>
          <w:color w:val="auto"/>
          <w:sz w:val="24"/>
          <w:szCs w:val="20"/>
          <w:highlight w:val="none"/>
          <w:lang w:val="en-US" w:eastAsia="zh-CN"/>
        </w:rPr>
        <w:t>服务</w:t>
      </w:r>
      <w:r>
        <w:rPr>
          <w:rFonts w:hint="eastAsia" w:ascii="宋体" w:hAnsi="宋体" w:cs="宋体"/>
          <w:color w:val="auto"/>
          <w:sz w:val="24"/>
          <w:szCs w:val="20"/>
          <w:highlight w:val="none"/>
        </w:rPr>
        <w:t xml:space="preserve">期： </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0"/>
          <w:highlight w:val="none"/>
        </w:rPr>
        <w:t>，质量达到：</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，质保期：</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。我方同意按招标文件中的规定，本投标文件的有效期自投标文件递交截止之日起</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日历天。</w:t>
      </w:r>
    </w:p>
    <w:p w14:paraId="75F1DCD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olor w:val="auto"/>
          <w:sz w:val="24"/>
          <w:szCs w:val="20"/>
          <w:highlight w:val="none"/>
        </w:rPr>
      </w:pPr>
      <w:r>
        <w:rPr>
          <w:rFonts w:hint="eastAsia" w:ascii="宋体" w:hAnsi="宋体" w:cs="宋体"/>
          <w:color w:val="auto"/>
          <w:sz w:val="24"/>
          <w:szCs w:val="20"/>
          <w:highlight w:val="none"/>
        </w:rPr>
        <w:t>(3)</w:t>
      </w:r>
      <w:r>
        <w:rPr>
          <w:rFonts w:hint="eastAsia" w:ascii="宋体" w:hAnsi="宋体"/>
          <w:color w:val="auto"/>
          <w:sz w:val="24"/>
          <w:szCs w:val="20"/>
          <w:highlight w:val="none"/>
        </w:rPr>
        <w:t>我方愿提供招标文件中要求的所有文件资料。</w:t>
      </w:r>
    </w:p>
    <w:p w14:paraId="11B33143">
      <w:pPr>
        <w:keepNext w:val="0"/>
        <w:keepLines w:val="0"/>
        <w:pageBreakBefore w:val="0"/>
        <w:widowControl/>
        <w:kinsoku w:val="0"/>
        <w:wordWrap/>
        <w:bidi w:val="0"/>
        <w:adjustRightInd w:val="0"/>
        <w:snapToGrid w:val="0"/>
        <w:spacing w:line="360" w:lineRule="auto"/>
        <w:ind w:left="0" w:leftChars="0" w:right="0" w:rightChars="0" w:firstLine="477" w:firstLineChars="199"/>
        <w:rPr>
          <w:rFonts w:ascii="宋体" w:hAnsi="宋体"/>
          <w:color w:val="auto"/>
          <w:sz w:val="24"/>
          <w:szCs w:val="20"/>
          <w:highlight w:val="none"/>
        </w:rPr>
      </w:pPr>
      <w:r>
        <w:rPr>
          <w:rFonts w:hint="eastAsia" w:ascii="宋体" w:hAnsi="宋体" w:cs="宋体"/>
          <w:color w:val="auto"/>
          <w:sz w:val="24"/>
          <w:szCs w:val="20"/>
          <w:highlight w:val="none"/>
        </w:rPr>
        <w:t>(4)</w:t>
      </w:r>
      <w:r>
        <w:rPr>
          <w:rFonts w:hint="eastAsia" w:ascii="宋体" w:hAnsi="宋体"/>
          <w:color w:val="auto"/>
          <w:sz w:val="24"/>
          <w:szCs w:val="20"/>
          <w:highlight w:val="none"/>
        </w:rPr>
        <w:t>我方已经详细审核了全部招标文件，包括修改、补充的文件（如果有），我方完全理解并同意放弃对这方面有不明及误解的权利。</w:t>
      </w:r>
    </w:p>
    <w:p w14:paraId="5CEDFE3F">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(5)</w:t>
      </w:r>
      <w:r>
        <w:rPr>
          <w:rFonts w:hint="eastAsia" w:ascii="宋体" w:hAnsi="宋体"/>
          <w:color w:val="auto"/>
          <w:sz w:val="24"/>
          <w:szCs w:val="20"/>
          <w:highlight w:val="none"/>
        </w:rPr>
        <w:t>我们愿按《中华人民共和国民法典》履行自己的全部责任。</w:t>
      </w:r>
    </w:p>
    <w:p w14:paraId="506EA9F9">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(6)</w:t>
      </w:r>
      <w:r>
        <w:rPr>
          <w:rFonts w:hint="eastAsia" w:ascii="宋体" w:hAnsi="宋体"/>
          <w:color w:val="auto"/>
          <w:sz w:val="24"/>
          <w:szCs w:val="20"/>
          <w:highlight w:val="none"/>
        </w:rPr>
        <w:t>如果我单位中标，我单位保证按照招标文件（含补充文件）的规定，向招标代理机构缴纳招标代理机构服务费。</w:t>
      </w:r>
    </w:p>
    <w:p w14:paraId="39930654">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(7)</w:t>
      </w:r>
      <w:r>
        <w:rPr>
          <w:rFonts w:hint="eastAsia" w:ascii="宋体" w:hAnsi="宋体"/>
          <w:color w:val="auto"/>
          <w:sz w:val="24"/>
          <w:szCs w:val="20"/>
          <w:highlight w:val="none"/>
        </w:rPr>
        <w:t>我方在此声明，所递交的投标文件及有关资料内容完整、真实和准确。</w:t>
      </w:r>
    </w:p>
    <w:p w14:paraId="42A18C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color w:val="auto"/>
          <w:sz w:val="24"/>
          <w:szCs w:val="20"/>
          <w:highlight w:val="none"/>
        </w:rPr>
      </w:pPr>
      <w:r>
        <w:rPr>
          <w:rFonts w:hint="eastAsia" w:ascii="宋体" w:hAnsi="宋体" w:cs="宋体"/>
          <w:color w:val="auto"/>
          <w:sz w:val="24"/>
          <w:szCs w:val="20"/>
          <w:highlight w:val="none"/>
        </w:rPr>
        <w:t>(8)</w:t>
      </w:r>
      <w:r>
        <w:rPr>
          <w:rFonts w:hint="eastAsia" w:ascii="宋体" w:hAnsi="宋体"/>
          <w:color w:val="auto"/>
          <w:sz w:val="24"/>
          <w:szCs w:val="20"/>
          <w:highlight w:val="none"/>
        </w:rPr>
        <w:t>与本投标有关的正式通讯地址：</w:t>
      </w:r>
    </w:p>
    <w:p w14:paraId="26A2D508">
      <w:pPr>
        <w:keepNext w:val="0"/>
        <w:keepLines w:val="0"/>
        <w:pageBreakBefore w:val="0"/>
        <w:widowControl/>
        <w:kinsoku w:val="0"/>
        <w:wordWrap/>
        <w:bidi w:val="0"/>
        <w:adjustRightInd w:val="0"/>
        <w:snapToGrid w:val="0"/>
        <w:spacing w:line="360" w:lineRule="auto"/>
        <w:ind w:left="0" w:leftChars="0" w:right="0" w:rightChars="0" w:firstLine="360" w:firstLineChars="150"/>
        <w:rPr>
          <w:rFonts w:ascii="宋体" w:hAnsi="宋体" w:cs="宋体"/>
          <w:color w:val="auto"/>
          <w:sz w:val="24"/>
          <w:szCs w:val="20"/>
          <w:highlight w:val="none"/>
        </w:rPr>
      </w:pPr>
      <w:r>
        <w:rPr>
          <w:rFonts w:hint="eastAsia" w:ascii="宋体" w:hAnsi="宋体" w:cs="宋体"/>
          <w:color w:val="auto"/>
          <w:sz w:val="24"/>
          <w:szCs w:val="20"/>
          <w:highlight w:val="none"/>
        </w:rPr>
        <w:t xml:space="preserve">（9）本项目的联系人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w:t>
      </w:r>
    </w:p>
    <w:p w14:paraId="1B98074F">
      <w:pPr>
        <w:keepNext w:val="0"/>
        <w:keepLines w:val="0"/>
        <w:pageBreakBefore w:val="0"/>
        <w:widowControl/>
        <w:kinsoku w:val="0"/>
        <w:wordWrap/>
        <w:bidi w:val="0"/>
        <w:adjustRightInd w:val="0"/>
        <w:snapToGrid w:val="0"/>
        <w:spacing w:line="360" w:lineRule="auto"/>
        <w:ind w:left="0" w:leftChars="0"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3EE85666">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75F42DAE">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地    址：</w:t>
      </w:r>
      <w:r>
        <w:rPr>
          <w:rFonts w:hint="eastAsia" w:ascii="宋体" w:hAnsi="宋体" w:cs="宋体"/>
          <w:color w:val="auto"/>
          <w:sz w:val="24"/>
          <w:szCs w:val="20"/>
          <w:highlight w:val="none"/>
          <w:u w:val="single"/>
        </w:rPr>
        <w:t xml:space="preserve">                                    </w:t>
      </w:r>
    </w:p>
    <w:p w14:paraId="46192B8B">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邮    编：</w:t>
      </w:r>
      <w:r>
        <w:rPr>
          <w:rFonts w:hint="eastAsia" w:ascii="宋体" w:hAnsi="宋体" w:cs="宋体"/>
          <w:color w:val="auto"/>
          <w:sz w:val="24"/>
          <w:szCs w:val="20"/>
          <w:highlight w:val="none"/>
          <w:u w:val="single"/>
        </w:rPr>
        <w:t xml:space="preserve">                                    </w:t>
      </w:r>
    </w:p>
    <w:p w14:paraId="18D2967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olor w:val="000000" w:themeColor="text1"/>
          <w:sz w:val="24"/>
          <w:highlight w:val="none"/>
          <w:lang w:eastAsia="zh-CN"/>
        </w:rPr>
      </w:pPr>
      <w:r>
        <w:rPr>
          <w:rFonts w:hint="eastAsia" w:ascii="宋体" w:hAnsi="宋体" w:cs="宋体"/>
          <w:color w:val="auto"/>
          <w:sz w:val="24"/>
          <w:szCs w:val="20"/>
          <w:highlight w:val="none"/>
        </w:rPr>
        <w:t>电    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000000" w:themeColor="text1"/>
          <w:sz w:val="24"/>
          <w:szCs w:val="20"/>
          <w:highlight w:val="none"/>
          <w:lang w:eastAsia="zh-CN"/>
        </w:rPr>
        <w:t>（填写可以联系到的电话，方便二次报价通知）</w:t>
      </w:r>
    </w:p>
    <w:p w14:paraId="72F59989">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rPr>
      </w:pP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日</w:t>
      </w:r>
    </w:p>
    <w:p w14:paraId="24A2225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kern w:val="0"/>
          <w:szCs w:val="24"/>
          <w:highlight w:val="none"/>
        </w:rPr>
      </w:pPr>
    </w:p>
    <w:p w14:paraId="2511035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Cs w:val="24"/>
          <w:highlight w:val="none"/>
        </w:rPr>
      </w:pPr>
      <w:r>
        <w:rPr>
          <w:rFonts w:hint="eastAsia" w:ascii="宋体" w:hAnsi="宋体" w:cs="宋体"/>
          <w:color w:val="auto"/>
          <w:szCs w:val="24"/>
          <w:highlight w:val="none"/>
        </w:rPr>
        <w:br w:type="page"/>
      </w:r>
      <w:bookmarkStart w:id="84" w:name="_Toc528078068"/>
      <w:r>
        <w:rPr>
          <w:rFonts w:hint="eastAsia" w:ascii="宋体" w:hAnsi="宋体" w:cs="宋体"/>
          <w:color w:val="auto"/>
          <w:szCs w:val="24"/>
          <w:highlight w:val="none"/>
        </w:rPr>
        <w:t>（二）第一轮报价表</w:t>
      </w:r>
    </w:p>
    <w:tbl>
      <w:tblPr>
        <w:tblStyle w:val="28"/>
        <w:tblW w:w="95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7"/>
        <w:gridCol w:w="7219"/>
      </w:tblGrid>
      <w:tr w14:paraId="551E4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357" w:type="dxa"/>
            <w:tcBorders>
              <w:top w:val="single" w:color="auto" w:sz="4" w:space="0"/>
              <w:left w:val="single" w:color="auto" w:sz="4" w:space="0"/>
              <w:bottom w:val="single" w:color="auto" w:sz="4" w:space="0"/>
              <w:right w:val="single" w:color="auto" w:sz="4" w:space="0"/>
            </w:tcBorders>
            <w:vAlign w:val="center"/>
          </w:tcPr>
          <w:p w14:paraId="60893F3C">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7219" w:type="dxa"/>
            <w:tcBorders>
              <w:top w:val="single" w:color="auto" w:sz="4" w:space="0"/>
              <w:left w:val="nil"/>
              <w:bottom w:val="single" w:color="auto" w:sz="4" w:space="0"/>
              <w:right w:val="single" w:color="auto" w:sz="4" w:space="0"/>
            </w:tcBorders>
            <w:vAlign w:val="center"/>
          </w:tcPr>
          <w:p w14:paraId="5EBB0620">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96A2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357" w:type="dxa"/>
            <w:tcBorders>
              <w:top w:val="single" w:color="auto" w:sz="4" w:space="0"/>
              <w:left w:val="single" w:color="auto" w:sz="4" w:space="0"/>
              <w:bottom w:val="single" w:color="auto" w:sz="4" w:space="0"/>
              <w:right w:val="single" w:color="auto" w:sz="4" w:space="0"/>
            </w:tcBorders>
            <w:vAlign w:val="center"/>
          </w:tcPr>
          <w:p w14:paraId="7A6D5751">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标段</w:t>
            </w:r>
          </w:p>
        </w:tc>
        <w:tc>
          <w:tcPr>
            <w:tcW w:w="7219" w:type="dxa"/>
            <w:tcBorders>
              <w:top w:val="single" w:color="auto" w:sz="4" w:space="0"/>
              <w:left w:val="nil"/>
              <w:bottom w:val="single" w:color="auto" w:sz="4" w:space="0"/>
              <w:right w:val="single" w:color="auto" w:sz="4" w:space="0"/>
            </w:tcBorders>
            <w:vAlign w:val="center"/>
          </w:tcPr>
          <w:p w14:paraId="6771D355">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12213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357" w:type="dxa"/>
            <w:tcBorders>
              <w:top w:val="single" w:color="auto" w:sz="4" w:space="0"/>
              <w:left w:val="single" w:color="auto" w:sz="4" w:space="0"/>
              <w:bottom w:val="single" w:color="auto" w:sz="4" w:space="0"/>
              <w:right w:val="single" w:color="auto" w:sz="4" w:space="0"/>
            </w:tcBorders>
            <w:vAlign w:val="center"/>
          </w:tcPr>
          <w:p w14:paraId="4A27EAC4">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供应商名称</w:t>
            </w:r>
          </w:p>
        </w:tc>
        <w:tc>
          <w:tcPr>
            <w:tcW w:w="7219" w:type="dxa"/>
            <w:tcBorders>
              <w:top w:val="single" w:color="auto" w:sz="4" w:space="0"/>
              <w:left w:val="nil"/>
              <w:bottom w:val="single" w:color="auto" w:sz="4" w:space="0"/>
              <w:right w:val="single" w:color="auto" w:sz="4" w:space="0"/>
            </w:tcBorders>
            <w:vAlign w:val="center"/>
          </w:tcPr>
          <w:p w14:paraId="413D6EA0">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7D65D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162DEF19">
            <w:pPr>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采购内容</w:t>
            </w:r>
          </w:p>
        </w:tc>
        <w:tc>
          <w:tcPr>
            <w:tcW w:w="7219" w:type="dxa"/>
            <w:tcBorders>
              <w:top w:val="single" w:color="auto" w:sz="4" w:space="0"/>
              <w:left w:val="nil"/>
              <w:bottom w:val="single" w:color="auto" w:sz="4" w:space="0"/>
              <w:right w:val="single" w:color="auto" w:sz="4" w:space="0"/>
            </w:tcBorders>
            <w:vAlign w:val="center"/>
          </w:tcPr>
          <w:p w14:paraId="75E10A33">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hint="eastAsia" w:ascii="宋体" w:hAnsi="宋体" w:cs="宋体"/>
                <w:color w:val="auto"/>
                <w:szCs w:val="24"/>
                <w:highlight w:val="none"/>
              </w:rPr>
            </w:pPr>
          </w:p>
        </w:tc>
      </w:tr>
      <w:tr w14:paraId="074D2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507CDEB2">
            <w:pPr>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磋商报价</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元</w:t>
            </w:r>
            <w:r>
              <w:rPr>
                <w:rFonts w:hint="eastAsia" w:ascii="宋体" w:hAnsi="宋体" w:cs="宋体"/>
                <w:color w:val="auto"/>
                <w:szCs w:val="24"/>
                <w:highlight w:val="none"/>
                <w:lang w:eastAsia="zh-CN"/>
              </w:rPr>
              <w:t>）</w:t>
            </w:r>
          </w:p>
          <w:p w14:paraId="3A816FB0">
            <w:pPr>
              <w:keepNext w:val="0"/>
              <w:keepLines w:val="0"/>
              <w:pageBreakBefore w:val="0"/>
              <w:widowControl/>
              <w:kinsoku w:val="0"/>
              <w:wordWrap/>
              <w:bidi w:val="0"/>
              <w:adjustRightInd w:val="0"/>
              <w:snapToGrid w:val="0"/>
              <w:spacing w:line="360" w:lineRule="auto"/>
              <w:ind w:left="0" w:leftChars="0" w:right="0" w:rightChars="0"/>
              <w:contextualSpacing/>
              <w:jc w:val="center"/>
              <w:rPr>
                <w:color w:val="auto"/>
                <w:highlight w:val="none"/>
              </w:rPr>
            </w:pPr>
            <w:r>
              <w:rPr>
                <w:rFonts w:hint="eastAsia" w:ascii="宋体" w:hAnsi="宋体" w:eastAsia="宋体" w:cs="宋体"/>
                <w:color w:val="auto"/>
                <w:szCs w:val="24"/>
                <w:highlight w:val="none"/>
              </w:rPr>
              <w:t>（供应商应在此填列第一次报价，但以供应商最后一次的投标报价为成交价）</w:t>
            </w:r>
          </w:p>
        </w:tc>
        <w:tc>
          <w:tcPr>
            <w:tcW w:w="7219" w:type="dxa"/>
            <w:tcBorders>
              <w:top w:val="single" w:color="auto" w:sz="4" w:space="0"/>
              <w:left w:val="nil"/>
              <w:bottom w:val="single" w:color="auto" w:sz="4" w:space="0"/>
              <w:right w:val="single" w:color="auto" w:sz="4" w:space="0"/>
            </w:tcBorders>
            <w:vAlign w:val="center"/>
          </w:tcPr>
          <w:p w14:paraId="6D382A6C">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hint="eastAsia" w:ascii="宋体" w:hAnsi="宋体" w:cs="宋体"/>
                <w:color w:val="auto"/>
                <w:szCs w:val="24"/>
                <w:highlight w:val="none"/>
              </w:rPr>
            </w:pPr>
            <w:r>
              <w:rPr>
                <w:rFonts w:hint="eastAsia" w:ascii="宋体" w:hAnsi="宋体" w:cs="宋体"/>
                <w:color w:val="auto"/>
                <w:szCs w:val="24"/>
                <w:highlight w:val="none"/>
              </w:rPr>
              <w:t>（大写）     ，</w:t>
            </w:r>
          </w:p>
          <w:p w14:paraId="0630C98F">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r>
              <w:rPr>
                <w:rFonts w:hint="eastAsia" w:ascii="宋体" w:hAnsi="宋体" w:cs="宋体"/>
                <w:color w:val="auto"/>
                <w:szCs w:val="24"/>
                <w:highlight w:val="none"/>
              </w:rPr>
              <w:t>（小写）    元</w:t>
            </w:r>
          </w:p>
        </w:tc>
      </w:tr>
      <w:tr w14:paraId="3E2C7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01CC794B">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r>
              <w:rPr>
                <w:rFonts w:hint="eastAsia" w:ascii="宋体" w:hAnsi="宋体" w:cs="宋体"/>
                <w:color w:val="auto"/>
                <w:szCs w:val="24"/>
                <w:highlight w:val="none"/>
                <w:lang w:val="en-US" w:eastAsia="zh-CN"/>
              </w:rPr>
              <w:t>供货服务</w:t>
            </w:r>
            <w:r>
              <w:rPr>
                <w:rFonts w:hint="eastAsia" w:ascii="宋体" w:hAnsi="宋体" w:cs="宋体"/>
                <w:color w:val="auto"/>
                <w:szCs w:val="24"/>
                <w:highlight w:val="none"/>
              </w:rPr>
              <w:t>期</w:t>
            </w:r>
          </w:p>
        </w:tc>
        <w:tc>
          <w:tcPr>
            <w:tcW w:w="7219" w:type="dxa"/>
            <w:tcBorders>
              <w:top w:val="single" w:color="auto" w:sz="4" w:space="0"/>
              <w:left w:val="nil"/>
              <w:bottom w:val="single" w:color="auto" w:sz="4" w:space="0"/>
              <w:right w:val="single" w:color="auto" w:sz="4" w:space="0"/>
            </w:tcBorders>
            <w:vAlign w:val="center"/>
          </w:tcPr>
          <w:p w14:paraId="7212336C">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p>
        </w:tc>
      </w:tr>
      <w:tr w14:paraId="3010C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26DC1030">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r>
              <w:rPr>
                <w:rFonts w:hint="eastAsia" w:ascii="宋体" w:hAnsi="宋体" w:cs="宋体"/>
                <w:color w:val="auto"/>
                <w:szCs w:val="24"/>
                <w:highlight w:val="none"/>
              </w:rPr>
              <w:t>质量要求</w:t>
            </w:r>
          </w:p>
        </w:tc>
        <w:tc>
          <w:tcPr>
            <w:tcW w:w="7219" w:type="dxa"/>
            <w:tcBorders>
              <w:top w:val="single" w:color="auto" w:sz="4" w:space="0"/>
              <w:left w:val="nil"/>
              <w:bottom w:val="single" w:color="auto" w:sz="4" w:space="0"/>
              <w:right w:val="single" w:color="auto" w:sz="4" w:space="0"/>
            </w:tcBorders>
            <w:vAlign w:val="center"/>
          </w:tcPr>
          <w:p w14:paraId="64B1B129">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0A7C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1207EF95">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r>
              <w:rPr>
                <w:rFonts w:hint="eastAsia" w:ascii="宋体" w:hAnsi="宋体" w:cs="宋体"/>
                <w:color w:val="auto"/>
                <w:szCs w:val="24"/>
                <w:highlight w:val="none"/>
              </w:rPr>
              <w:t>磋商有效期</w:t>
            </w:r>
          </w:p>
        </w:tc>
        <w:tc>
          <w:tcPr>
            <w:tcW w:w="7219" w:type="dxa"/>
            <w:tcBorders>
              <w:top w:val="single" w:color="auto" w:sz="4" w:space="0"/>
              <w:left w:val="nil"/>
              <w:bottom w:val="single" w:color="auto" w:sz="4" w:space="0"/>
              <w:right w:val="single" w:color="auto" w:sz="4" w:space="0"/>
            </w:tcBorders>
            <w:vAlign w:val="center"/>
          </w:tcPr>
          <w:p w14:paraId="6EDE38D6">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494A0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6228AF8F">
            <w:pPr>
              <w:keepNext w:val="0"/>
              <w:keepLines w:val="0"/>
              <w:pageBreakBefore w:val="0"/>
              <w:widowControl/>
              <w:kinsoku w:val="0"/>
              <w:wordWrap/>
              <w:bidi w:val="0"/>
              <w:adjustRightInd w:val="0"/>
              <w:snapToGrid w:val="0"/>
              <w:spacing w:line="360" w:lineRule="auto"/>
              <w:ind w:left="0" w:leftChars="0" w:right="0" w:rightChars="0"/>
              <w:contextualSpacing/>
              <w:rPr>
                <w:rFonts w:hint="eastAsia" w:ascii="宋体" w:hAnsi="宋体" w:cs="宋体"/>
                <w:color w:val="auto"/>
                <w:szCs w:val="24"/>
                <w:highlight w:val="none"/>
              </w:rPr>
            </w:pPr>
            <w:r>
              <w:rPr>
                <w:rFonts w:hint="eastAsia" w:ascii="宋体" w:hAnsi="宋体" w:cs="宋体"/>
                <w:color w:val="auto"/>
                <w:szCs w:val="24"/>
                <w:highlight w:val="none"/>
              </w:rPr>
              <w:t>项目负责人及联系方式</w:t>
            </w:r>
          </w:p>
        </w:tc>
        <w:tc>
          <w:tcPr>
            <w:tcW w:w="7219" w:type="dxa"/>
            <w:tcBorders>
              <w:top w:val="single" w:color="auto" w:sz="4" w:space="0"/>
              <w:left w:val="nil"/>
              <w:bottom w:val="single" w:color="auto" w:sz="4" w:space="0"/>
              <w:right w:val="single" w:color="auto" w:sz="4" w:space="0"/>
            </w:tcBorders>
            <w:vAlign w:val="center"/>
          </w:tcPr>
          <w:p w14:paraId="531FABD4">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4CE4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576" w:type="dxa"/>
            <w:gridSpan w:val="2"/>
            <w:tcBorders>
              <w:top w:val="single" w:color="auto" w:sz="4" w:space="0"/>
              <w:left w:val="single" w:color="auto" w:sz="4" w:space="0"/>
              <w:bottom w:val="single" w:color="auto" w:sz="4" w:space="0"/>
              <w:right w:val="single" w:color="auto" w:sz="4" w:space="0"/>
            </w:tcBorders>
          </w:tcPr>
          <w:p w14:paraId="6AB36209">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r>
              <w:rPr>
                <w:rFonts w:hint="eastAsia" w:ascii="宋体" w:hAnsi="宋体" w:cs="宋体"/>
                <w:color w:val="auto"/>
                <w:szCs w:val="24"/>
                <w:highlight w:val="none"/>
              </w:rPr>
              <w:t>补充（如有）</w:t>
            </w:r>
          </w:p>
        </w:tc>
      </w:tr>
    </w:tbl>
    <w:p w14:paraId="548A7CE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olor w:val="auto"/>
          <w:sz w:val="24"/>
          <w:szCs w:val="20"/>
          <w:highlight w:val="none"/>
          <w:lang w:eastAsia="zh-CN"/>
        </w:rPr>
      </w:pPr>
    </w:p>
    <w:p w14:paraId="3A698F67">
      <w:pPr>
        <w:keepNext w:val="0"/>
        <w:keepLines w:val="0"/>
        <w:pageBreakBefore w:val="0"/>
        <w:widowControl/>
        <w:kinsoku w:val="0"/>
        <w:wordWrap/>
        <w:bidi w:val="0"/>
        <w:adjustRightInd w:val="0"/>
        <w:snapToGrid w:val="0"/>
        <w:spacing w:line="360" w:lineRule="auto"/>
        <w:ind w:left="0" w:leftChars="0" w:right="0" w:rightChars="0"/>
        <w:rPr>
          <w:rFonts w:ascii="宋体" w:hAnsi="宋体"/>
          <w:color w:val="auto"/>
          <w:sz w:val="24"/>
          <w:szCs w:val="20"/>
          <w:highlight w:val="none"/>
        </w:rPr>
      </w:pPr>
      <w:r>
        <w:rPr>
          <w:rFonts w:hint="eastAsia" w:ascii="宋体" w:hAnsi="宋体"/>
          <w:color w:val="auto"/>
          <w:sz w:val="24"/>
          <w:szCs w:val="20"/>
          <w:highlight w:val="none"/>
          <w:lang w:eastAsia="zh-CN"/>
        </w:rPr>
        <w:t>供应商</w:t>
      </w:r>
      <w:r>
        <w:rPr>
          <w:rFonts w:hint="eastAsia" w:ascii="宋体" w:hAnsi="宋体"/>
          <w:color w:val="auto"/>
          <w:sz w:val="24"/>
          <w:szCs w:val="20"/>
          <w:highlight w:val="none"/>
        </w:rPr>
        <w:t>（</w:t>
      </w:r>
      <w:r>
        <w:rPr>
          <w:rFonts w:hint="eastAsia" w:ascii="宋体" w:hAnsi="宋体" w:cs="宋体"/>
          <w:color w:val="auto"/>
          <w:sz w:val="24"/>
          <w:szCs w:val="20"/>
          <w:highlight w:val="none"/>
        </w:rPr>
        <w:t>电子签章</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p>
    <w:p w14:paraId="0A30CBA9">
      <w:pPr>
        <w:keepNext w:val="0"/>
        <w:keepLines w:val="0"/>
        <w:pageBreakBefore w:val="0"/>
        <w:widowControl/>
        <w:kinsoku w:val="0"/>
        <w:wordWrap/>
        <w:bidi w:val="0"/>
        <w:adjustRightInd w:val="0"/>
        <w:snapToGrid w:val="0"/>
        <w:spacing w:line="360" w:lineRule="auto"/>
        <w:ind w:left="0" w:leftChars="0" w:right="0" w:rightChars="0"/>
        <w:rPr>
          <w:rFonts w:ascii="宋体" w:hAnsi="宋体"/>
          <w:color w:val="auto"/>
          <w:sz w:val="24"/>
          <w:szCs w:val="20"/>
          <w:highlight w:val="none"/>
          <w:u w:val="single"/>
        </w:rPr>
      </w:pPr>
      <w:r>
        <w:rPr>
          <w:rFonts w:hint="eastAsia" w:ascii="宋体" w:hAnsi="宋体"/>
          <w:color w:val="auto"/>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p>
    <w:p w14:paraId="4A0C9052">
      <w:pPr>
        <w:keepNext w:val="0"/>
        <w:keepLines w:val="0"/>
        <w:pageBreakBefore w:val="0"/>
        <w:widowControl/>
        <w:kinsoku w:val="0"/>
        <w:wordWrap/>
        <w:bidi w:val="0"/>
        <w:adjustRightInd w:val="0"/>
        <w:snapToGrid w:val="0"/>
        <w:spacing w:line="360" w:lineRule="auto"/>
        <w:ind w:left="0" w:leftChars="0" w:right="0" w:rightChars="0"/>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2ED174F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br w:type="page"/>
      </w:r>
    </w:p>
    <w:p w14:paraId="3B62F94C">
      <w:pPr>
        <w:pStyle w:val="4"/>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bookmarkStart w:id="85" w:name="_Toc21231"/>
      <w:bookmarkStart w:id="86" w:name="_Toc70237199"/>
      <w:r>
        <w:rPr>
          <w:rFonts w:hint="eastAsia" w:ascii="宋体" w:hAnsi="宋体" w:eastAsia="宋体" w:cs="宋体"/>
          <w:b w:val="0"/>
          <w:bCs w:val="0"/>
          <w:color w:val="auto"/>
          <w:highlight w:val="none"/>
        </w:rPr>
        <w:t>二、法定代表人身份证明</w:t>
      </w:r>
      <w:bookmarkEnd w:id="84"/>
      <w:bookmarkEnd w:id="85"/>
      <w:bookmarkEnd w:id="86"/>
    </w:p>
    <w:p w14:paraId="0BD23AA4">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73BAE82E">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单位性质：</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1E2B66A">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地    址：</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99BFFF5">
      <w:pPr>
        <w:keepNext w:val="0"/>
        <w:keepLines w:val="0"/>
        <w:pageBreakBefore w:val="0"/>
        <w:widowControl/>
        <w:tabs>
          <w:tab w:val="left" w:pos="2460"/>
          <w:tab w:val="left" w:pos="3160"/>
          <w:tab w:val="left" w:pos="420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成立时间：</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月</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日</w:t>
      </w:r>
    </w:p>
    <w:p w14:paraId="08F190D4">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经营期限：</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1CE588C2">
      <w:pPr>
        <w:keepNext w:val="0"/>
        <w:keepLines w:val="0"/>
        <w:pageBreakBefore w:val="0"/>
        <w:widowControl/>
        <w:tabs>
          <w:tab w:val="left" w:pos="1580"/>
          <w:tab w:val="left" w:pos="3615"/>
          <w:tab w:val="left" w:pos="4840"/>
          <w:tab w:val="left" w:pos="630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u w:val="single"/>
        </w:rPr>
      </w:pPr>
      <w:r>
        <w:rPr>
          <w:rFonts w:hint="eastAsia" w:ascii="宋体" w:hAnsi="宋体"/>
          <w:color w:val="auto"/>
          <w:kern w:val="0"/>
          <w:sz w:val="24"/>
          <w:szCs w:val="20"/>
          <w:highlight w:val="none"/>
        </w:rPr>
        <w:t>姓    名：</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性别：</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年龄：</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职务：</w:t>
      </w:r>
      <w:r>
        <w:rPr>
          <w:rFonts w:hint="eastAsia" w:ascii="宋体" w:hAnsi="宋体"/>
          <w:color w:val="auto"/>
          <w:kern w:val="0"/>
          <w:sz w:val="24"/>
          <w:szCs w:val="20"/>
          <w:highlight w:val="none"/>
          <w:u w:val="single"/>
        </w:rPr>
        <w:t xml:space="preserve">          </w:t>
      </w:r>
    </w:p>
    <w:p w14:paraId="4A7D6FF4">
      <w:pPr>
        <w:keepNext w:val="0"/>
        <w:keepLines w:val="0"/>
        <w:pageBreakBefore w:val="0"/>
        <w:widowControl/>
        <w:tabs>
          <w:tab w:val="left" w:pos="408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名称）的法定代表人。</w:t>
      </w:r>
    </w:p>
    <w:p w14:paraId="018BE952">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olor w:val="auto"/>
          <w:kern w:val="0"/>
          <w:sz w:val="24"/>
          <w:szCs w:val="20"/>
          <w:highlight w:val="none"/>
        </w:rPr>
      </w:pPr>
      <w:r>
        <w:rPr>
          <w:rFonts w:hint="eastAsia" w:ascii="宋体" w:hAnsi="宋体"/>
          <w:color w:val="auto"/>
          <w:kern w:val="0"/>
          <w:sz w:val="24"/>
          <w:szCs w:val="20"/>
          <w:highlight w:val="none"/>
        </w:rPr>
        <w:t>特此证明。</w:t>
      </w:r>
    </w:p>
    <w:p w14:paraId="35C4DECD">
      <w:pPr>
        <w:keepNext w:val="0"/>
        <w:keepLines w:val="0"/>
        <w:pageBreakBefore w:val="0"/>
        <w:widowControl/>
        <w:kinsoku w:val="0"/>
        <w:wordWrap/>
        <w:autoSpaceDE w:val="0"/>
        <w:bidi w:val="0"/>
        <w:adjustRightInd w:val="0"/>
        <w:snapToGrid w:val="0"/>
        <w:spacing w:line="360" w:lineRule="auto"/>
        <w:ind w:left="0" w:leftChars="0" w:right="0" w:rightChars="0"/>
        <w:rPr>
          <w:rFonts w:ascii="宋体" w:hAnsi="宋体" w:cs="宋体"/>
          <w:color w:val="auto"/>
          <w:highlight w:val="none"/>
        </w:rPr>
      </w:pPr>
    </w:p>
    <w:p w14:paraId="60B52DF0">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highlight w:val="none"/>
          <w:u w:val="single"/>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（电子签章）：</w:t>
      </w:r>
      <w:r>
        <w:rPr>
          <w:rFonts w:hint="eastAsia" w:ascii="宋体" w:hAnsi="宋体"/>
          <w:color w:val="auto"/>
          <w:kern w:val="0"/>
          <w:sz w:val="24"/>
          <w:highlight w:val="none"/>
          <w:u w:val="single"/>
        </w:rPr>
        <w:t xml:space="preserve">                   </w:t>
      </w:r>
      <w:bookmarkStart w:id="87" w:name="_Toc293488489"/>
      <w:bookmarkStart w:id="88" w:name="_Toc294108317"/>
      <w:bookmarkStart w:id="89" w:name="_Toc367827776"/>
      <w:bookmarkStart w:id="90" w:name="_Toc293488381"/>
    </w:p>
    <w:bookmarkEnd w:id="87"/>
    <w:bookmarkEnd w:id="88"/>
    <w:bookmarkEnd w:id="89"/>
    <w:bookmarkEnd w:id="90"/>
    <w:p w14:paraId="39012AC7">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highlight w:val="none"/>
        </w:rPr>
      </w:pPr>
      <w:r>
        <w:rPr>
          <w:rFonts w:hint="eastAsia" w:ascii="宋体" w:hAnsi="宋体"/>
          <w:color w:val="auto"/>
          <w:kern w:val="0"/>
          <w:sz w:val="24"/>
          <w:highlight w:val="none"/>
        </w:rPr>
        <w:t>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64224BC1">
      <w:pPr>
        <w:pStyle w:val="4"/>
        <w:keepNext w:val="0"/>
        <w:keepLines w:val="0"/>
        <w:pageBreakBefore w:val="0"/>
        <w:widowControl/>
        <w:kinsoku w:val="0"/>
        <w:wordWrap/>
        <w:bidi w:val="0"/>
        <w:adjustRightInd w:val="0"/>
        <w:snapToGrid w:val="0"/>
        <w:spacing w:before="0" w:line="360" w:lineRule="auto"/>
        <w:ind w:left="0" w:leftChars="0" w:right="0" w:rightChars="0"/>
        <w:jc w:val="center"/>
        <w:outlineLvl w:val="9"/>
        <w:rPr>
          <w:rFonts w:hint="eastAsia" w:ascii="宋体" w:hAnsi="宋体" w:eastAsia="宋体" w:cs="宋体"/>
          <w:b w:val="0"/>
          <w:bCs w:val="0"/>
          <w:color w:val="auto"/>
          <w:highlight w:val="none"/>
        </w:rPr>
      </w:pPr>
    </w:p>
    <w:tbl>
      <w:tblPr>
        <w:tblStyle w:val="2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39659BE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347ECA0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法定代表人身份证扫描件（正面）</w:t>
            </w:r>
          </w:p>
          <w:p w14:paraId="65941F17">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c>
          <w:tcPr>
            <w:tcW w:w="4961" w:type="dxa"/>
            <w:noWrap w:val="0"/>
            <w:vAlign w:val="center"/>
          </w:tcPr>
          <w:p w14:paraId="15E9F33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法定代表人身份证扫描件（反面）</w:t>
            </w:r>
          </w:p>
          <w:p w14:paraId="454D5BD9">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r>
    </w:tbl>
    <w:p w14:paraId="4945255D">
      <w:pPr>
        <w:pStyle w:val="4"/>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91" w:name="_Toc22779"/>
      <w:bookmarkStart w:id="92" w:name="_Toc70237200"/>
      <w:bookmarkStart w:id="93" w:name="_Toc528078069"/>
      <w:r>
        <w:rPr>
          <w:rFonts w:hint="eastAsia" w:ascii="宋体" w:hAnsi="宋体" w:eastAsia="宋体" w:cs="宋体"/>
          <w:b w:val="0"/>
          <w:bCs w:val="0"/>
          <w:color w:val="auto"/>
          <w:highlight w:val="none"/>
        </w:rPr>
        <w:t>三、授权委托书</w:t>
      </w:r>
      <w:bookmarkEnd w:id="91"/>
      <w:bookmarkEnd w:id="92"/>
      <w:bookmarkEnd w:id="93"/>
    </w:p>
    <w:p w14:paraId="39F22C6E">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r>
        <w:rPr>
          <w:rFonts w:hint="eastAsia" w:ascii="宋体" w:hAnsi="宋体"/>
          <w:color w:val="auto"/>
          <w:kern w:val="0"/>
          <w:sz w:val="24"/>
          <w:szCs w:val="20"/>
          <w:highlight w:val="none"/>
        </w:rPr>
        <w:t>本人</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名称）的法定代表人，现委托</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（姓名）为我方代理人。代理人根据授权，以我方名义签署、澄清、说明、补正、递交、撤回、</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修改</w:t>
      </w:r>
      <w:r>
        <w:rPr>
          <w:rFonts w:hint="eastAsia" w:ascii="宋体" w:hAnsi="宋体"/>
          <w:color w:val="auto"/>
          <w:kern w:val="0"/>
          <w:sz w:val="24"/>
          <w:szCs w:val="20"/>
          <w:highlight w:val="none"/>
          <w:u w:val="single"/>
        </w:rPr>
        <w:t xml:space="preserve">   （项目名称+标段）  </w:t>
      </w:r>
      <w:r>
        <w:rPr>
          <w:rFonts w:hint="eastAsia" w:ascii="宋体" w:hAnsi="宋体"/>
          <w:color w:val="auto"/>
          <w:kern w:val="0"/>
          <w:sz w:val="24"/>
          <w:szCs w:val="20"/>
          <w:highlight w:val="none"/>
        </w:rPr>
        <w:t>投标文件、签订合同和处理有关事宜，其法律后果由我方承担。</w:t>
      </w:r>
    </w:p>
    <w:p w14:paraId="30607E1F">
      <w:pPr>
        <w:keepNext w:val="0"/>
        <w:keepLines w:val="0"/>
        <w:pageBreakBefore w:val="0"/>
        <w:widowControl/>
        <w:tabs>
          <w:tab w:val="left" w:pos="2940"/>
        </w:tabs>
        <w:kinsoku w:val="0"/>
        <w:wordWrap/>
        <w:autoSpaceDE w:val="0"/>
        <w:autoSpaceDN w:val="0"/>
        <w:bidi w:val="0"/>
        <w:adjustRightInd w:val="0"/>
        <w:snapToGrid w:val="0"/>
        <w:spacing w:line="360" w:lineRule="auto"/>
        <w:ind w:left="0" w:leftChars="0" w:right="0" w:rightChars="0" w:firstLine="1"/>
        <w:jc w:val="left"/>
        <w:rPr>
          <w:rFonts w:ascii="宋体" w:hAnsi="宋体"/>
          <w:color w:val="auto"/>
          <w:kern w:val="0"/>
          <w:sz w:val="24"/>
          <w:szCs w:val="20"/>
          <w:highlight w:val="none"/>
        </w:rPr>
      </w:pPr>
      <w:r>
        <w:rPr>
          <w:rFonts w:hint="eastAsia" w:ascii="宋体" w:hAnsi="宋体"/>
          <w:color w:val="auto"/>
          <w:kern w:val="0"/>
          <w:sz w:val="24"/>
          <w:szCs w:val="20"/>
          <w:highlight w:val="none"/>
        </w:rPr>
        <w:t>代理人无转委托权。</w:t>
      </w:r>
      <w:r>
        <w:rPr>
          <w:rFonts w:ascii="宋体" w:hAnsi="宋体"/>
          <w:color w:val="auto"/>
          <w:kern w:val="0"/>
          <w:sz w:val="24"/>
          <w:szCs w:val="20"/>
          <w:highlight w:val="none"/>
        </w:rPr>
        <w:t xml:space="preserve"> </w:t>
      </w:r>
    </w:p>
    <w:p w14:paraId="5349450D">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r>
        <w:rPr>
          <w:rFonts w:hint="eastAsia" w:ascii="宋体" w:hAnsi="宋体"/>
          <w:color w:val="auto"/>
          <w:kern w:val="0"/>
          <w:sz w:val="24"/>
          <w:szCs w:val="20"/>
          <w:highlight w:val="none"/>
        </w:rPr>
        <w:t>附：法定代表人及委托代理人有效身份证复印件</w:t>
      </w:r>
    </w:p>
    <w:p w14:paraId="2A0F0954">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p>
    <w:p w14:paraId="545D000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56F1447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7100BADA">
      <w:pPr>
        <w:pStyle w:val="4"/>
        <w:keepNext w:val="0"/>
        <w:keepLines w:val="0"/>
        <w:pageBreakBefore w:val="0"/>
        <w:widowControl/>
        <w:kinsoku w:val="0"/>
        <w:wordWrap/>
        <w:bidi w:val="0"/>
        <w:adjustRightInd w:val="0"/>
        <w:snapToGrid w:val="0"/>
        <w:spacing w:before="0" w:line="360" w:lineRule="auto"/>
        <w:ind w:left="0" w:leftChars="0" w:right="0" w:rightChars="0" w:firstLine="480" w:firstLineChars="200"/>
        <w:rPr>
          <w:rFonts w:hint="eastAsia" w:ascii="宋体" w:hAnsi="宋体" w:eastAsia="宋体" w:cs="宋体"/>
          <w:b w:val="0"/>
          <w:bCs w:val="0"/>
          <w:color w:val="auto"/>
          <w:kern w:val="0"/>
          <w:sz w:val="24"/>
          <w:szCs w:val="20"/>
          <w:highlight w:val="none"/>
          <w:lang w:val="en-US" w:eastAsia="zh-CN" w:bidi="ar-SA"/>
        </w:rPr>
      </w:pPr>
      <w:r>
        <w:rPr>
          <w:rFonts w:hint="eastAsia" w:ascii="宋体" w:hAnsi="宋体" w:eastAsia="宋体" w:cs="宋体"/>
          <w:b w:val="0"/>
          <w:bCs w:val="0"/>
          <w:color w:val="auto"/>
          <w:kern w:val="0"/>
          <w:sz w:val="24"/>
          <w:szCs w:val="20"/>
          <w:highlight w:val="none"/>
          <w:lang w:val="en-US" w:eastAsia="zh-CN" w:bidi="ar-SA"/>
        </w:rPr>
        <w:t>联系方式：</w:t>
      </w:r>
      <w:r>
        <w:rPr>
          <w:rFonts w:hint="eastAsia" w:ascii="宋体" w:hAnsi="宋体" w:cs="宋体"/>
          <w:color w:val="auto"/>
          <w:kern w:val="0"/>
          <w:sz w:val="24"/>
          <w:szCs w:val="20"/>
          <w:highlight w:val="none"/>
          <w:u w:val="single"/>
        </w:rPr>
        <w:t xml:space="preserve">                          </w:t>
      </w:r>
    </w:p>
    <w:p w14:paraId="7303733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395B3F07">
      <w:pPr>
        <w:keepNext w:val="0"/>
        <w:keepLines w:val="0"/>
        <w:pageBreakBefore w:val="0"/>
        <w:widowControl/>
        <w:kinsoku w:val="0"/>
        <w:wordWrap/>
        <w:autoSpaceDE w:val="0"/>
        <w:bidi w:val="0"/>
        <w:adjustRightInd w:val="0"/>
        <w:snapToGrid w:val="0"/>
        <w:spacing w:line="360" w:lineRule="auto"/>
        <w:ind w:left="0" w:leftChars="0" w:right="0" w:rightChars="0" w:firstLine="4080" w:firstLineChars="1700"/>
        <w:rPr>
          <w:rFonts w:ascii="宋体" w:hAnsi="宋体" w:cs="宋体"/>
          <w:color w:val="auto"/>
          <w:highlight w:val="none"/>
        </w:rPr>
      </w:pPr>
    </w:p>
    <w:tbl>
      <w:tblPr>
        <w:tblStyle w:val="2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624C03E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5282BCE1">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扫描件（正面）</w:t>
            </w:r>
          </w:p>
          <w:p w14:paraId="54859F4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24"/>
                <w:szCs w:val="20"/>
                <w:highlight w:val="none"/>
              </w:rPr>
            </w:pPr>
          </w:p>
        </w:tc>
        <w:tc>
          <w:tcPr>
            <w:tcW w:w="4796" w:type="dxa"/>
            <w:noWrap w:val="0"/>
            <w:vAlign w:val="center"/>
          </w:tcPr>
          <w:p w14:paraId="6E51B2F6">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扫描件（反面）</w:t>
            </w:r>
          </w:p>
          <w:p w14:paraId="2696C97E">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s="宋体"/>
                <w:color w:val="auto"/>
                <w:kern w:val="0"/>
                <w:sz w:val="24"/>
                <w:szCs w:val="20"/>
                <w:highlight w:val="none"/>
              </w:rPr>
            </w:pPr>
          </w:p>
        </w:tc>
      </w:tr>
    </w:tbl>
    <w:p w14:paraId="514778BC">
      <w:pPr>
        <w:keepNext w:val="0"/>
        <w:keepLines w:val="0"/>
        <w:pageBreakBefore w:val="0"/>
        <w:widowControl/>
        <w:kinsoku w:val="0"/>
        <w:wordWrap/>
        <w:bidi w:val="0"/>
        <w:adjustRightInd w:val="0"/>
        <w:snapToGrid w:val="0"/>
        <w:spacing w:line="360" w:lineRule="auto"/>
        <w:ind w:left="0" w:leftChars="0" w:right="0" w:rightChars="0"/>
        <w:rPr>
          <w:vanish/>
          <w:color w:val="auto"/>
          <w:highlight w:val="none"/>
        </w:rPr>
      </w:pPr>
    </w:p>
    <w:tbl>
      <w:tblPr>
        <w:tblStyle w:val="28"/>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1D5F5EA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510C9EE6">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被授权委托人身份证扫描件（正面）</w:t>
            </w:r>
          </w:p>
          <w:p w14:paraId="3D750F5A">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c>
          <w:tcPr>
            <w:tcW w:w="4781" w:type="dxa"/>
            <w:noWrap w:val="0"/>
            <w:vAlign w:val="center"/>
          </w:tcPr>
          <w:p w14:paraId="44989315">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被授权委托人身份证扫描件（反面）</w:t>
            </w:r>
          </w:p>
          <w:p w14:paraId="57B3B3F4">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r>
    </w:tbl>
    <w:p w14:paraId="2C017F4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26DE34F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32"/>
          <w:highlight w:val="none"/>
        </w:rPr>
      </w:pPr>
      <w:bookmarkStart w:id="94" w:name="_Toc15296"/>
      <w:r>
        <w:rPr>
          <w:rFonts w:hint="eastAsia" w:ascii="宋体" w:hAnsi="宋体" w:cs="宋体"/>
          <w:color w:val="auto"/>
          <w:sz w:val="32"/>
          <w:szCs w:val="32"/>
          <w:highlight w:val="none"/>
        </w:rPr>
        <w:br w:type="page"/>
      </w:r>
    </w:p>
    <w:p w14:paraId="69FEB241">
      <w:pPr>
        <w:pStyle w:val="8"/>
        <w:keepNext w:val="0"/>
        <w:keepLines w:val="0"/>
        <w:pageBreakBefore w:val="0"/>
        <w:widowControl/>
        <w:numPr>
          <w:ilvl w:val="0"/>
          <w:numId w:val="5"/>
        </w:numPr>
        <w:kinsoku w:val="0"/>
        <w:wordWrap/>
        <w:bidi w:val="0"/>
        <w:adjustRightInd w:val="0"/>
        <w:snapToGrid w:val="0"/>
        <w:spacing w:before="0" w:line="360" w:lineRule="auto"/>
        <w:ind w:left="0" w:leftChars="0" w:right="0" w:rightChars="0"/>
        <w:jc w:val="center"/>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投标报价明细表</w:t>
      </w:r>
    </w:p>
    <w:p w14:paraId="3AF1496F">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b/>
          <w:bCs/>
          <w:color w:val="000000" w:themeColor="text1"/>
          <w:kern w:val="44"/>
          <w:sz w:val="28"/>
          <w:highlight w:val="none"/>
          <w:lang w:eastAsia="zh-CN"/>
        </w:rPr>
      </w:pPr>
      <w:r>
        <w:rPr>
          <w:rFonts w:hint="eastAsia" w:ascii="宋体" w:hAnsi="宋体"/>
          <w:b/>
          <w:bCs/>
          <w:color w:val="000000" w:themeColor="text1"/>
          <w:kern w:val="44"/>
          <w:sz w:val="28"/>
          <w:highlight w:val="none"/>
          <w:lang w:val="en-US" w:eastAsia="zh-CN"/>
        </w:rPr>
        <w:t>一标段</w:t>
      </w:r>
      <w:r>
        <w:rPr>
          <w:rFonts w:hint="eastAsia" w:ascii="宋体" w:hAnsi="宋体"/>
          <w:b/>
          <w:bCs/>
          <w:color w:val="000000" w:themeColor="text1"/>
          <w:kern w:val="44"/>
          <w:sz w:val="28"/>
          <w:highlight w:val="none"/>
          <w:lang w:eastAsia="zh-CN"/>
        </w:rPr>
        <w:t>分项报价</w:t>
      </w:r>
      <w:r>
        <w:rPr>
          <w:rFonts w:hint="eastAsia" w:ascii="宋体" w:hAnsi="宋体"/>
          <w:b/>
          <w:bCs/>
          <w:color w:val="000000" w:themeColor="text1"/>
          <w:kern w:val="44"/>
          <w:sz w:val="28"/>
          <w:highlight w:val="none"/>
          <w:lang w:val="en-US" w:eastAsia="zh-CN"/>
        </w:rPr>
        <w:t>明细</w:t>
      </w:r>
      <w:r>
        <w:rPr>
          <w:rFonts w:hint="eastAsia" w:ascii="宋体" w:hAnsi="宋体"/>
          <w:b/>
          <w:bCs/>
          <w:color w:val="000000" w:themeColor="text1"/>
          <w:kern w:val="44"/>
          <w:sz w:val="28"/>
          <w:highlight w:val="none"/>
          <w:lang w:eastAsia="zh-CN"/>
        </w:rPr>
        <w:t>表</w:t>
      </w:r>
    </w:p>
    <w:tbl>
      <w:tblPr>
        <w:tblStyle w:val="98"/>
        <w:tblpPr w:leftFromText="180" w:rightFromText="180" w:vertAnchor="text" w:horzAnchor="page" w:tblpX="1607" w:tblpY="109"/>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1450"/>
        <w:gridCol w:w="1550"/>
        <w:gridCol w:w="1000"/>
        <w:gridCol w:w="983"/>
        <w:gridCol w:w="833"/>
        <w:gridCol w:w="1333"/>
        <w:gridCol w:w="1168"/>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023" w:type="dxa"/>
            <w:vAlign w:val="center"/>
          </w:tcPr>
          <w:p w14:paraId="5118A5EE">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货物名称</w:t>
            </w:r>
          </w:p>
        </w:tc>
        <w:tc>
          <w:tcPr>
            <w:tcW w:w="1450" w:type="dxa"/>
            <w:vAlign w:val="center"/>
          </w:tcPr>
          <w:p w14:paraId="78C6DBE8">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品牌</w:t>
            </w:r>
          </w:p>
        </w:tc>
        <w:tc>
          <w:tcPr>
            <w:tcW w:w="1550" w:type="dxa"/>
            <w:vAlign w:val="center"/>
          </w:tcPr>
          <w:p w14:paraId="5D391C3D">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规格要求</w:t>
            </w:r>
          </w:p>
        </w:tc>
        <w:tc>
          <w:tcPr>
            <w:tcW w:w="1000" w:type="dxa"/>
            <w:vAlign w:val="center"/>
          </w:tcPr>
          <w:p w14:paraId="7EE2E8C4">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p>
        </w:tc>
        <w:tc>
          <w:tcPr>
            <w:tcW w:w="983" w:type="dxa"/>
            <w:vAlign w:val="center"/>
          </w:tcPr>
          <w:p w14:paraId="776D6832">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单价</w:t>
            </w:r>
          </w:p>
        </w:tc>
        <w:tc>
          <w:tcPr>
            <w:tcW w:w="833" w:type="dxa"/>
            <w:tcBorders>
              <w:right w:val="single" w:color="auto" w:sz="4" w:space="0"/>
            </w:tcBorders>
            <w:vAlign w:val="center"/>
          </w:tcPr>
          <w:p w14:paraId="4356FEF0">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生产</w:t>
            </w:r>
          </w:p>
          <w:p w14:paraId="6E4EEA0D">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厂家</w:t>
            </w:r>
          </w:p>
        </w:tc>
        <w:tc>
          <w:tcPr>
            <w:tcW w:w="1333" w:type="dxa"/>
            <w:tcBorders>
              <w:left w:val="single" w:color="auto" w:sz="4" w:space="0"/>
            </w:tcBorders>
            <w:vAlign w:val="center"/>
          </w:tcPr>
          <w:p w14:paraId="012790AC">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企业类型（</w:t>
            </w:r>
          </w:p>
          <w:p w14:paraId="3D910A7B">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中/小/微企业）</w:t>
            </w:r>
          </w:p>
        </w:tc>
        <w:tc>
          <w:tcPr>
            <w:tcW w:w="1168" w:type="dxa"/>
            <w:vAlign w:val="center"/>
          </w:tcPr>
          <w:p w14:paraId="5A2A0A45">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合价（元）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vAlign w:val="center"/>
          </w:tcPr>
          <w:p w14:paraId="05A2327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40%唑醚·戊唑醇悬浮剂</w:t>
            </w:r>
          </w:p>
        </w:tc>
        <w:tc>
          <w:tcPr>
            <w:tcW w:w="1450" w:type="dxa"/>
          </w:tcPr>
          <w:p w14:paraId="47297DE9">
            <w:pPr>
              <w:pStyle w:val="97"/>
              <w:keepNext w:val="0"/>
              <w:keepLines w:val="0"/>
              <w:pageBreakBefore w:val="0"/>
              <w:widowControl/>
              <w:kinsoku w:val="0"/>
              <w:wordWrap/>
              <w:bidi w:val="0"/>
              <w:adjustRightInd w:val="0"/>
              <w:snapToGrid w:val="0"/>
              <w:spacing w:line="360" w:lineRule="auto"/>
              <w:ind w:left="0" w:leftChars="0" w:right="0" w:rightChars="0"/>
              <w:jc w:val="center"/>
              <w:rPr>
                <w:color w:val="000000" w:themeColor="text1"/>
                <w:sz w:val="20"/>
                <w:szCs w:val="18"/>
                <w:highlight w:val="none"/>
              </w:rPr>
            </w:pPr>
          </w:p>
        </w:tc>
        <w:tc>
          <w:tcPr>
            <w:tcW w:w="1550" w:type="dxa"/>
            <w:vAlign w:val="center"/>
          </w:tcPr>
          <w:p w14:paraId="7DB8046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p>
        </w:tc>
        <w:tc>
          <w:tcPr>
            <w:tcW w:w="1000" w:type="dxa"/>
            <w:vAlign w:val="center"/>
          </w:tcPr>
          <w:p w14:paraId="4793923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2100公斤</w:t>
            </w:r>
          </w:p>
        </w:tc>
        <w:tc>
          <w:tcPr>
            <w:tcW w:w="983" w:type="dxa"/>
            <w:vAlign w:val="center"/>
          </w:tcPr>
          <w:p w14:paraId="53D7FE6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p>
        </w:tc>
        <w:tc>
          <w:tcPr>
            <w:tcW w:w="833" w:type="dxa"/>
            <w:tcBorders>
              <w:right w:val="single" w:color="auto" w:sz="4" w:space="0"/>
            </w:tcBorders>
          </w:tcPr>
          <w:p w14:paraId="4B087565">
            <w:pPr>
              <w:pStyle w:val="97"/>
              <w:keepNext w:val="0"/>
              <w:keepLines w:val="0"/>
              <w:pageBreakBefore w:val="0"/>
              <w:widowControl/>
              <w:kinsoku w:val="0"/>
              <w:wordWrap/>
              <w:bidi w:val="0"/>
              <w:adjustRightInd w:val="0"/>
              <w:snapToGrid w:val="0"/>
              <w:spacing w:line="360" w:lineRule="auto"/>
              <w:ind w:left="0" w:leftChars="0" w:right="0" w:rightChars="0"/>
              <w:jc w:val="center"/>
              <w:rPr>
                <w:color w:val="000000" w:themeColor="text1"/>
                <w:sz w:val="20"/>
                <w:szCs w:val="18"/>
                <w:highlight w:val="none"/>
              </w:rPr>
            </w:pPr>
          </w:p>
        </w:tc>
        <w:tc>
          <w:tcPr>
            <w:tcW w:w="1333" w:type="dxa"/>
            <w:tcBorders>
              <w:left w:val="single" w:color="auto" w:sz="4" w:space="0"/>
            </w:tcBorders>
          </w:tcPr>
          <w:p w14:paraId="0DEC2073">
            <w:pPr>
              <w:pStyle w:val="97"/>
              <w:keepNext w:val="0"/>
              <w:keepLines w:val="0"/>
              <w:pageBreakBefore w:val="0"/>
              <w:widowControl/>
              <w:kinsoku w:val="0"/>
              <w:wordWrap/>
              <w:bidi w:val="0"/>
              <w:adjustRightInd w:val="0"/>
              <w:snapToGrid w:val="0"/>
              <w:spacing w:line="360" w:lineRule="auto"/>
              <w:ind w:left="0" w:leftChars="0" w:right="0" w:rightChars="0"/>
              <w:jc w:val="center"/>
              <w:rPr>
                <w:color w:val="000000" w:themeColor="text1"/>
                <w:sz w:val="20"/>
                <w:szCs w:val="18"/>
                <w:highlight w:val="none"/>
              </w:rPr>
            </w:pPr>
          </w:p>
        </w:tc>
        <w:tc>
          <w:tcPr>
            <w:tcW w:w="1168" w:type="dxa"/>
          </w:tcPr>
          <w:p w14:paraId="2C510318">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color w:val="000000" w:themeColor="text1"/>
                <w:sz w:val="20"/>
                <w:szCs w:val="18"/>
                <w:highlight w:val="none"/>
                <w:lang w:val="en-US" w:eastAsia="zh-CN"/>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vAlign w:val="center"/>
          </w:tcPr>
          <w:p w14:paraId="3939853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14%氯虫·高氯氟微囊悬浮</w:t>
            </w:r>
            <w:r>
              <w:rPr>
                <w:rFonts w:hint="eastAsia" w:ascii="宋体" w:hAnsi="宋体" w:eastAsia="宋体" w:cs="宋体"/>
                <w:sz w:val="24"/>
                <w:szCs w:val="24"/>
                <w:highlight w:val="none"/>
                <w:lang w:eastAsia="zh-CN"/>
              </w:rPr>
              <w:t>-悬浮</w:t>
            </w:r>
            <w:r>
              <w:rPr>
                <w:rFonts w:hint="eastAsia" w:ascii="宋体" w:hAnsi="宋体" w:eastAsia="宋体" w:cs="宋体"/>
                <w:sz w:val="24"/>
                <w:szCs w:val="24"/>
                <w:highlight w:val="none"/>
                <w:lang w:val="en-US" w:eastAsia="zh-CN"/>
              </w:rPr>
              <w:t>剂</w:t>
            </w:r>
          </w:p>
        </w:tc>
        <w:tc>
          <w:tcPr>
            <w:tcW w:w="1450" w:type="dxa"/>
          </w:tcPr>
          <w:p w14:paraId="009ED463">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550" w:type="dxa"/>
            <w:vAlign w:val="center"/>
          </w:tcPr>
          <w:p w14:paraId="0249099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1000" w:type="dxa"/>
            <w:vAlign w:val="center"/>
          </w:tcPr>
          <w:p w14:paraId="00F79E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1575公斤</w:t>
            </w:r>
          </w:p>
        </w:tc>
        <w:tc>
          <w:tcPr>
            <w:tcW w:w="983" w:type="dxa"/>
            <w:vAlign w:val="center"/>
          </w:tcPr>
          <w:p w14:paraId="3829814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833" w:type="dxa"/>
            <w:tcBorders>
              <w:right w:val="single" w:color="auto" w:sz="4" w:space="0"/>
            </w:tcBorders>
          </w:tcPr>
          <w:p w14:paraId="387D34F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333" w:type="dxa"/>
            <w:tcBorders>
              <w:left w:val="single" w:color="auto" w:sz="4" w:space="0"/>
            </w:tcBorders>
          </w:tcPr>
          <w:p w14:paraId="7012DEF8">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168" w:type="dxa"/>
          </w:tcPr>
          <w:p w14:paraId="2E30CB88">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vAlign w:val="center"/>
          </w:tcPr>
          <w:p w14:paraId="2296C9D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27%苯醚·咯·噻虫悬浮种衣剂</w:t>
            </w:r>
          </w:p>
        </w:tc>
        <w:tc>
          <w:tcPr>
            <w:tcW w:w="1450" w:type="dxa"/>
          </w:tcPr>
          <w:p w14:paraId="52FC413D">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550" w:type="dxa"/>
            <w:vAlign w:val="center"/>
          </w:tcPr>
          <w:p w14:paraId="2FD525E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1000" w:type="dxa"/>
            <w:vAlign w:val="center"/>
          </w:tcPr>
          <w:p w14:paraId="5F7730C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108升</w:t>
            </w:r>
          </w:p>
        </w:tc>
        <w:tc>
          <w:tcPr>
            <w:tcW w:w="983" w:type="dxa"/>
          </w:tcPr>
          <w:p w14:paraId="44D6E306">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833" w:type="dxa"/>
            <w:tcBorders>
              <w:right w:val="single" w:color="auto" w:sz="4" w:space="0"/>
            </w:tcBorders>
          </w:tcPr>
          <w:p w14:paraId="74EA301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333" w:type="dxa"/>
            <w:tcBorders>
              <w:left w:val="single" w:color="auto" w:sz="4" w:space="0"/>
            </w:tcBorders>
          </w:tcPr>
          <w:p w14:paraId="5F4050C4">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168" w:type="dxa"/>
          </w:tcPr>
          <w:p w14:paraId="7D50A56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2473" w:type="dxa"/>
            <w:gridSpan w:val="2"/>
            <w:vAlign w:val="center"/>
          </w:tcPr>
          <w:p w14:paraId="4E573832">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总计</w:t>
            </w:r>
          </w:p>
        </w:tc>
        <w:tc>
          <w:tcPr>
            <w:tcW w:w="6867" w:type="dxa"/>
            <w:gridSpan w:val="6"/>
          </w:tcPr>
          <w:p w14:paraId="7032D554">
            <w:pPr>
              <w:pStyle w:val="97"/>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大写：</w:t>
            </w:r>
          </w:p>
          <w:p w14:paraId="1B425A9D">
            <w:pPr>
              <w:pStyle w:val="97"/>
              <w:keepNext w:val="0"/>
              <w:keepLines w:val="0"/>
              <w:pageBreakBefore w:val="0"/>
              <w:widowControl/>
              <w:kinsoku w:val="0"/>
              <w:wordWrap/>
              <w:bidi w:val="0"/>
              <w:adjustRightInd w:val="0"/>
              <w:snapToGrid w:val="0"/>
              <w:spacing w:line="360" w:lineRule="auto"/>
              <w:ind w:left="0" w:leftChars="0" w:right="0" w:rightChars="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小写：</w:t>
            </w:r>
          </w:p>
        </w:tc>
      </w:tr>
    </w:tbl>
    <w:p w14:paraId="7D1CD195">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ascii="宋体" w:hAnsi="宋体"/>
          <w:color w:val="000000" w:themeColor="text1"/>
          <w:highlight w:val="none"/>
        </w:rPr>
      </w:pPr>
    </w:p>
    <w:p w14:paraId="2C7EDAB9">
      <w:pPr>
        <w:keepNext w:val="0"/>
        <w:keepLines w:val="0"/>
        <w:pageBreakBefore w:val="0"/>
        <w:widowControl/>
        <w:kinsoku w:val="0"/>
        <w:wordWrap/>
        <w:bidi w:val="0"/>
        <w:adjustRightInd w:val="0"/>
        <w:snapToGrid w:val="0"/>
        <w:spacing w:line="360" w:lineRule="auto"/>
        <w:ind w:left="0" w:leftChars="0" w:right="0" w:rightChars="0"/>
        <w:rPr>
          <w:rFonts w:ascii="宋体" w:hAnsi="宋体"/>
          <w:bCs/>
          <w:color w:val="auto"/>
          <w:sz w:val="24"/>
          <w:szCs w:val="24"/>
          <w:highlight w:val="none"/>
        </w:rPr>
      </w:pPr>
      <w:r>
        <w:rPr>
          <w:rFonts w:hint="eastAsia" w:ascii="宋体" w:hAnsi="宋体" w:cs="宋体"/>
          <w:color w:val="auto"/>
          <w:kern w:val="0"/>
          <w:sz w:val="24"/>
          <w:szCs w:val="20"/>
          <w:highlight w:val="none"/>
        </w:rPr>
        <w:t>说明：1.</w:t>
      </w:r>
      <w:r>
        <w:rPr>
          <w:rFonts w:hint="eastAsia" w:ascii="宋体" w:hAnsi="宋体"/>
          <w:bCs/>
          <w:color w:val="auto"/>
          <w:sz w:val="24"/>
          <w:szCs w:val="24"/>
          <w:highlight w:val="none"/>
        </w:rPr>
        <w:t xml:space="preserve"> 分项报价合计金额应与投标报价表一致。</w:t>
      </w:r>
    </w:p>
    <w:p w14:paraId="37C245E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      </w:t>
      </w:r>
      <w:r>
        <w:rPr>
          <w:rFonts w:hint="eastAsia" w:ascii="宋体" w:hAnsi="宋体" w:cs="宋体"/>
          <w:color w:val="auto"/>
          <w:kern w:val="0"/>
          <w:sz w:val="24"/>
          <w:szCs w:val="20"/>
          <w:highlight w:val="none"/>
          <w:lang w:val="en-US" w:eastAsia="zh-CN"/>
        </w:rPr>
        <w:t>2</w:t>
      </w:r>
      <w:r>
        <w:rPr>
          <w:rFonts w:hint="eastAsia" w:ascii="宋体" w:hAnsi="宋体" w:cs="宋体"/>
          <w:color w:val="auto"/>
          <w:kern w:val="0"/>
          <w:sz w:val="24"/>
          <w:szCs w:val="20"/>
          <w:highlight w:val="none"/>
        </w:rPr>
        <w:t>.</w:t>
      </w:r>
      <w:r>
        <w:rPr>
          <w:rFonts w:hint="eastAsia" w:ascii="宋体" w:hAnsi="宋体" w:cs="宋体"/>
          <w:color w:val="auto"/>
          <w:sz w:val="24"/>
          <w:szCs w:val="24"/>
          <w:highlight w:val="none"/>
        </w:rPr>
        <w:t xml:space="preserve"> 投标报价中包含此项目相关的所有费用。</w:t>
      </w:r>
    </w:p>
    <w:p w14:paraId="4801735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ascii="宋体" w:hAnsi="宋体" w:cs="宋体"/>
          <w:color w:val="auto"/>
          <w:kern w:val="0"/>
          <w:sz w:val="24"/>
          <w:szCs w:val="20"/>
          <w:highlight w:val="none"/>
          <w:u w:val="single"/>
        </w:rPr>
        <w:t xml:space="preserve">                      </w:t>
      </w:r>
    </w:p>
    <w:p w14:paraId="609D3CC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u w:val="single"/>
        </w:rPr>
      </w:pPr>
      <w:r>
        <w:rPr>
          <w:rFonts w:ascii="宋体" w:hAnsi="宋体" w:cs="宋体"/>
          <w:color w:val="auto"/>
          <w:kern w:val="0"/>
          <w:sz w:val="24"/>
          <w:szCs w:val="20"/>
          <w:highlight w:val="none"/>
        </w:rPr>
        <w:t>法定代表人（</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31E3CCB4">
      <w:pPr>
        <w:pStyle w:val="11"/>
        <w:keepNext w:val="0"/>
        <w:keepLines w:val="0"/>
        <w:pageBreakBefore w:val="0"/>
        <w:widowControl/>
        <w:tabs>
          <w:tab w:val="left" w:pos="6021"/>
          <w:tab w:val="left" w:pos="6652"/>
          <w:tab w:val="left" w:pos="7281"/>
        </w:tabs>
        <w:kinsoku w:val="0"/>
        <w:wordWrap/>
        <w:bidi w:val="0"/>
        <w:adjustRightInd w:val="0"/>
        <w:snapToGrid w:val="0"/>
        <w:spacing w:after="0" w:line="360" w:lineRule="auto"/>
        <w:ind w:left="0" w:leftChars="0" w:right="0" w:rightChars="0"/>
        <w:jc w:val="both"/>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213A2F43">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b/>
          <w:bCs/>
          <w:color w:val="000000" w:themeColor="text1"/>
          <w:kern w:val="44"/>
          <w:sz w:val="28"/>
          <w:highlight w:val="none"/>
          <w:lang w:val="en-US" w:eastAsia="zh-CN"/>
        </w:rPr>
      </w:pPr>
      <w:bookmarkStart w:id="95" w:name="_Toc31642"/>
      <w:r>
        <w:rPr>
          <w:rFonts w:hint="eastAsia" w:ascii="宋体" w:hAnsi="宋体"/>
          <w:b/>
          <w:bCs/>
          <w:color w:val="auto"/>
          <w:sz w:val="30"/>
          <w:szCs w:val="30"/>
          <w:highlight w:val="none"/>
          <w:lang w:val="en-US" w:eastAsia="zh-CN"/>
        </w:rPr>
        <w:br w:type="page"/>
      </w:r>
      <w:r>
        <w:rPr>
          <w:rFonts w:hint="eastAsia" w:ascii="宋体" w:hAnsi="宋体"/>
          <w:b/>
          <w:bCs/>
          <w:color w:val="000000" w:themeColor="text1"/>
          <w:kern w:val="44"/>
          <w:sz w:val="28"/>
          <w:highlight w:val="none"/>
          <w:lang w:val="en-US" w:eastAsia="zh-CN"/>
        </w:rPr>
        <w:t>二标段分项报价明细表</w:t>
      </w:r>
    </w:p>
    <w:tbl>
      <w:tblPr>
        <w:tblStyle w:val="98"/>
        <w:tblpPr w:leftFromText="180" w:rightFromText="180" w:vertAnchor="text" w:horzAnchor="page" w:tblpX="1607" w:tblpY="109"/>
        <w:tblOverlap w:val="never"/>
        <w:tblW w:w="49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45"/>
        <w:gridCol w:w="1370"/>
        <w:gridCol w:w="565"/>
        <w:gridCol w:w="843"/>
        <w:gridCol w:w="843"/>
        <w:gridCol w:w="1180"/>
      </w:tblGrid>
      <w:tr w14:paraId="356E0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2346" w:type="pct"/>
            <w:vAlign w:val="center"/>
          </w:tcPr>
          <w:p w14:paraId="3AD5C6B3">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货物名称</w:t>
            </w:r>
          </w:p>
        </w:tc>
        <w:tc>
          <w:tcPr>
            <w:tcW w:w="757" w:type="pct"/>
            <w:vAlign w:val="center"/>
          </w:tcPr>
          <w:p w14:paraId="728F3E9D">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规格要求</w:t>
            </w:r>
          </w:p>
        </w:tc>
        <w:tc>
          <w:tcPr>
            <w:tcW w:w="312" w:type="pct"/>
            <w:vAlign w:val="center"/>
          </w:tcPr>
          <w:p w14:paraId="4BF1AA5C">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p>
        </w:tc>
        <w:tc>
          <w:tcPr>
            <w:tcW w:w="466" w:type="pct"/>
            <w:vAlign w:val="center"/>
          </w:tcPr>
          <w:p w14:paraId="038036F4">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单价（元）</w:t>
            </w:r>
          </w:p>
        </w:tc>
        <w:tc>
          <w:tcPr>
            <w:tcW w:w="466" w:type="pct"/>
            <w:vAlign w:val="center"/>
          </w:tcPr>
          <w:p w14:paraId="1E47F1FB">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合价（元）</w:t>
            </w:r>
          </w:p>
        </w:tc>
        <w:tc>
          <w:tcPr>
            <w:tcW w:w="650" w:type="pct"/>
            <w:vAlign w:val="center"/>
          </w:tcPr>
          <w:p w14:paraId="5247CF1D">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w:t>
            </w:r>
          </w:p>
        </w:tc>
      </w:tr>
      <w:tr w14:paraId="0384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346" w:type="pct"/>
            <w:vAlign w:val="center"/>
          </w:tcPr>
          <w:p w14:paraId="71890BA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玉米生物防治（每亩使用无人机释放赤眼蜂4个点共1万头）</w:t>
            </w:r>
          </w:p>
        </w:tc>
        <w:tc>
          <w:tcPr>
            <w:tcW w:w="757" w:type="pct"/>
            <w:vAlign w:val="center"/>
          </w:tcPr>
          <w:p w14:paraId="03FD8DA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default" w:ascii="宋体" w:hAnsi="宋体" w:eastAsia="宋体" w:cs="宋体"/>
                <w:sz w:val="24"/>
                <w:szCs w:val="24"/>
                <w:highlight w:val="none"/>
                <w:lang w:val="en-US" w:eastAsia="zh-CN"/>
              </w:rPr>
            </w:pPr>
          </w:p>
        </w:tc>
        <w:tc>
          <w:tcPr>
            <w:tcW w:w="312" w:type="pct"/>
            <w:vAlign w:val="center"/>
          </w:tcPr>
          <w:p w14:paraId="53BD419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4000亩</w:t>
            </w:r>
          </w:p>
        </w:tc>
        <w:tc>
          <w:tcPr>
            <w:tcW w:w="466" w:type="pct"/>
            <w:vAlign w:val="center"/>
          </w:tcPr>
          <w:p w14:paraId="4E054C4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p>
        </w:tc>
        <w:tc>
          <w:tcPr>
            <w:tcW w:w="466" w:type="pct"/>
          </w:tcPr>
          <w:p w14:paraId="57D66B5A">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color w:val="000000" w:themeColor="text1"/>
                <w:sz w:val="20"/>
                <w:szCs w:val="18"/>
                <w:highlight w:val="none"/>
                <w:lang w:val="en-US" w:eastAsia="zh-CN"/>
              </w:rPr>
            </w:pPr>
          </w:p>
        </w:tc>
        <w:tc>
          <w:tcPr>
            <w:tcW w:w="650" w:type="pct"/>
          </w:tcPr>
          <w:p w14:paraId="2C1F973C">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color w:val="000000" w:themeColor="text1"/>
                <w:sz w:val="20"/>
                <w:szCs w:val="18"/>
                <w:highlight w:val="none"/>
                <w:lang w:val="en-US" w:eastAsia="zh-CN"/>
              </w:rPr>
            </w:pPr>
            <w:r>
              <w:rPr>
                <w:rFonts w:hint="eastAsia"/>
                <w:color w:val="000000" w:themeColor="text1"/>
                <w:sz w:val="20"/>
                <w:szCs w:val="18"/>
                <w:highlight w:val="none"/>
                <w:lang w:val="en-US" w:eastAsia="zh-CN"/>
              </w:rPr>
              <w:t>规格要求详见赤眼蜂主要技术参数</w:t>
            </w:r>
          </w:p>
        </w:tc>
      </w:tr>
      <w:tr w14:paraId="1DCF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1" w:hRule="atLeast"/>
        </w:trPr>
        <w:tc>
          <w:tcPr>
            <w:tcW w:w="2346" w:type="pct"/>
            <w:vAlign w:val="center"/>
          </w:tcPr>
          <w:p w14:paraId="443E00E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农区蝗虫植保飞防服务费</w:t>
            </w:r>
          </w:p>
          <w:p w14:paraId="0AD93BB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（包含飞防服务费和飞防生物药剂）</w:t>
            </w:r>
          </w:p>
        </w:tc>
        <w:tc>
          <w:tcPr>
            <w:tcW w:w="757" w:type="pct"/>
            <w:vAlign w:val="center"/>
          </w:tcPr>
          <w:p w14:paraId="564CECAE">
            <w:pPr>
              <w:pStyle w:val="79"/>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p>
        </w:tc>
        <w:tc>
          <w:tcPr>
            <w:tcW w:w="312" w:type="pct"/>
            <w:vAlign w:val="center"/>
          </w:tcPr>
          <w:p w14:paraId="3F9A7D7C">
            <w:pPr>
              <w:pStyle w:val="79"/>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5000亩</w:t>
            </w:r>
          </w:p>
        </w:tc>
        <w:tc>
          <w:tcPr>
            <w:tcW w:w="466" w:type="pct"/>
            <w:vAlign w:val="center"/>
          </w:tcPr>
          <w:p w14:paraId="5030B03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466" w:type="pct"/>
          </w:tcPr>
          <w:p w14:paraId="7EC3D72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650" w:type="pct"/>
          </w:tcPr>
          <w:p w14:paraId="7F68C1A6">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5379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2346" w:type="pct"/>
          </w:tcPr>
          <w:p w14:paraId="0636EEFB">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r>
              <w:rPr>
                <w:rFonts w:hint="eastAsia" w:ascii="宋体" w:hAnsi="宋体" w:eastAsia="宋体" w:cs="宋体"/>
                <w:sz w:val="24"/>
                <w:szCs w:val="24"/>
                <w:highlight w:val="none"/>
                <w:lang w:val="en-US" w:eastAsia="zh-CN"/>
              </w:rPr>
              <w:t>购买省级农作物病虫疫情智能化监测点仪器设备的升级改造和维护所需的材料和服务。硬件设备智能化升级，提升环境参数和病虫害识别的准确率；物联网与通信模块升级，田间监测点数据传输的稳定性，易耗品及日常维护保养，确保4个田间监测点正常运转。</w:t>
            </w:r>
          </w:p>
        </w:tc>
        <w:tc>
          <w:tcPr>
            <w:tcW w:w="757" w:type="pct"/>
            <w:vAlign w:val="center"/>
          </w:tcPr>
          <w:p w14:paraId="0370767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default"/>
                <w:color w:val="000000" w:themeColor="text1"/>
                <w:sz w:val="18"/>
                <w:szCs w:val="18"/>
                <w:highlight w:val="none"/>
                <w:lang w:val="en-US" w:eastAsia="zh-CN"/>
              </w:rPr>
            </w:pPr>
            <w:r>
              <w:rPr>
                <w:rFonts w:hint="eastAsia"/>
                <w:color w:val="000000" w:themeColor="text1"/>
                <w:sz w:val="18"/>
                <w:szCs w:val="18"/>
                <w:highlight w:val="none"/>
                <w:lang w:val="en-US" w:eastAsia="zh-CN"/>
              </w:rPr>
              <w:t>/</w:t>
            </w:r>
          </w:p>
        </w:tc>
        <w:tc>
          <w:tcPr>
            <w:tcW w:w="312" w:type="pct"/>
            <w:vAlign w:val="center"/>
          </w:tcPr>
          <w:p w14:paraId="78DA929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default" w:eastAsia="宋体"/>
                <w:color w:val="000000" w:themeColor="text1"/>
                <w:sz w:val="18"/>
                <w:szCs w:val="18"/>
                <w:highlight w:val="none"/>
                <w:lang w:val="en-US" w:eastAsia="zh-CN"/>
              </w:rPr>
            </w:pPr>
            <w:r>
              <w:rPr>
                <w:rFonts w:hint="eastAsia"/>
                <w:color w:val="000000" w:themeColor="text1"/>
                <w:sz w:val="18"/>
                <w:szCs w:val="18"/>
                <w:highlight w:val="none"/>
                <w:lang w:val="en-US" w:eastAsia="zh-CN"/>
              </w:rPr>
              <w:t>/</w:t>
            </w:r>
          </w:p>
        </w:tc>
        <w:tc>
          <w:tcPr>
            <w:tcW w:w="466" w:type="pct"/>
            <w:vAlign w:val="center"/>
          </w:tcPr>
          <w:p w14:paraId="3A21E3EA">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466" w:type="pct"/>
          </w:tcPr>
          <w:p w14:paraId="70AC0068">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650" w:type="pct"/>
          </w:tcPr>
          <w:p w14:paraId="57C3031F">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25D0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2346" w:type="pct"/>
            <w:vAlign w:val="center"/>
          </w:tcPr>
          <w:p w14:paraId="334F9BA7">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总计</w:t>
            </w:r>
          </w:p>
        </w:tc>
        <w:tc>
          <w:tcPr>
            <w:tcW w:w="2653" w:type="pct"/>
            <w:gridSpan w:val="5"/>
            <w:vAlign w:val="center"/>
          </w:tcPr>
          <w:p w14:paraId="641EB2A1">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大写：</w:t>
            </w:r>
          </w:p>
          <w:p w14:paraId="4D85131A">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小写：</w:t>
            </w:r>
          </w:p>
        </w:tc>
      </w:tr>
    </w:tbl>
    <w:p w14:paraId="437320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b/>
          <w:bCs/>
          <w:color w:val="auto"/>
          <w:sz w:val="30"/>
          <w:szCs w:val="30"/>
          <w:highlight w:val="none"/>
          <w:lang w:val="en-US" w:eastAsia="zh-CN"/>
        </w:rPr>
      </w:pPr>
    </w:p>
    <w:p w14:paraId="1F3E86A8">
      <w:pPr>
        <w:keepNext w:val="0"/>
        <w:keepLines w:val="0"/>
        <w:pageBreakBefore w:val="0"/>
        <w:widowControl/>
        <w:kinsoku w:val="0"/>
        <w:wordWrap/>
        <w:bidi w:val="0"/>
        <w:adjustRightInd w:val="0"/>
        <w:snapToGrid w:val="0"/>
        <w:spacing w:line="360" w:lineRule="auto"/>
        <w:ind w:left="0" w:leftChars="0" w:right="0" w:rightChars="0"/>
        <w:rPr>
          <w:rFonts w:ascii="宋体" w:hAnsi="宋体"/>
          <w:bCs/>
          <w:color w:val="auto"/>
          <w:sz w:val="24"/>
          <w:szCs w:val="24"/>
          <w:highlight w:val="none"/>
        </w:rPr>
      </w:pPr>
      <w:r>
        <w:rPr>
          <w:rFonts w:hint="eastAsia" w:ascii="宋体" w:hAnsi="宋体" w:cs="宋体"/>
          <w:color w:val="auto"/>
          <w:kern w:val="0"/>
          <w:sz w:val="24"/>
          <w:szCs w:val="20"/>
          <w:highlight w:val="none"/>
        </w:rPr>
        <w:t>说明：1.</w:t>
      </w:r>
      <w:r>
        <w:rPr>
          <w:rFonts w:hint="eastAsia" w:ascii="宋体" w:hAnsi="宋体"/>
          <w:bCs/>
          <w:color w:val="auto"/>
          <w:sz w:val="24"/>
          <w:szCs w:val="24"/>
          <w:highlight w:val="none"/>
        </w:rPr>
        <w:t xml:space="preserve"> 分项报价合计金额应与投标报价表一致。</w:t>
      </w:r>
    </w:p>
    <w:p w14:paraId="7C9FF9E2">
      <w:pPr>
        <w:keepNext w:val="0"/>
        <w:keepLines w:val="0"/>
        <w:pageBreakBefore w:val="0"/>
        <w:widowControl/>
        <w:numPr>
          <w:ilvl w:val="0"/>
          <w:numId w:val="6"/>
        </w:numPr>
        <w:kinsoku w:val="0"/>
        <w:wordWrap/>
        <w:bidi w:val="0"/>
        <w:adjustRightInd w:val="0"/>
        <w:snapToGrid w:val="0"/>
        <w:spacing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投标报价中包含此项目相关的所有费用。</w:t>
      </w:r>
    </w:p>
    <w:p w14:paraId="1CEBE651">
      <w:pPr>
        <w:keepNext w:val="0"/>
        <w:keepLines w:val="0"/>
        <w:pageBreakBefore w:val="0"/>
        <w:widowControl/>
        <w:numPr>
          <w:ilvl w:val="0"/>
          <w:numId w:val="6"/>
        </w:numPr>
        <w:kinsoku w:val="0"/>
        <w:wordWrap/>
        <w:bidi w:val="0"/>
        <w:adjustRightInd w:val="0"/>
        <w:snapToGrid w:val="0"/>
        <w:spacing w:line="360" w:lineRule="auto"/>
        <w:ind w:left="0" w:leftChars="0" w:right="0" w:righ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后附赤眼蜂主要技术参数及相关证明资料。</w:t>
      </w:r>
    </w:p>
    <w:p w14:paraId="26170CE5">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cs="宋体"/>
          <w:color w:val="auto"/>
          <w:sz w:val="24"/>
          <w:szCs w:val="24"/>
          <w:highlight w:val="none"/>
        </w:rPr>
      </w:pPr>
    </w:p>
    <w:p w14:paraId="3A94108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ascii="宋体" w:hAnsi="宋体" w:cs="宋体"/>
          <w:color w:val="auto"/>
          <w:kern w:val="0"/>
          <w:sz w:val="24"/>
          <w:szCs w:val="20"/>
          <w:highlight w:val="none"/>
          <w:u w:val="single"/>
        </w:rPr>
        <w:t xml:space="preserve">                      </w:t>
      </w:r>
    </w:p>
    <w:p w14:paraId="2D7FAC2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u w:val="single"/>
        </w:rPr>
      </w:pPr>
      <w:r>
        <w:rPr>
          <w:rFonts w:ascii="宋体" w:hAnsi="宋体" w:cs="宋体"/>
          <w:color w:val="auto"/>
          <w:kern w:val="0"/>
          <w:sz w:val="24"/>
          <w:szCs w:val="20"/>
          <w:highlight w:val="none"/>
        </w:rPr>
        <w:t>法定代表人（</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48EAC3BD">
      <w:pPr>
        <w:pStyle w:val="11"/>
        <w:keepNext w:val="0"/>
        <w:keepLines w:val="0"/>
        <w:pageBreakBefore w:val="0"/>
        <w:widowControl/>
        <w:tabs>
          <w:tab w:val="left" w:pos="6021"/>
          <w:tab w:val="left" w:pos="6652"/>
          <w:tab w:val="left" w:pos="7281"/>
        </w:tabs>
        <w:kinsoku w:val="0"/>
        <w:wordWrap/>
        <w:bidi w:val="0"/>
        <w:adjustRightInd w:val="0"/>
        <w:snapToGrid w:val="0"/>
        <w:spacing w:after="0" w:line="360" w:lineRule="auto"/>
        <w:ind w:left="0" w:leftChars="0" w:right="0" w:rightChars="0"/>
        <w:jc w:val="both"/>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2D3BE796">
      <w:pPr>
        <w:keepNext w:val="0"/>
        <w:keepLines w:val="0"/>
        <w:pageBreakBefore w:val="0"/>
        <w:widowControl/>
        <w:numPr>
          <w:ilvl w:val="0"/>
          <w:numId w:val="5"/>
        </w:numPr>
        <w:kinsoku w:val="0"/>
        <w:wordWrap/>
        <w:bidi w:val="0"/>
        <w:adjustRightInd w:val="0"/>
        <w:snapToGrid w:val="0"/>
        <w:spacing w:line="360" w:lineRule="auto"/>
        <w:ind w:left="0" w:leftChars="0" w:right="0" w:rightChars="0" w:firstLine="0" w:firstLineChars="0"/>
        <w:jc w:val="center"/>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t>技术偏离表</w:t>
      </w:r>
      <w:bookmarkEnd w:id="95"/>
    </w:p>
    <w:p w14:paraId="3EBEB2BE">
      <w:pPr>
        <w:keepNext w:val="0"/>
        <w:keepLines w:val="0"/>
        <w:pageBreakBefore w:val="0"/>
        <w:widowControl/>
        <w:numPr>
          <w:ilvl w:val="0"/>
          <w:numId w:val="0"/>
        </w:numPr>
        <w:kinsoku w:val="0"/>
        <w:wordWrap/>
        <w:bidi w:val="0"/>
        <w:adjustRightInd w:val="0"/>
        <w:snapToGrid w:val="0"/>
        <w:spacing w:line="360" w:lineRule="auto"/>
        <w:ind w:left="0" w:leftChars="0" w:right="0" w:rightChars="0"/>
        <w:jc w:val="both"/>
        <w:outlineLvl w:val="1"/>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一标段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37"/>
        <w:gridCol w:w="1894"/>
        <w:gridCol w:w="1894"/>
        <w:gridCol w:w="1517"/>
      </w:tblGrid>
      <w:tr w14:paraId="530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53AF954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3037" w:type="dxa"/>
            <w:tcBorders>
              <w:top w:val="double" w:color="auto" w:sz="4" w:space="0"/>
            </w:tcBorders>
            <w:noWrap w:val="0"/>
            <w:vAlign w:val="center"/>
          </w:tcPr>
          <w:p w14:paraId="4AB123A8">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投标产品</w:t>
            </w:r>
          </w:p>
        </w:tc>
        <w:tc>
          <w:tcPr>
            <w:tcW w:w="1894" w:type="dxa"/>
            <w:tcBorders>
              <w:top w:val="double" w:color="auto" w:sz="4" w:space="0"/>
            </w:tcBorders>
            <w:noWrap w:val="0"/>
            <w:vAlign w:val="center"/>
          </w:tcPr>
          <w:p w14:paraId="27B8BD0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招标文件要求</w:t>
            </w:r>
          </w:p>
        </w:tc>
        <w:tc>
          <w:tcPr>
            <w:tcW w:w="1894" w:type="dxa"/>
            <w:tcBorders>
              <w:top w:val="double" w:color="auto" w:sz="4" w:space="0"/>
            </w:tcBorders>
            <w:noWrap w:val="0"/>
            <w:vAlign w:val="center"/>
          </w:tcPr>
          <w:p w14:paraId="2D9E471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投标文件响应</w:t>
            </w:r>
          </w:p>
        </w:tc>
        <w:tc>
          <w:tcPr>
            <w:tcW w:w="1517" w:type="dxa"/>
            <w:tcBorders>
              <w:top w:val="double" w:color="auto" w:sz="4" w:space="0"/>
              <w:right w:val="double" w:color="auto" w:sz="4" w:space="0"/>
            </w:tcBorders>
            <w:noWrap w:val="0"/>
            <w:vAlign w:val="center"/>
          </w:tcPr>
          <w:p w14:paraId="5FCE50F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偏离说明</w:t>
            </w:r>
          </w:p>
        </w:tc>
      </w:tr>
      <w:tr w14:paraId="6F7E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9BF4D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3037" w:type="dxa"/>
            <w:noWrap w:val="0"/>
            <w:vAlign w:val="center"/>
          </w:tcPr>
          <w:p w14:paraId="31F74A0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40%唑醚·戊唑醇悬浮剂</w:t>
            </w:r>
          </w:p>
        </w:tc>
        <w:tc>
          <w:tcPr>
            <w:tcW w:w="1894" w:type="dxa"/>
            <w:noWrap w:val="0"/>
            <w:vAlign w:val="center"/>
          </w:tcPr>
          <w:p w14:paraId="1BEAC1DA">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94" w:type="dxa"/>
            <w:noWrap w:val="0"/>
            <w:vAlign w:val="center"/>
          </w:tcPr>
          <w:p w14:paraId="74BE4C9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17" w:type="dxa"/>
            <w:tcBorders>
              <w:right w:val="double" w:color="auto" w:sz="4" w:space="0"/>
            </w:tcBorders>
            <w:noWrap w:val="0"/>
            <w:vAlign w:val="center"/>
          </w:tcPr>
          <w:p w14:paraId="04EDA89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24F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469E1F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3037" w:type="dxa"/>
            <w:noWrap w:val="0"/>
            <w:vAlign w:val="center"/>
          </w:tcPr>
          <w:p w14:paraId="7BFC7D4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14%氯虫·高氯氟微囊悬浮</w:t>
            </w:r>
            <w:r>
              <w:rPr>
                <w:rFonts w:hint="eastAsia" w:ascii="宋体" w:hAnsi="宋体" w:eastAsia="宋体" w:cs="宋体"/>
                <w:sz w:val="28"/>
                <w:szCs w:val="28"/>
                <w:highlight w:val="none"/>
                <w:lang w:eastAsia="zh-CN"/>
              </w:rPr>
              <w:t>-悬浮</w:t>
            </w:r>
            <w:r>
              <w:rPr>
                <w:rFonts w:hint="eastAsia" w:ascii="宋体" w:hAnsi="宋体" w:eastAsia="宋体" w:cs="宋体"/>
                <w:sz w:val="28"/>
                <w:szCs w:val="28"/>
                <w:highlight w:val="none"/>
                <w:lang w:val="en-US" w:eastAsia="zh-CN"/>
              </w:rPr>
              <w:t>剂</w:t>
            </w:r>
          </w:p>
        </w:tc>
        <w:tc>
          <w:tcPr>
            <w:tcW w:w="1894" w:type="dxa"/>
            <w:noWrap w:val="0"/>
            <w:vAlign w:val="center"/>
          </w:tcPr>
          <w:p w14:paraId="2A295F4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94" w:type="dxa"/>
            <w:noWrap w:val="0"/>
            <w:vAlign w:val="center"/>
          </w:tcPr>
          <w:p w14:paraId="388C8BF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17" w:type="dxa"/>
            <w:tcBorders>
              <w:right w:val="double" w:color="auto" w:sz="4" w:space="0"/>
            </w:tcBorders>
            <w:noWrap w:val="0"/>
            <w:vAlign w:val="center"/>
          </w:tcPr>
          <w:p w14:paraId="208A1162">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45E9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5A2C75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3037" w:type="dxa"/>
            <w:noWrap w:val="0"/>
            <w:vAlign w:val="center"/>
          </w:tcPr>
          <w:p w14:paraId="2AB4286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27%苯醚·咯·噻虫悬浮种衣剂</w:t>
            </w:r>
          </w:p>
        </w:tc>
        <w:tc>
          <w:tcPr>
            <w:tcW w:w="1894" w:type="dxa"/>
            <w:noWrap w:val="0"/>
            <w:vAlign w:val="center"/>
          </w:tcPr>
          <w:p w14:paraId="6609A62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94" w:type="dxa"/>
            <w:noWrap w:val="0"/>
            <w:vAlign w:val="center"/>
          </w:tcPr>
          <w:p w14:paraId="252209C9">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17" w:type="dxa"/>
            <w:tcBorders>
              <w:right w:val="double" w:color="auto" w:sz="4" w:space="0"/>
            </w:tcBorders>
            <w:noWrap w:val="0"/>
            <w:vAlign w:val="center"/>
          </w:tcPr>
          <w:p w14:paraId="67FA47B4">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bl>
    <w:p w14:paraId="1685432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snapToGrid w:val="0"/>
          <w:color w:val="auto"/>
          <w:kern w:val="0"/>
          <w:sz w:val="24"/>
          <w:highlight w:val="none"/>
        </w:rPr>
      </w:pPr>
    </w:p>
    <w:p w14:paraId="5CAF612F">
      <w:pPr>
        <w:keepNext w:val="0"/>
        <w:keepLines w:val="0"/>
        <w:pageBreakBefore w:val="0"/>
        <w:widowControl/>
        <w:numPr>
          <w:ilvl w:val="0"/>
          <w:numId w:val="0"/>
        </w:numPr>
        <w:kinsoku w:val="0"/>
        <w:wordWrap/>
        <w:bidi w:val="0"/>
        <w:adjustRightInd w:val="0"/>
        <w:snapToGrid w:val="0"/>
        <w:spacing w:line="360" w:lineRule="auto"/>
        <w:ind w:left="0" w:leftChars="0" w:right="0" w:rightChars="0"/>
        <w:jc w:val="both"/>
        <w:outlineLvl w:val="1"/>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二标段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37"/>
        <w:gridCol w:w="1894"/>
        <w:gridCol w:w="1875"/>
        <w:gridCol w:w="1536"/>
      </w:tblGrid>
      <w:tr w14:paraId="3EBA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20B039BC">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3037" w:type="dxa"/>
            <w:tcBorders>
              <w:top w:val="double" w:color="auto" w:sz="4" w:space="0"/>
            </w:tcBorders>
            <w:noWrap w:val="0"/>
            <w:vAlign w:val="center"/>
          </w:tcPr>
          <w:p w14:paraId="470F1631">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投标产品</w:t>
            </w:r>
          </w:p>
        </w:tc>
        <w:tc>
          <w:tcPr>
            <w:tcW w:w="1894" w:type="dxa"/>
            <w:tcBorders>
              <w:top w:val="double" w:color="auto" w:sz="4" w:space="0"/>
            </w:tcBorders>
            <w:noWrap w:val="0"/>
            <w:vAlign w:val="center"/>
          </w:tcPr>
          <w:p w14:paraId="5ABE935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招标文件要求</w:t>
            </w:r>
          </w:p>
        </w:tc>
        <w:tc>
          <w:tcPr>
            <w:tcW w:w="1875" w:type="dxa"/>
            <w:tcBorders>
              <w:top w:val="double" w:color="auto" w:sz="4" w:space="0"/>
            </w:tcBorders>
            <w:noWrap w:val="0"/>
            <w:vAlign w:val="center"/>
          </w:tcPr>
          <w:p w14:paraId="6D67804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投标文件响应</w:t>
            </w:r>
          </w:p>
        </w:tc>
        <w:tc>
          <w:tcPr>
            <w:tcW w:w="1536" w:type="dxa"/>
            <w:tcBorders>
              <w:top w:val="double" w:color="auto" w:sz="4" w:space="0"/>
              <w:right w:val="double" w:color="auto" w:sz="4" w:space="0"/>
            </w:tcBorders>
            <w:noWrap w:val="0"/>
            <w:vAlign w:val="center"/>
          </w:tcPr>
          <w:p w14:paraId="1BB6EBB8">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偏离说明</w:t>
            </w:r>
          </w:p>
        </w:tc>
      </w:tr>
      <w:tr w14:paraId="172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52B0DF3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3037" w:type="dxa"/>
            <w:noWrap w:val="0"/>
            <w:vAlign w:val="center"/>
          </w:tcPr>
          <w:p w14:paraId="79498CB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玉米生物防治（每亩使用无人机释放赤眼蜂4个点共1万头）</w:t>
            </w:r>
          </w:p>
        </w:tc>
        <w:tc>
          <w:tcPr>
            <w:tcW w:w="1894" w:type="dxa"/>
            <w:noWrap w:val="0"/>
            <w:vAlign w:val="center"/>
          </w:tcPr>
          <w:p w14:paraId="0BF2268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75" w:type="dxa"/>
            <w:noWrap w:val="0"/>
            <w:vAlign w:val="center"/>
          </w:tcPr>
          <w:p w14:paraId="2A814C64">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36" w:type="dxa"/>
            <w:tcBorders>
              <w:right w:val="double" w:color="auto" w:sz="4" w:space="0"/>
            </w:tcBorders>
            <w:noWrap w:val="0"/>
            <w:vAlign w:val="center"/>
          </w:tcPr>
          <w:p w14:paraId="51755F5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066B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62B77FA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3037" w:type="dxa"/>
            <w:noWrap w:val="0"/>
            <w:vAlign w:val="center"/>
          </w:tcPr>
          <w:p w14:paraId="1387B13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农区蝗虫植保飞防服务费</w:t>
            </w:r>
          </w:p>
          <w:p w14:paraId="71020FA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（包含飞防服务费和飞防生物药剂）</w:t>
            </w:r>
          </w:p>
        </w:tc>
        <w:tc>
          <w:tcPr>
            <w:tcW w:w="1894" w:type="dxa"/>
            <w:noWrap w:val="0"/>
            <w:vAlign w:val="center"/>
          </w:tcPr>
          <w:p w14:paraId="758710FD">
            <w:pPr>
              <w:pStyle w:val="79"/>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ascii="宋体" w:hAnsi="宋体" w:cs="宋体"/>
                <w:bCs/>
                <w:color w:val="auto"/>
                <w:szCs w:val="21"/>
                <w:highlight w:val="none"/>
              </w:rPr>
            </w:pPr>
          </w:p>
        </w:tc>
        <w:tc>
          <w:tcPr>
            <w:tcW w:w="1875" w:type="dxa"/>
            <w:noWrap w:val="0"/>
            <w:vAlign w:val="center"/>
          </w:tcPr>
          <w:p w14:paraId="4307D70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36" w:type="dxa"/>
            <w:tcBorders>
              <w:right w:val="double" w:color="auto" w:sz="4" w:space="0"/>
            </w:tcBorders>
            <w:noWrap w:val="0"/>
            <w:vAlign w:val="center"/>
          </w:tcPr>
          <w:p w14:paraId="0550A353">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0BC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12A2B8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3037" w:type="dxa"/>
            <w:noWrap w:val="0"/>
            <w:vAlign w:val="top"/>
          </w:tcPr>
          <w:p w14:paraId="1A2F00B9">
            <w:pPr>
              <w:pStyle w:val="97"/>
              <w:keepNext w:val="0"/>
              <w:keepLines w:val="0"/>
              <w:pageBreakBefore w:val="0"/>
              <w:widowControl/>
              <w:kinsoku w:val="0"/>
              <w:wordWrap/>
              <w:bidi w:val="0"/>
              <w:adjustRightInd w:val="0"/>
              <w:snapToGrid w:val="0"/>
              <w:spacing w:line="360" w:lineRule="auto"/>
              <w:ind w:left="0" w:leftChars="0" w:right="0" w:rightChars="0"/>
              <w:rPr>
                <w:rFonts w:ascii="宋体" w:hAnsi="宋体" w:cs="宋体"/>
                <w:bCs/>
                <w:color w:val="auto"/>
                <w:szCs w:val="21"/>
                <w:highlight w:val="none"/>
              </w:rPr>
            </w:pPr>
            <w:r>
              <w:rPr>
                <w:rFonts w:hint="eastAsia" w:ascii="宋体" w:hAnsi="宋体" w:eastAsia="宋体" w:cs="宋体"/>
                <w:sz w:val="28"/>
                <w:szCs w:val="28"/>
                <w:highlight w:val="none"/>
                <w:lang w:val="en-US" w:eastAsia="zh-CN"/>
              </w:rPr>
              <w:t>购买省级农作物病虫疫情智能化监测点仪器设备的升级改造和维护所需的材料和服务。硬件设备智能化升级，提升环境参数和病虫害识别的准确率；物联网与通信模块升级，田间监测点数据传输的稳定性，易耗品及日常维护保养，确保4个田间监测点正常运转。</w:t>
            </w:r>
          </w:p>
        </w:tc>
        <w:tc>
          <w:tcPr>
            <w:tcW w:w="1894" w:type="dxa"/>
            <w:noWrap w:val="0"/>
            <w:vAlign w:val="center"/>
          </w:tcPr>
          <w:p w14:paraId="7CA7589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75" w:type="dxa"/>
            <w:noWrap w:val="0"/>
            <w:vAlign w:val="center"/>
          </w:tcPr>
          <w:p w14:paraId="5D502AD9">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36" w:type="dxa"/>
            <w:tcBorders>
              <w:right w:val="double" w:color="auto" w:sz="4" w:space="0"/>
            </w:tcBorders>
            <w:noWrap w:val="0"/>
            <w:vAlign w:val="center"/>
          </w:tcPr>
          <w:p w14:paraId="3201EB6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bl>
    <w:p w14:paraId="7A5AD79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snapToGrid w:val="0"/>
          <w:color w:val="auto"/>
          <w:kern w:val="0"/>
          <w:sz w:val="24"/>
          <w:highlight w:val="none"/>
        </w:rPr>
      </w:pPr>
    </w:p>
    <w:p w14:paraId="0A81876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保证：除偏离表列出的偏差外，</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达到招标文件的全部要求。</w:t>
      </w:r>
    </w:p>
    <w:p w14:paraId="0800B1EC">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C1F1834">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06BB3F50">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52056D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44E08FEA">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color w:val="auto"/>
          <w:sz w:val="32"/>
          <w:szCs w:val="32"/>
          <w:highlight w:val="none"/>
        </w:rPr>
      </w:pPr>
      <w:bookmarkStart w:id="96" w:name="_Toc3829"/>
      <w:bookmarkStart w:id="97" w:name="_Toc30175"/>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、投标承诺函</w:t>
      </w:r>
      <w:bookmarkEnd w:id="94"/>
      <w:bookmarkEnd w:id="96"/>
      <w:bookmarkEnd w:id="97"/>
    </w:p>
    <w:p w14:paraId="367DF07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致 （采购人）：</w:t>
      </w:r>
    </w:p>
    <w:p w14:paraId="372A399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我公司作为本次采购项目的</w:t>
      </w:r>
      <w:r>
        <w:rPr>
          <w:rFonts w:hint="eastAsia" w:ascii="宋体" w:hAnsi="宋体" w:cs="宋体"/>
          <w:color w:val="auto"/>
          <w:szCs w:val="24"/>
          <w:highlight w:val="none"/>
        </w:rPr>
        <w:t>供应商</w:t>
      </w:r>
      <w:r>
        <w:rPr>
          <w:rFonts w:hint="eastAsia" w:ascii="宋体" w:hAnsi="宋体" w:cs="宋体"/>
          <w:color w:val="auto"/>
          <w:highlight w:val="none"/>
        </w:rPr>
        <w:t>，根据竞争性磋商文件要求，现郑重承诺如下：</w:t>
      </w:r>
    </w:p>
    <w:p w14:paraId="48810C0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一、具备《中华人民共和国政府采购法》第二十二条第一款和本项目规定的条件：</w:t>
      </w:r>
    </w:p>
    <w:p w14:paraId="1405393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（一）具有独立承担民事责任的能力；</w:t>
      </w:r>
    </w:p>
    <w:p w14:paraId="385D83E1">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（二）具有良好的商业信誉和健全的财务会计制度；</w:t>
      </w:r>
    </w:p>
    <w:p w14:paraId="0AA4C91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（三）具有履行合同所必需的设备和专业技术能力；</w:t>
      </w:r>
    </w:p>
    <w:p w14:paraId="339168C1">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（四）有依法缴纳税收和社会保障资金的良好记录；</w:t>
      </w:r>
    </w:p>
    <w:p w14:paraId="112C0CD5">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（五）参加政府采购活动前三年内，在经营活动中没有重大违法记录；</w:t>
      </w:r>
    </w:p>
    <w:p w14:paraId="2B997A2F">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（六）法律、行政法规规定的其他条件；</w:t>
      </w:r>
    </w:p>
    <w:p w14:paraId="761227D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（七）根据采购项目提出的特殊条件。</w:t>
      </w:r>
    </w:p>
    <w:p w14:paraId="4DD73E0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69E87EF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三、参加本次招标采购活动，不存在与单位负责人为同一人或者存在直接控股、管理关系的其他供应商参与同一合同项下的政府采购活动的行为。</w:t>
      </w:r>
    </w:p>
    <w:p w14:paraId="19852B0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四、参加本次招标采购活动，不存在为采购项目提供整体设计、规范编制或者项目管理、监理、检测等服务的行为。</w:t>
      </w:r>
    </w:p>
    <w:p w14:paraId="1BF0465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五、参加本次招标采购活动，不存在和其他供应商在同一合同项下的采购项目中，同时委托同一个自然人、同一家庭的人员、同一单位的人员作为代理人的行为。</w:t>
      </w:r>
    </w:p>
    <w:p w14:paraId="1F638F4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六、供应商参加本次政府采购活动要求在近三年内供应商和其法定代表人没有行贿犯罪行为。</w:t>
      </w:r>
    </w:p>
    <w:p w14:paraId="10BF4F9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七、参加本次招标采购活动，不存在联合体投标。</w:t>
      </w:r>
    </w:p>
    <w:p w14:paraId="77C76F49">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八、</w:t>
      </w:r>
      <w:r>
        <w:rPr>
          <w:rFonts w:hint="eastAsia" w:ascii="宋体" w:hAnsi="宋体" w:cs="宋体"/>
          <w:color w:val="auto"/>
          <w:highlight w:val="none"/>
          <w:lang w:eastAsia="zh-CN"/>
        </w:rPr>
        <w:t>投标文件</w:t>
      </w:r>
      <w:r>
        <w:rPr>
          <w:rFonts w:hint="eastAsia" w:ascii="宋体" w:hAnsi="宋体" w:cs="宋体"/>
          <w:color w:val="auto"/>
          <w:highlight w:val="none"/>
        </w:rPr>
        <w:t>中提供的能够给予我公司带来优惠、好处的任何材料资料和技术、服务、商务等响应承诺情况都是镇实的、有效的、合法的。</w:t>
      </w:r>
    </w:p>
    <w:p w14:paraId="4152D2A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391D2A9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十、存在以下行为之一的愿意接受相关部门的处理：</w:t>
      </w:r>
    </w:p>
    <w:p w14:paraId="6FEE2A8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（一）投标有效期内撤销</w:t>
      </w:r>
      <w:r>
        <w:rPr>
          <w:rFonts w:hint="eastAsia" w:ascii="宋体" w:hAnsi="宋体" w:cs="宋体"/>
          <w:color w:val="auto"/>
          <w:highlight w:val="none"/>
          <w:lang w:eastAsia="zh-CN"/>
        </w:rPr>
        <w:t>投标文件</w:t>
      </w:r>
      <w:r>
        <w:rPr>
          <w:rFonts w:hint="eastAsia" w:ascii="宋体" w:hAnsi="宋体" w:cs="宋体"/>
          <w:color w:val="auto"/>
          <w:highlight w:val="none"/>
        </w:rPr>
        <w:t>的；</w:t>
      </w:r>
    </w:p>
    <w:p w14:paraId="6366755B">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（二）在采购人确定中标人以前放弃中标候选资格的；</w:t>
      </w:r>
    </w:p>
    <w:p w14:paraId="52F8F79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（三）由于中标人的原因未能按照竞争性磋商文件的规定与采购人签订合同；</w:t>
      </w:r>
    </w:p>
    <w:p w14:paraId="60F5A32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（四）由于中标人的原因未能按照竞争性磋商文件的规定交纳履约保证金；</w:t>
      </w:r>
    </w:p>
    <w:p w14:paraId="72DB2AC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（五）在</w:t>
      </w:r>
      <w:r>
        <w:rPr>
          <w:rFonts w:hint="eastAsia" w:ascii="宋体" w:hAnsi="宋体" w:cs="宋体"/>
          <w:color w:val="auto"/>
          <w:highlight w:val="none"/>
          <w:lang w:eastAsia="zh-CN"/>
        </w:rPr>
        <w:t>投标文件</w:t>
      </w:r>
      <w:r>
        <w:rPr>
          <w:rFonts w:hint="eastAsia" w:ascii="宋体" w:hAnsi="宋体" w:cs="宋体"/>
          <w:color w:val="auto"/>
          <w:highlight w:val="none"/>
        </w:rPr>
        <w:t>中提供虚假材料谋取中标；</w:t>
      </w:r>
    </w:p>
    <w:p w14:paraId="12196AA5">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（六）与采购人、其他供应商或者采购代理机构恶意串通的；</w:t>
      </w:r>
    </w:p>
    <w:p w14:paraId="211B024B">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（七）投标有效期内，供应商在政府采购活动中有违法、违规、违纪行为。</w:t>
      </w:r>
    </w:p>
    <w:p w14:paraId="4BE5EA24">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由此产生的一切法律后果和责任由我公司承担。我公司声明放弃对此提出任何异议和追索的权利。</w:t>
      </w:r>
    </w:p>
    <w:p w14:paraId="58EEEFC8">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本公司对上述承诺的内容事项镇实性负责。如经查实上述承诺的内容事项存在虚假，我公司愿意接受以提供虚假材料谋取中标追究法律责任。</w:t>
      </w:r>
    </w:p>
    <w:p w14:paraId="385B965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00D16338">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64D5BF80">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2FE4DB91">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3AE964A7">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510E829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56DE7317">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21ABAE4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sz w:val="32"/>
          <w:szCs w:val="32"/>
          <w:highlight w:val="none"/>
        </w:rPr>
      </w:pPr>
      <w:bookmarkStart w:id="98" w:name="_Toc31350"/>
      <w:r>
        <w:rPr>
          <w:rFonts w:hint="eastAsia" w:ascii="宋体" w:hAnsi="宋体" w:cs="宋体"/>
          <w:b/>
          <w:color w:val="auto"/>
          <w:sz w:val="32"/>
          <w:szCs w:val="32"/>
          <w:highlight w:val="none"/>
        </w:rPr>
        <w:br w:type="page"/>
      </w:r>
    </w:p>
    <w:bookmarkEnd w:id="98"/>
    <w:p w14:paraId="238A8DB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供应商资格审查证明文件</w:t>
      </w:r>
    </w:p>
    <w:p w14:paraId="3D8D32D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（一）供应商基本情况一览表</w:t>
      </w:r>
    </w:p>
    <w:p w14:paraId="4D40F7CC">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000000"/>
          <w:sz w:val="24"/>
          <w:highlight w:val="none"/>
        </w:rPr>
      </w:pPr>
    </w:p>
    <w:tbl>
      <w:tblPr>
        <w:tblStyle w:val="28"/>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34"/>
        <w:gridCol w:w="2485"/>
        <w:gridCol w:w="1243"/>
        <w:gridCol w:w="2488"/>
      </w:tblGrid>
      <w:tr w14:paraId="3B28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9" w:type="dxa"/>
            <w:noWrap w:val="0"/>
            <w:vAlign w:val="center"/>
          </w:tcPr>
          <w:p w14:paraId="6487252D">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名称</w:t>
            </w:r>
          </w:p>
        </w:tc>
        <w:tc>
          <w:tcPr>
            <w:tcW w:w="7250" w:type="dxa"/>
            <w:gridSpan w:val="4"/>
            <w:noWrap w:val="0"/>
            <w:vAlign w:val="center"/>
          </w:tcPr>
          <w:p w14:paraId="0ACB01D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3D37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34E651FB">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注册地址</w:t>
            </w:r>
          </w:p>
        </w:tc>
        <w:tc>
          <w:tcPr>
            <w:tcW w:w="3519" w:type="dxa"/>
            <w:gridSpan w:val="2"/>
            <w:noWrap w:val="0"/>
            <w:vAlign w:val="center"/>
          </w:tcPr>
          <w:p w14:paraId="0DF9B30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6DB27BC1">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邮政编码</w:t>
            </w:r>
          </w:p>
        </w:tc>
        <w:tc>
          <w:tcPr>
            <w:tcW w:w="2488" w:type="dxa"/>
            <w:noWrap w:val="0"/>
            <w:vAlign w:val="center"/>
          </w:tcPr>
          <w:p w14:paraId="699DC069">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4980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24D73352">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联系方式</w:t>
            </w:r>
          </w:p>
        </w:tc>
        <w:tc>
          <w:tcPr>
            <w:tcW w:w="1034" w:type="dxa"/>
            <w:noWrap w:val="0"/>
            <w:vAlign w:val="center"/>
          </w:tcPr>
          <w:p w14:paraId="7149A683">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联系人</w:t>
            </w:r>
          </w:p>
        </w:tc>
        <w:tc>
          <w:tcPr>
            <w:tcW w:w="2485" w:type="dxa"/>
            <w:noWrap w:val="0"/>
            <w:vAlign w:val="center"/>
          </w:tcPr>
          <w:p w14:paraId="7ED7799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4473363F">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 话</w:t>
            </w:r>
          </w:p>
        </w:tc>
        <w:tc>
          <w:tcPr>
            <w:tcW w:w="2488" w:type="dxa"/>
            <w:noWrap w:val="0"/>
            <w:vAlign w:val="center"/>
          </w:tcPr>
          <w:p w14:paraId="74BE9A9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6629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69275596">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法定代表人</w:t>
            </w:r>
          </w:p>
        </w:tc>
        <w:tc>
          <w:tcPr>
            <w:tcW w:w="1034" w:type="dxa"/>
            <w:noWrap w:val="0"/>
            <w:vAlign w:val="center"/>
          </w:tcPr>
          <w:p w14:paraId="1C4F3B7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姓名</w:t>
            </w:r>
          </w:p>
        </w:tc>
        <w:tc>
          <w:tcPr>
            <w:tcW w:w="2485" w:type="dxa"/>
            <w:noWrap w:val="0"/>
            <w:vAlign w:val="center"/>
          </w:tcPr>
          <w:p w14:paraId="2768619F">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3BAAF4C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电话</w:t>
            </w:r>
          </w:p>
        </w:tc>
        <w:tc>
          <w:tcPr>
            <w:tcW w:w="2488" w:type="dxa"/>
            <w:noWrap w:val="0"/>
            <w:vAlign w:val="center"/>
          </w:tcPr>
          <w:p w14:paraId="5E5EBFB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002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79B61EE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成立时间</w:t>
            </w:r>
          </w:p>
        </w:tc>
        <w:tc>
          <w:tcPr>
            <w:tcW w:w="7250" w:type="dxa"/>
            <w:gridSpan w:val="4"/>
            <w:noWrap w:val="0"/>
            <w:vAlign w:val="center"/>
          </w:tcPr>
          <w:p w14:paraId="73F7D76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570C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449" w:type="dxa"/>
            <w:noWrap w:val="0"/>
            <w:vAlign w:val="center"/>
          </w:tcPr>
          <w:p w14:paraId="7CBEC156">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lang w:val="en-US" w:eastAsia="zh-CN"/>
              </w:rPr>
            </w:pPr>
            <w:r>
              <w:rPr>
                <w:rFonts w:hint="eastAsia" w:ascii="宋体" w:hAnsi="宋体" w:eastAsia="宋体" w:cs="宋体"/>
                <w:kern w:val="0"/>
                <w:szCs w:val="21"/>
                <w:highlight w:val="none"/>
                <w:lang w:val="en-US" w:eastAsia="zh-CN"/>
              </w:rPr>
              <w:t>统一社会信用代码</w:t>
            </w:r>
          </w:p>
        </w:tc>
        <w:tc>
          <w:tcPr>
            <w:tcW w:w="7250" w:type="dxa"/>
            <w:gridSpan w:val="4"/>
            <w:noWrap w:val="0"/>
            <w:vAlign w:val="center"/>
          </w:tcPr>
          <w:p w14:paraId="283F983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FC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2D280CA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注册</w:t>
            </w:r>
            <w:r>
              <w:rPr>
                <w:rFonts w:hint="eastAsia" w:ascii="宋体" w:hAnsi="宋体" w:eastAsia="宋体" w:cs="宋体"/>
                <w:kern w:val="0"/>
                <w:szCs w:val="21"/>
                <w:highlight w:val="none"/>
              </w:rPr>
              <w:t>资金</w:t>
            </w:r>
          </w:p>
        </w:tc>
        <w:tc>
          <w:tcPr>
            <w:tcW w:w="7250" w:type="dxa"/>
            <w:gridSpan w:val="4"/>
            <w:noWrap w:val="0"/>
            <w:vAlign w:val="center"/>
          </w:tcPr>
          <w:p w14:paraId="490E4ED9">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73C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78D6F49E">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开户银行</w:t>
            </w:r>
          </w:p>
        </w:tc>
        <w:tc>
          <w:tcPr>
            <w:tcW w:w="7250" w:type="dxa"/>
            <w:gridSpan w:val="4"/>
            <w:noWrap w:val="0"/>
            <w:vAlign w:val="center"/>
          </w:tcPr>
          <w:p w14:paraId="3B84DB9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727C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75B456B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账号</w:t>
            </w:r>
          </w:p>
        </w:tc>
        <w:tc>
          <w:tcPr>
            <w:tcW w:w="7250" w:type="dxa"/>
            <w:gridSpan w:val="4"/>
            <w:noWrap w:val="0"/>
            <w:vAlign w:val="center"/>
          </w:tcPr>
          <w:p w14:paraId="7D580E57">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315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449" w:type="dxa"/>
            <w:noWrap w:val="0"/>
            <w:vAlign w:val="center"/>
          </w:tcPr>
          <w:p w14:paraId="58695CFE">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经营</w:t>
            </w:r>
            <w:r>
              <w:rPr>
                <w:rFonts w:hint="eastAsia" w:ascii="宋体" w:hAnsi="宋体" w:eastAsia="宋体" w:cs="宋体"/>
                <w:kern w:val="0"/>
                <w:szCs w:val="21"/>
                <w:highlight w:val="none"/>
              </w:rPr>
              <w:t>范围</w:t>
            </w:r>
          </w:p>
        </w:tc>
        <w:tc>
          <w:tcPr>
            <w:tcW w:w="7250" w:type="dxa"/>
            <w:gridSpan w:val="4"/>
            <w:noWrap w:val="0"/>
            <w:vAlign w:val="center"/>
          </w:tcPr>
          <w:p w14:paraId="6F96C8B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491C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49" w:type="dxa"/>
            <w:noWrap w:val="0"/>
            <w:vAlign w:val="center"/>
          </w:tcPr>
          <w:p w14:paraId="0685A4B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备注</w:t>
            </w:r>
          </w:p>
        </w:tc>
        <w:tc>
          <w:tcPr>
            <w:tcW w:w="7250" w:type="dxa"/>
            <w:gridSpan w:val="4"/>
            <w:noWrap w:val="0"/>
            <w:vAlign w:val="center"/>
          </w:tcPr>
          <w:p w14:paraId="7397E75B">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bl>
    <w:p w14:paraId="099FF485">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rPr>
      </w:pPr>
    </w:p>
    <w:p w14:paraId="0ECBE0AF">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rPr>
      </w:pPr>
    </w:p>
    <w:p w14:paraId="5C66D7E0">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lang w:eastAsia="zh-CN"/>
        </w:rPr>
      </w:pPr>
    </w:p>
    <w:p w14:paraId="2425CE86">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lang w:eastAsia="zh-CN"/>
        </w:rPr>
      </w:pPr>
    </w:p>
    <w:p w14:paraId="065AA214">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lang w:eastAsia="zh-CN"/>
        </w:rPr>
      </w:pPr>
    </w:p>
    <w:p w14:paraId="6CD082D7">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rPr>
      </w:pPr>
    </w:p>
    <w:p w14:paraId="31BF5655">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（二）供应商资格审查资料</w:t>
      </w:r>
    </w:p>
    <w:p w14:paraId="78C37D6A">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firstLine="640"/>
        <w:jc w:val="left"/>
        <w:rPr>
          <w:rFonts w:hint="eastAsia" w:ascii="宋体" w:hAnsi="宋体" w:eastAsia="宋体" w:cs="宋体"/>
          <w:color w:val="000000"/>
          <w:sz w:val="28"/>
          <w:szCs w:val="28"/>
          <w:highlight w:val="none"/>
        </w:rPr>
      </w:pPr>
      <w:r>
        <w:rPr>
          <w:rFonts w:hint="eastAsia" w:ascii="宋体" w:hAnsi="宋体" w:eastAsia="宋体" w:cs="宋体"/>
          <w:kern w:val="0"/>
          <w:sz w:val="24"/>
          <w:highlight w:val="none"/>
          <w:shd w:val="clear" w:color="auto" w:fill="FFFFFF"/>
        </w:rPr>
        <w:t>供应商资格要求</w:t>
      </w:r>
    </w:p>
    <w:p w14:paraId="76258079">
      <w:pPr>
        <w:pStyle w:val="4"/>
        <w:keepNext w:val="0"/>
        <w:keepLines w:val="0"/>
        <w:pageBreakBefore w:val="0"/>
        <w:widowControl/>
        <w:numPr>
          <w:ilvl w:val="1"/>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color w:val="000000"/>
          <w:sz w:val="28"/>
          <w:szCs w:val="28"/>
          <w:highlight w:val="none"/>
        </w:rPr>
      </w:pPr>
    </w:p>
    <w:p w14:paraId="64B1E6E6">
      <w:pPr>
        <w:pStyle w:val="4"/>
        <w:keepNext w:val="0"/>
        <w:keepLines w:val="0"/>
        <w:pageBreakBefore w:val="0"/>
        <w:widowControl/>
        <w:numPr>
          <w:ilvl w:val="1"/>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color w:val="000000"/>
          <w:sz w:val="28"/>
          <w:szCs w:val="28"/>
          <w:highlight w:val="none"/>
        </w:rPr>
      </w:pPr>
    </w:p>
    <w:p w14:paraId="1E6439CA">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B561F3A">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w:t>
      </w:r>
    </w:p>
    <w:p w14:paraId="2A5822C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满足《中华人民共和国政府采购法》第二十二条规定的承诺书</w:t>
      </w:r>
    </w:p>
    <w:p w14:paraId="3D5F7C2D">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14CB360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61B7E55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3D14B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1C90D0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5CC3ADE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6B1DFCD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1730DBE3">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02A7D79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七、我单位具备法律、行政法规规定的其他条件。</w:t>
      </w:r>
    </w:p>
    <w:p w14:paraId="68D0D030">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28B47A35">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C76AC0E">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507577B2">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5F95EB7C">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417AD489">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07BC6670">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2AAAE4D5">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3521BDCA">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388497F4">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67CC848A">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041C2EA7">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center"/>
        <w:textAlignment w:val="baseline"/>
        <w:rPr>
          <w:rFonts w:hint="eastAsia" w:ascii="宋体" w:hAnsi="宋体" w:eastAsia="宋体" w:cs="宋体"/>
          <w:b/>
          <w:kern w:val="0"/>
          <w:sz w:val="24"/>
          <w:highlight w:val="none"/>
          <w:lang w:val="zh-CN" w:eastAsia="zh-CN"/>
        </w:rPr>
      </w:pPr>
    </w:p>
    <w:p w14:paraId="12A937B8">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3F6EC57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21A212ED">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6F116F87">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szCs w:val="24"/>
          <w:highlight w:val="none"/>
        </w:rPr>
      </w:pPr>
    </w:p>
    <w:p w14:paraId="38A49592">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szCs w:val="24"/>
          <w:highlight w:val="none"/>
        </w:rPr>
      </w:pPr>
    </w:p>
    <w:p w14:paraId="7065A4A9">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3853625A">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42569A78">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031EECFB">
      <w:pPr>
        <w:pStyle w:val="10"/>
        <w:keepNext w:val="0"/>
        <w:keepLines w:val="0"/>
        <w:pageBreakBefore w:val="0"/>
        <w:widowControl/>
        <w:kinsoku w:val="0"/>
        <w:wordWrap/>
        <w:bidi w:val="0"/>
        <w:adjustRightInd w:val="0"/>
        <w:snapToGrid w:val="0"/>
        <w:spacing w:beforeAutospacing="0" w:after="0" w:afterAutospacing="0" w:line="360" w:lineRule="auto"/>
        <w:ind w:left="0" w:leftChars="0" w:right="0" w:rightChars="0"/>
        <w:jc w:val="right"/>
        <w:rPr>
          <w:rFonts w:hint="eastAsia" w:ascii="宋体" w:hAnsi="宋体" w:eastAsia="宋体" w:cs="宋体"/>
          <w:kern w:val="0"/>
          <w:szCs w:val="24"/>
          <w:highlight w:val="none"/>
          <w:lang w:val="en-US" w:eastAsia="zh-CN"/>
        </w:rPr>
      </w:pPr>
    </w:p>
    <w:p w14:paraId="01D1157E">
      <w:pPr>
        <w:pStyle w:val="4"/>
        <w:keepNext w:val="0"/>
        <w:keepLines w:val="0"/>
        <w:pageBreakBefore w:val="0"/>
        <w:widowControl/>
        <w:kinsoku w:val="0"/>
        <w:wordWrap/>
        <w:bidi w:val="0"/>
        <w:adjustRightInd w:val="0"/>
        <w:snapToGrid w:val="0"/>
        <w:spacing w:before="0" w:beforeAutospacing="0" w:afterAutospacing="0" w:line="360" w:lineRule="auto"/>
        <w:ind w:left="0" w:leftChars="0" w:right="0" w:rightChars="0"/>
        <w:rPr>
          <w:rFonts w:hint="eastAsia" w:ascii="宋体" w:hAnsi="宋体" w:eastAsia="宋体" w:cs="宋体"/>
          <w:highlight w:val="none"/>
        </w:rPr>
      </w:pPr>
    </w:p>
    <w:p w14:paraId="4ECC65D7">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kern w:val="0"/>
          <w:szCs w:val="21"/>
          <w:highlight w:val="none"/>
        </w:rPr>
        <w:br w:type="page"/>
      </w: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 xml:space="preserve">： </w:t>
      </w:r>
    </w:p>
    <w:p w14:paraId="248A885B">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7E4F280B">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p>
    <w:p w14:paraId="729064B1">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7BC1C86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2A5BDDC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08F003E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70B71F97">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05164E30">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79718A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07BC67E">
      <w:pPr>
        <w:pStyle w:val="26"/>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00"/>
        <w:rPr>
          <w:rFonts w:hint="eastAsia" w:ascii="宋体" w:hAnsi="宋体" w:eastAsia="宋体" w:cs="宋体"/>
          <w:highlight w:val="none"/>
        </w:rPr>
      </w:pPr>
    </w:p>
    <w:p w14:paraId="5F71E0BD">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46C74C9B">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F8C3D7">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AA31EF2">
      <w:pPr>
        <w:pStyle w:val="10"/>
        <w:keepNext w:val="0"/>
        <w:keepLines w:val="0"/>
        <w:pageBreakBefore w:val="0"/>
        <w:widowControl/>
        <w:kinsoku w:val="0"/>
        <w:wordWrap/>
        <w:bidi w:val="0"/>
        <w:adjustRightInd w:val="0"/>
        <w:snapToGrid w:val="0"/>
        <w:spacing w:beforeAutospacing="0" w:after="0" w:afterAutospacing="0" w:line="360" w:lineRule="auto"/>
        <w:ind w:left="0" w:leftChars="0" w:right="0" w:rightChars="0"/>
        <w:jc w:val="right"/>
        <w:rPr>
          <w:rFonts w:hint="eastAsia" w:ascii="宋体" w:hAnsi="宋体" w:eastAsia="宋体" w:cs="宋体"/>
          <w:kern w:val="0"/>
          <w:szCs w:val="24"/>
          <w:highlight w:val="none"/>
          <w:lang w:val="en-US" w:eastAsia="zh-CN"/>
        </w:rPr>
      </w:pPr>
    </w:p>
    <w:p w14:paraId="32A4F154">
      <w:pPr>
        <w:keepNext w:val="0"/>
        <w:keepLines w:val="0"/>
        <w:pageBreakBefore w:val="0"/>
        <w:widowControl/>
        <w:kinsoku w:val="0"/>
        <w:wordWrap/>
        <w:bidi w:val="0"/>
        <w:adjustRightInd w:val="0"/>
        <w:snapToGrid w:val="0"/>
        <w:spacing w:beforeAutospacing="0" w:afterAutospacing="0" w:line="360" w:lineRule="auto"/>
        <w:ind w:left="0" w:leftChars="0" w:right="0" w:rightChars="0"/>
        <w:jc w:val="both"/>
        <w:rPr>
          <w:rFonts w:hint="eastAsia" w:ascii="宋体" w:hAnsi="宋体" w:eastAsia="宋体" w:cs="宋体"/>
          <w:b/>
          <w:kern w:val="0"/>
          <w:sz w:val="28"/>
          <w:szCs w:val="28"/>
          <w:highlight w:val="none"/>
        </w:rPr>
      </w:pPr>
    </w:p>
    <w:p w14:paraId="1E64A3A4">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81"/>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auto"/>
          <w:sz w:val="32"/>
          <w:szCs w:val="32"/>
          <w:highlight w:val="none"/>
        </w:rPr>
        <w:br w:type="page"/>
      </w:r>
      <w:r>
        <w:rPr>
          <w:rFonts w:hint="eastAsia" w:ascii="宋体" w:hAnsi="宋体" w:eastAsia="宋体" w:cs="宋体"/>
          <w:b/>
          <w:color w:val="000000"/>
          <w:kern w:val="0"/>
          <w:sz w:val="28"/>
          <w:szCs w:val="28"/>
          <w:highlight w:val="none"/>
          <w:lang w:val="en-US" w:eastAsia="zh-CN" w:bidi="ar-SA"/>
        </w:rPr>
        <w:t>六、2022年1月1日以来企业已完成的类似项目业绩表</w:t>
      </w:r>
    </w:p>
    <w:p w14:paraId="2ED416E8">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sz w:val="24"/>
          <w:highlight w:val="none"/>
        </w:rPr>
      </w:pPr>
    </w:p>
    <w:tbl>
      <w:tblPr>
        <w:tblStyle w:val="28"/>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11A6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574" w:type="dxa"/>
            <w:noWrap w:val="0"/>
            <w:vAlign w:val="center"/>
          </w:tcPr>
          <w:p w14:paraId="6F0F70D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545" w:type="dxa"/>
            <w:noWrap w:val="0"/>
            <w:vAlign w:val="top"/>
          </w:tcPr>
          <w:p w14:paraId="7B65E591">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1E94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574" w:type="dxa"/>
            <w:noWrap w:val="0"/>
            <w:vAlign w:val="center"/>
          </w:tcPr>
          <w:p w14:paraId="7EFB7EC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项目所在地</w:t>
            </w:r>
          </w:p>
        </w:tc>
        <w:tc>
          <w:tcPr>
            <w:tcW w:w="6545" w:type="dxa"/>
            <w:noWrap w:val="0"/>
            <w:vAlign w:val="top"/>
          </w:tcPr>
          <w:p w14:paraId="0D809834">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5993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74" w:type="dxa"/>
            <w:noWrap w:val="0"/>
            <w:vAlign w:val="center"/>
          </w:tcPr>
          <w:p w14:paraId="49B639C2">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委托人名称</w:t>
            </w:r>
          </w:p>
        </w:tc>
        <w:tc>
          <w:tcPr>
            <w:tcW w:w="6545" w:type="dxa"/>
            <w:noWrap w:val="0"/>
            <w:vAlign w:val="top"/>
          </w:tcPr>
          <w:p w14:paraId="0B2954E9">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163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74" w:type="dxa"/>
            <w:noWrap w:val="0"/>
            <w:vAlign w:val="center"/>
          </w:tcPr>
          <w:p w14:paraId="0BDA8C15">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委托人地址</w:t>
            </w:r>
          </w:p>
        </w:tc>
        <w:tc>
          <w:tcPr>
            <w:tcW w:w="6545" w:type="dxa"/>
            <w:noWrap w:val="0"/>
            <w:vAlign w:val="top"/>
          </w:tcPr>
          <w:p w14:paraId="6E4F9240">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2FB5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74" w:type="dxa"/>
            <w:noWrap w:val="0"/>
            <w:vAlign w:val="center"/>
          </w:tcPr>
          <w:p w14:paraId="60D217D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委托人电话</w:t>
            </w:r>
          </w:p>
        </w:tc>
        <w:tc>
          <w:tcPr>
            <w:tcW w:w="6545" w:type="dxa"/>
            <w:noWrap w:val="0"/>
            <w:vAlign w:val="top"/>
          </w:tcPr>
          <w:p w14:paraId="145C69A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63E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noWrap w:val="0"/>
            <w:vAlign w:val="center"/>
          </w:tcPr>
          <w:p w14:paraId="57D220CB">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承担的工作</w:t>
            </w:r>
          </w:p>
        </w:tc>
        <w:tc>
          <w:tcPr>
            <w:tcW w:w="6545" w:type="dxa"/>
            <w:noWrap w:val="0"/>
            <w:vAlign w:val="top"/>
          </w:tcPr>
          <w:p w14:paraId="47AC2EE9">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6063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74" w:type="dxa"/>
            <w:noWrap w:val="0"/>
            <w:vAlign w:val="center"/>
          </w:tcPr>
          <w:p w14:paraId="447806D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6545" w:type="dxa"/>
            <w:noWrap w:val="0"/>
            <w:vAlign w:val="top"/>
          </w:tcPr>
          <w:p w14:paraId="030BF78C">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7D09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2574" w:type="dxa"/>
            <w:noWrap w:val="0"/>
            <w:vAlign w:val="center"/>
          </w:tcPr>
          <w:p w14:paraId="576F7F2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项目描述</w:t>
            </w:r>
          </w:p>
        </w:tc>
        <w:tc>
          <w:tcPr>
            <w:tcW w:w="6545" w:type="dxa"/>
            <w:noWrap w:val="0"/>
            <w:vAlign w:val="top"/>
          </w:tcPr>
          <w:p w14:paraId="42CE521C">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3C20D6C3">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04E52DD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0C079DC3">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5478863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02B31E21">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2CA87B8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2E5D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74" w:type="dxa"/>
            <w:noWrap w:val="0"/>
            <w:vAlign w:val="center"/>
          </w:tcPr>
          <w:p w14:paraId="7EF2B27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45" w:type="dxa"/>
            <w:noWrap w:val="0"/>
            <w:vAlign w:val="top"/>
          </w:tcPr>
          <w:p w14:paraId="17787880">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bl>
    <w:p w14:paraId="0A62CCE1">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sz w:val="24"/>
          <w:highlight w:val="none"/>
          <w:lang w:val="zh-CN"/>
        </w:rPr>
      </w:pPr>
    </w:p>
    <w:p w14:paraId="3C36CAA7">
      <w:pPr>
        <w:keepNext w:val="0"/>
        <w:keepLines w:val="0"/>
        <w:pageBreakBefore w:val="0"/>
        <w:widowControl/>
        <w:kinsoku w:val="0"/>
        <w:wordWrap/>
        <w:bidi w:val="0"/>
        <w:adjustRightInd w:val="0"/>
        <w:snapToGrid w:val="0"/>
        <w:spacing w:beforeAutospacing="0" w:afterAutospacing="0" w:line="360" w:lineRule="auto"/>
        <w:ind w:left="480" w:leftChars="0" w:right="0" w:rightChars="0" w:hanging="480" w:hangingChars="200"/>
        <w:rPr>
          <w:rFonts w:hint="eastAsia" w:ascii="宋体" w:hAnsi="宋体" w:eastAsia="宋体" w:cs="宋体"/>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合同</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相关证明材料</w:t>
      </w:r>
      <w:r>
        <w:rPr>
          <w:rFonts w:hint="eastAsia" w:ascii="宋体" w:hAnsi="宋体" w:eastAsia="宋体" w:cs="宋体"/>
          <w:sz w:val="24"/>
          <w:highlight w:val="none"/>
          <w:lang w:eastAsia="zh-CN"/>
        </w:rPr>
        <w:t>扫描件</w:t>
      </w:r>
      <w:r>
        <w:rPr>
          <w:rFonts w:hint="eastAsia" w:ascii="宋体" w:hAnsi="宋体" w:eastAsia="宋体" w:cs="宋体"/>
          <w:sz w:val="24"/>
          <w:highlight w:val="none"/>
        </w:rPr>
        <w:t>附后</w:t>
      </w:r>
    </w:p>
    <w:p w14:paraId="46AC6C24">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6B4A993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72129D5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highlight w:val="none"/>
        </w:rPr>
      </w:pPr>
    </w:p>
    <w:p w14:paraId="033E974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highlight w:val="none"/>
        </w:rPr>
      </w:pPr>
    </w:p>
    <w:p w14:paraId="4B46CD96">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七、技术部分</w:t>
      </w:r>
    </w:p>
    <w:p w14:paraId="49B0AAB7">
      <w:pPr>
        <w:keepNext w:val="0"/>
        <w:keepLines w:val="0"/>
        <w:pageBreakBefore w:val="0"/>
        <w:widowControl/>
        <w:kinsoku w:val="0"/>
        <w:wordWrap/>
        <w:overflowPunct/>
        <w:bidi w:val="0"/>
        <w:adjustRightInd w:val="0"/>
        <w:snapToGrid w:val="0"/>
        <w:spacing w:beforeAutospacing="0" w:afterAutospacing="0" w:line="360" w:lineRule="auto"/>
        <w:ind w:left="0" w:leftChars="0" w:right="0" w:rightChars="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根据招标文件</w:t>
      </w:r>
      <w:r>
        <w:rPr>
          <w:rFonts w:hint="eastAsia" w:ascii="宋体" w:hAnsi="宋体" w:eastAsia="宋体" w:cs="宋体"/>
          <w:b/>
          <w:bCs/>
          <w:color w:val="auto"/>
          <w:sz w:val="24"/>
          <w:highlight w:val="none"/>
        </w:rPr>
        <w:t>评标办法及评分标准</w:t>
      </w:r>
      <w:r>
        <w:rPr>
          <w:rFonts w:hint="eastAsia" w:ascii="宋体" w:hAnsi="宋体" w:eastAsia="宋体" w:cs="宋体"/>
          <w:b/>
          <w:bCs/>
          <w:color w:val="auto"/>
          <w:sz w:val="24"/>
          <w:highlight w:val="none"/>
          <w:lang w:val="en-US" w:eastAsia="zh-CN"/>
        </w:rPr>
        <w:t>自行编制，格式自拟</w:t>
      </w:r>
    </w:p>
    <w:p w14:paraId="7247BB59">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5AF04B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DAFB5F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F680015">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44DA221D">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439648B">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firstLine="0"/>
        <w:rPr>
          <w:rFonts w:hint="eastAsia" w:ascii="宋体" w:hAnsi="宋体" w:eastAsia="宋体" w:cs="宋体"/>
          <w:b/>
          <w:bCs/>
          <w:color w:val="auto"/>
          <w:sz w:val="24"/>
          <w:highlight w:val="none"/>
          <w:lang w:val="en-US" w:eastAsia="zh-CN"/>
        </w:rPr>
      </w:pPr>
    </w:p>
    <w:p w14:paraId="315F73E4">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BBD8E35">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5F5F4B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DDCFF4C">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C98130C">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A9ABD5E">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25E2C6D">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ECE4EC7">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BC812E9">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36D4E44">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E87FB3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A72B5EE">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E636A7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1ED8F9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C0DAD5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B24DF6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4F37BB9">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40E3C12">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56A195DB">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535BA3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BBA80CA">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p>
    <w:p w14:paraId="5F303625">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八、商务部分</w:t>
      </w:r>
    </w:p>
    <w:p w14:paraId="0BCD4FD8">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根据招标文件评标办法及评分标准自行编制，格式自拟</w:t>
      </w:r>
    </w:p>
    <w:p w14:paraId="4D42FB1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2C7450B">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55785EF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71A0CDBE">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6E76550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DC1618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0BBF06B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1FA742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7A6103EC">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20C9C946">
      <w:pPr>
        <w:keepNext w:val="0"/>
        <w:keepLines w:val="0"/>
        <w:pageBreakBefore w:val="0"/>
        <w:widowControl/>
        <w:kinsoku w:val="0"/>
        <w:wordWrap/>
        <w:bidi w:val="0"/>
        <w:adjustRightInd w:val="0"/>
        <w:snapToGrid w:val="0"/>
        <w:spacing w:line="360" w:lineRule="auto"/>
        <w:ind w:left="226" w:leftChars="0" w:right="0" w:rightChars="0" w:hanging="226" w:hangingChars="94"/>
        <w:rPr>
          <w:rFonts w:ascii="宋体" w:cs="宋体"/>
          <w:b/>
          <w:color w:val="auto"/>
          <w:highlight w:val="none"/>
        </w:rPr>
      </w:pPr>
    </w:p>
    <w:p w14:paraId="59778828">
      <w:pPr>
        <w:pStyle w:val="17"/>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p w14:paraId="516C8B6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sz w:val="32"/>
          <w:szCs w:val="32"/>
          <w:highlight w:val="none"/>
        </w:rPr>
      </w:pPr>
      <w:bookmarkStart w:id="99" w:name="_Toc13305"/>
      <w:r>
        <w:rPr>
          <w:rFonts w:ascii="宋体" w:hAnsi="宋体" w:cs="宋体"/>
          <w:b/>
          <w:color w:val="auto"/>
          <w:sz w:val="32"/>
          <w:szCs w:val="32"/>
          <w:highlight w:val="none"/>
        </w:rPr>
        <w:br w:type="page"/>
      </w:r>
    </w:p>
    <w:bookmarkEnd w:id="99"/>
    <w:p w14:paraId="6AA10DA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w:t>
      </w:r>
    </w:p>
    <w:p w14:paraId="794BE98E">
      <w:pPr>
        <w:keepNext w:val="0"/>
        <w:keepLines w:val="0"/>
        <w:pageBreakBefore w:val="0"/>
        <w:widowControl/>
        <w:kinsoku w:val="0"/>
        <w:wordWrap/>
        <w:bidi w:val="0"/>
        <w:adjustRightInd w:val="0"/>
        <w:snapToGrid w:val="0"/>
        <w:spacing w:beforeAutospacing="0" w:afterAutospacing="0" w:line="360" w:lineRule="auto"/>
        <w:ind w:left="0" w:leftChars="0" w:right="0" w:rightChars="0"/>
        <w:outlineLvl w:val="0"/>
        <w:rPr>
          <w:rFonts w:hint="eastAsia" w:ascii="宋体" w:hAnsi="宋体" w:eastAsia="宋体" w:cs="宋体"/>
          <w:color w:val="auto"/>
          <w:sz w:val="24"/>
          <w:highlight w:val="none"/>
        </w:rPr>
      </w:pPr>
    </w:p>
    <w:p w14:paraId="196D95A2">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rPr>
      </w:pPr>
      <w:bookmarkStart w:id="100" w:name="_Toc122004269"/>
      <w:bookmarkStart w:id="101" w:name="_Toc141079823"/>
      <w:r>
        <w:rPr>
          <w:rFonts w:hint="eastAsia" w:ascii="宋体" w:hAnsi="宋体" w:eastAsia="宋体" w:cs="宋体"/>
          <w:b/>
          <w:bCs/>
          <w:color w:val="000000"/>
          <w:kern w:val="10"/>
          <w:sz w:val="28"/>
          <w:szCs w:val="28"/>
          <w:highlight w:val="none"/>
        </w:rPr>
        <w:t>（一）中小企业声明函</w:t>
      </w:r>
      <w:bookmarkEnd w:id="100"/>
      <w:bookmarkEnd w:id="101"/>
    </w:p>
    <w:p w14:paraId="13A60576">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本公司郑重声明，根据《政府采购促进中小企业发展管理办法》（财库﹝2020﹞46 号）的规定，本公司参加（单位名称）的（项目名称）采购活动，提供的货物全部由符合政策要求的中小企业制造。相关企业的具体情况如下：</w:t>
      </w:r>
    </w:p>
    <w:p w14:paraId="777DAA7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u w:val="single"/>
          <w:lang w:val="en-US" w:eastAsia="zh-CN"/>
        </w:rPr>
        <w:t>农、林、牧、渔业</w:t>
      </w:r>
      <w:r>
        <w:rPr>
          <w:rFonts w:hint="eastAsia" w:ascii="宋体" w:hAnsi="宋体" w:eastAsia="宋体" w:cs="宋体"/>
          <w:spacing w:val="6"/>
          <w:sz w:val="24"/>
          <w:highlight w:val="none"/>
          <w:u w:val="single"/>
        </w:rPr>
        <w:t xml:space="preserve">（采购文件中明确的所属行业）       </w:t>
      </w:r>
      <w:r>
        <w:rPr>
          <w:rFonts w:hint="eastAsia" w:ascii="宋体" w:hAnsi="宋体" w:eastAsia="宋体" w:cs="宋体"/>
          <w:spacing w:val="6"/>
          <w:sz w:val="24"/>
          <w:highlight w:val="none"/>
        </w:rPr>
        <w:t xml:space="preserve"> 行业；制造商为</w:t>
      </w:r>
      <w:r>
        <w:rPr>
          <w:rFonts w:hint="eastAsia" w:ascii="宋体" w:hAnsi="宋体" w:eastAsia="宋体" w:cs="宋体"/>
          <w:spacing w:val="6"/>
          <w:sz w:val="24"/>
          <w:highlight w:val="none"/>
          <w:u w:val="single"/>
        </w:rPr>
        <w:t xml:space="preserve"> （企业名称） </w:t>
      </w:r>
      <w:r>
        <w:rPr>
          <w:rFonts w:hint="eastAsia" w:ascii="宋体" w:hAnsi="宋体" w:eastAsia="宋体" w:cs="宋体"/>
          <w:spacing w:val="6"/>
          <w:sz w:val="24"/>
          <w:highlight w:val="none"/>
        </w:rPr>
        <w:t>，从业人员</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人；营业收入为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万元，资产总额为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 xml:space="preserve"> 万元，属于</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5E5BD76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7DC3654B">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z w:val="24"/>
          <w:highlight w:val="none"/>
        </w:rPr>
      </w:pPr>
      <w:r>
        <w:rPr>
          <w:rFonts w:hint="eastAsia" w:ascii="宋体" w:hAnsi="宋体" w:eastAsia="宋体" w:cs="宋体"/>
          <w:spacing w:val="6"/>
          <w:sz w:val="24"/>
          <w:highlight w:val="none"/>
        </w:rPr>
        <w:t>本公司对上述声明的真实性负责。如有虚假，将承担相应的法律责任。</w:t>
      </w:r>
    </w:p>
    <w:p w14:paraId="3339DBE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注：（属于中小微企业的填写</w:t>
      </w:r>
      <w:r>
        <w:rPr>
          <w:rFonts w:hint="eastAsia" w:ascii="宋体" w:hAnsi="宋体" w:eastAsia="宋体" w:cs="宋体"/>
          <w:b/>
          <w:bCs/>
          <w:szCs w:val="24"/>
          <w:highlight w:val="none"/>
          <w:lang w:val="en-US" w:eastAsia="zh-CN"/>
        </w:rPr>
        <w:t>并提供证明材料</w:t>
      </w:r>
      <w:r>
        <w:rPr>
          <w:rFonts w:hint="eastAsia" w:ascii="宋体" w:hAnsi="宋体" w:eastAsia="宋体" w:cs="宋体"/>
          <w:b/>
          <w:bCs/>
          <w:szCs w:val="24"/>
          <w:highlight w:val="none"/>
        </w:rPr>
        <w:t>，不属于的无需填写此项内容</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不删除本项，标明不属于中小企业</w:t>
      </w:r>
      <w:r>
        <w:rPr>
          <w:rFonts w:hint="eastAsia" w:ascii="宋体" w:hAnsi="宋体" w:eastAsia="宋体" w:cs="宋体"/>
          <w:b/>
          <w:bCs/>
          <w:szCs w:val="24"/>
          <w:highlight w:val="none"/>
        </w:rPr>
        <w:t>）</w:t>
      </w:r>
    </w:p>
    <w:p w14:paraId="30C1E232">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
          <w:bCs/>
          <w:sz w:val="24"/>
          <w:highlight w:val="none"/>
        </w:rPr>
      </w:pPr>
      <w:r>
        <w:rPr>
          <w:rFonts w:hint="eastAsia" w:ascii="宋体" w:hAnsi="宋体" w:eastAsia="宋体" w:cs="宋体"/>
          <w:b/>
          <w:bCs/>
          <w:szCs w:val="24"/>
          <w:highlight w:val="none"/>
        </w:rPr>
        <w:t>从业人员、 营业收入、 资产总额填报上一年度数据， 无上一年度数据的新成立企业可不填报。</w:t>
      </w:r>
    </w:p>
    <w:p w14:paraId="687E5A62">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2590973">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3A646104">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5FA0F9C">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5FC1DB7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0974E2F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605D6D7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10679F6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w:t>
      </w:r>
      <w:r>
        <w:rPr>
          <w:rFonts w:hint="eastAsia" w:ascii="宋体" w:hAnsi="宋体" w:eastAsia="宋体" w:cs="宋体"/>
          <w:color w:val="000000"/>
          <w:kern w:val="10"/>
          <w:sz w:val="22"/>
          <w:szCs w:val="22"/>
          <w:highlight w:val="none"/>
          <w:shd w:val="clear" w:color="auto" w:fill="FFFFFF"/>
          <w:lang w:val="en-US" w:eastAsia="zh-CN"/>
        </w:rPr>
        <w:t>招标</w:t>
      </w:r>
      <w:r>
        <w:rPr>
          <w:rFonts w:hint="eastAsia" w:ascii="宋体" w:hAnsi="宋体" w:eastAsia="宋体" w:cs="宋体"/>
          <w:color w:val="000000"/>
          <w:kern w:val="10"/>
          <w:sz w:val="22"/>
          <w:szCs w:val="22"/>
          <w:highlight w:val="none"/>
          <w:shd w:val="clear" w:color="auto" w:fill="FFFFFF"/>
        </w:rPr>
        <w:t>文件提供的格式填写。非单一产品采购的，设备制造商不止一家时，中小企业声明函中须列出所有的设备及制造商，罗列不全的中小企业声明函不予认可。</w:t>
      </w:r>
    </w:p>
    <w:p w14:paraId="23F328CE">
      <w:pPr>
        <w:pStyle w:val="11"/>
        <w:keepNext w:val="0"/>
        <w:keepLines w:val="0"/>
        <w:pageBreakBefore w:val="0"/>
        <w:widowControl/>
        <w:tabs>
          <w:tab w:val="left" w:pos="219"/>
        </w:tabs>
        <w:kinsoku w:val="0"/>
        <w:wordWrap/>
        <w:bidi w:val="0"/>
        <w:adjustRightInd w:val="0"/>
        <w:snapToGrid w:val="0"/>
        <w:spacing w:beforeAutospacing="0" w:after="0" w:afterAutospacing="0" w:line="360" w:lineRule="auto"/>
        <w:ind w:left="0" w:leftChars="0" w:right="0" w:rightChars="0"/>
        <w:rPr>
          <w:rFonts w:hint="eastAsia" w:ascii="宋体" w:hAnsi="宋体" w:eastAsia="宋体" w:cs="宋体"/>
          <w:spacing w:val="-14"/>
          <w:sz w:val="31"/>
          <w:szCs w:val="31"/>
          <w:highlight w:val="none"/>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7864FCC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bookmarkStart w:id="102" w:name="_Toc122004270"/>
      <w:bookmarkStart w:id="103" w:name="_Toc121749381"/>
      <w:bookmarkStart w:id="104" w:name="_Toc141079824"/>
      <w:r>
        <w:rPr>
          <w:rFonts w:hint="eastAsia" w:ascii="宋体" w:hAnsi="宋体" w:eastAsia="宋体" w:cs="宋体"/>
          <w:b/>
          <w:bCs/>
          <w:color w:val="000000"/>
          <w:kern w:val="10"/>
          <w:sz w:val="28"/>
          <w:szCs w:val="28"/>
          <w:highlight w:val="none"/>
          <w:shd w:val="clear" w:color="auto" w:fill="FFFFFF"/>
        </w:rPr>
        <w:t>（二）监狱企业证明材料</w:t>
      </w:r>
      <w:bookmarkEnd w:id="102"/>
      <w:bookmarkEnd w:id="103"/>
      <w:bookmarkEnd w:id="104"/>
    </w:p>
    <w:p w14:paraId="0233D9DE">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p>
    <w:p w14:paraId="60D6DF8E">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jc w:val="left"/>
        <w:outlineLvl w:val="1"/>
        <w:rPr>
          <w:rFonts w:hint="eastAsia" w:ascii="宋体" w:hAnsi="宋体" w:eastAsia="宋体" w:cs="宋体"/>
          <w:spacing w:val="6"/>
          <w:sz w:val="24"/>
          <w:highlight w:val="none"/>
          <w:shd w:val="clear" w:color="auto" w:fill="FFFFFF"/>
        </w:rPr>
      </w:pPr>
      <w:bookmarkStart w:id="105" w:name="_Toc122004271"/>
      <w:bookmarkStart w:id="106" w:name="_Toc121749382"/>
      <w:bookmarkStart w:id="107" w:name="_Toc141079825"/>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05"/>
      <w:bookmarkEnd w:id="106"/>
      <w:bookmarkEnd w:id="107"/>
    </w:p>
    <w:p w14:paraId="4AFB312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1C1C19C5">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eastAsia="宋体" w:cs="宋体"/>
          <w:b/>
          <w:color w:val="000000"/>
          <w:sz w:val="24"/>
          <w:highlight w:val="none"/>
          <w:lang w:val="en-GB" w:eastAsia="zh-CN"/>
        </w:rPr>
        <w:t>，</w:t>
      </w:r>
      <w:r>
        <w:rPr>
          <w:rFonts w:hint="eastAsia" w:ascii="宋体" w:hAnsi="宋体" w:eastAsia="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42E40F4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42369E6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7EFD4F6">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1D43593">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FDB8DE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7D761200">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758DFDA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AADBC3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DF8FB9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bookmarkStart w:id="108" w:name="_Toc141079826"/>
      <w:bookmarkStart w:id="109" w:name="_Toc121749383"/>
      <w:bookmarkStart w:id="110" w:name="_Toc122004272"/>
    </w:p>
    <w:p w14:paraId="1F1B359A">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036BFBA7">
      <w:pPr>
        <w:keepNext w:val="0"/>
        <w:keepLines w:val="0"/>
        <w:pageBreakBefore w:val="0"/>
        <w:widowControl/>
        <w:kinsoku w:val="0"/>
        <w:wordWrap/>
        <w:bidi w:val="0"/>
        <w:adjustRightInd w:val="0"/>
        <w:snapToGrid w:val="0"/>
        <w:spacing w:beforeAutospacing="0" w:afterAutospacing="0" w:line="360" w:lineRule="auto"/>
        <w:ind w:left="0" w:leftChars="0" w:right="0" w:rightChars="0"/>
        <w:jc w:val="both"/>
        <w:outlineLvl w:val="1"/>
        <w:rPr>
          <w:rFonts w:hint="eastAsia" w:ascii="宋体" w:hAnsi="宋体" w:eastAsia="宋体" w:cs="宋体"/>
          <w:b/>
          <w:bCs/>
          <w:color w:val="000000"/>
          <w:kern w:val="10"/>
          <w:sz w:val="28"/>
          <w:szCs w:val="28"/>
          <w:highlight w:val="none"/>
          <w:shd w:val="clear" w:color="auto" w:fill="FFFFFF"/>
        </w:rPr>
      </w:pPr>
    </w:p>
    <w:p w14:paraId="753EA0E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346C6EE">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5E67B5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7FCC73DB">
      <w:pPr>
        <w:pStyle w:val="4"/>
        <w:keepNext w:val="0"/>
        <w:keepLines w:val="0"/>
        <w:pageBreakBefore w:val="0"/>
        <w:widowControl/>
        <w:kinsoku w:val="0"/>
        <w:wordWrap/>
        <w:bidi w:val="0"/>
        <w:adjustRightInd w:val="0"/>
        <w:snapToGrid w:val="0"/>
        <w:spacing w:before="0" w:line="360" w:lineRule="auto"/>
        <w:ind w:left="0" w:leftChars="0" w:right="0" w:rightChars="0"/>
        <w:rPr>
          <w:rFonts w:hint="eastAsia"/>
          <w:highlight w:val="none"/>
        </w:rPr>
      </w:pPr>
    </w:p>
    <w:p w14:paraId="1BFBDD70">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000000"/>
          <w:kern w:val="10"/>
          <w:sz w:val="28"/>
          <w:szCs w:val="28"/>
          <w:highlight w:val="none"/>
          <w:shd w:val="clear" w:color="auto" w:fill="FFFFFF"/>
        </w:rPr>
      </w:pPr>
    </w:p>
    <w:p w14:paraId="4B176E3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C45503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08"/>
      <w:bookmarkEnd w:id="109"/>
      <w:bookmarkEnd w:id="110"/>
    </w:p>
    <w:p w14:paraId="7E8F139B">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0237D6B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52B4DD6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p>
    <w:p w14:paraId="12564938">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3F8FC505">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34EB2EC">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eastAsia="宋体" w:cs="宋体"/>
          <w:b/>
          <w:spacing w:val="6"/>
          <w:sz w:val="24"/>
          <w:highlight w:val="none"/>
          <w:shd w:val="clear" w:color="auto" w:fill="FFFFFF"/>
          <w:lang w:val="en-US" w:eastAsia="zh-CN"/>
        </w:rPr>
        <w:t>证明材料，</w:t>
      </w:r>
      <w:r>
        <w:rPr>
          <w:rFonts w:hint="eastAsia" w:ascii="宋体" w:hAnsi="宋体" w:eastAsia="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757DB36">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1A49F55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52003467">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579EAD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0A83E03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7C0A0EC9">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37A7329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3D4AF44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highlight w:val="none"/>
          <w:lang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p>
    <w:p w14:paraId="20B7413B">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sz w:val="28"/>
          <w:szCs w:val="28"/>
          <w:highlight w:val="none"/>
          <w:lang w:val="en-US" w:eastAsia="zh-CN"/>
        </w:rPr>
      </w:pPr>
      <w:bookmarkStart w:id="111" w:name="_Toc26270"/>
      <w:r>
        <w:rPr>
          <w:rFonts w:hint="eastAsia" w:ascii="宋体" w:hAnsi="宋体" w:eastAsia="宋体" w:cs="宋体"/>
          <w:b/>
          <w:bCs/>
          <w:color w:val="auto"/>
          <w:sz w:val="28"/>
          <w:szCs w:val="28"/>
          <w:highlight w:val="none"/>
          <w:lang w:val="en-US" w:eastAsia="zh-CN"/>
        </w:rPr>
        <w:t>十、供应商可提交的其他资料</w:t>
      </w:r>
      <w:bookmarkEnd w:id="111"/>
    </w:p>
    <w:p w14:paraId="6D117659">
      <w:pPr>
        <w:keepNext w:val="0"/>
        <w:keepLines w:val="0"/>
        <w:pageBreakBefore w:val="0"/>
        <w:widowControl/>
        <w:numPr>
          <w:ilvl w:val="0"/>
          <w:numId w:val="0"/>
        </w:numPr>
        <w:kinsoku w:val="0"/>
        <w:wordWrap/>
        <w:bidi w:val="0"/>
        <w:adjustRightInd w:val="0"/>
        <w:snapToGrid w:val="0"/>
        <w:spacing w:beforeAutospacing="0" w:afterAutospacing="0" w:line="360" w:lineRule="auto"/>
        <w:ind w:left="0" w:leftChars="0" w:right="0" w:rightChars="0"/>
        <w:jc w:val="both"/>
        <w:outlineLvl w:val="1"/>
        <w:rPr>
          <w:rFonts w:hint="eastAsia" w:ascii="宋体" w:hAnsi="宋体" w:eastAsia="宋体" w:cs="宋体"/>
          <w:b/>
          <w:bCs/>
          <w:color w:val="auto"/>
          <w:sz w:val="28"/>
          <w:szCs w:val="28"/>
          <w:highlight w:val="none"/>
          <w:lang w:val="en-US" w:eastAsia="zh-CN"/>
        </w:rPr>
      </w:pPr>
    </w:p>
    <w:p w14:paraId="54274DF6">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24727492">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5A358286">
      <w:pPr>
        <w:pStyle w:val="27"/>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sectPr>
      <w:footerReference r:id="rId7" w:type="default"/>
      <w:pgSz w:w="11906" w:h="16838"/>
      <w:pgMar w:top="1417" w:right="1417" w:bottom="1417" w:left="1417" w:header="851" w:footer="992" w:gutter="0"/>
      <w:pgNumType w:fmt="decimal"/>
      <w:cols w:space="0" w:num="1"/>
      <w:rtlGutter w:val="0"/>
      <w:docGrid w:type="line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B647">
    <w:pPr>
      <w:spacing w:line="188" w:lineRule="auto"/>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0532">
    <w:pPr>
      <w:spacing w:line="188" w:lineRule="auto"/>
      <w:rPr>
        <w:rFonts w:ascii="Calibri" w:hAnsi="Calibri" w:eastAsia="Calibri" w:cs="Calibri"/>
        <w:sz w:val="17"/>
        <w:szCs w:val="17"/>
      </w:rPr>
    </w:pPr>
    <w:r>
      <w:rPr>
        <w:sz w:val="17"/>
      </w:rPr>
      <w:pict>
        <v:shape id="_x0000_s4104" o:spid="_x0000_s410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D7A95D">
                <w:pPr>
                  <w:pStyle w:val="19"/>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ABC3">
    <w:pPr>
      <w:pStyle w:val="19"/>
    </w:pPr>
    <w:r>
      <w:rPr>
        <w:sz w:val="18"/>
      </w:rPr>
      <w:pict>
        <v:shape id="_x0000_s4105" o:spid="_x0000_s410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93D4913">
                <w:pPr>
                  <w:pStyle w:val="19"/>
                </w:pPr>
                <w:r>
                  <w:fldChar w:fldCharType="begin"/>
                </w:r>
                <w:r>
                  <w:instrText xml:space="preserve"> PAGE  \* MERGEFORMAT </w:instrText>
                </w:r>
                <w:r>
                  <w:fldChar w:fldCharType="separate"/>
                </w:r>
                <w:r>
                  <w:t>52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310A9"/>
    <w:multiLevelType w:val="singleLevel"/>
    <w:tmpl w:val="8F5310A9"/>
    <w:lvl w:ilvl="0" w:tentative="0">
      <w:start w:val="1"/>
      <w:numFmt w:val="decimal"/>
      <w:lvlText w:val="%1."/>
      <w:lvlJc w:val="left"/>
      <w:pPr>
        <w:ind w:left="425" w:hanging="425"/>
      </w:pPr>
      <w:rPr>
        <w:rFonts w:hint="default"/>
      </w:rPr>
    </w:lvl>
  </w:abstractNum>
  <w:abstractNum w:abstractNumId="1">
    <w:nsid w:val="BA47E16F"/>
    <w:multiLevelType w:val="singleLevel"/>
    <w:tmpl w:val="BA47E16F"/>
    <w:lvl w:ilvl="0" w:tentative="0">
      <w:start w:val="1"/>
      <w:numFmt w:val="bullet"/>
      <w:lvlText w:val=""/>
      <w:lvlJc w:val="left"/>
      <w:pPr>
        <w:ind w:left="420" w:hanging="420"/>
      </w:pPr>
      <w:rPr>
        <w:rFonts w:hint="default" w:ascii="Wingdings" w:hAnsi="Wingdings"/>
      </w:rPr>
    </w:lvl>
  </w:abstractNum>
  <w:abstractNum w:abstractNumId="2">
    <w:nsid w:val="DB25F2AB"/>
    <w:multiLevelType w:val="singleLevel"/>
    <w:tmpl w:val="DB25F2AB"/>
    <w:lvl w:ilvl="0" w:tentative="0">
      <w:start w:val="2"/>
      <w:numFmt w:val="chineseCounting"/>
      <w:suff w:val="nothing"/>
      <w:lvlText w:val="%1、"/>
      <w:lvlJc w:val="left"/>
      <w:rPr>
        <w:rFonts w:hint="eastAsia"/>
      </w:rPr>
    </w:lvl>
  </w:abstractNum>
  <w:abstractNum w:abstractNumId="3">
    <w:nsid w:val="DDF88F9B"/>
    <w:multiLevelType w:val="multilevel"/>
    <w:tmpl w:val="DDF88F9B"/>
    <w:lvl w:ilvl="0" w:tentative="0">
      <w:start w:val="1"/>
      <w:numFmt w:val="decimal"/>
      <w:suff w:val="nothing"/>
      <w:lvlText w:val="%1、"/>
      <w:lvlJc w:val="left"/>
      <w:pPr>
        <w:tabs>
          <w:tab w:val="left" w:pos="0"/>
        </w:tabs>
        <w:ind w:left="0" w:firstLine="0"/>
      </w:pPr>
      <w:rPr>
        <w:rFonts w:ascii="宋体" w:hAnsi="宋体" w:eastAsia="宋体" w:cs="宋体"/>
      </w:rPr>
    </w:lvl>
    <w:lvl w:ilvl="1" w:tentative="0">
      <w:start w:val="1"/>
      <w:numFmt w:val="decimal"/>
      <w:pStyle w:val="95"/>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F7BF1477"/>
    <w:multiLevelType w:val="singleLevel"/>
    <w:tmpl w:val="F7BF1477"/>
    <w:lvl w:ilvl="0" w:tentative="0">
      <w:start w:val="2"/>
      <w:numFmt w:val="decimal"/>
      <w:suff w:val="space"/>
      <w:lvlText w:val="%1."/>
      <w:lvlJc w:val="left"/>
      <w:pPr>
        <w:ind w:left="720" w:leftChars="0" w:firstLine="0" w:firstLineChars="0"/>
      </w:pPr>
    </w:lvl>
  </w:abstractNum>
  <w:abstractNum w:abstractNumId="5">
    <w:nsid w:val="426606C7"/>
    <w:multiLevelType w:val="singleLevel"/>
    <w:tmpl w:val="426606C7"/>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FsYKahgiij4O6aezuxBtysA8H0Q=" w:salt="ltwrwyhpE9eGH0o+0WMoLQ=="/>
  <w:defaultTabStop w:val="420"/>
  <w:drawingGridVerticalSpacing w:val="16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IyZTE0ZjhiZDAwZDc5ODcxMmE4Y2RjOTYwMzM5MTcifQ=="/>
  </w:docVars>
  <w:rsids>
    <w:rsidRoot w:val="006A3D5D"/>
    <w:rsid w:val="00063980"/>
    <w:rsid w:val="00066E28"/>
    <w:rsid w:val="000B77BC"/>
    <w:rsid w:val="000C4055"/>
    <w:rsid w:val="000E40A6"/>
    <w:rsid w:val="00113188"/>
    <w:rsid w:val="00155063"/>
    <w:rsid w:val="00186639"/>
    <w:rsid w:val="00207D1E"/>
    <w:rsid w:val="00213D12"/>
    <w:rsid w:val="002168CC"/>
    <w:rsid w:val="00296932"/>
    <w:rsid w:val="002A2B65"/>
    <w:rsid w:val="002A58A1"/>
    <w:rsid w:val="002E1FF3"/>
    <w:rsid w:val="00332800"/>
    <w:rsid w:val="003777AC"/>
    <w:rsid w:val="00386EF6"/>
    <w:rsid w:val="003A6F40"/>
    <w:rsid w:val="003C0A49"/>
    <w:rsid w:val="003E1406"/>
    <w:rsid w:val="003E2800"/>
    <w:rsid w:val="0041379D"/>
    <w:rsid w:val="004237C4"/>
    <w:rsid w:val="00483F93"/>
    <w:rsid w:val="004A5CAC"/>
    <w:rsid w:val="004B1B58"/>
    <w:rsid w:val="004B6FA9"/>
    <w:rsid w:val="004D4427"/>
    <w:rsid w:val="004E301E"/>
    <w:rsid w:val="004F148D"/>
    <w:rsid w:val="00505FE6"/>
    <w:rsid w:val="00507C07"/>
    <w:rsid w:val="005138AF"/>
    <w:rsid w:val="00523026"/>
    <w:rsid w:val="00527448"/>
    <w:rsid w:val="00534815"/>
    <w:rsid w:val="005911DE"/>
    <w:rsid w:val="00592D35"/>
    <w:rsid w:val="005E5234"/>
    <w:rsid w:val="005F3F19"/>
    <w:rsid w:val="006013F2"/>
    <w:rsid w:val="006146EA"/>
    <w:rsid w:val="0063374A"/>
    <w:rsid w:val="00642831"/>
    <w:rsid w:val="0066795B"/>
    <w:rsid w:val="006A3D5D"/>
    <w:rsid w:val="006B3B1D"/>
    <w:rsid w:val="006B4677"/>
    <w:rsid w:val="006C31D0"/>
    <w:rsid w:val="006F4261"/>
    <w:rsid w:val="007004E1"/>
    <w:rsid w:val="0075192A"/>
    <w:rsid w:val="0076109C"/>
    <w:rsid w:val="0076745E"/>
    <w:rsid w:val="0077517D"/>
    <w:rsid w:val="007965CF"/>
    <w:rsid w:val="007B19F0"/>
    <w:rsid w:val="007B7914"/>
    <w:rsid w:val="007E105D"/>
    <w:rsid w:val="007F1952"/>
    <w:rsid w:val="007F37A3"/>
    <w:rsid w:val="00803B43"/>
    <w:rsid w:val="008267B1"/>
    <w:rsid w:val="00851525"/>
    <w:rsid w:val="008743C1"/>
    <w:rsid w:val="008945C5"/>
    <w:rsid w:val="00904AAF"/>
    <w:rsid w:val="00913BF4"/>
    <w:rsid w:val="0091497C"/>
    <w:rsid w:val="00950874"/>
    <w:rsid w:val="00983927"/>
    <w:rsid w:val="00A01E26"/>
    <w:rsid w:val="00A308D3"/>
    <w:rsid w:val="00A56144"/>
    <w:rsid w:val="00A97018"/>
    <w:rsid w:val="00B06005"/>
    <w:rsid w:val="00B20BB6"/>
    <w:rsid w:val="00B31843"/>
    <w:rsid w:val="00B519D5"/>
    <w:rsid w:val="00B61210"/>
    <w:rsid w:val="00B71B20"/>
    <w:rsid w:val="00B80107"/>
    <w:rsid w:val="00B91796"/>
    <w:rsid w:val="00BA1CC1"/>
    <w:rsid w:val="00BA3E57"/>
    <w:rsid w:val="00BB07C7"/>
    <w:rsid w:val="00BB2EC3"/>
    <w:rsid w:val="00BF093E"/>
    <w:rsid w:val="00C46BF5"/>
    <w:rsid w:val="00C46F3C"/>
    <w:rsid w:val="00CC011D"/>
    <w:rsid w:val="00CC46CF"/>
    <w:rsid w:val="00D73945"/>
    <w:rsid w:val="00D830EC"/>
    <w:rsid w:val="00D90462"/>
    <w:rsid w:val="00DD5034"/>
    <w:rsid w:val="00DE3819"/>
    <w:rsid w:val="00E05611"/>
    <w:rsid w:val="00EE4BAA"/>
    <w:rsid w:val="00F013F4"/>
    <w:rsid w:val="00F15FA0"/>
    <w:rsid w:val="00F164B3"/>
    <w:rsid w:val="00FA69CA"/>
    <w:rsid w:val="00FC4FA3"/>
    <w:rsid w:val="010D0689"/>
    <w:rsid w:val="01423F24"/>
    <w:rsid w:val="01475212"/>
    <w:rsid w:val="0179546C"/>
    <w:rsid w:val="01D54D98"/>
    <w:rsid w:val="023F66B6"/>
    <w:rsid w:val="02B6709D"/>
    <w:rsid w:val="030B177A"/>
    <w:rsid w:val="038C5CCB"/>
    <w:rsid w:val="03D42E2E"/>
    <w:rsid w:val="0415162B"/>
    <w:rsid w:val="0459178A"/>
    <w:rsid w:val="04B051C8"/>
    <w:rsid w:val="04C904B8"/>
    <w:rsid w:val="04CE3D21"/>
    <w:rsid w:val="0532472F"/>
    <w:rsid w:val="05676EDD"/>
    <w:rsid w:val="05EA2DDC"/>
    <w:rsid w:val="05FB6D97"/>
    <w:rsid w:val="068165B5"/>
    <w:rsid w:val="069524E4"/>
    <w:rsid w:val="06F63309"/>
    <w:rsid w:val="071A324D"/>
    <w:rsid w:val="07AE6DE7"/>
    <w:rsid w:val="07F27D26"/>
    <w:rsid w:val="07FE51AA"/>
    <w:rsid w:val="081E3021"/>
    <w:rsid w:val="082F6329"/>
    <w:rsid w:val="08D25BF6"/>
    <w:rsid w:val="08D674E1"/>
    <w:rsid w:val="08D92EA9"/>
    <w:rsid w:val="09097F8E"/>
    <w:rsid w:val="092610A9"/>
    <w:rsid w:val="09775FEE"/>
    <w:rsid w:val="0987162D"/>
    <w:rsid w:val="09B37885"/>
    <w:rsid w:val="09C10809"/>
    <w:rsid w:val="0A336573"/>
    <w:rsid w:val="0A375EC4"/>
    <w:rsid w:val="0ACA5794"/>
    <w:rsid w:val="0AE628DC"/>
    <w:rsid w:val="0B1C3A38"/>
    <w:rsid w:val="0BDB1DCE"/>
    <w:rsid w:val="0C297ED8"/>
    <w:rsid w:val="0C4025ED"/>
    <w:rsid w:val="0C452B1A"/>
    <w:rsid w:val="0C4744D2"/>
    <w:rsid w:val="0C7451AE"/>
    <w:rsid w:val="0C806655"/>
    <w:rsid w:val="0C844FAD"/>
    <w:rsid w:val="0D1165A8"/>
    <w:rsid w:val="0D664F44"/>
    <w:rsid w:val="0D674D12"/>
    <w:rsid w:val="0DA33F9D"/>
    <w:rsid w:val="0E30199A"/>
    <w:rsid w:val="0E3A41D5"/>
    <w:rsid w:val="0E456E02"/>
    <w:rsid w:val="0E7224F8"/>
    <w:rsid w:val="0E9B30B6"/>
    <w:rsid w:val="0ED9247A"/>
    <w:rsid w:val="0EDF3216"/>
    <w:rsid w:val="0F57427D"/>
    <w:rsid w:val="0F5F460A"/>
    <w:rsid w:val="10B43746"/>
    <w:rsid w:val="10B95885"/>
    <w:rsid w:val="10D4152B"/>
    <w:rsid w:val="10DB7345"/>
    <w:rsid w:val="110C00AB"/>
    <w:rsid w:val="117E017D"/>
    <w:rsid w:val="11C713A7"/>
    <w:rsid w:val="11F954F0"/>
    <w:rsid w:val="129604F7"/>
    <w:rsid w:val="129C720C"/>
    <w:rsid w:val="12CF0C0F"/>
    <w:rsid w:val="13715114"/>
    <w:rsid w:val="13734411"/>
    <w:rsid w:val="13741F37"/>
    <w:rsid w:val="13E40E6B"/>
    <w:rsid w:val="13E621D1"/>
    <w:rsid w:val="144D1E07"/>
    <w:rsid w:val="145E4278"/>
    <w:rsid w:val="14E00552"/>
    <w:rsid w:val="14EB1F91"/>
    <w:rsid w:val="15204125"/>
    <w:rsid w:val="1524320F"/>
    <w:rsid w:val="155B7323"/>
    <w:rsid w:val="15AB149C"/>
    <w:rsid w:val="15D31197"/>
    <w:rsid w:val="15E26C56"/>
    <w:rsid w:val="15F97F78"/>
    <w:rsid w:val="16743897"/>
    <w:rsid w:val="16A36DBB"/>
    <w:rsid w:val="16A559C5"/>
    <w:rsid w:val="16B317D0"/>
    <w:rsid w:val="16CF7520"/>
    <w:rsid w:val="16EB716B"/>
    <w:rsid w:val="16FE176F"/>
    <w:rsid w:val="17652A61"/>
    <w:rsid w:val="176A1687"/>
    <w:rsid w:val="178D5376"/>
    <w:rsid w:val="17BC6300"/>
    <w:rsid w:val="18963ABD"/>
    <w:rsid w:val="189A2FA5"/>
    <w:rsid w:val="18F07E29"/>
    <w:rsid w:val="193A32DB"/>
    <w:rsid w:val="19540841"/>
    <w:rsid w:val="1958313F"/>
    <w:rsid w:val="197B5DCD"/>
    <w:rsid w:val="197F0DB4"/>
    <w:rsid w:val="19E41BC5"/>
    <w:rsid w:val="1A2D6304"/>
    <w:rsid w:val="1A8C14C8"/>
    <w:rsid w:val="1A9269EA"/>
    <w:rsid w:val="1AD85D67"/>
    <w:rsid w:val="1B103B20"/>
    <w:rsid w:val="1BCC1635"/>
    <w:rsid w:val="1BEE4D85"/>
    <w:rsid w:val="1C382F45"/>
    <w:rsid w:val="1C925B2F"/>
    <w:rsid w:val="1C976791"/>
    <w:rsid w:val="1D1E3148"/>
    <w:rsid w:val="1D715AB9"/>
    <w:rsid w:val="1DF43739"/>
    <w:rsid w:val="1E124827"/>
    <w:rsid w:val="1E3C11C7"/>
    <w:rsid w:val="1E9C6528"/>
    <w:rsid w:val="1E9D04D7"/>
    <w:rsid w:val="1EAE7906"/>
    <w:rsid w:val="1EDB10BC"/>
    <w:rsid w:val="1F6317DE"/>
    <w:rsid w:val="205E3D53"/>
    <w:rsid w:val="20A35C0A"/>
    <w:rsid w:val="20F65B78"/>
    <w:rsid w:val="21116FEA"/>
    <w:rsid w:val="21395567"/>
    <w:rsid w:val="21515666"/>
    <w:rsid w:val="21573F25"/>
    <w:rsid w:val="21666272"/>
    <w:rsid w:val="216871F8"/>
    <w:rsid w:val="21A1039B"/>
    <w:rsid w:val="21B225A8"/>
    <w:rsid w:val="21EB7D9D"/>
    <w:rsid w:val="22055549"/>
    <w:rsid w:val="22237818"/>
    <w:rsid w:val="22444E21"/>
    <w:rsid w:val="22784E2D"/>
    <w:rsid w:val="22866495"/>
    <w:rsid w:val="22883309"/>
    <w:rsid w:val="229B303C"/>
    <w:rsid w:val="235176F4"/>
    <w:rsid w:val="236C7799"/>
    <w:rsid w:val="237B667D"/>
    <w:rsid w:val="23FF75FB"/>
    <w:rsid w:val="24392B0D"/>
    <w:rsid w:val="246202E3"/>
    <w:rsid w:val="24653902"/>
    <w:rsid w:val="24943E07"/>
    <w:rsid w:val="249661B1"/>
    <w:rsid w:val="24A80841"/>
    <w:rsid w:val="24B473B2"/>
    <w:rsid w:val="24E0742D"/>
    <w:rsid w:val="24E12798"/>
    <w:rsid w:val="24FE6789"/>
    <w:rsid w:val="24FE78B3"/>
    <w:rsid w:val="2567355B"/>
    <w:rsid w:val="26190E48"/>
    <w:rsid w:val="266320C3"/>
    <w:rsid w:val="26793440"/>
    <w:rsid w:val="26A649D2"/>
    <w:rsid w:val="26BD5C77"/>
    <w:rsid w:val="26C07F93"/>
    <w:rsid w:val="26E97AC2"/>
    <w:rsid w:val="27716E6C"/>
    <w:rsid w:val="27AC35F6"/>
    <w:rsid w:val="282B714C"/>
    <w:rsid w:val="288334C3"/>
    <w:rsid w:val="288941F4"/>
    <w:rsid w:val="28B96D7F"/>
    <w:rsid w:val="28FE60D3"/>
    <w:rsid w:val="290C4C94"/>
    <w:rsid w:val="29291132"/>
    <w:rsid w:val="293B5574"/>
    <w:rsid w:val="295201CD"/>
    <w:rsid w:val="29CA76CB"/>
    <w:rsid w:val="29EE19F6"/>
    <w:rsid w:val="29FB66CE"/>
    <w:rsid w:val="29FD45DD"/>
    <w:rsid w:val="2A192C73"/>
    <w:rsid w:val="2AC1034A"/>
    <w:rsid w:val="2AC63914"/>
    <w:rsid w:val="2B3C22C6"/>
    <w:rsid w:val="2B3E5E22"/>
    <w:rsid w:val="2B481888"/>
    <w:rsid w:val="2B677293"/>
    <w:rsid w:val="2B8E5250"/>
    <w:rsid w:val="2BAC3BD2"/>
    <w:rsid w:val="2BD27BD7"/>
    <w:rsid w:val="2C3E3247"/>
    <w:rsid w:val="2C900EC5"/>
    <w:rsid w:val="2CF77A09"/>
    <w:rsid w:val="2D411497"/>
    <w:rsid w:val="2D5E0F2D"/>
    <w:rsid w:val="2D8E486A"/>
    <w:rsid w:val="2D9E28B8"/>
    <w:rsid w:val="2DE31A25"/>
    <w:rsid w:val="2DFB130A"/>
    <w:rsid w:val="2E924FEF"/>
    <w:rsid w:val="305667F5"/>
    <w:rsid w:val="30616EBD"/>
    <w:rsid w:val="30747E42"/>
    <w:rsid w:val="30BF25EC"/>
    <w:rsid w:val="313018FF"/>
    <w:rsid w:val="31336312"/>
    <w:rsid w:val="317C04DD"/>
    <w:rsid w:val="31B74025"/>
    <w:rsid w:val="31DE4CF4"/>
    <w:rsid w:val="32180206"/>
    <w:rsid w:val="32496611"/>
    <w:rsid w:val="32D700C1"/>
    <w:rsid w:val="32FB0305"/>
    <w:rsid w:val="330864CC"/>
    <w:rsid w:val="33214D16"/>
    <w:rsid w:val="33576B0C"/>
    <w:rsid w:val="33727E29"/>
    <w:rsid w:val="33813F23"/>
    <w:rsid w:val="33AD7074"/>
    <w:rsid w:val="33B35B35"/>
    <w:rsid w:val="33DB3B8B"/>
    <w:rsid w:val="34830F7E"/>
    <w:rsid w:val="34A0062A"/>
    <w:rsid w:val="34C208FD"/>
    <w:rsid w:val="34D403D1"/>
    <w:rsid w:val="35C44201"/>
    <w:rsid w:val="35EF74CF"/>
    <w:rsid w:val="3697072A"/>
    <w:rsid w:val="36F154C9"/>
    <w:rsid w:val="36F30C44"/>
    <w:rsid w:val="37021484"/>
    <w:rsid w:val="37863E63"/>
    <w:rsid w:val="379530C6"/>
    <w:rsid w:val="385B4AD4"/>
    <w:rsid w:val="38710AB3"/>
    <w:rsid w:val="38E56968"/>
    <w:rsid w:val="3903294F"/>
    <w:rsid w:val="39185FEA"/>
    <w:rsid w:val="39232743"/>
    <w:rsid w:val="39243934"/>
    <w:rsid w:val="397C551E"/>
    <w:rsid w:val="39F057E5"/>
    <w:rsid w:val="3A06128C"/>
    <w:rsid w:val="3A560D5F"/>
    <w:rsid w:val="3AED5FA8"/>
    <w:rsid w:val="3BB865B6"/>
    <w:rsid w:val="3BB91E42"/>
    <w:rsid w:val="3C101EF8"/>
    <w:rsid w:val="3C7921E9"/>
    <w:rsid w:val="3CA37266"/>
    <w:rsid w:val="3CBA2CA3"/>
    <w:rsid w:val="3D043766"/>
    <w:rsid w:val="3D176E25"/>
    <w:rsid w:val="3D775644"/>
    <w:rsid w:val="3D7969B4"/>
    <w:rsid w:val="3D7F55DD"/>
    <w:rsid w:val="3DC84E49"/>
    <w:rsid w:val="3DE2791A"/>
    <w:rsid w:val="3DF064DB"/>
    <w:rsid w:val="3DFF671E"/>
    <w:rsid w:val="3F051B12"/>
    <w:rsid w:val="3F253F62"/>
    <w:rsid w:val="3F623B78"/>
    <w:rsid w:val="3FCA4B09"/>
    <w:rsid w:val="40381A73"/>
    <w:rsid w:val="40547751"/>
    <w:rsid w:val="412A5860"/>
    <w:rsid w:val="41301E18"/>
    <w:rsid w:val="418827F1"/>
    <w:rsid w:val="41D67795"/>
    <w:rsid w:val="4246491B"/>
    <w:rsid w:val="42A67168"/>
    <w:rsid w:val="42D73F8A"/>
    <w:rsid w:val="4303315A"/>
    <w:rsid w:val="438C254B"/>
    <w:rsid w:val="43D9356D"/>
    <w:rsid w:val="43EC32A0"/>
    <w:rsid w:val="44C45FCB"/>
    <w:rsid w:val="44F3240C"/>
    <w:rsid w:val="44FC7513"/>
    <w:rsid w:val="455B692F"/>
    <w:rsid w:val="45961342"/>
    <w:rsid w:val="45C339ED"/>
    <w:rsid w:val="46103A07"/>
    <w:rsid w:val="46130FB8"/>
    <w:rsid w:val="462A63DE"/>
    <w:rsid w:val="474D04FA"/>
    <w:rsid w:val="47743CD8"/>
    <w:rsid w:val="47E349BA"/>
    <w:rsid w:val="48571F9F"/>
    <w:rsid w:val="48671147"/>
    <w:rsid w:val="487F04A1"/>
    <w:rsid w:val="48DF33D4"/>
    <w:rsid w:val="48F50D3C"/>
    <w:rsid w:val="491D24F6"/>
    <w:rsid w:val="49582F89"/>
    <w:rsid w:val="498571F8"/>
    <w:rsid w:val="49916FD6"/>
    <w:rsid w:val="499706C9"/>
    <w:rsid w:val="49B91A42"/>
    <w:rsid w:val="49DE6E9B"/>
    <w:rsid w:val="4AAA1891"/>
    <w:rsid w:val="4B9A1954"/>
    <w:rsid w:val="4BC11A3D"/>
    <w:rsid w:val="4C2111B3"/>
    <w:rsid w:val="4C320178"/>
    <w:rsid w:val="4C854292"/>
    <w:rsid w:val="4CB525DD"/>
    <w:rsid w:val="4CCB1789"/>
    <w:rsid w:val="4CED5F2D"/>
    <w:rsid w:val="4CF67BFB"/>
    <w:rsid w:val="4D663E25"/>
    <w:rsid w:val="4D8F1859"/>
    <w:rsid w:val="4DB12DDA"/>
    <w:rsid w:val="4E65437B"/>
    <w:rsid w:val="4EA62FF7"/>
    <w:rsid w:val="4F075325"/>
    <w:rsid w:val="4F1D07B2"/>
    <w:rsid w:val="4F8C3B89"/>
    <w:rsid w:val="4FA21F7E"/>
    <w:rsid w:val="4FC01E46"/>
    <w:rsid w:val="50AB003F"/>
    <w:rsid w:val="50EC0C14"/>
    <w:rsid w:val="514C35D0"/>
    <w:rsid w:val="514F69BA"/>
    <w:rsid w:val="515F1C6C"/>
    <w:rsid w:val="51EB0B79"/>
    <w:rsid w:val="52405C5A"/>
    <w:rsid w:val="528A2602"/>
    <w:rsid w:val="528E3AD7"/>
    <w:rsid w:val="53217ECD"/>
    <w:rsid w:val="53542C10"/>
    <w:rsid w:val="53C03AE0"/>
    <w:rsid w:val="54316CCD"/>
    <w:rsid w:val="544C3241"/>
    <w:rsid w:val="54583C3A"/>
    <w:rsid w:val="54591592"/>
    <w:rsid w:val="54D20290"/>
    <w:rsid w:val="54DB0992"/>
    <w:rsid w:val="558F1CDD"/>
    <w:rsid w:val="55984674"/>
    <w:rsid w:val="56024CBE"/>
    <w:rsid w:val="563935F7"/>
    <w:rsid w:val="56951575"/>
    <w:rsid w:val="569D4475"/>
    <w:rsid w:val="56A6515D"/>
    <w:rsid w:val="56D952A8"/>
    <w:rsid w:val="57030BD5"/>
    <w:rsid w:val="571D39A3"/>
    <w:rsid w:val="57D66E92"/>
    <w:rsid w:val="57DB15A1"/>
    <w:rsid w:val="58040E80"/>
    <w:rsid w:val="58A10058"/>
    <w:rsid w:val="58DE51AA"/>
    <w:rsid w:val="59466D60"/>
    <w:rsid w:val="599678C9"/>
    <w:rsid w:val="59C503C4"/>
    <w:rsid w:val="5A100D6E"/>
    <w:rsid w:val="5A79418A"/>
    <w:rsid w:val="5A854A24"/>
    <w:rsid w:val="5AB3021C"/>
    <w:rsid w:val="5B9C7C56"/>
    <w:rsid w:val="5BD75C06"/>
    <w:rsid w:val="5C0A6562"/>
    <w:rsid w:val="5C121CA4"/>
    <w:rsid w:val="5C313AEE"/>
    <w:rsid w:val="5C314E24"/>
    <w:rsid w:val="5CAF3217"/>
    <w:rsid w:val="5CD32DF8"/>
    <w:rsid w:val="5CD75954"/>
    <w:rsid w:val="5D8B548F"/>
    <w:rsid w:val="5E167440"/>
    <w:rsid w:val="5E613920"/>
    <w:rsid w:val="5E8F2D4E"/>
    <w:rsid w:val="5EE058DB"/>
    <w:rsid w:val="5F37720E"/>
    <w:rsid w:val="5F8A2315"/>
    <w:rsid w:val="5FAD5B82"/>
    <w:rsid w:val="5FB1412C"/>
    <w:rsid w:val="603134C5"/>
    <w:rsid w:val="60640B2B"/>
    <w:rsid w:val="608F5287"/>
    <w:rsid w:val="60903C3C"/>
    <w:rsid w:val="60912DAE"/>
    <w:rsid w:val="609E371C"/>
    <w:rsid w:val="60A26052"/>
    <w:rsid w:val="60DE12EA"/>
    <w:rsid w:val="612B6B60"/>
    <w:rsid w:val="618B04D9"/>
    <w:rsid w:val="61987198"/>
    <w:rsid w:val="61B256D1"/>
    <w:rsid w:val="61ED0422"/>
    <w:rsid w:val="62001846"/>
    <w:rsid w:val="621243C2"/>
    <w:rsid w:val="625165F7"/>
    <w:rsid w:val="627209BD"/>
    <w:rsid w:val="633A11A5"/>
    <w:rsid w:val="635602DE"/>
    <w:rsid w:val="63624ED5"/>
    <w:rsid w:val="63AC25B4"/>
    <w:rsid w:val="63B0199A"/>
    <w:rsid w:val="63B634D9"/>
    <w:rsid w:val="64B5059A"/>
    <w:rsid w:val="64EE35F7"/>
    <w:rsid w:val="65270BAA"/>
    <w:rsid w:val="65613610"/>
    <w:rsid w:val="6575538E"/>
    <w:rsid w:val="65A077F7"/>
    <w:rsid w:val="662E6454"/>
    <w:rsid w:val="66CE632E"/>
    <w:rsid w:val="67D22629"/>
    <w:rsid w:val="67F41B6E"/>
    <w:rsid w:val="67FB6314"/>
    <w:rsid w:val="685450E7"/>
    <w:rsid w:val="695452C0"/>
    <w:rsid w:val="69C05D8A"/>
    <w:rsid w:val="6A086E15"/>
    <w:rsid w:val="6A4E61E4"/>
    <w:rsid w:val="6A5A7287"/>
    <w:rsid w:val="6A856939"/>
    <w:rsid w:val="6B506EC9"/>
    <w:rsid w:val="6B611FC3"/>
    <w:rsid w:val="6B813CCC"/>
    <w:rsid w:val="6C0A0DB3"/>
    <w:rsid w:val="6C7639ED"/>
    <w:rsid w:val="6C9F4AA4"/>
    <w:rsid w:val="6CBF5146"/>
    <w:rsid w:val="6D086606"/>
    <w:rsid w:val="6DB21E3D"/>
    <w:rsid w:val="6DB84F09"/>
    <w:rsid w:val="6DFC58B5"/>
    <w:rsid w:val="6E0E5A3E"/>
    <w:rsid w:val="6E1141A4"/>
    <w:rsid w:val="6E1879A7"/>
    <w:rsid w:val="6E1F291C"/>
    <w:rsid w:val="6E1F7C38"/>
    <w:rsid w:val="6E2C05BA"/>
    <w:rsid w:val="6E4771A1"/>
    <w:rsid w:val="6F8C2A98"/>
    <w:rsid w:val="6FC166B9"/>
    <w:rsid w:val="6FD74555"/>
    <w:rsid w:val="703A37C3"/>
    <w:rsid w:val="708E10B8"/>
    <w:rsid w:val="70927942"/>
    <w:rsid w:val="70DA42FD"/>
    <w:rsid w:val="712C6FDB"/>
    <w:rsid w:val="713E6E12"/>
    <w:rsid w:val="71A84406"/>
    <w:rsid w:val="71BB6000"/>
    <w:rsid w:val="71DB1246"/>
    <w:rsid w:val="720F447A"/>
    <w:rsid w:val="722920A2"/>
    <w:rsid w:val="724846DA"/>
    <w:rsid w:val="72A15A03"/>
    <w:rsid w:val="72B84E50"/>
    <w:rsid w:val="72B868C0"/>
    <w:rsid w:val="72EB32AC"/>
    <w:rsid w:val="73214465"/>
    <w:rsid w:val="732B7092"/>
    <w:rsid w:val="736949CB"/>
    <w:rsid w:val="740747C3"/>
    <w:rsid w:val="747671D2"/>
    <w:rsid w:val="747B59F2"/>
    <w:rsid w:val="75112770"/>
    <w:rsid w:val="751A5AD4"/>
    <w:rsid w:val="75792336"/>
    <w:rsid w:val="75882579"/>
    <w:rsid w:val="75A76FC6"/>
    <w:rsid w:val="76117405"/>
    <w:rsid w:val="763224E5"/>
    <w:rsid w:val="76A54F4B"/>
    <w:rsid w:val="76B82FCD"/>
    <w:rsid w:val="76FC7197"/>
    <w:rsid w:val="77381D7D"/>
    <w:rsid w:val="773F40BA"/>
    <w:rsid w:val="77514720"/>
    <w:rsid w:val="77C61D92"/>
    <w:rsid w:val="77D07A9A"/>
    <w:rsid w:val="780659D7"/>
    <w:rsid w:val="783F22F6"/>
    <w:rsid w:val="786848E4"/>
    <w:rsid w:val="788211D9"/>
    <w:rsid w:val="790939D1"/>
    <w:rsid w:val="79393B8B"/>
    <w:rsid w:val="79DC7CBF"/>
    <w:rsid w:val="79E269FA"/>
    <w:rsid w:val="7A5C3FD5"/>
    <w:rsid w:val="7AB20098"/>
    <w:rsid w:val="7ACE6A17"/>
    <w:rsid w:val="7ADE489B"/>
    <w:rsid w:val="7AFB3BDC"/>
    <w:rsid w:val="7BD227A0"/>
    <w:rsid w:val="7C172B36"/>
    <w:rsid w:val="7C1C3A1B"/>
    <w:rsid w:val="7C3F770A"/>
    <w:rsid w:val="7C4B59FF"/>
    <w:rsid w:val="7CC06A9D"/>
    <w:rsid w:val="7D0A2A81"/>
    <w:rsid w:val="7D1317D8"/>
    <w:rsid w:val="7D6A6A08"/>
    <w:rsid w:val="7D8F021D"/>
    <w:rsid w:val="7E1626EC"/>
    <w:rsid w:val="7E1C633B"/>
    <w:rsid w:val="7EA1037B"/>
    <w:rsid w:val="7EA92AE0"/>
    <w:rsid w:val="7EBA6AFC"/>
    <w:rsid w:val="7EC24814"/>
    <w:rsid w:val="7F404BC5"/>
    <w:rsid w:val="7F54171E"/>
    <w:rsid w:val="7FA3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2">
    <w:name w:val="heading 1"/>
    <w:basedOn w:val="1"/>
    <w:next w:val="3"/>
    <w:link w:val="46"/>
    <w:qFormat/>
    <w:uiPriority w:val="99"/>
    <w:pPr>
      <w:keepNext/>
      <w:keepLines/>
      <w:spacing w:before="480"/>
      <w:outlineLvl w:val="0"/>
    </w:pPr>
    <w:rPr>
      <w:rFonts w:ascii="Cambria" w:hAnsi="Cambria"/>
      <w:b/>
      <w:bCs/>
      <w:color w:val="365F91"/>
      <w:sz w:val="28"/>
      <w:szCs w:val="28"/>
    </w:rPr>
  </w:style>
  <w:style w:type="paragraph" w:styleId="4">
    <w:name w:val="heading 2"/>
    <w:basedOn w:val="1"/>
    <w:next w:val="1"/>
    <w:link w:val="47"/>
    <w:qFormat/>
    <w:uiPriority w:val="99"/>
    <w:pPr>
      <w:keepNext/>
      <w:keepLines/>
      <w:spacing w:before="200"/>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3" w:lineRule="auto"/>
      <w:outlineLvl w:val="2"/>
    </w:pPr>
    <w:rPr>
      <w:b/>
      <w:kern w:val="0"/>
      <w:sz w:val="32"/>
      <w:szCs w:val="24"/>
    </w:rPr>
  </w:style>
  <w:style w:type="paragraph" w:styleId="6">
    <w:name w:val="heading 4"/>
    <w:basedOn w:val="1"/>
    <w:next w:val="1"/>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paragraph" w:styleId="7">
    <w:name w:val="heading 5"/>
    <w:basedOn w:val="1"/>
    <w:next w:val="1"/>
    <w:qFormat/>
    <w:uiPriority w:val="1"/>
    <w:pPr>
      <w:ind w:left="820"/>
      <w:outlineLvl w:val="4"/>
    </w:pPr>
    <w:rPr>
      <w:b/>
      <w:bCs/>
      <w:sz w:val="24"/>
      <w:szCs w:val="24"/>
    </w:rPr>
  </w:style>
  <w:style w:type="paragraph" w:styleId="8">
    <w:name w:val="heading 8"/>
    <w:basedOn w:val="1"/>
    <w:next w:val="1"/>
    <w:qFormat/>
    <w:uiPriority w:val="1"/>
    <w:pPr>
      <w:spacing w:before="42"/>
      <w:ind w:left="447"/>
      <w:jc w:val="center"/>
      <w:outlineLvl w:val="7"/>
    </w:pPr>
    <w:rPr>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9">
    <w:name w:val="annotation text"/>
    <w:basedOn w:val="1"/>
    <w:link w:val="58"/>
    <w:unhideWhenUsed/>
    <w:qFormat/>
    <w:uiPriority w:val="0"/>
    <w:rPr>
      <w:rFonts w:asciiTheme="minorHAnsi" w:hAnsiTheme="minorHAnsi" w:eastAsiaTheme="minorEastAsia" w:cstheme="minorBidi"/>
      <w:sz w:val="21"/>
      <w:szCs w:val="22"/>
    </w:rPr>
  </w:style>
  <w:style w:type="paragraph" w:styleId="10">
    <w:name w:val="Body Text 3"/>
    <w:basedOn w:val="1"/>
    <w:qFormat/>
    <w:uiPriority w:val="0"/>
    <w:pPr>
      <w:spacing w:after="120"/>
    </w:pPr>
    <w:rPr>
      <w:rFonts w:ascii="Times New Roman" w:hAnsi="Times New Roman" w:eastAsia="宋体" w:cs="Times New Roman"/>
      <w:sz w:val="16"/>
      <w:szCs w:val="16"/>
    </w:rPr>
  </w:style>
  <w:style w:type="paragraph" w:styleId="11">
    <w:name w:val="Body Text"/>
    <w:basedOn w:val="1"/>
    <w:next w:val="12"/>
    <w:link w:val="57"/>
    <w:qFormat/>
    <w:uiPriority w:val="0"/>
    <w:pPr>
      <w:adjustRightInd w:val="0"/>
      <w:spacing w:after="60" w:line="360" w:lineRule="atLeast"/>
      <w:ind w:left="72" w:leftChars="30" w:right="30" w:rightChars="30"/>
      <w:jc w:val="center"/>
      <w:textAlignment w:val="baseline"/>
    </w:pPr>
    <w:rPr>
      <w:rFonts w:asciiTheme="minorHAnsi" w:hAnsiTheme="minorHAnsi" w:eastAsiaTheme="minorEastAsia" w:cstheme="minorBidi"/>
      <w:sz w:val="21"/>
      <w:szCs w:val="22"/>
    </w:rPr>
  </w:style>
  <w:style w:type="paragraph" w:styleId="12">
    <w:name w:val="Body Text 2"/>
    <w:basedOn w:val="1"/>
    <w:next w:val="11"/>
    <w:qFormat/>
    <w:uiPriority w:val="0"/>
    <w:pPr>
      <w:widowControl/>
      <w:spacing w:before="100" w:beforeAutospacing="1" w:after="100" w:afterAutospacing="1"/>
    </w:pPr>
    <w:rPr>
      <w:kern w:val="0"/>
    </w:rPr>
  </w:style>
  <w:style w:type="paragraph" w:styleId="13">
    <w:name w:val="Body Text Indent"/>
    <w:basedOn w:val="1"/>
    <w:next w:val="14"/>
    <w:link w:val="56"/>
    <w:unhideWhenUsed/>
    <w:qFormat/>
    <w:uiPriority w:val="99"/>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toc 3"/>
    <w:basedOn w:val="1"/>
    <w:next w:val="1"/>
    <w:unhideWhenUsed/>
    <w:qFormat/>
    <w:uiPriority w:val="39"/>
    <w:pPr>
      <w:ind w:left="840" w:leftChars="400"/>
    </w:pPr>
  </w:style>
  <w:style w:type="paragraph" w:styleId="16">
    <w:name w:val="Plain Text"/>
    <w:basedOn w:val="1"/>
    <w:link w:val="60"/>
    <w:unhideWhenUsed/>
    <w:qFormat/>
    <w:uiPriority w:val="0"/>
    <w:rPr>
      <w:rFonts w:ascii="宋体" w:hAnsi="Courier New" w:eastAsia="仿宋"/>
      <w:sz w:val="20"/>
    </w:rPr>
  </w:style>
  <w:style w:type="paragraph" w:styleId="17">
    <w:name w:val="Body Text Indent 2"/>
    <w:basedOn w:val="1"/>
    <w:link w:val="45"/>
    <w:unhideWhenUsed/>
    <w:qFormat/>
    <w:uiPriority w:val="0"/>
    <w:pPr>
      <w:spacing w:after="120" w:line="480" w:lineRule="auto"/>
      <w:ind w:left="420" w:leftChars="200"/>
    </w:pPr>
  </w:style>
  <w:style w:type="paragraph" w:styleId="18">
    <w:name w:val="Balloon Text"/>
    <w:basedOn w:val="1"/>
    <w:link w:val="51"/>
    <w:semiHidden/>
    <w:unhideWhenUsed/>
    <w:qFormat/>
    <w:uiPriority w:val="99"/>
    <w:pPr>
      <w:spacing w:line="240" w:lineRule="auto"/>
    </w:pPr>
    <w:rPr>
      <w:sz w:val="18"/>
      <w:szCs w:val="18"/>
    </w:rPr>
  </w:style>
  <w:style w:type="paragraph" w:styleId="19">
    <w:name w:val="footer"/>
    <w:basedOn w:val="1"/>
    <w:link w:val="50"/>
    <w:unhideWhenUsed/>
    <w:qFormat/>
    <w:uiPriority w:val="99"/>
    <w:pPr>
      <w:tabs>
        <w:tab w:val="center" w:pos="4153"/>
        <w:tab w:val="right" w:pos="8306"/>
      </w:tabs>
      <w:snapToGrid w:val="0"/>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Cs w:val="24"/>
    </w:rPr>
  </w:style>
  <w:style w:type="paragraph" w:styleId="22">
    <w:name w:val="toc 2"/>
    <w:basedOn w:val="1"/>
    <w:next w:val="1"/>
    <w:unhideWhenUsed/>
    <w:qFormat/>
    <w:uiPriority w:val="39"/>
    <w:pPr>
      <w:ind w:left="420" w:leftChars="200"/>
    </w:p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24">
    <w:name w:val="Normal (Web)"/>
    <w:basedOn w:val="1"/>
    <w:qFormat/>
    <w:uiPriority w:val="99"/>
    <w:pPr>
      <w:widowControl/>
      <w:spacing w:before="100" w:beforeAutospacing="1" w:after="100" w:afterAutospacing="1"/>
    </w:pPr>
    <w:rPr>
      <w:rFonts w:ascii="宋体" w:hAnsi="宋体" w:cs="宋体"/>
      <w:kern w:val="0"/>
      <w:szCs w:val="24"/>
    </w:rPr>
  </w:style>
  <w:style w:type="paragraph" w:styleId="25">
    <w:name w:val="Title"/>
    <w:basedOn w:val="1"/>
    <w:next w:val="1"/>
    <w:link w:val="61"/>
    <w:qFormat/>
    <w:uiPriority w:val="0"/>
    <w:pPr>
      <w:spacing w:before="240" w:after="60"/>
      <w:jc w:val="center"/>
      <w:outlineLvl w:val="0"/>
    </w:pPr>
    <w:rPr>
      <w:rFonts w:ascii="Cambria" w:hAnsi="Cambria" w:eastAsiaTheme="minorEastAsia" w:cstheme="minorBidi"/>
      <w:b/>
      <w:bCs/>
      <w:sz w:val="32"/>
      <w:szCs w:val="32"/>
    </w:rPr>
  </w:style>
  <w:style w:type="paragraph" w:styleId="26">
    <w:name w:val="Body Text First Indent"/>
    <w:basedOn w:val="11"/>
    <w:next w:val="27"/>
    <w:link w:val="65"/>
    <w:qFormat/>
    <w:uiPriority w:val="0"/>
    <w:pPr>
      <w:adjustRightInd/>
      <w:spacing w:after="120" w:line="240" w:lineRule="auto"/>
      <w:ind w:left="0" w:leftChars="0" w:right="0" w:rightChars="0" w:firstLine="420" w:firstLineChars="100"/>
      <w:jc w:val="both"/>
      <w:textAlignment w:val="auto"/>
    </w:pPr>
  </w:style>
  <w:style w:type="paragraph" w:styleId="27">
    <w:name w:val="Body Text First Indent 2"/>
    <w:basedOn w:val="13"/>
    <w:next w:val="1"/>
    <w:link w:val="54"/>
    <w:unhideWhenUsed/>
    <w:qFormat/>
    <w:uiPriority w:val="99"/>
    <w:pPr>
      <w:ind w:firstLine="420" w:firstLineChars="200"/>
    </w:pPr>
    <w:rPr>
      <w:rFonts w:asciiTheme="minorHAnsi" w:hAnsiTheme="minorHAnsi" w:eastAsiaTheme="minorEastAsia" w:cstheme="minorBidi"/>
      <w:szCs w:val="2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bdr w:val="single" w:color="D2D2D2" w:sz="6" w:space="0"/>
      <w:shd w:val="clear" w:fill="FFFFFF"/>
    </w:rPr>
  </w:style>
  <w:style w:type="character" w:styleId="32">
    <w:name w:val="page number"/>
    <w:basedOn w:val="30"/>
    <w:qFormat/>
    <w:uiPriority w:val="0"/>
  </w:style>
  <w:style w:type="character" w:styleId="33">
    <w:name w:val="FollowedHyperlink"/>
    <w:basedOn w:val="30"/>
    <w:qFormat/>
    <w:uiPriority w:val="0"/>
    <w:rPr>
      <w:color w:val="800080"/>
      <w:u w:val="none"/>
    </w:rPr>
  </w:style>
  <w:style w:type="character" w:styleId="34">
    <w:name w:val="Emphasis"/>
    <w:basedOn w:val="30"/>
    <w:qFormat/>
    <w:uiPriority w:val="20"/>
    <w:rPr>
      <w:b/>
      <w:bCs/>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qFormat/>
    <w:uiPriority w:val="99"/>
    <w:rPr>
      <w:color w:val="0000FF"/>
      <w:u w:val="non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ascii="monospace" w:hAnsi="monospace" w:eastAsia="monospace" w:cs="monospace"/>
    </w:rPr>
  </w:style>
  <w:style w:type="paragraph" w:customStyle="1" w:styleId="44">
    <w:name w:val="Default"/>
    <w:basedOn w:val="1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正文文本缩进 2 Char"/>
    <w:basedOn w:val="30"/>
    <w:link w:val="17"/>
    <w:qFormat/>
    <w:uiPriority w:val="0"/>
    <w:rPr>
      <w:rFonts w:ascii="Times New Roman" w:hAnsi="Times New Roman" w:eastAsia="宋体" w:cs="Times New Roman"/>
      <w:sz w:val="24"/>
      <w:szCs w:val="20"/>
    </w:rPr>
  </w:style>
  <w:style w:type="character" w:customStyle="1" w:styleId="46">
    <w:name w:val="标题 1 Char"/>
    <w:basedOn w:val="30"/>
    <w:link w:val="2"/>
    <w:qFormat/>
    <w:uiPriority w:val="99"/>
    <w:rPr>
      <w:rFonts w:ascii="Cambria" w:hAnsi="Cambria" w:eastAsia="宋体" w:cs="Times New Roman"/>
      <w:b/>
      <w:bCs/>
      <w:color w:val="365F91"/>
      <w:sz w:val="28"/>
      <w:szCs w:val="28"/>
    </w:rPr>
  </w:style>
  <w:style w:type="character" w:customStyle="1" w:styleId="47">
    <w:name w:val="标题 2 Char"/>
    <w:basedOn w:val="30"/>
    <w:link w:val="4"/>
    <w:qFormat/>
    <w:uiPriority w:val="99"/>
    <w:rPr>
      <w:rFonts w:ascii="Arial" w:hAnsi="Arial" w:eastAsia="黑体" w:cs="Times New Roman"/>
      <w:b/>
      <w:bCs/>
      <w:sz w:val="32"/>
      <w:szCs w:val="32"/>
    </w:rPr>
  </w:style>
  <w:style w:type="character" w:customStyle="1" w:styleId="48">
    <w:name w:val="标题 3 Char"/>
    <w:basedOn w:val="30"/>
    <w:link w:val="5"/>
    <w:qFormat/>
    <w:uiPriority w:val="0"/>
    <w:rPr>
      <w:rFonts w:ascii="Times New Roman" w:hAnsi="Times New Roman" w:eastAsia="宋体" w:cs="Times New Roman"/>
      <w:b/>
      <w:kern w:val="0"/>
      <w:sz w:val="32"/>
      <w:szCs w:val="24"/>
    </w:rPr>
  </w:style>
  <w:style w:type="character" w:customStyle="1" w:styleId="49">
    <w:name w:val="页眉 Char"/>
    <w:basedOn w:val="30"/>
    <w:link w:val="20"/>
    <w:qFormat/>
    <w:uiPriority w:val="0"/>
    <w:rPr>
      <w:sz w:val="18"/>
      <w:szCs w:val="18"/>
    </w:rPr>
  </w:style>
  <w:style w:type="character" w:customStyle="1" w:styleId="50">
    <w:name w:val="页脚 Char"/>
    <w:basedOn w:val="30"/>
    <w:link w:val="19"/>
    <w:qFormat/>
    <w:uiPriority w:val="0"/>
    <w:rPr>
      <w:sz w:val="18"/>
      <w:szCs w:val="18"/>
    </w:rPr>
  </w:style>
  <w:style w:type="character" w:customStyle="1" w:styleId="51">
    <w:name w:val="批注框文本 Char"/>
    <w:basedOn w:val="30"/>
    <w:link w:val="18"/>
    <w:semiHidden/>
    <w:qFormat/>
    <w:uiPriority w:val="99"/>
    <w:rPr>
      <w:rFonts w:ascii="Times New Roman" w:hAnsi="Times New Roman" w:eastAsia="宋体" w:cs="Times New Roman"/>
      <w:sz w:val="18"/>
      <w:szCs w:val="18"/>
    </w:rPr>
  </w:style>
  <w:style w:type="paragraph" w:customStyle="1" w:styleId="52">
    <w:name w:val="cjk"/>
    <w:basedOn w:val="1"/>
    <w:qFormat/>
    <w:uiPriority w:val="0"/>
    <w:pPr>
      <w:widowControl/>
      <w:spacing w:before="100" w:beforeAutospacing="1" w:after="100" w:afterAutospacing="1" w:line="240" w:lineRule="auto"/>
    </w:pPr>
    <w:rPr>
      <w:rFonts w:ascii="宋体" w:hAnsi="宋体" w:cs="宋体"/>
      <w:kern w:val="0"/>
      <w:szCs w:val="24"/>
    </w:rPr>
  </w:style>
  <w:style w:type="character" w:customStyle="1" w:styleId="53">
    <w:name w:val="16"/>
    <w:qFormat/>
    <w:uiPriority w:val="0"/>
    <w:rPr>
      <w:rFonts w:hint="default" w:ascii="Times New Roman" w:hAnsi="Times New Roman" w:cs="Times New Roman"/>
      <w:color w:val="0000FF"/>
      <w:u w:val="single"/>
    </w:rPr>
  </w:style>
  <w:style w:type="character" w:customStyle="1" w:styleId="54">
    <w:name w:val="正文首行缩进 2 Char"/>
    <w:basedOn w:val="55"/>
    <w:link w:val="27"/>
    <w:qFormat/>
    <w:uiPriority w:val="99"/>
    <w:rPr>
      <w:kern w:val="2"/>
      <w:sz w:val="24"/>
    </w:rPr>
  </w:style>
  <w:style w:type="character" w:customStyle="1" w:styleId="55">
    <w:name w:val="正文文本缩进 Char"/>
    <w:qFormat/>
    <w:uiPriority w:val="99"/>
    <w:rPr>
      <w:kern w:val="2"/>
      <w:sz w:val="24"/>
    </w:rPr>
  </w:style>
  <w:style w:type="character" w:customStyle="1" w:styleId="56">
    <w:name w:val="正文文本缩进 Char1"/>
    <w:basedOn w:val="30"/>
    <w:link w:val="13"/>
    <w:qFormat/>
    <w:uiPriority w:val="99"/>
    <w:rPr>
      <w:rFonts w:ascii="Times New Roman" w:hAnsi="Times New Roman" w:eastAsia="宋体" w:cs="Times New Roman"/>
      <w:sz w:val="24"/>
      <w:szCs w:val="20"/>
    </w:rPr>
  </w:style>
  <w:style w:type="character" w:customStyle="1" w:styleId="57">
    <w:name w:val="正文文本 Char"/>
    <w:basedOn w:val="30"/>
    <w:link w:val="11"/>
    <w:qFormat/>
    <w:uiPriority w:val="0"/>
  </w:style>
  <w:style w:type="character" w:customStyle="1" w:styleId="58">
    <w:name w:val="批注文字 Char"/>
    <w:basedOn w:val="30"/>
    <w:link w:val="9"/>
    <w:qFormat/>
    <w:uiPriority w:val="0"/>
  </w:style>
  <w:style w:type="character" w:customStyle="1" w:styleId="59">
    <w:name w:val="font21"/>
    <w:qFormat/>
    <w:uiPriority w:val="0"/>
    <w:rPr>
      <w:rFonts w:hint="default" w:ascii="Calibri" w:hAnsi="Calibri" w:cs="Calibri"/>
      <w:color w:val="000000"/>
      <w:sz w:val="20"/>
      <w:szCs w:val="20"/>
      <w:u w:val="none"/>
    </w:rPr>
  </w:style>
  <w:style w:type="character" w:customStyle="1" w:styleId="60">
    <w:name w:val="纯文本 Char"/>
    <w:link w:val="16"/>
    <w:qFormat/>
    <w:uiPriority w:val="0"/>
    <w:rPr>
      <w:rFonts w:ascii="宋体" w:hAnsi="Courier New" w:eastAsia="仿宋" w:cs="Times New Roman"/>
      <w:sz w:val="20"/>
      <w:szCs w:val="20"/>
    </w:rPr>
  </w:style>
  <w:style w:type="character" w:customStyle="1" w:styleId="61">
    <w:name w:val="标题 Char"/>
    <w:link w:val="25"/>
    <w:qFormat/>
    <w:uiPriority w:val="0"/>
    <w:rPr>
      <w:rFonts w:ascii="Cambria" w:hAnsi="Cambria"/>
      <w:b/>
      <w:bCs/>
      <w:sz w:val="32"/>
      <w:szCs w:val="32"/>
    </w:rPr>
  </w:style>
  <w:style w:type="character" w:customStyle="1" w:styleId="62">
    <w:name w:val="10"/>
    <w:qFormat/>
    <w:uiPriority w:val="0"/>
    <w:rPr>
      <w:rFonts w:hint="default" w:ascii="Times New Roman" w:hAnsi="Times New Roman" w:cs="Times New Roman"/>
    </w:rPr>
  </w:style>
  <w:style w:type="character" w:customStyle="1" w:styleId="63">
    <w:name w:val="17"/>
    <w:qFormat/>
    <w:uiPriority w:val="0"/>
    <w:rPr>
      <w:rFonts w:hint="default" w:ascii="Calibri" w:hAnsi="Calibri" w:cs="Calibri"/>
      <w:color w:val="000000"/>
      <w:sz w:val="20"/>
      <w:szCs w:val="20"/>
    </w:rPr>
  </w:style>
  <w:style w:type="character" w:customStyle="1" w:styleId="64">
    <w:name w:val="15"/>
    <w:qFormat/>
    <w:uiPriority w:val="0"/>
    <w:rPr>
      <w:rFonts w:hint="default" w:ascii="Times New Roman" w:hAnsi="Times New Roman" w:cs="Times New Roman"/>
    </w:rPr>
  </w:style>
  <w:style w:type="character" w:customStyle="1" w:styleId="65">
    <w:name w:val="正文首行缩进 Char"/>
    <w:link w:val="26"/>
    <w:qFormat/>
    <w:uiPriority w:val="0"/>
  </w:style>
  <w:style w:type="character" w:customStyle="1" w:styleId="66">
    <w:name w:val="正文首行缩进 2 Char1"/>
    <w:basedOn w:val="56"/>
    <w:semiHidden/>
    <w:qFormat/>
    <w:uiPriority w:val="99"/>
    <w:rPr>
      <w:rFonts w:ascii="Times New Roman" w:hAnsi="Times New Roman" w:eastAsia="宋体" w:cs="Times New Roman"/>
      <w:sz w:val="24"/>
      <w:szCs w:val="20"/>
    </w:rPr>
  </w:style>
  <w:style w:type="character" w:customStyle="1" w:styleId="67">
    <w:name w:val="正文文本 Char1"/>
    <w:basedOn w:val="30"/>
    <w:semiHidden/>
    <w:qFormat/>
    <w:uiPriority w:val="99"/>
    <w:rPr>
      <w:rFonts w:ascii="Times New Roman" w:hAnsi="Times New Roman" w:eastAsia="宋体" w:cs="Times New Roman"/>
      <w:sz w:val="24"/>
      <w:szCs w:val="20"/>
    </w:rPr>
  </w:style>
  <w:style w:type="character" w:customStyle="1" w:styleId="68">
    <w:name w:val="批注文字 Char1"/>
    <w:basedOn w:val="30"/>
    <w:semiHidden/>
    <w:qFormat/>
    <w:uiPriority w:val="99"/>
    <w:rPr>
      <w:rFonts w:ascii="Times New Roman" w:hAnsi="Times New Roman" w:eastAsia="宋体" w:cs="Times New Roman"/>
      <w:sz w:val="24"/>
      <w:szCs w:val="20"/>
    </w:rPr>
  </w:style>
  <w:style w:type="character" w:customStyle="1" w:styleId="69">
    <w:name w:val="正文首行缩进 Char1"/>
    <w:basedOn w:val="67"/>
    <w:semiHidden/>
    <w:qFormat/>
    <w:uiPriority w:val="99"/>
    <w:rPr>
      <w:rFonts w:ascii="Times New Roman" w:hAnsi="Times New Roman" w:eastAsia="宋体" w:cs="Times New Roman"/>
      <w:sz w:val="24"/>
      <w:szCs w:val="20"/>
    </w:rPr>
  </w:style>
  <w:style w:type="character" w:customStyle="1" w:styleId="70">
    <w:name w:val="标题 Char1"/>
    <w:basedOn w:val="30"/>
    <w:qFormat/>
    <w:uiPriority w:val="10"/>
    <w:rPr>
      <w:rFonts w:eastAsia="宋体" w:asciiTheme="majorHAnsi" w:hAnsiTheme="majorHAnsi" w:cstheme="majorBidi"/>
      <w:b/>
      <w:bCs/>
      <w:sz w:val="32"/>
      <w:szCs w:val="32"/>
    </w:rPr>
  </w:style>
  <w:style w:type="character" w:customStyle="1" w:styleId="71">
    <w:name w:val="纯文本 Char2"/>
    <w:basedOn w:val="30"/>
    <w:semiHidden/>
    <w:qFormat/>
    <w:uiPriority w:val="99"/>
    <w:rPr>
      <w:rFonts w:ascii="宋体" w:hAnsi="Courier New" w:eastAsia="宋体" w:cs="Courier New"/>
      <w:szCs w:val="21"/>
    </w:rPr>
  </w:style>
  <w:style w:type="paragraph" w:customStyle="1" w:styleId="72">
    <w:name w:val="正文空2格  1."/>
    <w:basedOn w:val="1"/>
    <w:qFormat/>
    <w:uiPriority w:val="0"/>
    <w:pPr>
      <w:ind w:firstLine="480" w:firstLineChars="200"/>
    </w:pPr>
    <w:rPr>
      <w:rFonts w:cs="宋体"/>
    </w:rPr>
  </w:style>
  <w:style w:type="paragraph" w:customStyle="1" w:styleId="73">
    <w:name w:val="列出段落1"/>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74">
    <w:name w:val="正文 1.1"/>
    <w:basedOn w:val="1"/>
    <w:next w:val="75"/>
    <w:qFormat/>
    <w:uiPriority w:val="0"/>
    <w:pPr>
      <w:ind w:left="980" w:hanging="980"/>
      <w:outlineLvl w:val="1"/>
    </w:pPr>
    <w:rPr>
      <w:rFonts w:ascii="仿宋" w:hAnsi="仿宋" w:eastAsia="仿宋" w:cs="宋体"/>
      <w:b/>
      <w:bCs/>
      <w:szCs w:val="24"/>
    </w:rPr>
  </w:style>
  <w:style w:type="paragraph" w:customStyle="1" w:styleId="75">
    <w:name w:val="正文 1.1.1"/>
    <w:basedOn w:val="1"/>
    <w:next w:val="1"/>
    <w:qFormat/>
    <w:uiPriority w:val="0"/>
    <w:pPr>
      <w:ind w:left="710"/>
      <w:outlineLvl w:val="2"/>
    </w:pPr>
    <w:rPr>
      <w:rFonts w:hAnsi="宋体"/>
      <w:color w:val="FF0000"/>
    </w:rPr>
  </w:style>
  <w:style w:type="paragraph" w:customStyle="1" w:styleId="76">
    <w:name w:val="样式 标题 3 + (中文) 黑体 小四 非加粗 段前: 7.8 磅 段后: 0 磅 行距: 固定值 20 磅"/>
    <w:basedOn w:val="5"/>
    <w:qFormat/>
    <w:uiPriority w:val="0"/>
    <w:pPr>
      <w:spacing w:before="0" w:after="0" w:line="400" w:lineRule="exact"/>
    </w:pPr>
    <w:rPr>
      <w:rFonts w:eastAsia="黑体" w:cs="宋体"/>
      <w:b w:val="0"/>
      <w:sz w:val="24"/>
      <w:szCs w:val="20"/>
    </w:rPr>
  </w:style>
  <w:style w:type="paragraph" w:customStyle="1" w:styleId="77">
    <w:name w:val="_Style 5"/>
    <w:basedOn w:val="2"/>
    <w:next w:val="1"/>
    <w:qFormat/>
    <w:uiPriority w:val="39"/>
    <w:pPr>
      <w:widowControl/>
      <w:spacing w:line="276" w:lineRule="auto"/>
      <w:outlineLvl w:val="9"/>
    </w:pPr>
  </w:style>
  <w:style w:type="paragraph" w:customStyle="1" w:styleId="78">
    <w:name w:val="列出段落2"/>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styleId="79">
    <w:name w:val="List Paragraph"/>
    <w:basedOn w:val="1"/>
    <w:qFormat/>
    <w:uiPriority w:val="34"/>
    <w:pPr>
      <w:spacing w:line="240" w:lineRule="auto"/>
      <w:ind w:firstLine="420" w:firstLineChars="200"/>
      <w:jc w:val="both"/>
    </w:pPr>
    <w:rPr>
      <w:sz w:val="21"/>
    </w:rPr>
  </w:style>
  <w:style w:type="character" w:customStyle="1" w:styleId="80">
    <w:name w:val="正文文本首行缩进 字符"/>
    <w:qFormat/>
    <w:uiPriority w:val="0"/>
    <w:rPr>
      <w:kern w:val="2"/>
      <w:sz w:val="21"/>
    </w:rPr>
  </w:style>
  <w:style w:type="character" w:customStyle="1" w:styleId="81">
    <w:name w:val="批注文字 字符"/>
    <w:qFormat/>
    <w:uiPriority w:val="0"/>
  </w:style>
  <w:style w:type="character" w:customStyle="1" w:styleId="82">
    <w:name w:val="正文文本缩进 字符"/>
    <w:qFormat/>
    <w:uiPriority w:val="99"/>
    <w:rPr>
      <w:sz w:val="24"/>
    </w:rPr>
  </w:style>
  <w:style w:type="character" w:customStyle="1" w:styleId="83">
    <w:name w:val="标题 1 字符"/>
    <w:qFormat/>
    <w:uiPriority w:val="0"/>
    <w:rPr>
      <w:rFonts w:ascii="Cambria" w:hAnsi="Cambria" w:eastAsia="宋体" w:cs="Times New Roman"/>
      <w:b/>
      <w:bCs/>
      <w:color w:val="365F91"/>
      <w:sz w:val="28"/>
      <w:szCs w:val="28"/>
    </w:rPr>
  </w:style>
  <w:style w:type="character" w:customStyle="1" w:styleId="84">
    <w:name w:val="正文文本 字符"/>
    <w:qFormat/>
    <w:uiPriority w:val="0"/>
  </w:style>
  <w:style w:type="character" w:customStyle="1" w:styleId="85">
    <w:name w:val="标题 字符"/>
    <w:qFormat/>
    <w:uiPriority w:val="0"/>
    <w:rPr>
      <w:rFonts w:ascii="Cambria" w:hAnsi="Cambria"/>
      <w:b/>
      <w:bCs/>
      <w:sz w:val="32"/>
      <w:szCs w:val="32"/>
    </w:rPr>
  </w:style>
  <w:style w:type="character" w:customStyle="1" w:styleId="86">
    <w:name w:val="纯文本 字符"/>
    <w:qFormat/>
    <w:uiPriority w:val="0"/>
    <w:rPr>
      <w:rFonts w:ascii="宋体" w:hAnsi="Courier New" w:eastAsia="仿宋" w:cs="Times New Roman"/>
      <w:sz w:val="20"/>
      <w:szCs w:val="20"/>
    </w:rPr>
  </w:style>
  <w:style w:type="character" w:customStyle="1" w:styleId="87">
    <w:name w:val="页脚 字符"/>
    <w:qFormat/>
    <w:uiPriority w:val="0"/>
    <w:rPr>
      <w:rFonts w:ascii="Calibri" w:hAnsi="Calibri" w:eastAsia="宋体" w:cs="宋体"/>
      <w:kern w:val="0"/>
      <w:sz w:val="18"/>
      <w:szCs w:val="18"/>
    </w:rPr>
  </w:style>
  <w:style w:type="character" w:customStyle="1" w:styleId="88">
    <w:name w:val="页眉 字符"/>
    <w:qFormat/>
    <w:uiPriority w:val="0"/>
    <w:rPr>
      <w:rFonts w:ascii="Calibri" w:hAnsi="Calibri" w:eastAsia="宋体" w:cs="宋体"/>
      <w:kern w:val="0"/>
      <w:sz w:val="18"/>
      <w:szCs w:val="18"/>
    </w:rPr>
  </w:style>
  <w:style w:type="character" w:customStyle="1" w:styleId="89">
    <w:name w:val="标题 2 字符"/>
    <w:qFormat/>
    <w:uiPriority w:val="0"/>
    <w:rPr>
      <w:rFonts w:ascii="Arial" w:hAnsi="Arial" w:eastAsia="黑体" w:cs="Times New Roman"/>
      <w:b/>
      <w:bCs/>
      <w:sz w:val="32"/>
      <w:szCs w:val="32"/>
    </w:rPr>
  </w:style>
  <w:style w:type="character" w:customStyle="1" w:styleId="90">
    <w:name w:val="正文文本缩进 2 字符"/>
    <w:qFormat/>
    <w:uiPriority w:val="0"/>
    <w:rPr>
      <w:rFonts w:ascii="Times New Roman" w:hAnsi="Times New Roman" w:eastAsia="宋体" w:cs="Times New Roman"/>
      <w:sz w:val="24"/>
      <w:szCs w:val="24"/>
    </w:rPr>
  </w:style>
  <w:style w:type="character" w:customStyle="1" w:styleId="91">
    <w:name w:val="正文文本首行缩进 2 字符"/>
    <w:qFormat/>
    <w:uiPriority w:val="99"/>
  </w:style>
  <w:style w:type="character" w:customStyle="1" w:styleId="92">
    <w:name w:val="标题 3 字符"/>
    <w:qFormat/>
    <w:uiPriority w:val="0"/>
    <w:rPr>
      <w:rFonts w:ascii="Times New Roman" w:hAnsi="Times New Roman" w:eastAsia="宋体" w:cs="Times New Roman"/>
      <w:b/>
      <w:kern w:val="0"/>
      <w:sz w:val="32"/>
      <w:szCs w:val="24"/>
    </w:rPr>
  </w:style>
  <w:style w:type="paragraph" w:customStyle="1" w:styleId="93">
    <w:name w:val="列出段落3"/>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文档正文"/>
    <w:basedOn w:val="1"/>
    <w:qFormat/>
    <w:uiPriority w:val="99"/>
    <w:pPr>
      <w:numPr>
        <w:ilvl w:val="1"/>
        <w:numId w:val="1"/>
      </w:numPr>
      <w:adjustRightInd w:val="0"/>
      <w:spacing w:line="480" w:lineRule="atLeast"/>
      <w:ind w:left="0"/>
      <w:jc w:val="both"/>
    </w:pPr>
    <w:rPr>
      <w:rFonts w:ascii="仿宋_GB2312" w:eastAsia="仿宋_GB2312"/>
      <w:kern w:val="0"/>
      <w:sz w:val="28"/>
    </w:rPr>
  </w:style>
  <w:style w:type="paragraph" w:customStyle="1" w:styleId="96">
    <w:name w:val="WPSOffice手动目录 1"/>
    <w:qFormat/>
    <w:uiPriority w:val="0"/>
    <w:rPr>
      <w:rFonts w:asciiTheme="minorHAnsi" w:hAnsiTheme="minorHAnsi" w:eastAsiaTheme="minorEastAsia" w:cstheme="minorBidi"/>
      <w:lang w:val="en-US" w:eastAsia="zh-CN" w:bidi="ar-SA"/>
    </w:rPr>
  </w:style>
  <w:style w:type="paragraph" w:customStyle="1" w:styleId="97">
    <w:name w:val="Table Paragraph"/>
    <w:basedOn w:val="1"/>
    <w:qFormat/>
    <w:uiPriority w:val="1"/>
  </w:style>
  <w:style w:type="table" w:customStyle="1" w:styleId="98">
    <w:name w:val="Table Normal"/>
    <w:semiHidden/>
    <w:unhideWhenUsed/>
    <w:qFormat/>
    <w:uiPriority w:val="2"/>
    <w:tblPr>
      <w:tblCellMar>
        <w:top w:w="0" w:type="dxa"/>
        <w:left w:w="0" w:type="dxa"/>
        <w:bottom w:w="0" w:type="dxa"/>
        <w:right w:w="0" w:type="dxa"/>
      </w:tblCellMar>
    </w:tblPr>
  </w:style>
  <w:style w:type="character" w:customStyle="1" w:styleId="99">
    <w:name w:val="first-child"/>
    <w:basedOn w:val="30"/>
    <w:qFormat/>
    <w:uiPriority w:val="0"/>
  </w:style>
  <w:style w:type="character" w:customStyle="1" w:styleId="100">
    <w:name w:val="layui-layer-tabnow"/>
    <w:basedOn w:val="30"/>
    <w:qFormat/>
    <w:uiPriority w:val="0"/>
    <w:rPr>
      <w:bdr w:val="single" w:color="CCCCCC" w:sz="6" w:space="0"/>
      <w:shd w:val="clear" w:fill="FFFFFF"/>
    </w:rPr>
  </w:style>
  <w:style w:type="character" w:customStyle="1" w:styleId="101">
    <w:name w:val="NormalCharacter"/>
    <w:qFormat/>
    <w:uiPriority w:val="0"/>
    <w:rPr>
      <w:rFonts w:ascii="Times New Roman" w:hAnsi="Times New Roman" w:eastAsia="宋体"/>
    </w:rPr>
  </w:style>
  <w:style w:type="paragraph" w:customStyle="1" w:styleId="102">
    <w:name w:val="BodyText3"/>
    <w:basedOn w:val="1"/>
    <w:qFormat/>
    <w:uiPriority w:val="0"/>
    <w:pPr>
      <w:spacing w:after="120"/>
    </w:pPr>
    <w:rPr>
      <w:sz w:val="16"/>
      <w:szCs w:val="16"/>
    </w:rPr>
  </w:style>
  <w:style w:type="character" w:customStyle="1" w:styleId="103">
    <w:name w:val="hover"/>
    <w:basedOn w:val="30"/>
    <w:qFormat/>
    <w:uiPriority w:val="0"/>
    <w:rPr>
      <w:color w:val="2590EB"/>
    </w:rPr>
  </w:style>
  <w:style w:type="character" w:customStyle="1" w:styleId="104">
    <w:name w:val="hover1"/>
    <w:basedOn w:val="30"/>
    <w:qFormat/>
    <w:uiPriority w:val="0"/>
    <w:rPr>
      <w:color w:val="2590EB"/>
    </w:rPr>
  </w:style>
  <w:style w:type="character" w:customStyle="1" w:styleId="105">
    <w:name w:val="hover2"/>
    <w:basedOn w:val="30"/>
    <w:qFormat/>
    <w:uiPriority w:val="0"/>
  </w:style>
  <w:style w:type="character" w:customStyle="1" w:styleId="106">
    <w:name w:val="mini-outputtext1"/>
    <w:basedOn w:val="30"/>
    <w:qFormat/>
    <w:uiPriority w:val="0"/>
  </w:style>
  <w:style w:type="character" w:customStyle="1" w:styleId="107">
    <w:name w:val="hover3"/>
    <w:basedOn w:val="30"/>
    <w:qFormat/>
    <w:uiPriority w:val="0"/>
  </w:style>
  <w:style w:type="paragraph" w:customStyle="1" w:styleId="10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109">
    <w:name w:val="hover18"/>
    <w:basedOn w:val="30"/>
    <w:qFormat/>
    <w:uiPriority w:val="0"/>
  </w:style>
  <w:style w:type="paragraph" w:customStyle="1" w:styleId="110">
    <w:name w:val="BodyText1I"/>
    <w:basedOn w:val="111"/>
    <w:qFormat/>
    <w:uiPriority w:val="99"/>
    <w:pPr>
      <w:ind w:firstLine="420" w:firstLineChars="100"/>
    </w:pPr>
  </w:style>
  <w:style w:type="paragraph" w:customStyle="1" w:styleId="111">
    <w:name w:val="BodyText"/>
    <w:basedOn w:val="1"/>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4"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5133</Words>
  <Characters>5851</Characters>
  <Lines>162</Lines>
  <Paragraphs>45</Paragraphs>
  <TotalTime>3</TotalTime>
  <ScaleCrop>false</ScaleCrop>
  <LinksUpToDate>false</LinksUpToDate>
  <CharactersWithSpaces>5916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2022-04-25T07:36:00Z</dcterms:created>
  <dc:creator>深圳市合创建设工程顾问有限公司:信安深圳市合创建设工程顾问有限公司</dc:creator>
  <cp:lastModifiedBy>Administrator</cp:lastModifiedBy>
  <cp:lastPrinted>2025-03-18T07:40:00Z</cp:lastPrinted>
  <dcterms:modified xsi:type="dcterms:W3CDTF">2025-07-30T07:48:35Z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9C95E0A5F8E541BF9073B165B9C1FCAF_13</vt:lpwstr>
  </property>
  <property fmtid="{D5CDD505-2E9C-101B-9397-08002B2CF9AE}" pid="4" name="commondata">
    <vt:lpwstr>eyJoZGlkIjoiYjIyZTE0ZjhiZDAwZDc5ODcxMmE4Y2RjOTYwMzM5MTcifQ==</vt:lpwstr>
  </property>
  <property fmtid="{D5CDD505-2E9C-101B-9397-08002B2CF9AE}" pid="5" name="KSOTemplateDocerSaveRecord">
    <vt:lpwstr>eyJoZGlkIjoiMGVkYmZmYjM3MDg5NmRlNTNmYzBmNGY4MDI4MzRjNWYiLCJ1c2VySWQiOiIyNzc1ODI1NDIifQ==</vt:lpwstr>
  </property>
</Properties>
</file>