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rPr>
          <w:rFonts w:hint="eastAsia" w:ascii="宋体" w:hAnsi="宋体" w:eastAsia="宋体" w:cs="宋体"/>
          <w:b/>
          <w:bCs/>
          <w:sz w:val="22"/>
          <w:szCs w:val="22"/>
          <w:highlight w:val="none"/>
          <w:lang w:val="en-US" w:eastAsia="zh-CN"/>
        </w:rPr>
      </w:pPr>
    </w:p>
    <w:p>
      <w:pPr>
        <w:pStyle w:val="7"/>
        <w:spacing w:line="360" w:lineRule="auto"/>
        <w:ind w:left="0" w:leftChars="0" w:right="-340" w:rightChars="-162"/>
        <w:jc w:val="center"/>
        <w:rPr>
          <w:rFonts w:hint="eastAsia" w:ascii="宋体" w:hAnsi="宋体" w:eastAsia="宋体" w:cs="宋体"/>
          <w:b/>
          <w:sz w:val="48"/>
          <w:szCs w:val="48"/>
          <w:highlight w:val="none"/>
        </w:rPr>
      </w:pPr>
    </w:p>
    <w:p>
      <w:pPr>
        <w:pStyle w:val="7"/>
        <w:spacing w:line="360" w:lineRule="auto"/>
        <w:ind w:left="0" w:leftChars="0" w:right="-340" w:rightChars="-162"/>
        <w:jc w:val="center"/>
        <w:rPr>
          <w:rFonts w:hint="eastAsia" w:ascii="宋体" w:hAnsi="宋体" w:eastAsia="宋体" w:cs="宋体"/>
          <w:b/>
          <w:sz w:val="48"/>
          <w:szCs w:val="48"/>
          <w:highlight w:val="none"/>
          <w:lang w:eastAsia="zh-CN"/>
        </w:rPr>
      </w:pPr>
      <w:r>
        <w:rPr>
          <w:rFonts w:hint="eastAsia" w:ascii="宋体" w:hAnsi="宋体" w:cs="宋体"/>
          <w:b/>
          <w:sz w:val="48"/>
          <w:szCs w:val="48"/>
          <w:highlight w:val="none"/>
          <w:lang w:eastAsia="zh-CN"/>
        </w:rPr>
        <w:t>渑池县英豪镇幸福里社区西围墙修建项目</w:t>
      </w:r>
    </w:p>
    <w:p>
      <w:pPr>
        <w:tabs>
          <w:tab w:val="left" w:pos="3356"/>
        </w:tabs>
        <w:spacing w:line="360" w:lineRule="auto"/>
        <w:ind w:right="-340" w:rightChars="-162"/>
        <w:jc w:val="left"/>
        <w:rPr>
          <w:rFonts w:hint="eastAsia" w:ascii="宋体" w:hAnsi="宋体" w:eastAsia="宋体" w:cs="宋体"/>
          <w:b/>
          <w:sz w:val="72"/>
          <w:szCs w:val="72"/>
          <w:highlight w:val="none"/>
          <w:lang w:eastAsia="zh-CN"/>
        </w:rPr>
      </w:pPr>
    </w:p>
    <w:p>
      <w:pPr>
        <w:spacing w:line="360" w:lineRule="auto"/>
        <w:ind w:right="-340" w:rightChars="-162"/>
        <w:jc w:val="center"/>
        <w:rPr>
          <w:rFonts w:hint="eastAsia" w:ascii="宋体" w:hAnsi="宋体" w:eastAsia="宋体" w:cs="宋体"/>
          <w:b/>
          <w:sz w:val="96"/>
          <w:szCs w:val="96"/>
          <w:highlight w:val="none"/>
        </w:rPr>
      </w:pPr>
      <w:r>
        <w:rPr>
          <w:rFonts w:hint="eastAsia" w:ascii="宋体" w:hAnsi="宋体" w:eastAsia="宋体" w:cs="宋体"/>
          <w:b/>
          <w:sz w:val="72"/>
          <w:szCs w:val="72"/>
          <w:highlight w:val="none"/>
        </w:rPr>
        <w:t>竞争性磋商文件</w:t>
      </w:r>
    </w:p>
    <w:p>
      <w:pPr>
        <w:spacing w:line="360" w:lineRule="auto"/>
        <w:ind w:right="-340" w:rightChars="-162"/>
        <w:jc w:val="center"/>
        <w:rPr>
          <w:rFonts w:hint="eastAsia" w:ascii="宋体" w:hAnsi="宋体" w:eastAsia="宋体" w:cs="宋体"/>
          <w:b/>
          <w:bCs w:val="0"/>
          <w:sz w:val="28"/>
          <w:szCs w:val="28"/>
          <w:highlight w:val="none"/>
        </w:rPr>
      </w:pPr>
    </w:p>
    <w:p>
      <w:pPr>
        <w:spacing w:line="360" w:lineRule="auto"/>
        <w:ind w:right="-340" w:rightChars="-162"/>
        <w:jc w:val="center"/>
        <w:rPr>
          <w:rFonts w:hint="eastAsia" w:ascii="宋体" w:hAnsi="宋体" w:eastAsia="宋体" w:cs="宋体"/>
          <w:b/>
          <w:bCs w:val="0"/>
          <w:sz w:val="28"/>
          <w:szCs w:val="28"/>
          <w:highlight w:val="none"/>
        </w:rPr>
      </w:pPr>
    </w:p>
    <w:p>
      <w:pPr>
        <w:spacing w:line="360" w:lineRule="auto"/>
        <w:ind w:right="-340" w:rightChars="-162"/>
        <w:jc w:val="center"/>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项目编号：</w:t>
      </w:r>
      <w:r>
        <w:rPr>
          <w:rFonts w:hint="eastAsia" w:ascii="宋体" w:hAnsi="宋体" w:eastAsia="宋体" w:cs="宋体"/>
          <w:b/>
          <w:bCs w:val="0"/>
          <w:sz w:val="28"/>
          <w:szCs w:val="28"/>
          <w:highlight w:val="none"/>
          <w:lang w:val="en-US" w:eastAsia="zh-CN"/>
        </w:rPr>
        <w:t>MCGZ[2025]183-ZC140</w:t>
      </w:r>
    </w:p>
    <w:p>
      <w:pPr>
        <w:spacing w:line="360" w:lineRule="auto"/>
        <w:ind w:right="-340" w:rightChars="-162"/>
        <w:jc w:val="center"/>
        <w:rPr>
          <w:rFonts w:hint="default" w:ascii="宋体" w:hAnsi="宋体" w:eastAsia="宋体" w:cs="宋体"/>
          <w:b/>
          <w:bCs w:val="0"/>
          <w:sz w:val="28"/>
          <w:szCs w:val="28"/>
          <w:highlight w:val="none"/>
          <w:lang w:val="en-US"/>
        </w:rPr>
      </w:pPr>
      <w:r>
        <w:rPr>
          <w:rFonts w:hint="eastAsia" w:ascii="宋体" w:hAnsi="宋体" w:eastAsia="宋体" w:cs="宋体"/>
          <w:b/>
          <w:bCs w:val="0"/>
          <w:sz w:val="28"/>
          <w:szCs w:val="28"/>
          <w:highlight w:val="none"/>
        </w:rPr>
        <w:t>采购编号：</w:t>
      </w:r>
      <w:r>
        <w:rPr>
          <w:rFonts w:hint="eastAsia" w:ascii="宋体" w:hAnsi="宋体" w:cs="宋体"/>
          <w:b/>
          <w:bCs w:val="0"/>
          <w:sz w:val="28"/>
          <w:szCs w:val="28"/>
          <w:highlight w:val="none"/>
          <w:lang w:val="en-US" w:eastAsia="zh-CN"/>
        </w:rPr>
        <w:t>渑池竞磋采购-2025-106</w:t>
      </w:r>
    </w:p>
    <w:p>
      <w:pPr>
        <w:pStyle w:val="17"/>
        <w:spacing w:line="360" w:lineRule="auto"/>
        <w:rPr>
          <w:rFonts w:hint="eastAsia" w:ascii="宋体" w:hAnsi="宋体" w:eastAsia="宋体" w:cs="宋体"/>
          <w:highlight w:val="none"/>
        </w:rPr>
      </w:pPr>
    </w:p>
    <w:p>
      <w:pPr>
        <w:pStyle w:val="9"/>
        <w:spacing w:line="360" w:lineRule="auto"/>
        <w:jc w:val="both"/>
        <w:rPr>
          <w:rFonts w:hint="eastAsia" w:ascii="宋体" w:hAnsi="宋体" w:eastAsia="宋体" w:cs="宋体"/>
          <w:color w:val="auto"/>
          <w:kern w:val="2"/>
          <w:sz w:val="44"/>
          <w:szCs w:val="44"/>
          <w:highlight w:val="none"/>
          <w:lang w:bidi="ar"/>
        </w:rPr>
      </w:pPr>
    </w:p>
    <w:p>
      <w:pPr>
        <w:pStyle w:val="9"/>
        <w:spacing w:line="360" w:lineRule="auto"/>
        <w:rPr>
          <w:rFonts w:hint="eastAsia" w:ascii="宋体" w:hAnsi="宋体" w:eastAsia="宋体" w:cs="宋体"/>
          <w:color w:val="auto"/>
          <w:highlight w:val="none"/>
        </w:rPr>
      </w:pPr>
    </w:p>
    <w:p>
      <w:pPr>
        <w:pStyle w:val="9"/>
        <w:spacing w:line="360" w:lineRule="auto"/>
        <w:rPr>
          <w:rFonts w:hint="eastAsia" w:ascii="宋体" w:hAnsi="宋体" w:eastAsia="宋体" w:cs="宋体"/>
          <w:color w:val="auto"/>
          <w:highlight w:val="none"/>
        </w:rPr>
      </w:pPr>
    </w:p>
    <w:p>
      <w:pPr>
        <w:pStyle w:val="9"/>
        <w:spacing w:line="360" w:lineRule="auto"/>
        <w:rPr>
          <w:rFonts w:hint="eastAsia" w:ascii="宋体" w:hAnsi="宋体" w:eastAsia="宋体" w:cs="宋体"/>
          <w:color w:val="auto"/>
          <w:highlight w:val="none"/>
        </w:rPr>
      </w:pPr>
    </w:p>
    <w:p>
      <w:pPr>
        <w:pStyle w:val="9"/>
        <w:spacing w:line="360" w:lineRule="auto"/>
        <w:rPr>
          <w:rFonts w:hint="eastAsia" w:ascii="宋体" w:hAnsi="宋体" w:eastAsia="宋体" w:cs="宋体"/>
          <w:color w:val="auto"/>
          <w:highlight w:val="none"/>
        </w:rPr>
      </w:pPr>
    </w:p>
    <w:p>
      <w:pPr>
        <w:pStyle w:val="9"/>
        <w:spacing w:line="360" w:lineRule="auto"/>
        <w:rPr>
          <w:rFonts w:hint="eastAsia" w:ascii="宋体" w:hAnsi="宋体" w:eastAsia="宋体" w:cs="宋体"/>
          <w:color w:val="auto"/>
          <w:highlight w:val="none"/>
        </w:rPr>
      </w:pPr>
    </w:p>
    <w:p>
      <w:pPr>
        <w:pStyle w:val="9"/>
        <w:spacing w:line="360" w:lineRule="auto"/>
        <w:rPr>
          <w:rFonts w:hint="eastAsia" w:ascii="宋体" w:hAnsi="宋体" w:eastAsia="宋体" w:cs="宋体"/>
          <w:color w:val="auto"/>
          <w:highlight w:val="none"/>
        </w:rPr>
      </w:pPr>
    </w:p>
    <w:p>
      <w:pPr>
        <w:spacing w:line="360" w:lineRule="auto"/>
        <w:ind w:firstLine="1558" w:firstLineChars="485"/>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 购 人：</w:t>
      </w:r>
      <w:r>
        <w:rPr>
          <w:rFonts w:hint="eastAsia" w:ascii="宋体" w:hAnsi="宋体" w:cs="宋体"/>
          <w:b/>
          <w:bCs/>
          <w:sz w:val="32"/>
          <w:szCs w:val="32"/>
          <w:highlight w:val="none"/>
          <w:lang w:eastAsia="zh-CN"/>
        </w:rPr>
        <w:t>渑池县英豪镇人民政府</w:t>
      </w:r>
    </w:p>
    <w:p>
      <w:pPr>
        <w:spacing w:line="360" w:lineRule="auto"/>
        <w:ind w:firstLine="1558" w:firstLineChars="485"/>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招标代理机构：</w:t>
      </w:r>
      <w:r>
        <w:rPr>
          <w:rFonts w:hint="eastAsia" w:ascii="宋体" w:hAnsi="宋体" w:eastAsia="宋体" w:cs="宋体"/>
          <w:b/>
          <w:bCs/>
          <w:sz w:val="32"/>
          <w:szCs w:val="32"/>
          <w:highlight w:val="none"/>
          <w:lang w:val="en-US" w:eastAsia="zh-CN"/>
        </w:rPr>
        <w:t>中恒晟（北京）工程管理有限公司</w:t>
      </w:r>
    </w:p>
    <w:p>
      <w:pPr>
        <w:spacing w:line="360" w:lineRule="auto"/>
        <w:ind w:firstLine="1558" w:firstLineChars="485"/>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日    期：二零二</w:t>
      </w:r>
      <w:r>
        <w:rPr>
          <w:rFonts w:hint="eastAsia" w:ascii="宋体" w:hAnsi="宋体" w:cs="宋体"/>
          <w:b/>
          <w:bCs/>
          <w:sz w:val="32"/>
          <w:szCs w:val="32"/>
          <w:highlight w:val="none"/>
          <w:lang w:eastAsia="zh-CN"/>
        </w:rPr>
        <w:t>五</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eastAsia="宋体" w:cs="宋体"/>
          <w:b/>
          <w:bCs/>
          <w:sz w:val="32"/>
          <w:szCs w:val="32"/>
          <w:highlight w:val="none"/>
        </w:rPr>
        <w:t>月</w:t>
      </w:r>
    </w:p>
    <w:p>
      <w:pPr>
        <w:spacing w:line="360" w:lineRule="auto"/>
        <w:ind w:right="-340" w:rightChars="-162"/>
        <w:jc w:val="center"/>
        <w:rPr>
          <w:rFonts w:hint="eastAsia" w:ascii="宋体" w:hAnsi="宋体" w:eastAsia="宋体" w:cs="宋体"/>
          <w:b/>
          <w:bCs/>
          <w:sz w:val="44"/>
          <w:szCs w:val="44"/>
          <w:highlight w:val="none"/>
        </w:rPr>
        <w:sectPr>
          <w:headerReference r:id="rId3" w:type="default"/>
          <w:footerReference r:id="rId4" w:type="default"/>
          <w:pgSz w:w="11900" w:h="16840"/>
          <w:pgMar w:top="1417" w:right="1417" w:bottom="1417" w:left="1417" w:header="0" w:footer="0" w:gutter="0"/>
          <w:pgNumType w:start="1"/>
          <w:cols w:space="720" w:num="1"/>
          <w:docGrid w:linePitch="360" w:charSpace="0"/>
        </w:sectPr>
      </w:pPr>
    </w:p>
    <w:p>
      <w:pPr>
        <w:pStyle w:val="17"/>
        <w:spacing w:line="360" w:lineRule="auto"/>
        <w:rPr>
          <w:rFonts w:hint="eastAsia" w:ascii="宋体" w:hAnsi="宋体" w:eastAsia="宋体" w:cs="宋体"/>
          <w:highlight w:val="none"/>
        </w:rPr>
      </w:pPr>
    </w:p>
    <w:p>
      <w:pPr>
        <w:spacing w:line="360" w:lineRule="auto"/>
        <w:ind w:right="-340" w:rightChars="-162"/>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目 录</w:t>
      </w:r>
    </w:p>
    <w:p>
      <w:pPr>
        <w:spacing w:line="360" w:lineRule="auto"/>
        <w:ind w:right="-340" w:rightChars="-162"/>
        <w:rPr>
          <w:rFonts w:hint="eastAsia" w:ascii="宋体" w:hAnsi="宋体" w:eastAsia="宋体" w:cs="宋体"/>
          <w:sz w:val="24"/>
          <w:highlight w:val="none"/>
        </w:rPr>
      </w:pPr>
    </w:p>
    <w:p>
      <w:pPr>
        <w:spacing w:line="360" w:lineRule="auto"/>
        <w:ind w:right="-340" w:rightChars="-162" w:firstLine="544" w:firstLineChars="227"/>
        <w:rPr>
          <w:rFonts w:hint="eastAsia" w:ascii="宋体" w:hAnsi="宋体" w:eastAsia="宋体" w:cs="宋体"/>
          <w:b/>
          <w:sz w:val="28"/>
          <w:szCs w:val="28"/>
          <w:highlight w:val="none"/>
          <w:lang w:eastAsia="zh-CN"/>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TOC \o "1-1" \h \u </w:instrText>
      </w:r>
      <w:r>
        <w:rPr>
          <w:rFonts w:hint="eastAsia" w:ascii="宋体" w:hAnsi="宋体" w:eastAsia="宋体" w:cs="宋体"/>
          <w:sz w:val="24"/>
          <w:highlight w:val="none"/>
        </w:rPr>
        <w:fldChar w:fldCharType="separate"/>
      </w:r>
      <w:r>
        <w:rPr>
          <w:rFonts w:hint="eastAsia" w:ascii="宋体" w:hAnsi="宋体" w:eastAsia="宋体" w:cs="宋体"/>
          <w:b/>
          <w:sz w:val="28"/>
          <w:szCs w:val="28"/>
          <w:highlight w:val="none"/>
        </w:rPr>
        <w:t>第一章 竞争性磋商公告……………………………………………</w:t>
      </w:r>
      <w:r>
        <w:rPr>
          <w:rFonts w:hint="eastAsia" w:ascii="宋体" w:hAnsi="宋体" w:eastAsia="宋体" w:cs="宋体"/>
          <w:b/>
          <w:sz w:val="28"/>
          <w:szCs w:val="28"/>
          <w:highlight w:val="none"/>
          <w:lang w:val="en-US" w:eastAsia="zh-CN"/>
        </w:rPr>
        <w:t>2</w:t>
      </w:r>
    </w:p>
    <w:p>
      <w:pPr>
        <w:numPr>
          <w:ilvl w:val="0"/>
          <w:numId w:val="1"/>
        </w:numPr>
        <w:spacing w:line="360" w:lineRule="auto"/>
        <w:ind w:right="-340" w:rightChars="-162" w:firstLine="565" w:firstLineChars="201"/>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供应商须知…………………………………………………</w:t>
      </w:r>
      <w:r>
        <w:rPr>
          <w:rFonts w:hint="eastAsia" w:ascii="宋体" w:hAnsi="宋体" w:eastAsia="宋体" w:cs="宋体"/>
          <w:b/>
          <w:sz w:val="28"/>
          <w:szCs w:val="28"/>
          <w:highlight w:val="none"/>
          <w:lang w:val="en-US" w:eastAsia="zh-CN"/>
        </w:rPr>
        <w:t>6</w:t>
      </w:r>
    </w:p>
    <w:p>
      <w:pPr>
        <w:numPr>
          <w:ilvl w:val="0"/>
          <w:numId w:val="1"/>
        </w:numPr>
        <w:spacing w:line="360" w:lineRule="auto"/>
        <w:ind w:right="-340" w:rightChars="-162" w:firstLine="565" w:firstLineChars="201"/>
        <w:rPr>
          <w:rFonts w:hint="eastAsia" w:ascii="宋体" w:hAnsi="宋体" w:eastAsia="宋体" w:cs="宋体"/>
          <w:b/>
          <w:sz w:val="28"/>
          <w:szCs w:val="28"/>
          <w:highlight w:val="none"/>
        </w:rPr>
      </w:pPr>
      <w:r>
        <w:rPr>
          <w:rFonts w:hint="eastAsia" w:ascii="宋体" w:hAnsi="宋体" w:eastAsia="宋体" w:cs="宋体"/>
          <w:b/>
          <w:sz w:val="28"/>
          <w:szCs w:val="28"/>
          <w:highlight w:val="none"/>
        </w:rPr>
        <w:t>技术标准和要求……………………………………………</w:t>
      </w:r>
      <w:r>
        <w:rPr>
          <w:rFonts w:hint="eastAsia" w:ascii="宋体" w:hAnsi="宋体" w:eastAsia="宋体" w:cs="宋体"/>
          <w:b/>
          <w:sz w:val="28"/>
          <w:szCs w:val="28"/>
          <w:highlight w:val="none"/>
          <w:lang w:val="en-US" w:eastAsia="zh-CN"/>
        </w:rPr>
        <w:t>2</w:t>
      </w:r>
      <w:r>
        <w:rPr>
          <w:rFonts w:hint="eastAsia" w:ascii="宋体" w:hAnsi="宋体" w:cs="宋体"/>
          <w:b/>
          <w:sz w:val="28"/>
          <w:szCs w:val="28"/>
          <w:highlight w:val="none"/>
          <w:lang w:val="en-US" w:eastAsia="zh-CN"/>
        </w:rPr>
        <w:t>1</w:t>
      </w:r>
    </w:p>
    <w:p>
      <w:pPr>
        <w:numPr>
          <w:ilvl w:val="0"/>
          <w:numId w:val="1"/>
        </w:numPr>
        <w:spacing w:line="360" w:lineRule="auto"/>
        <w:ind w:right="-340" w:rightChars="-162" w:firstLine="565" w:firstLineChars="201"/>
        <w:rPr>
          <w:rFonts w:hint="eastAsia" w:ascii="宋体" w:hAnsi="宋体" w:eastAsia="宋体" w:cs="宋体"/>
          <w:b/>
          <w:sz w:val="28"/>
          <w:szCs w:val="28"/>
          <w:highlight w:val="none"/>
        </w:rPr>
      </w:pPr>
      <w:r>
        <w:rPr>
          <w:rFonts w:hint="eastAsia" w:ascii="宋体" w:hAnsi="宋体" w:eastAsia="宋体" w:cs="宋体"/>
          <w:b/>
          <w:sz w:val="28"/>
          <w:szCs w:val="28"/>
          <w:highlight w:val="none"/>
        </w:rPr>
        <w:t>工程量清单…………………………………………………</w:t>
      </w:r>
      <w:r>
        <w:rPr>
          <w:rFonts w:hint="eastAsia" w:ascii="宋体" w:hAnsi="宋体" w:eastAsia="宋体" w:cs="宋体"/>
          <w:b/>
          <w:sz w:val="28"/>
          <w:szCs w:val="28"/>
          <w:highlight w:val="none"/>
          <w:lang w:val="en-US" w:eastAsia="zh-CN"/>
        </w:rPr>
        <w:t>2</w:t>
      </w:r>
      <w:r>
        <w:rPr>
          <w:rFonts w:hint="eastAsia" w:ascii="宋体" w:hAnsi="宋体" w:cs="宋体"/>
          <w:b/>
          <w:sz w:val="28"/>
          <w:szCs w:val="28"/>
          <w:highlight w:val="none"/>
          <w:lang w:val="en-US" w:eastAsia="zh-CN"/>
        </w:rPr>
        <w:t>2</w:t>
      </w:r>
    </w:p>
    <w:p>
      <w:pPr>
        <w:numPr>
          <w:ilvl w:val="0"/>
          <w:numId w:val="1"/>
        </w:numPr>
        <w:spacing w:line="360" w:lineRule="auto"/>
        <w:ind w:right="-340" w:rightChars="-162" w:firstLine="565" w:firstLineChars="201"/>
        <w:rPr>
          <w:rFonts w:hint="eastAsia" w:ascii="宋体" w:hAnsi="宋体" w:eastAsia="宋体" w:cs="宋体"/>
          <w:b/>
          <w:sz w:val="28"/>
          <w:szCs w:val="28"/>
          <w:highlight w:val="none"/>
        </w:rPr>
      </w:pPr>
      <w:r>
        <w:rPr>
          <w:rFonts w:hint="eastAsia" w:ascii="宋体" w:hAnsi="宋体" w:eastAsia="宋体" w:cs="宋体"/>
          <w:b/>
          <w:sz w:val="28"/>
          <w:szCs w:val="28"/>
          <w:highlight w:val="none"/>
        </w:rPr>
        <w:t>合同条款及格式……………………………………………</w:t>
      </w:r>
      <w:r>
        <w:rPr>
          <w:rFonts w:hint="eastAsia" w:ascii="宋体" w:hAnsi="宋体" w:eastAsia="宋体" w:cs="宋体"/>
          <w:b/>
          <w:sz w:val="28"/>
          <w:szCs w:val="28"/>
          <w:highlight w:val="none"/>
          <w:lang w:val="en-US" w:eastAsia="zh-CN"/>
        </w:rPr>
        <w:t>2</w:t>
      </w:r>
      <w:r>
        <w:rPr>
          <w:rFonts w:hint="eastAsia" w:ascii="宋体" w:hAnsi="宋体" w:cs="宋体"/>
          <w:b/>
          <w:sz w:val="28"/>
          <w:szCs w:val="28"/>
          <w:highlight w:val="none"/>
          <w:lang w:val="en-US" w:eastAsia="zh-CN"/>
        </w:rPr>
        <w:t>3</w:t>
      </w:r>
    </w:p>
    <w:p>
      <w:pPr>
        <w:spacing w:line="360" w:lineRule="auto"/>
        <w:ind w:right="-340" w:rightChars="-162" w:firstLine="565" w:firstLineChars="201"/>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第六章 评标标准和方法……………………………………………</w:t>
      </w:r>
      <w:r>
        <w:rPr>
          <w:rFonts w:hint="eastAsia" w:ascii="宋体" w:hAnsi="宋体" w:eastAsia="宋体" w:cs="宋体"/>
          <w:b/>
          <w:sz w:val="28"/>
          <w:szCs w:val="28"/>
          <w:highlight w:val="none"/>
          <w:lang w:val="en-US" w:eastAsia="zh-CN"/>
        </w:rPr>
        <w:t>2</w:t>
      </w:r>
      <w:r>
        <w:rPr>
          <w:rFonts w:hint="eastAsia" w:ascii="宋体" w:hAnsi="宋体" w:cs="宋体"/>
          <w:b/>
          <w:sz w:val="28"/>
          <w:szCs w:val="28"/>
          <w:highlight w:val="none"/>
          <w:lang w:val="en-US" w:eastAsia="zh-CN"/>
        </w:rPr>
        <w:t>4</w:t>
      </w:r>
    </w:p>
    <w:p>
      <w:pPr>
        <w:spacing w:line="360" w:lineRule="auto"/>
        <w:ind w:right="-340" w:rightChars="-162" w:firstLine="565" w:firstLineChars="201"/>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第七章 响应文件格式………………………………………………</w:t>
      </w:r>
      <w:r>
        <w:rPr>
          <w:rFonts w:hint="eastAsia" w:ascii="宋体" w:hAnsi="宋体" w:cs="宋体"/>
          <w:b/>
          <w:sz w:val="28"/>
          <w:szCs w:val="28"/>
          <w:highlight w:val="none"/>
          <w:lang w:val="en-US" w:eastAsia="zh-CN"/>
        </w:rPr>
        <w:t>30</w:t>
      </w:r>
    </w:p>
    <w:p>
      <w:pPr>
        <w:spacing w:line="360" w:lineRule="auto"/>
        <w:ind w:right="-340" w:rightChars="-162"/>
        <w:rPr>
          <w:rFonts w:hint="eastAsia" w:ascii="宋体" w:hAnsi="宋体" w:eastAsia="宋体" w:cs="宋体"/>
          <w:b/>
          <w:sz w:val="28"/>
          <w:szCs w:val="28"/>
          <w:highlight w:val="none"/>
        </w:rPr>
      </w:pPr>
    </w:p>
    <w:p>
      <w:pPr>
        <w:pStyle w:val="15"/>
        <w:tabs>
          <w:tab w:val="right" w:leader="dot" w:pos="9540"/>
        </w:tabs>
        <w:spacing w:line="360" w:lineRule="auto"/>
        <w:ind w:right="-340" w:rightChars="-162"/>
        <w:jc w:val="center"/>
        <w:rPr>
          <w:rFonts w:hint="eastAsia" w:ascii="宋体" w:hAnsi="宋体" w:eastAsia="宋体" w:cs="宋体"/>
          <w:highlight w:val="none"/>
        </w:rPr>
      </w:pPr>
    </w:p>
    <w:p>
      <w:pPr>
        <w:spacing w:line="360" w:lineRule="auto"/>
        <w:ind w:right="-340" w:rightChars="-162"/>
        <w:jc w:val="center"/>
        <w:rPr>
          <w:rFonts w:hint="eastAsia" w:ascii="宋体" w:hAnsi="宋体" w:eastAsia="宋体" w:cs="宋体"/>
          <w:sz w:val="24"/>
          <w:highlight w:val="none"/>
        </w:rPr>
      </w:pPr>
      <w:r>
        <w:rPr>
          <w:rFonts w:hint="eastAsia" w:ascii="宋体" w:hAnsi="宋体" w:eastAsia="宋体" w:cs="宋体"/>
          <w:highlight w:val="none"/>
        </w:rPr>
        <w:fldChar w:fldCharType="end"/>
      </w:r>
    </w:p>
    <w:p>
      <w:pPr>
        <w:spacing w:line="360" w:lineRule="auto"/>
        <w:ind w:right="-340" w:rightChars="-162"/>
        <w:jc w:val="center"/>
        <w:outlineLvl w:val="0"/>
        <w:rPr>
          <w:rFonts w:hint="eastAsia" w:ascii="宋体" w:hAnsi="宋体" w:eastAsia="宋体" w:cs="宋体"/>
          <w:b/>
          <w:bCs/>
          <w:sz w:val="28"/>
          <w:szCs w:val="32"/>
          <w:highlight w:val="none"/>
        </w:rPr>
      </w:pPr>
      <w:bookmarkStart w:id="0" w:name="_Toc17645"/>
      <w:r>
        <w:rPr>
          <w:rFonts w:hint="eastAsia" w:ascii="宋体" w:hAnsi="宋体" w:eastAsia="宋体" w:cs="宋体"/>
          <w:highlight w:val="none"/>
        </w:rPr>
        <w:br w:type="page"/>
      </w:r>
      <w:r>
        <w:rPr>
          <w:rFonts w:hint="eastAsia" w:ascii="宋体" w:hAnsi="宋体" w:eastAsia="宋体" w:cs="宋体"/>
          <w:b/>
          <w:bCs/>
          <w:sz w:val="32"/>
          <w:szCs w:val="36"/>
          <w:highlight w:val="none"/>
        </w:rPr>
        <w:t>第一章 竞争性磋商公告</w:t>
      </w:r>
      <w:bookmarkEnd w:id="0"/>
    </w:p>
    <w:p>
      <w:pPr>
        <w:keepNext w:val="0"/>
        <w:keepLines w:val="0"/>
        <w:pageBreakBefore w:val="0"/>
        <w:widowControl/>
        <w:kinsoku/>
        <w:overflowPunct/>
        <w:topLinePunct w:val="0"/>
        <w:autoSpaceDE/>
        <w:autoSpaceDN/>
        <w:bidi w:val="0"/>
        <w:adjustRightInd/>
        <w:snapToGrid/>
        <w:spacing w:line="360" w:lineRule="auto"/>
        <w:ind w:right="-58"/>
        <w:jc w:val="left"/>
        <w:textAlignment w:val="auto"/>
        <w:rPr>
          <w:rFonts w:hint="eastAsia" w:ascii="宋体" w:hAnsi="宋体" w:eastAsia="宋体" w:cs="宋体"/>
          <w:bCs/>
          <w:sz w:val="24"/>
          <w:szCs w:val="24"/>
          <w:highlight w:val="none"/>
        </w:rPr>
      </w:pPr>
      <w:bookmarkStart w:id="1" w:name="OLE_LINK2"/>
      <w:bookmarkStart w:id="2" w:name="OLE_LINK3"/>
      <w:bookmarkStart w:id="3" w:name="OLE_LINK1"/>
      <w:r>
        <w:rPr>
          <w:rFonts w:hint="eastAsia" w:ascii="宋体" w:hAnsi="宋体" w:eastAsia="宋体" w:cs="宋体"/>
          <w:bCs/>
          <w:sz w:val="24"/>
          <w:szCs w:val="24"/>
          <w:highlight w:val="none"/>
        </w:rPr>
        <w:t>项目概况</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eastAsia="zh-CN"/>
        </w:rPr>
        <w:t>渑池县英豪镇幸福里社区西围墙修建项目</w:t>
      </w:r>
      <w:r>
        <w:rPr>
          <w:rFonts w:hint="eastAsia" w:ascii="宋体" w:hAnsi="宋体" w:eastAsia="宋体" w:cs="宋体"/>
          <w:bCs/>
          <w:sz w:val="24"/>
          <w:szCs w:val="24"/>
          <w:highlight w:val="none"/>
        </w:rPr>
        <w:t>的潜在供应商凭CA登录三门峡市公共资源交易中心网获取本项目磋商文件，并于</w:t>
      </w:r>
      <w:r>
        <w:rPr>
          <w:rFonts w:hint="eastAsia" w:ascii="宋体" w:hAnsi="宋体" w:cs="宋体"/>
          <w:bCs/>
          <w:sz w:val="24"/>
          <w:szCs w:val="24"/>
          <w:highlight w:val="none"/>
          <w:lang w:val="en-US" w:eastAsia="zh-CN"/>
        </w:rPr>
        <w:t>2025年8月18日8时20分</w:t>
      </w:r>
      <w:r>
        <w:rPr>
          <w:rFonts w:hint="eastAsia" w:ascii="宋体" w:hAnsi="宋体" w:eastAsia="宋体" w:cs="宋体"/>
          <w:bCs/>
          <w:sz w:val="24"/>
          <w:szCs w:val="24"/>
          <w:highlight w:val="none"/>
        </w:rPr>
        <w:t>（北京时间）前提交响应文件。</w:t>
      </w:r>
    </w:p>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sz w:val="24"/>
          <w:szCs w:val="24"/>
          <w:highlight w:val="none"/>
        </w:rPr>
      </w:pPr>
      <w:bookmarkStart w:id="4" w:name="_Toc6843179"/>
      <w:r>
        <w:rPr>
          <w:rFonts w:hint="eastAsia" w:ascii="宋体" w:hAnsi="宋体" w:eastAsia="宋体" w:cs="宋体"/>
          <w:b/>
          <w:sz w:val="24"/>
          <w:szCs w:val="24"/>
          <w:highlight w:val="none"/>
        </w:rPr>
        <w:t>一、项目基本情况</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1、项目编号：</w:t>
      </w:r>
      <w:bookmarkEnd w:id="4"/>
      <w:r>
        <w:rPr>
          <w:rFonts w:hint="eastAsia" w:ascii="宋体" w:hAnsi="宋体" w:eastAsia="宋体" w:cs="宋体"/>
          <w:bCs/>
          <w:sz w:val="24"/>
          <w:szCs w:val="24"/>
          <w:highlight w:val="none"/>
        </w:rPr>
        <w:t>项目编号：</w:t>
      </w:r>
      <w:r>
        <w:rPr>
          <w:rFonts w:hint="eastAsia" w:ascii="宋体" w:hAnsi="宋体" w:eastAsia="宋体" w:cs="宋体"/>
          <w:bCs/>
          <w:sz w:val="24"/>
          <w:szCs w:val="24"/>
          <w:highlight w:val="none"/>
          <w:lang w:val="en-US" w:eastAsia="zh-CN"/>
        </w:rPr>
        <w:t>MCGZ[2025]183-ZC140</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采购编号：</w:t>
      </w:r>
      <w:r>
        <w:rPr>
          <w:rFonts w:hint="eastAsia" w:ascii="宋体" w:hAnsi="宋体" w:eastAsia="宋体" w:cs="宋体"/>
          <w:bCs/>
          <w:sz w:val="24"/>
          <w:szCs w:val="24"/>
          <w:highlight w:val="none"/>
          <w:lang w:val="en-US" w:eastAsia="zh-CN"/>
        </w:rPr>
        <w:t xml:space="preserve">渑池竞磋采购-2025-106； </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2、项目名称</w:t>
      </w:r>
      <w:r>
        <w:rPr>
          <w:rFonts w:hint="eastAsia" w:ascii="宋体" w:hAnsi="宋体" w:eastAsia="宋体" w:cs="宋体"/>
          <w:bCs/>
          <w:sz w:val="24"/>
          <w:szCs w:val="24"/>
          <w:highlight w:val="none"/>
          <w:lang w:eastAsia="zh-CN"/>
        </w:rPr>
        <w:t>：</w:t>
      </w:r>
      <w:r>
        <w:rPr>
          <w:rFonts w:hint="eastAsia" w:ascii="宋体" w:hAnsi="宋体" w:cs="宋体"/>
          <w:bCs/>
          <w:sz w:val="24"/>
          <w:szCs w:val="24"/>
          <w:highlight w:val="none"/>
          <w:lang w:eastAsia="zh-CN"/>
        </w:rPr>
        <w:t>渑池县英豪镇幸福里社区西围墙修建项目</w:t>
      </w:r>
      <w:r>
        <w:rPr>
          <w:rFonts w:hint="eastAsia" w:ascii="宋体" w:hAnsi="宋体" w:eastAsia="宋体" w:cs="宋体"/>
          <w:bCs/>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3、采购方式：竞争性磋商</w:t>
      </w:r>
      <w:r>
        <w:rPr>
          <w:rFonts w:hint="eastAsia" w:ascii="宋体" w:hAnsi="宋体" w:eastAsia="宋体" w:cs="宋体"/>
          <w:bCs/>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4、资金来源：财政资金</w:t>
      </w:r>
      <w:r>
        <w:rPr>
          <w:rFonts w:hint="eastAsia" w:ascii="宋体" w:hAnsi="宋体" w:eastAsia="宋体" w:cs="宋体"/>
          <w:bCs/>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控制价：</w:t>
      </w:r>
      <w:bookmarkStart w:id="5" w:name="OLE_LINK4"/>
      <w:r>
        <w:rPr>
          <w:rFonts w:hint="eastAsia" w:ascii="宋体" w:hAnsi="宋体" w:cs="宋体"/>
          <w:bCs/>
          <w:sz w:val="24"/>
          <w:szCs w:val="24"/>
          <w:highlight w:val="none"/>
          <w:lang w:val="en-US" w:eastAsia="zh-CN"/>
        </w:rPr>
        <w:t>799821.09</w:t>
      </w:r>
      <w:bookmarkEnd w:id="5"/>
      <w:r>
        <w:rPr>
          <w:rFonts w:hint="eastAsia" w:ascii="宋体" w:hAnsi="宋体" w:eastAsia="宋体" w:cs="宋体"/>
          <w:bCs/>
          <w:sz w:val="24"/>
          <w:szCs w:val="24"/>
          <w:highlight w:val="none"/>
          <w:lang w:val="en-US" w:eastAsia="zh-CN"/>
        </w:rPr>
        <w:t>元；</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、项目概况</w:t>
      </w:r>
      <w:r>
        <w:rPr>
          <w:rFonts w:hint="eastAsia" w:ascii="宋体" w:hAnsi="宋体" w:cs="宋体"/>
          <w:bCs/>
          <w:sz w:val="24"/>
          <w:szCs w:val="24"/>
          <w:highlight w:val="none"/>
          <w:lang w:eastAsia="zh-CN"/>
        </w:rPr>
        <w:t>：渑池县英豪镇幸福里社区西围墙修建项目，位于工程位于渑池县英豪镇幸福里社区；主要内容为围墙修复项目。</w:t>
      </w:r>
    </w:p>
    <w:p>
      <w:pPr>
        <w:keepNext w:val="0"/>
        <w:keepLines w:val="0"/>
        <w:pageBreakBefore w:val="0"/>
        <w:widowControl/>
        <w:kinsoku/>
        <w:wordWrap/>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、招标范围：</w:t>
      </w:r>
      <w:r>
        <w:rPr>
          <w:rFonts w:hint="eastAsia" w:ascii="宋体" w:hAnsi="宋体" w:eastAsia="宋体" w:cs="宋体"/>
          <w:bCs/>
          <w:sz w:val="24"/>
          <w:szCs w:val="24"/>
          <w:highlight w:val="none"/>
          <w:lang w:val="en-US" w:eastAsia="zh-CN"/>
        </w:rPr>
        <w:t>磋商</w:t>
      </w:r>
      <w:r>
        <w:rPr>
          <w:rFonts w:hint="eastAsia" w:ascii="宋体" w:hAnsi="宋体" w:eastAsia="宋体" w:cs="宋体"/>
          <w:bCs/>
          <w:sz w:val="24"/>
          <w:szCs w:val="24"/>
          <w:highlight w:val="none"/>
        </w:rPr>
        <w:t>文件及工程量清单包含的所有内容</w:t>
      </w:r>
      <w:r>
        <w:rPr>
          <w:rFonts w:hint="eastAsia" w:ascii="宋体" w:hAnsi="宋体" w:eastAsia="宋体" w:cs="宋体"/>
          <w:bCs/>
          <w:sz w:val="24"/>
          <w:szCs w:val="24"/>
          <w:highlight w:val="none"/>
          <w:lang w:eastAsia="zh-CN"/>
        </w:rPr>
        <w:t>；</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、计划工期：</w:t>
      </w:r>
      <w:r>
        <w:rPr>
          <w:rFonts w:hint="eastAsia" w:ascii="宋体" w:hAnsi="宋体" w:cs="宋体"/>
          <w:bCs/>
          <w:color w:val="auto"/>
          <w:sz w:val="24"/>
          <w:szCs w:val="24"/>
          <w:highlight w:val="none"/>
          <w:lang w:val="en-US" w:eastAsia="zh-CN"/>
        </w:rPr>
        <w:t>30日历天</w:t>
      </w:r>
      <w:r>
        <w:rPr>
          <w:rFonts w:hint="eastAsia" w:ascii="宋体" w:hAnsi="宋体" w:eastAsia="宋体" w:cs="宋体"/>
          <w:bCs/>
          <w:color w:val="auto"/>
          <w:sz w:val="24"/>
          <w:szCs w:val="24"/>
          <w:highlight w:val="none"/>
          <w:lang w:val="en-US" w:eastAsia="zh-CN"/>
        </w:rPr>
        <w:t>；</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rPr>
        <w:t>、质量要求：达到国家质量验收规范合格标准</w:t>
      </w:r>
      <w:r>
        <w:rPr>
          <w:rFonts w:hint="eastAsia" w:ascii="宋体" w:hAnsi="宋体" w:eastAsia="宋体" w:cs="宋体"/>
          <w:bCs/>
          <w:sz w:val="24"/>
          <w:szCs w:val="24"/>
          <w:highlight w:val="none"/>
          <w:lang w:eastAsia="zh-CN"/>
        </w:rPr>
        <w:t>；</w:t>
      </w:r>
    </w:p>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二、申请人的资格要求：</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1、满足《中华人民共和国政府采购法》第二十二条规定；</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w:t>
      </w:r>
      <w:r>
        <w:rPr>
          <w:rFonts w:hint="eastAsia" w:ascii="宋体" w:hAnsi="宋体" w:eastAsia="宋体" w:cs="宋体"/>
          <w:bCs/>
          <w:sz w:val="24"/>
          <w:szCs w:val="24"/>
          <w:highlight w:val="none"/>
        </w:rPr>
        <w:t>落实政府采购政策满足的资格要求：本项目专门面向中小企业采购</w:t>
      </w:r>
      <w:r>
        <w:rPr>
          <w:rFonts w:hint="eastAsia" w:ascii="宋体" w:hAnsi="宋体" w:eastAsia="宋体" w:cs="宋体"/>
          <w:b w:val="0"/>
          <w:bCs/>
          <w:sz w:val="24"/>
          <w:szCs w:val="24"/>
          <w:highlight w:val="none"/>
        </w:rPr>
        <w:t>。</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3、本项目的特定资格要求</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3.1</w:t>
      </w:r>
      <w:r>
        <w:rPr>
          <w:rFonts w:hint="eastAsia" w:ascii="宋体" w:hAnsi="宋体" w:eastAsia="宋体" w:cs="宋体"/>
          <w:b w:val="0"/>
          <w:bCs/>
          <w:sz w:val="24"/>
          <w:szCs w:val="24"/>
          <w:highlight w:val="none"/>
          <w:lang w:eastAsia="zh-CN"/>
        </w:rPr>
        <w:t>响应人须具有有效的营业执照副本、税务登记证副本、组织机构代码证（或三证合一的营业执照副本）；</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3.2响应人须具有</w:t>
      </w:r>
      <w:r>
        <w:rPr>
          <w:rFonts w:hint="eastAsia" w:ascii="宋体" w:hAnsi="宋体" w:cs="宋体"/>
          <w:b w:val="0"/>
          <w:bCs/>
          <w:sz w:val="24"/>
          <w:szCs w:val="24"/>
          <w:highlight w:val="none"/>
          <w:lang w:eastAsia="zh-CN"/>
        </w:rPr>
        <w:t>市政公用工程</w:t>
      </w:r>
      <w:r>
        <w:rPr>
          <w:rFonts w:hint="eastAsia" w:ascii="宋体" w:hAnsi="宋体" w:eastAsia="宋体" w:cs="宋体"/>
          <w:b w:val="0"/>
          <w:bCs/>
          <w:sz w:val="24"/>
          <w:szCs w:val="24"/>
          <w:highlight w:val="none"/>
        </w:rPr>
        <w:t>叁级及以上资质（含叁级），具有有效的企业安全生产许可证；</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3.3</w:t>
      </w:r>
      <w:r>
        <w:rPr>
          <w:rFonts w:hint="eastAsia" w:ascii="宋体" w:hAnsi="宋体" w:eastAsia="宋体" w:cs="宋体"/>
          <w:b w:val="0"/>
          <w:bCs/>
          <w:sz w:val="24"/>
          <w:szCs w:val="24"/>
          <w:highlight w:val="none"/>
          <w:lang w:eastAsia="zh-CN"/>
        </w:rPr>
        <w:t>拟派项目经理须具有</w:t>
      </w:r>
      <w:r>
        <w:rPr>
          <w:rFonts w:hint="eastAsia" w:ascii="宋体" w:hAnsi="宋体" w:cs="宋体"/>
          <w:b w:val="0"/>
          <w:bCs/>
          <w:sz w:val="24"/>
          <w:szCs w:val="24"/>
          <w:highlight w:val="none"/>
          <w:lang w:eastAsia="zh-CN"/>
        </w:rPr>
        <w:t>市政公用工程</w:t>
      </w:r>
      <w:r>
        <w:rPr>
          <w:rFonts w:hint="eastAsia" w:ascii="宋体" w:hAnsi="宋体" w:eastAsia="宋体" w:cs="宋体"/>
          <w:b w:val="0"/>
          <w:bCs/>
          <w:sz w:val="24"/>
          <w:szCs w:val="24"/>
          <w:highlight w:val="none"/>
          <w:lang w:eastAsia="zh-CN"/>
        </w:rPr>
        <w:t>专业贰级及以上注册建造师资格</w:t>
      </w:r>
      <w:r>
        <w:rPr>
          <w:rFonts w:hint="eastAsia" w:ascii="宋体" w:hAnsi="宋体" w:eastAsia="宋体" w:cs="宋体"/>
          <w:b w:val="0"/>
          <w:bCs/>
          <w:sz w:val="24"/>
          <w:szCs w:val="24"/>
          <w:highlight w:val="none"/>
        </w:rPr>
        <w:t>并具有有效的安全生产考核合格证；同时提供近三个月以来的社保证明和无在建工程承诺书；</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3.4企业出具无行贿犯罪记录在中国裁判文书网自行查询或自行承诺（查询对象：企业、法定代表人）；</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3.5响应人须提供本企业无商业贿赂和不正当竞争行为承诺书；</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3.6响应人没有被列入“中国执行信息公开网”的“失信被执行人”、“信用中国”的“重大税收违法失信主体”及“中国政府采购网”的“政府采购严重违法失信行为记录名单”的供应商。【查询渠道：“中国执行信息公开网”（http://zxgk.court.gov.cn/）“信用中国”网站（www.creditchina.gov.cn）、“中国政府采购网”（www.ccgp.gov.cn）】（提供网站的查询信息截图,查询结果页面加盖公章）</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3.7供应商单位负责人为同一人或者存在直接控股、管理关系的不同投标人，不得参加同一合同项下的采购活动（提供“国家企业信用信息公示系统”网页查询,需包含公司基本信息、股东信息及股权变更信息内容）</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3.8本项目不接受联合体投标。</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highlight w:val="none"/>
        </w:rPr>
      </w:pPr>
      <w:r>
        <w:rPr>
          <w:rFonts w:hint="eastAsia" w:ascii="宋体" w:hAnsi="宋体" w:eastAsia="宋体" w:cs="宋体"/>
          <w:color w:val="auto"/>
          <w:sz w:val="24"/>
          <w:szCs w:val="24"/>
          <w:highlight w:val="none"/>
        </w:rPr>
        <w:t>温馨提醒：本项目为资格后审，资格审查由采购人依法组建的磋商小组负责。各磋商供应商认真阅读本项目磋商供应商资格要求，避免无资格投标而造成不必要的损失。</w:t>
      </w:r>
    </w:p>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三、磋商文件的获取</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1、磋商文件</w:t>
      </w:r>
      <w:r>
        <w:rPr>
          <w:rFonts w:hint="eastAsia" w:ascii="宋体" w:hAnsi="宋体" w:eastAsia="宋体" w:cs="宋体"/>
          <w:bCs/>
          <w:sz w:val="24"/>
          <w:szCs w:val="24"/>
          <w:highlight w:val="none"/>
          <w:lang w:val="en-US" w:eastAsia="zh-CN"/>
        </w:rPr>
        <w:t>下载</w:t>
      </w:r>
      <w:r>
        <w:rPr>
          <w:rFonts w:hint="eastAsia" w:ascii="宋体" w:hAnsi="宋体" w:eastAsia="宋体" w:cs="宋体"/>
          <w:bCs/>
          <w:sz w:val="24"/>
          <w:szCs w:val="24"/>
          <w:highlight w:val="none"/>
        </w:rPr>
        <w:t>时间：</w:t>
      </w:r>
      <w:r>
        <w:rPr>
          <w:rFonts w:hint="eastAsia" w:ascii="宋体" w:hAnsi="宋体" w:cs="宋体"/>
          <w:bCs/>
          <w:sz w:val="24"/>
          <w:szCs w:val="24"/>
          <w:highlight w:val="none"/>
          <w:lang w:eastAsia="zh-CN"/>
        </w:rPr>
        <w:t>2025年</w:t>
      </w:r>
      <w:r>
        <w:rPr>
          <w:rFonts w:hint="eastAsia" w:ascii="宋体" w:hAnsi="宋体" w:cs="宋体"/>
          <w:bCs/>
          <w:sz w:val="24"/>
          <w:szCs w:val="24"/>
          <w:highlight w:val="none"/>
          <w:lang w:val="en-US" w:eastAsia="zh-CN"/>
        </w:rPr>
        <w:t>8</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日</w:t>
      </w:r>
      <w:r>
        <w:rPr>
          <w:rFonts w:hint="eastAsia" w:ascii="宋体" w:hAnsi="宋体" w:eastAsia="宋体" w:cs="宋体"/>
          <w:bCs/>
          <w:sz w:val="24"/>
          <w:szCs w:val="24"/>
          <w:highlight w:val="none"/>
        </w:rPr>
        <w:t>8时00分至</w:t>
      </w:r>
      <w:r>
        <w:rPr>
          <w:rFonts w:hint="eastAsia" w:ascii="宋体" w:hAnsi="宋体" w:cs="宋体"/>
          <w:bCs/>
          <w:sz w:val="24"/>
          <w:szCs w:val="24"/>
          <w:highlight w:val="none"/>
          <w:lang w:eastAsia="zh-CN"/>
        </w:rPr>
        <w:t>2025年8月18日8时20分</w:t>
      </w:r>
      <w:r>
        <w:rPr>
          <w:rFonts w:hint="eastAsia" w:ascii="宋体" w:hAnsi="宋体" w:eastAsia="宋体" w:cs="宋体"/>
          <w:bCs/>
          <w:sz w:val="24"/>
          <w:szCs w:val="24"/>
          <w:highlight w:val="none"/>
        </w:rPr>
        <w:t>(北京时间，下同)。</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磋商文件获取方式：凡有意参加的磋商响应人，须完成市场主体信息库登记并取得CA数字证书，凭CA数字证书登录三门峡公共资源交易中心，点击交易平台选择“市场主体登录”，在所参与项目右侧点击参与投标，即可直接下载本项目磋商文件（磋商文件中包含图纸、清单等投标所需一切内容）。具体操作请查看以下链接：</w:t>
      </w:r>
    </w:p>
    <w:p>
      <w:pPr>
        <w:keepNext w:val="0"/>
        <w:keepLines w:val="0"/>
        <w:pageBreakBefore w:val="0"/>
        <w:widowControl w:val="0"/>
        <w:kinsoku/>
        <w:wordWrap w:val="0"/>
        <w:overflowPunct/>
        <w:topLinePunct w:val="0"/>
        <w:autoSpaceDE/>
        <w:autoSpaceDN/>
        <w:bidi w:val="0"/>
        <w:snapToGrid/>
        <w:spacing w:line="360" w:lineRule="auto"/>
        <w:rPr>
          <w:rFonts w:hint="eastAsia" w:ascii="宋体" w:hAnsi="宋体" w:eastAsia="宋体" w:cs="宋体"/>
          <w:bCs/>
          <w:sz w:val="24"/>
          <w:szCs w:val="24"/>
          <w:highlight w:val="none"/>
        </w:rPr>
      </w:pPr>
      <w:r>
        <w:rPr>
          <w:rFonts w:hint="eastAsia" w:ascii="宋体" w:hAnsi="宋体" w:eastAsia="宋体" w:cs="宋体"/>
          <w:kern w:val="2"/>
          <w:sz w:val="24"/>
          <w:szCs w:val="24"/>
          <w:highlight w:val="none"/>
        </w:rPr>
        <w:t>办理CA证书http://gzjy.smx.gov.cn/bzzx/008001/20231102/4defc9b5-408e-47f2-9e9f-1f376a06ee1f.html</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根据《关于进一步加强公共资源交易管理持续优化营商环境的通知》（三公管办[2020]2号）文件的要求，磋商文件费用不再收取。</w:t>
      </w:r>
    </w:p>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四、响应文件递交截止时间及地点</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1、截止时间：</w:t>
      </w:r>
      <w:r>
        <w:rPr>
          <w:rFonts w:hint="eastAsia" w:ascii="宋体" w:hAnsi="宋体" w:cs="宋体"/>
          <w:bCs/>
          <w:sz w:val="24"/>
          <w:szCs w:val="24"/>
          <w:highlight w:val="none"/>
          <w:lang w:eastAsia="zh-CN"/>
        </w:rPr>
        <w:t>2025年8月18日8时20分</w:t>
      </w:r>
      <w:r>
        <w:rPr>
          <w:rFonts w:hint="eastAsia" w:ascii="宋体" w:hAnsi="宋体" w:eastAsia="宋体" w:cs="宋体"/>
          <w:bCs/>
          <w:sz w:val="24"/>
          <w:szCs w:val="24"/>
          <w:highlight w:val="none"/>
        </w:rPr>
        <w:t>（北京时间）</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2、地点：在三门峡市公共资源交易中心网中上传加密响应文件</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注：</w:t>
      </w:r>
      <w:r>
        <w:rPr>
          <w:rFonts w:hint="eastAsia" w:ascii="宋体" w:hAnsi="宋体" w:eastAsia="宋体" w:cs="宋体"/>
          <w:bCs/>
          <w:sz w:val="24"/>
          <w:szCs w:val="24"/>
          <w:highlight w:val="none"/>
        </w:rPr>
        <w:t>逾期上传递交响应文件的，采购人不予受理。</w:t>
      </w:r>
    </w:p>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五、开标时间及地点</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1、开标时间：</w:t>
      </w:r>
      <w:r>
        <w:rPr>
          <w:rFonts w:hint="eastAsia" w:ascii="宋体" w:hAnsi="宋体" w:cs="宋体"/>
          <w:bCs/>
          <w:sz w:val="24"/>
          <w:szCs w:val="24"/>
          <w:highlight w:val="none"/>
          <w:lang w:eastAsia="zh-CN"/>
        </w:rPr>
        <w:t>2025年8月18日8时20分</w:t>
      </w:r>
      <w:r>
        <w:rPr>
          <w:rFonts w:hint="eastAsia" w:ascii="宋体" w:hAnsi="宋体" w:eastAsia="宋体" w:cs="宋体"/>
          <w:bCs/>
          <w:sz w:val="24"/>
          <w:szCs w:val="24"/>
          <w:highlight w:val="none"/>
        </w:rPr>
        <w:t>（北京时间）；</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2、开标地点：渑池县公共资源交易中心六楼开标区；</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rPr>
      </w:pPr>
      <w:r>
        <w:rPr>
          <w:rFonts w:hint="eastAsia" w:ascii="宋体" w:hAnsi="宋体" w:eastAsia="宋体" w:cs="宋体"/>
          <w:bCs/>
          <w:sz w:val="24"/>
          <w:szCs w:val="24"/>
          <w:highlight w:val="none"/>
        </w:rPr>
        <w:t>3、开标方式：本项目为不见面开标项目</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开标当日，供应商</w:t>
      </w:r>
      <w:r>
        <w:rPr>
          <w:rFonts w:hint="eastAsia" w:ascii="宋体" w:hAnsi="宋体" w:eastAsia="宋体" w:cs="宋体"/>
          <w:bCs/>
          <w:sz w:val="24"/>
          <w:szCs w:val="24"/>
          <w:highlight w:val="none"/>
          <w:lang w:val="en-US" w:eastAsia="zh-CN"/>
        </w:rPr>
        <w:t>无需</w:t>
      </w:r>
      <w:r>
        <w:rPr>
          <w:rFonts w:hint="eastAsia" w:ascii="宋体" w:hAnsi="宋体" w:eastAsia="宋体" w:cs="宋体"/>
          <w:bCs/>
          <w:sz w:val="24"/>
          <w:szCs w:val="24"/>
          <w:highlight w:val="none"/>
        </w:rPr>
        <w:t>到开标现场参加开标会议，供应商应当在投标截止时间前，登陆不见面开标大厅选择登陆三门峡市公共资</w:t>
      </w:r>
      <w:r>
        <w:rPr>
          <w:rFonts w:hint="eastAsia" w:ascii="宋体" w:hAnsi="宋体" w:eastAsia="宋体" w:cs="宋体"/>
          <w:b w:val="0"/>
          <w:bCs/>
          <w:sz w:val="24"/>
          <w:szCs w:val="24"/>
          <w:highlight w:val="none"/>
        </w:rPr>
        <w:t>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bookmarkEnd w:id="1"/>
    <w:bookmarkEnd w:id="2"/>
    <w:p>
      <w:pPr>
        <w:keepNext w:val="0"/>
        <w:keepLines w:val="0"/>
        <w:pageBreakBefore w:val="0"/>
        <w:widowControl/>
        <w:kinsoku/>
        <w:overflowPunct/>
        <w:topLinePunct w:val="0"/>
        <w:autoSpaceDE/>
        <w:autoSpaceDN/>
        <w:bidi w:val="0"/>
        <w:adjustRightInd/>
        <w:snapToGrid/>
        <w:spacing w:line="360" w:lineRule="auto"/>
        <w:ind w:left="-2" w:leftChars="-1" w:right="-58" w:firstLine="569"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bCs w:val="0"/>
          <w:sz w:val="24"/>
          <w:szCs w:val="24"/>
          <w:highlight w:val="none"/>
          <w:lang w:eastAsia="zh-CN"/>
        </w:rPr>
        <w:t>六、发布公告的媒介及招标公告期限</w:t>
      </w:r>
      <w:r>
        <w:rPr>
          <w:rFonts w:hint="eastAsia" w:ascii="宋体" w:hAnsi="宋体" w:eastAsia="宋体" w:cs="宋体"/>
          <w:b w:val="0"/>
          <w:bCs/>
          <w:sz w:val="24"/>
          <w:szCs w:val="24"/>
          <w:highlight w:val="none"/>
          <w:lang w:eastAsia="zh-CN"/>
        </w:rPr>
        <w:t xml:space="preserve"> </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本次招标公告在《河南省政府采购网》、《中国招标投标公共服务平台》、《三门峡公共资源交易中心》上发布。</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七、其他补充事宜</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1、投标人应仔细阅读操作手册，在本公告中要求的截止时间前完成网上投标文件的递交等工作。因投标人操作不当等问题造成的无法下载采购文件、无法投标等一切后果，由投标人自行承担；</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2、根据《河南省财政厅关于优化政府采购营商环境有关问题的通知》（豫财购【2019】4号）第6条的规定，投标保证金不再收取。投标人需提供投标承诺书。</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3、投标人递交的投标文件不论中标与否均不予退还；</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4、开标所发生的一切费用由供应商自行承担，并承担相应的风险和责任；</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5、本项目实行资格后审，审查内容以磋商截止时间前在三门峡市公共资源交易平台“响应文件”上传的信息为准，同时，供应商须自行完善主体库资料。规定时间外上传或更改的信息不作为评审依据。响应文件中上传的信息真实有效，扫描件清晰可辨。否则，由此造成应得分而未得分或资格审查不合格等情况的，由供应商承担责任。</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八、凡对本次招标提出询问，请按照以下方式联系</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1、采购人信息</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名称：</w:t>
      </w:r>
      <w:r>
        <w:rPr>
          <w:rFonts w:hint="eastAsia" w:ascii="宋体" w:hAnsi="宋体" w:cs="宋体"/>
          <w:b w:val="0"/>
          <w:bCs/>
          <w:sz w:val="24"/>
          <w:szCs w:val="24"/>
          <w:highlight w:val="none"/>
          <w:lang w:eastAsia="zh-CN"/>
        </w:rPr>
        <w:t>渑池县英豪镇人民政府</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地址：渑池县</w:t>
      </w:r>
      <w:r>
        <w:rPr>
          <w:rFonts w:hint="eastAsia" w:ascii="宋体" w:hAnsi="宋体" w:cs="宋体"/>
          <w:b w:val="0"/>
          <w:bCs/>
          <w:sz w:val="24"/>
          <w:szCs w:val="24"/>
          <w:highlight w:val="none"/>
          <w:lang w:eastAsia="zh-CN"/>
        </w:rPr>
        <w:t>英豪镇</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联系人：</w:t>
      </w:r>
      <w:r>
        <w:rPr>
          <w:rFonts w:hint="eastAsia" w:ascii="宋体" w:hAnsi="宋体" w:cs="宋体"/>
          <w:b w:val="0"/>
          <w:bCs/>
          <w:sz w:val="24"/>
          <w:szCs w:val="24"/>
          <w:highlight w:val="none"/>
          <w:lang w:eastAsia="zh-CN"/>
        </w:rPr>
        <w:t>聂先生</w:t>
      </w:r>
      <w:r>
        <w:rPr>
          <w:rFonts w:hint="eastAsia" w:ascii="宋体" w:hAnsi="宋体" w:eastAsia="宋体" w:cs="宋体"/>
          <w:b w:val="0"/>
          <w:bCs/>
          <w:sz w:val="24"/>
          <w:szCs w:val="24"/>
          <w:highlight w:val="none"/>
          <w:lang w:eastAsia="zh-CN"/>
        </w:rPr>
        <w:t xml:space="preserve">        </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联系方式：</w:t>
      </w:r>
      <w:r>
        <w:rPr>
          <w:rFonts w:hint="eastAsia" w:ascii="宋体" w:hAnsi="宋体" w:cs="宋体"/>
          <w:b w:val="0"/>
          <w:bCs/>
          <w:sz w:val="24"/>
          <w:szCs w:val="24"/>
          <w:highlight w:val="none"/>
          <w:lang w:eastAsia="zh-CN"/>
        </w:rPr>
        <w:t>13569609690</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eastAsia="zh-CN"/>
        </w:rPr>
        <w:t>、代理机构：中恒晟（北京)工程管理有限公司</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联系地址：三门峡市陕州区中心大道与甘山路交叉口鸿庆国际1710</w:t>
      </w:r>
    </w:p>
    <w:p>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 xml:space="preserve">联 系 人：胡女士     </w:t>
      </w:r>
    </w:p>
    <w:p>
      <w:pPr>
        <w:keepNext w:val="0"/>
        <w:keepLines w:val="0"/>
        <w:pageBreakBefore w:val="0"/>
        <w:widowControl/>
        <w:kinsoku/>
        <w:wordWrap/>
        <w:overflowPunct/>
        <w:topLinePunct w:val="0"/>
        <w:autoSpaceDE/>
        <w:autoSpaceDN/>
        <w:bidi w:val="0"/>
        <w:adjustRightInd/>
        <w:snapToGrid/>
        <w:spacing w:line="460" w:lineRule="exact"/>
        <w:ind w:left="-2" w:leftChars="-1" w:right="-57"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联系方式：15139003835</w:t>
      </w:r>
    </w:p>
    <w:p>
      <w:pPr>
        <w:keepNext w:val="0"/>
        <w:keepLines w:val="0"/>
        <w:pageBreakBefore w:val="0"/>
        <w:widowControl/>
        <w:numPr>
          <w:ilvl w:val="0"/>
          <w:numId w:val="2"/>
        </w:numPr>
        <w:kinsoku/>
        <w:wordWrap/>
        <w:overflowPunct/>
        <w:topLinePunct w:val="0"/>
        <w:autoSpaceDE/>
        <w:autoSpaceDN/>
        <w:bidi w:val="0"/>
        <w:adjustRightInd/>
        <w:snapToGrid/>
        <w:spacing w:line="460" w:lineRule="exact"/>
        <w:ind w:left="-2" w:leftChars="-1" w:right="-57" w:firstLine="566" w:firstLineChars="236"/>
        <w:jc w:val="left"/>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监督部门：渑池县政府采购办公室</w:t>
      </w:r>
    </w:p>
    <w:p>
      <w:pPr>
        <w:keepNext w:val="0"/>
        <w:keepLines w:val="0"/>
        <w:pageBreakBefore w:val="0"/>
        <w:widowControl/>
        <w:numPr>
          <w:ilvl w:val="0"/>
          <w:numId w:val="2"/>
        </w:numPr>
        <w:kinsoku/>
        <w:wordWrap/>
        <w:overflowPunct/>
        <w:topLinePunct w:val="0"/>
        <w:autoSpaceDE/>
        <w:autoSpaceDN/>
        <w:bidi w:val="0"/>
        <w:adjustRightInd/>
        <w:snapToGrid/>
        <w:spacing w:line="460" w:lineRule="exact"/>
        <w:ind w:left="-2" w:leftChars="-1" w:right="-57" w:firstLine="566" w:firstLineChars="236"/>
        <w:jc w:val="left"/>
        <w:textAlignment w:val="auto"/>
        <w:rPr>
          <w:rFonts w:hint="eastAsia" w:ascii="宋体" w:hAnsi="宋体" w:eastAsia="宋体" w:cs="宋体"/>
          <w:sz w:val="24"/>
          <w:szCs w:val="24"/>
          <w:highlight w:val="none"/>
        </w:rPr>
      </w:pPr>
      <w:r>
        <w:rPr>
          <w:rFonts w:hint="eastAsia" w:ascii="宋体" w:hAnsi="宋体" w:eastAsia="宋体" w:cs="宋体"/>
          <w:b w:val="0"/>
          <w:bCs/>
          <w:sz w:val="24"/>
          <w:szCs w:val="24"/>
          <w:highlight w:val="none"/>
          <w:lang w:eastAsia="zh-CN"/>
        </w:rPr>
        <w:t>联系方式：0398-4818677</w:t>
      </w:r>
      <w:bookmarkEnd w:id="3"/>
      <w:bookmarkStart w:id="6" w:name="_Toc6843180"/>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24"/>
          <w:szCs w:val="24"/>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24"/>
          <w:szCs w:val="24"/>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rPr>
          <w:rFonts w:hint="eastAsia" w:ascii="宋体" w:hAnsi="宋体" w:eastAsia="宋体" w:cs="宋体"/>
          <w:sz w:val="32"/>
          <w:highlight w:val="none"/>
        </w:rPr>
      </w:pPr>
    </w:p>
    <w:p>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cs="宋体"/>
          <w:highlight w:val="none"/>
        </w:rPr>
      </w:pPr>
      <w:r>
        <w:rPr>
          <w:rFonts w:hint="eastAsia" w:ascii="宋体" w:hAnsi="宋体" w:eastAsia="宋体" w:cs="宋体"/>
          <w:sz w:val="32"/>
          <w:highlight w:val="none"/>
        </w:rPr>
        <w:t>第二章 供应商须知</w:t>
      </w:r>
      <w:bookmarkEnd w:id="6"/>
    </w:p>
    <w:p>
      <w:pPr>
        <w:spacing w:line="360" w:lineRule="auto"/>
        <w:jc w:val="center"/>
        <w:rPr>
          <w:rFonts w:hint="eastAsia" w:ascii="宋体" w:hAnsi="宋体" w:eastAsia="宋体" w:cs="宋体"/>
          <w:b/>
          <w:sz w:val="18"/>
          <w:szCs w:val="18"/>
          <w:highlight w:val="none"/>
        </w:rPr>
      </w:pPr>
      <w:r>
        <w:rPr>
          <w:rFonts w:hint="eastAsia" w:ascii="宋体" w:hAnsi="宋体" w:eastAsia="宋体" w:cs="宋体"/>
          <w:sz w:val="28"/>
          <w:szCs w:val="28"/>
          <w:highlight w:val="none"/>
        </w:rPr>
        <w:t>供应商须知前附表</w:t>
      </w:r>
    </w:p>
    <w:tbl>
      <w:tblPr>
        <w:tblStyle w:val="18"/>
        <w:tblW w:w="10024" w:type="dxa"/>
        <w:jc w:val="center"/>
        <w:tblLayout w:type="autofit"/>
        <w:tblCellMar>
          <w:top w:w="0" w:type="dxa"/>
          <w:left w:w="108" w:type="dxa"/>
          <w:bottom w:w="0" w:type="dxa"/>
          <w:right w:w="108" w:type="dxa"/>
        </w:tblCellMar>
      </w:tblPr>
      <w:tblGrid>
        <w:gridCol w:w="1010"/>
        <w:gridCol w:w="1458"/>
        <w:gridCol w:w="7556"/>
      </w:tblGrid>
      <w:tr>
        <w:tblPrEx>
          <w:tblCellMar>
            <w:top w:w="0" w:type="dxa"/>
            <w:left w:w="108" w:type="dxa"/>
            <w:bottom w:w="0" w:type="dxa"/>
            <w:right w:w="108" w:type="dxa"/>
          </w:tblCellMar>
        </w:tblPrEx>
        <w:trPr>
          <w:trHeight w:val="90" w:hRule="atLeast"/>
          <w:tblHeader/>
          <w:jc w:val="center"/>
        </w:trPr>
        <w:tc>
          <w:tcPr>
            <w:tcW w:w="1010" w:type="dxa"/>
            <w:tcBorders>
              <w:top w:val="single" w:color="000000" w:sz="12"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458" w:type="dxa"/>
            <w:tcBorders>
              <w:top w:val="single" w:color="000000" w:sz="12"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条款名称</w:t>
            </w:r>
          </w:p>
        </w:tc>
        <w:tc>
          <w:tcPr>
            <w:tcW w:w="7556" w:type="dxa"/>
            <w:tcBorders>
              <w:top w:val="single" w:color="000000" w:sz="12" w:space="0"/>
              <w:left w:val="single" w:color="000000" w:sz="6" w:space="0"/>
              <w:bottom w:val="single" w:color="000000" w:sz="6" w:space="0"/>
              <w:right w:val="single" w:color="000000" w:sz="12"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编 列 内 容</w:t>
            </w:r>
          </w:p>
        </w:tc>
      </w:tr>
      <w:tr>
        <w:tblPrEx>
          <w:tblCellMar>
            <w:top w:w="0" w:type="dxa"/>
            <w:left w:w="108" w:type="dxa"/>
            <w:bottom w:w="0" w:type="dxa"/>
            <w:right w:w="108" w:type="dxa"/>
          </w:tblCellMar>
        </w:tblPrEx>
        <w:trPr>
          <w:trHeight w:val="845"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 购 人</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58"/>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采购人：</w:t>
            </w:r>
            <w:r>
              <w:rPr>
                <w:rFonts w:hint="eastAsia" w:ascii="宋体" w:hAnsi="宋体" w:cs="宋体"/>
                <w:bCs/>
                <w:sz w:val="24"/>
                <w:szCs w:val="24"/>
                <w:highlight w:val="none"/>
                <w:lang w:eastAsia="zh-CN"/>
              </w:rPr>
              <w:t>渑池县英豪镇人民政府</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联系人：</w:t>
            </w:r>
            <w:r>
              <w:rPr>
                <w:rFonts w:hint="eastAsia" w:ascii="宋体" w:hAnsi="宋体" w:cs="宋体"/>
                <w:bCs/>
                <w:sz w:val="24"/>
                <w:szCs w:val="24"/>
                <w:highlight w:val="none"/>
                <w:lang w:eastAsia="zh-CN"/>
              </w:rPr>
              <w:t>聂先生</w:t>
            </w:r>
            <w:r>
              <w:rPr>
                <w:rFonts w:hint="eastAsia" w:ascii="宋体" w:hAnsi="宋体" w:eastAsia="宋体" w:cs="宋体"/>
                <w:bCs/>
                <w:sz w:val="24"/>
                <w:szCs w:val="24"/>
                <w:highlight w:val="none"/>
              </w:rPr>
              <w:t xml:space="preserve">    联系电话：</w:t>
            </w:r>
            <w:r>
              <w:rPr>
                <w:rFonts w:hint="eastAsia" w:ascii="宋体" w:hAnsi="宋体" w:cs="宋体"/>
                <w:b w:val="0"/>
                <w:bCs/>
                <w:sz w:val="24"/>
                <w:szCs w:val="24"/>
                <w:highlight w:val="none"/>
                <w:lang w:eastAsia="zh-CN"/>
              </w:rPr>
              <w:t>13569609690</w:t>
            </w:r>
          </w:p>
        </w:tc>
      </w:tr>
      <w:tr>
        <w:tblPrEx>
          <w:tblCellMar>
            <w:top w:w="0" w:type="dxa"/>
            <w:left w:w="108" w:type="dxa"/>
            <w:bottom w:w="0" w:type="dxa"/>
            <w:right w:w="108" w:type="dxa"/>
          </w:tblCellMar>
        </w:tblPrEx>
        <w:trPr>
          <w:trHeight w:val="862"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代理机构：</w:t>
            </w:r>
            <w:r>
              <w:rPr>
                <w:rFonts w:hint="eastAsia" w:ascii="宋体" w:hAnsi="宋体" w:eastAsia="宋体" w:cs="宋体"/>
                <w:bCs/>
                <w:sz w:val="24"/>
                <w:szCs w:val="24"/>
                <w:highlight w:val="none"/>
                <w:lang w:val="en-US" w:eastAsia="zh-CN"/>
              </w:rPr>
              <w:t>中恒晟（北京）工程管理有限公司</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联系人</w:t>
            </w:r>
            <w:r>
              <w:rPr>
                <w:rFonts w:hint="eastAsia" w:ascii="宋体" w:hAnsi="宋体" w:eastAsia="宋体" w:cs="宋体"/>
                <w:bCs/>
                <w:sz w:val="24"/>
                <w:szCs w:val="24"/>
                <w:highlight w:val="none"/>
                <w:lang w:eastAsia="zh-CN"/>
              </w:rPr>
              <w:t>：胡兵</w:t>
            </w:r>
            <w:r>
              <w:rPr>
                <w:rFonts w:hint="eastAsia" w:ascii="宋体" w:hAnsi="宋体" w:eastAsia="宋体" w:cs="宋体"/>
                <w:bCs/>
                <w:sz w:val="24"/>
                <w:szCs w:val="24"/>
                <w:highlight w:val="none"/>
              </w:rPr>
              <w:t xml:space="preserve">      联系电话：</w:t>
            </w:r>
            <w:r>
              <w:rPr>
                <w:rFonts w:hint="eastAsia" w:ascii="宋体" w:hAnsi="宋体" w:eastAsia="宋体" w:cs="宋体"/>
                <w:bCs/>
                <w:sz w:val="24"/>
                <w:szCs w:val="24"/>
                <w:highlight w:val="none"/>
                <w:lang w:val="en-US" w:eastAsia="zh-CN"/>
              </w:rPr>
              <w:t>15139003835</w:t>
            </w:r>
          </w:p>
        </w:tc>
      </w:tr>
      <w:tr>
        <w:tblPrEx>
          <w:tblCellMar>
            <w:top w:w="0" w:type="dxa"/>
            <w:left w:w="108" w:type="dxa"/>
            <w:bottom w:w="0" w:type="dxa"/>
            <w:right w:w="108" w:type="dxa"/>
          </w:tblCellMar>
        </w:tblPrEx>
        <w:trPr>
          <w:trHeight w:val="58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widowControl/>
              <w:spacing w:line="360" w:lineRule="auto"/>
              <w:rPr>
                <w:rFonts w:hint="eastAsia" w:ascii="宋体" w:hAnsi="宋体" w:eastAsia="宋体" w:cs="宋体"/>
                <w:sz w:val="24"/>
                <w:szCs w:val="24"/>
                <w:highlight w:val="none"/>
                <w:lang w:eastAsia="zh-CN"/>
              </w:rPr>
            </w:pPr>
            <w:r>
              <w:rPr>
                <w:rFonts w:hint="eastAsia" w:ascii="宋体" w:hAnsi="宋体" w:cs="宋体"/>
                <w:bCs/>
                <w:sz w:val="24"/>
                <w:szCs w:val="24"/>
                <w:highlight w:val="none"/>
                <w:lang w:eastAsia="zh-CN"/>
              </w:rPr>
              <w:t>渑池县英豪镇幸福里社区西围墙修建项目</w:t>
            </w:r>
          </w:p>
        </w:tc>
      </w:tr>
      <w:tr>
        <w:tblPrEx>
          <w:tblCellMar>
            <w:top w:w="0" w:type="dxa"/>
            <w:left w:w="108" w:type="dxa"/>
            <w:bottom w:w="0" w:type="dxa"/>
            <w:right w:w="108" w:type="dxa"/>
          </w:tblCellMar>
        </w:tblPrEx>
        <w:trPr>
          <w:trHeight w:val="534"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t>财政资金</w:t>
            </w:r>
          </w:p>
        </w:tc>
      </w:tr>
      <w:tr>
        <w:tblPrEx>
          <w:tblCellMar>
            <w:top w:w="0" w:type="dxa"/>
            <w:left w:w="108" w:type="dxa"/>
            <w:bottom w:w="0" w:type="dxa"/>
            <w:right w:w="108" w:type="dxa"/>
          </w:tblCellMar>
        </w:tblPrEx>
        <w:trPr>
          <w:trHeight w:val="639"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招标控制价</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widowControl/>
              <w:spacing w:line="360" w:lineRule="auto"/>
              <w:rPr>
                <w:rFonts w:hint="eastAsia" w:ascii="宋体" w:hAnsi="宋体" w:eastAsia="宋体" w:cs="宋体"/>
                <w:bCs/>
                <w:sz w:val="24"/>
                <w:szCs w:val="24"/>
                <w:highlight w:val="none"/>
              </w:rPr>
            </w:pPr>
            <w:r>
              <w:rPr>
                <w:rFonts w:hint="eastAsia" w:ascii="宋体" w:hAnsi="宋体" w:cs="宋体"/>
                <w:sz w:val="24"/>
                <w:szCs w:val="24"/>
                <w:highlight w:val="none"/>
                <w:lang w:val="en-US" w:eastAsia="zh-CN"/>
              </w:rPr>
              <w:t>799821.09</w:t>
            </w:r>
            <w:r>
              <w:rPr>
                <w:rFonts w:hint="eastAsia" w:ascii="宋体" w:hAnsi="宋体" w:eastAsia="宋体" w:cs="宋体"/>
                <w:sz w:val="24"/>
                <w:szCs w:val="24"/>
                <w:highlight w:val="none"/>
                <w:lang w:val="en-US" w:eastAsia="zh-CN"/>
              </w:rPr>
              <w:t>元</w:t>
            </w:r>
          </w:p>
        </w:tc>
      </w:tr>
      <w:tr>
        <w:tblPrEx>
          <w:tblCellMar>
            <w:top w:w="0" w:type="dxa"/>
            <w:left w:w="108" w:type="dxa"/>
            <w:bottom w:w="0" w:type="dxa"/>
            <w:right w:w="108" w:type="dxa"/>
          </w:tblCellMar>
        </w:tblPrEx>
        <w:trPr>
          <w:trHeight w:val="1485"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项目概况</w:t>
            </w:r>
            <w:r>
              <w:rPr>
                <w:rFonts w:hint="eastAsia" w:ascii="宋体" w:hAnsi="宋体" w:eastAsia="宋体" w:cs="宋体"/>
                <w:sz w:val="24"/>
                <w:szCs w:val="24"/>
                <w:highlight w:val="none"/>
                <w:lang w:val="en-US" w:eastAsia="zh-CN"/>
              </w:rPr>
              <w:t>及招标范围</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渑池县英豪镇幸福里社区西围墙修建项目，位于工程位于渑池县英豪镇幸福里社区；主要内容为围墙修复项目。</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招标范围：</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文件及工程量清单包含的所有内容</w:t>
            </w:r>
            <w:r>
              <w:rPr>
                <w:rFonts w:hint="eastAsia" w:ascii="宋体" w:hAnsi="宋体" w:eastAsia="宋体" w:cs="宋体"/>
                <w:sz w:val="24"/>
                <w:szCs w:val="24"/>
                <w:highlight w:val="none"/>
                <w:lang w:eastAsia="zh-CN"/>
              </w:rPr>
              <w:t>；</w:t>
            </w:r>
          </w:p>
        </w:tc>
      </w:tr>
      <w:tr>
        <w:tblPrEx>
          <w:tblCellMar>
            <w:top w:w="0" w:type="dxa"/>
            <w:left w:w="108" w:type="dxa"/>
            <w:bottom w:w="0" w:type="dxa"/>
            <w:right w:w="108" w:type="dxa"/>
          </w:tblCellMar>
        </w:tblPrEx>
        <w:trPr>
          <w:trHeight w:val="432" w:hRule="atLeast"/>
          <w:jc w:val="center"/>
        </w:trPr>
        <w:tc>
          <w:tcPr>
            <w:tcW w:w="1010" w:type="dxa"/>
            <w:tcBorders>
              <w:top w:val="single" w:color="000000" w:sz="6" w:space="0"/>
              <w:left w:val="single" w:color="000000" w:sz="12" w:space="0"/>
              <w:bottom w:val="single" w:color="000000" w:sz="6" w:space="0"/>
            </w:tcBorders>
            <w:shd w:val="clear" w:color="auto" w:fill="auto"/>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458" w:type="dxa"/>
            <w:tcBorders>
              <w:top w:val="single" w:color="000000" w:sz="6" w:space="0"/>
              <w:left w:val="single" w:color="000000" w:sz="6" w:space="0"/>
              <w:bottom w:val="single" w:color="000000" w:sz="6" w:space="0"/>
            </w:tcBorders>
            <w:shd w:val="clear" w:color="auto" w:fill="auto"/>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标段划分</w:t>
            </w:r>
          </w:p>
        </w:tc>
        <w:tc>
          <w:tcPr>
            <w:tcW w:w="7556" w:type="dxa"/>
            <w:tcBorders>
              <w:top w:val="single" w:color="000000" w:sz="6" w:space="0"/>
              <w:left w:val="single" w:color="000000" w:sz="6" w:space="0"/>
              <w:bottom w:val="single" w:color="000000" w:sz="6" w:space="0"/>
              <w:right w:val="single" w:color="000000" w:sz="12" w:space="0"/>
            </w:tcBorders>
            <w:shd w:val="clear" w:color="auto" w:fill="FFFFFF"/>
            <w:noWrap w:val="0"/>
            <w:vAlign w:val="center"/>
          </w:tcPr>
          <w:p>
            <w:pPr>
              <w:widowControl/>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t>本项目</w:t>
            </w:r>
            <w:r>
              <w:rPr>
                <w:rFonts w:hint="eastAsia" w:ascii="宋体" w:hAnsi="宋体" w:eastAsia="宋体" w:cs="宋体"/>
                <w:bCs/>
                <w:sz w:val="24"/>
                <w:szCs w:val="24"/>
                <w:highlight w:val="none"/>
                <w:lang w:val="en-US" w:eastAsia="zh-CN"/>
              </w:rPr>
              <w:t>不划分</w:t>
            </w:r>
            <w:r>
              <w:rPr>
                <w:rFonts w:hint="eastAsia" w:ascii="宋体" w:hAnsi="宋体" w:eastAsia="宋体" w:cs="宋体"/>
                <w:bCs/>
                <w:sz w:val="24"/>
                <w:szCs w:val="24"/>
                <w:highlight w:val="none"/>
              </w:rPr>
              <w:t>标段</w:t>
            </w:r>
          </w:p>
        </w:tc>
      </w:tr>
      <w:tr>
        <w:tblPrEx>
          <w:tblCellMar>
            <w:top w:w="0" w:type="dxa"/>
            <w:left w:w="108" w:type="dxa"/>
            <w:bottom w:w="0" w:type="dxa"/>
            <w:right w:w="108" w:type="dxa"/>
          </w:tblCellMar>
        </w:tblPrEx>
        <w:trPr>
          <w:trHeight w:val="422" w:hRule="atLeast"/>
          <w:jc w:val="center"/>
        </w:trPr>
        <w:tc>
          <w:tcPr>
            <w:tcW w:w="1010" w:type="dxa"/>
            <w:tcBorders>
              <w:top w:val="single" w:color="000000" w:sz="6" w:space="0"/>
              <w:left w:val="single" w:color="000000" w:sz="12" w:space="0"/>
              <w:bottom w:val="single" w:color="000000" w:sz="6" w:space="0"/>
            </w:tcBorders>
            <w:shd w:val="clear" w:color="auto" w:fill="auto"/>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458" w:type="dxa"/>
            <w:tcBorders>
              <w:top w:val="single" w:color="000000" w:sz="6" w:space="0"/>
              <w:left w:val="single" w:color="000000" w:sz="6" w:space="0"/>
              <w:bottom w:val="single" w:color="000000" w:sz="6" w:space="0"/>
            </w:tcBorders>
            <w:shd w:val="clear" w:color="auto" w:fill="auto"/>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7556" w:type="dxa"/>
            <w:tcBorders>
              <w:top w:val="single" w:color="000000" w:sz="6" w:space="0"/>
              <w:left w:val="single" w:color="000000" w:sz="6" w:space="0"/>
              <w:bottom w:val="single" w:color="000000" w:sz="6" w:space="0"/>
              <w:right w:val="single" w:color="000000" w:sz="12" w:space="0"/>
            </w:tcBorders>
            <w:shd w:val="clear" w:color="auto" w:fill="FFFFFF"/>
            <w:noWrap w:val="0"/>
            <w:vAlign w:val="center"/>
          </w:tcPr>
          <w:p>
            <w:pPr>
              <w:widowControl/>
              <w:spacing w:line="360" w:lineRule="auto"/>
              <w:rPr>
                <w:rFonts w:hint="eastAsia" w:ascii="宋体" w:hAnsi="宋体" w:eastAsia="宋体" w:cs="宋体"/>
                <w:sz w:val="24"/>
                <w:szCs w:val="24"/>
                <w:highlight w:val="none"/>
              </w:rPr>
            </w:pPr>
            <w:r>
              <w:rPr>
                <w:rFonts w:hint="eastAsia" w:ascii="宋体" w:hAnsi="宋体" w:cs="宋体"/>
                <w:bCs/>
                <w:sz w:val="24"/>
                <w:szCs w:val="24"/>
                <w:highlight w:val="none"/>
                <w:lang w:val="en-US" w:eastAsia="zh-CN"/>
              </w:rPr>
              <w:t>30日历天</w:t>
            </w:r>
          </w:p>
        </w:tc>
      </w:tr>
      <w:tr>
        <w:tblPrEx>
          <w:tblCellMar>
            <w:top w:w="0" w:type="dxa"/>
            <w:left w:w="108" w:type="dxa"/>
            <w:bottom w:w="0" w:type="dxa"/>
            <w:right w:w="108" w:type="dxa"/>
          </w:tblCellMar>
        </w:tblPrEx>
        <w:trPr>
          <w:trHeight w:val="546"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达到国家质量验收规范合格标准</w:t>
            </w:r>
          </w:p>
        </w:tc>
      </w:tr>
      <w:tr>
        <w:tblPrEx>
          <w:tblCellMar>
            <w:top w:w="0" w:type="dxa"/>
            <w:left w:w="108" w:type="dxa"/>
            <w:bottom w:w="0" w:type="dxa"/>
            <w:right w:w="108" w:type="dxa"/>
          </w:tblCellMar>
        </w:tblPrEx>
        <w:trPr>
          <w:trHeight w:val="90"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竞争性磋商有效期</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60日历天(从磋商截止之日算起)</w:t>
            </w:r>
          </w:p>
        </w:tc>
      </w:tr>
      <w:tr>
        <w:tblPrEx>
          <w:tblCellMar>
            <w:top w:w="0" w:type="dxa"/>
            <w:left w:w="108" w:type="dxa"/>
            <w:bottom w:w="0" w:type="dxa"/>
            <w:right w:w="108" w:type="dxa"/>
          </w:tblCellMar>
        </w:tblPrEx>
        <w:trPr>
          <w:trHeight w:val="90"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供应商资格要求</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）响应人须具有有效的营业执照副本、税务登记证副本、组织机构代码证（或三证合一的营业执照副本）；</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响应人须具有</w:t>
            </w:r>
            <w:r>
              <w:rPr>
                <w:rFonts w:hint="eastAsia" w:ascii="宋体" w:hAnsi="宋体" w:cs="宋体"/>
                <w:sz w:val="24"/>
                <w:szCs w:val="24"/>
                <w:highlight w:val="none"/>
                <w:lang w:eastAsia="zh-CN"/>
              </w:rPr>
              <w:t>市政公用工程</w:t>
            </w:r>
            <w:r>
              <w:rPr>
                <w:rFonts w:hint="eastAsia" w:ascii="宋体" w:hAnsi="宋体" w:eastAsia="宋体" w:cs="宋体"/>
                <w:sz w:val="24"/>
                <w:szCs w:val="24"/>
                <w:highlight w:val="none"/>
              </w:rPr>
              <w:t>叁级及以上资质（含叁级），具有有效的企业安全生产许可证；</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）拟派项目经理须具有</w:t>
            </w:r>
            <w:r>
              <w:rPr>
                <w:rFonts w:hint="eastAsia" w:ascii="宋体" w:hAnsi="宋体" w:cs="宋体"/>
                <w:sz w:val="24"/>
                <w:szCs w:val="24"/>
                <w:highlight w:val="none"/>
                <w:lang w:eastAsia="zh-CN"/>
              </w:rPr>
              <w:t>市政公用工程</w:t>
            </w:r>
            <w:r>
              <w:rPr>
                <w:rFonts w:hint="eastAsia" w:ascii="宋体" w:hAnsi="宋体" w:eastAsia="宋体" w:cs="宋体"/>
                <w:sz w:val="24"/>
                <w:szCs w:val="24"/>
                <w:highlight w:val="none"/>
                <w:lang w:eastAsia="zh-CN"/>
              </w:rPr>
              <w:t>专业贰级及以上注册建造师资格</w:t>
            </w:r>
            <w:r>
              <w:rPr>
                <w:rFonts w:hint="eastAsia" w:ascii="宋体" w:hAnsi="宋体" w:eastAsia="宋体" w:cs="宋体"/>
                <w:sz w:val="24"/>
                <w:szCs w:val="24"/>
                <w:highlight w:val="none"/>
              </w:rPr>
              <w:t>并具有有效的安全生产考核合格证；同时提供近三个月以来的社保证明和无在建工程承诺书；</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企业出具无行贿犯罪记录在中国裁判文书网自行查询或自行承诺（查询对象：企业、法定代表人）；</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响应人须提供本企业无商业贿赂和不正当竞争行为承诺书；</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响应人没有被列入“中国执行信息公开网”的“失信被执行人”、“信用中国”的“重大税收违法失信主体”及“中国政府采购网”的“政府采购严重违法失信行为记录名单”的供应商。【查询渠道：“中国执行信息公开网”（http://zxgk.court.gov.cn/）“信用中国”网站（www.creditchina.gov.cn）、“中国政府采购网”（www.ccgp.gov.cn）】（提供网站的查询信息截图,查询结果页面加盖公章）</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b w:val="0"/>
                <w:bCs/>
                <w:sz w:val="24"/>
                <w:szCs w:val="24"/>
                <w:highlight w:val="none"/>
              </w:rPr>
              <w:t>供应商单位负责人为同一人或者存在直接控股、管理关系的不同投标人，不得参加同一合同项下的采购活动（提供“国家企业信用信息公示系统”网页查询,需包含公司基本信息、股东信息及股权变更信息内容）</w:t>
            </w:r>
          </w:p>
          <w:p>
            <w:pPr>
              <w:numPr>
                <w:ilvl w:val="0"/>
                <w:numId w:val="3"/>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本项目不接受联合体投标。</w:t>
            </w:r>
          </w:p>
          <w:p>
            <w:pPr>
              <w:numPr>
                <w:ilvl w:val="0"/>
                <w:numId w:val="3"/>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注：本项目实行资格后审，审查内容供应商须在开标前将原件的扫描件制做到电子响应文件中，</w:t>
            </w:r>
            <w:r>
              <w:rPr>
                <w:rFonts w:hint="eastAsia" w:ascii="宋体" w:hAnsi="宋体" w:eastAsia="宋体" w:cs="宋体"/>
                <w:color w:val="auto"/>
                <w:sz w:val="24"/>
                <w:szCs w:val="24"/>
                <w:highlight w:val="none"/>
              </w:rPr>
              <w:t>同时</w:t>
            </w:r>
            <w:r>
              <w:rPr>
                <w:rFonts w:hint="eastAsia" w:ascii="宋体" w:hAnsi="宋体" w:eastAsia="宋体" w:cs="宋体"/>
                <w:color w:val="auto"/>
                <w:sz w:val="24"/>
                <w:szCs w:val="24"/>
                <w:highlight w:val="none"/>
                <w:lang w:val="en-US" w:eastAsia="zh-CN"/>
              </w:rPr>
              <w:t>供应商自行完善</w:t>
            </w:r>
            <w:r>
              <w:rPr>
                <w:rFonts w:hint="eastAsia" w:ascii="宋体" w:hAnsi="宋体" w:eastAsia="宋体" w:cs="宋体"/>
                <w:color w:val="auto"/>
                <w:sz w:val="24"/>
                <w:szCs w:val="24"/>
                <w:highlight w:val="none"/>
              </w:rPr>
              <w:t>主体库信息。</w:t>
            </w:r>
          </w:p>
        </w:tc>
      </w:tr>
      <w:tr>
        <w:tblPrEx>
          <w:tblCellMar>
            <w:top w:w="0" w:type="dxa"/>
            <w:left w:w="108" w:type="dxa"/>
            <w:bottom w:w="0" w:type="dxa"/>
            <w:right w:w="108" w:type="dxa"/>
          </w:tblCellMar>
        </w:tblPrEx>
        <w:trPr>
          <w:trHeight w:val="50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tblPrEx>
          <w:tblCellMar>
            <w:top w:w="0" w:type="dxa"/>
            <w:left w:w="108" w:type="dxa"/>
            <w:bottom w:w="0" w:type="dxa"/>
            <w:right w:w="108" w:type="dxa"/>
          </w:tblCellMar>
        </w:tblPrEx>
        <w:trPr>
          <w:trHeight w:val="54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投标预备会</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tblPrEx>
          <w:tblCellMar>
            <w:top w:w="0" w:type="dxa"/>
            <w:left w:w="108" w:type="dxa"/>
            <w:bottom w:w="0" w:type="dxa"/>
            <w:right w:w="108" w:type="dxa"/>
          </w:tblCellMar>
        </w:tblPrEx>
        <w:trPr>
          <w:trHeight w:val="942" w:hRule="atLeast"/>
          <w:jc w:val="center"/>
        </w:trPr>
        <w:tc>
          <w:tcPr>
            <w:tcW w:w="1010" w:type="dxa"/>
            <w:tcBorders>
              <w:top w:val="single" w:color="000000" w:sz="6" w:space="0"/>
              <w:left w:val="single" w:color="000000" w:sz="12" w:space="0"/>
              <w:bottom w:val="single" w:color="auto" w:sz="4"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p>
        </w:tc>
        <w:tc>
          <w:tcPr>
            <w:tcW w:w="1458" w:type="dxa"/>
            <w:tcBorders>
              <w:top w:val="single" w:color="000000" w:sz="6" w:space="0"/>
              <w:left w:val="single" w:color="000000" w:sz="6" w:space="0"/>
              <w:bottom w:val="single" w:color="000000" w:sz="6" w:space="0"/>
            </w:tcBorders>
            <w:noWrap w:val="0"/>
            <w:vAlign w:val="center"/>
          </w:tcPr>
          <w:p>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供应商提出问题的截止时间</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adjustRightInd w:val="0"/>
              <w:spacing w:line="36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提交响应文件截止时间5日前</w:t>
            </w:r>
          </w:p>
        </w:tc>
      </w:tr>
      <w:tr>
        <w:tblPrEx>
          <w:tblCellMar>
            <w:top w:w="0" w:type="dxa"/>
            <w:left w:w="108" w:type="dxa"/>
            <w:bottom w:w="0" w:type="dxa"/>
            <w:right w:w="108" w:type="dxa"/>
          </w:tblCellMar>
        </w:tblPrEx>
        <w:trPr>
          <w:trHeight w:val="610"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p>
        </w:tc>
        <w:tc>
          <w:tcPr>
            <w:tcW w:w="1458" w:type="dxa"/>
            <w:tcBorders>
              <w:top w:val="single" w:color="000000" w:sz="6" w:space="0"/>
              <w:left w:val="single" w:color="auto" w:sz="4"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tblPrEx>
          <w:tblCellMar>
            <w:top w:w="0" w:type="dxa"/>
            <w:left w:w="108" w:type="dxa"/>
            <w:bottom w:w="0" w:type="dxa"/>
            <w:right w:w="108" w:type="dxa"/>
          </w:tblCellMar>
        </w:tblPrEx>
        <w:trPr>
          <w:trHeight w:val="574"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6</w:t>
            </w:r>
          </w:p>
        </w:tc>
        <w:tc>
          <w:tcPr>
            <w:tcW w:w="1458" w:type="dxa"/>
            <w:tcBorders>
              <w:top w:val="single" w:color="000000" w:sz="6" w:space="0"/>
              <w:left w:val="single" w:color="auto" w:sz="4" w:space="0"/>
              <w:bottom w:val="single" w:color="000000" w:sz="6"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偏离</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不允许</w:t>
            </w:r>
          </w:p>
        </w:tc>
      </w:tr>
      <w:tr>
        <w:tblPrEx>
          <w:tblCellMar>
            <w:top w:w="0" w:type="dxa"/>
            <w:left w:w="108" w:type="dxa"/>
            <w:bottom w:w="0" w:type="dxa"/>
            <w:right w:w="108" w:type="dxa"/>
          </w:tblCellMar>
        </w:tblPrEx>
        <w:trPr>
          <w:trHeight w:val="847" w:hRule="atLeast"/>
          <w:jc w:val="center"/>
        </w:trPr>
        <w:tc>
          <w:tcPr>
            <w:tcW w:w="1010" w:type="dxa"/>
            <w:tcBorders>
              <w:top w:val="single" w:color="auto" w:sz="4"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未按磋商文件要求上传响应文件至交易中心平台的投标供应商，此后递交其他形式的</w:t>
            </w:r>
            <w:r>
              <w:rPr>
                <w:rFonts w:hint="eastAsia" w:ascii="宋体" w:hAnsi="宋体" w:eastAsia="宋体" w:cs="宋体"/>
                <w:bCs/>
                <w:sz w:val="24"/>
                <w:szCs w:val="24"/>
                <w:highlight w:val="none"/>
              </w:rPr>
              <w:t>响应</w:t>
            </w:r>
            <w:r>
              <w:rPr>
                <w:rFonts w:hint="eastAsia" w:ascii="宋体" w:hAnsi="宋体" w:eastAsia="宋体" w:cs="宋体"/>
                <w:sz w:val="24"/>
                <w:szCs w:val="24"/>
                <w:highlight w:val="none"/>
              </w:rPr>
              <w:t>文件不予接受。</w:t>
            </w:r>
          </w:p>
        </w:tc>
      </w:tr>
      <w:tr>
        <w:tblPrEx>
          <w:tblCellMar>
            <w:top w:w="0" w:type="dxa"/>
            <w:left w:w="108" w:type="dxa"/>
            <w:bottom w:w="0" w:type="dxa"/>
            <w:right w:w="108" w:type="dxa"/>
          </w:tblCellMar>
        </w:tblPrEx>
        <w:trPr>
          <w:trHeight w:val="851"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保证金</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根据《河南省财政厅关于优化政府采购营商环境有关问题的通知》（豫财购【2019】4号）第6条的规定，投标保证金不再收取。</w:t>
            </w:r>
            <w:r>
              <w:rPr>
                <w:rFonts w:hint="eastAsia" w:ascii="宋体" w:hAnsi="宋体" w:eastAsia="宋体" w:cs="宋体"/>
                <w:sz w:val="24"/>
                <w:szCs w:val="24"/>
                <w:highlight w:val="none"/>
              </w:rPr>
              <w:t>供应商须提供投标承诺函。供应商承诺事项及违背承诺的责任追究措施详见磋商文件。</w:t>
            </w:r>
          </w:p>
        </w:tc>
      </w:tr>
      <w:tr>
        <w:tblPrEx>
          <w:tblCellMar>
            <w:top w:w="0" w:type="dxa"/>
            <w:left w:w="108" w:type="dxa"/>
            <w:bottom w:w="0" w:type="dxa"/>
            <w:right w:w="108" w:type="dxa"/>
          </w:tblCellMar>
        </w:tblPrEx>
        <w:trPr>
          <w:trHeight w:val="530"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用CA在电子平台上传电子磋商响应文件；</w:t>
            </w:r>
          </w:p>
        </w:tc>
      </w:tr>
      <w:tr>
        <w:tblPrEx>
          <w:tblCellMar>
            <w:top w:w="0" w:type="dxa"/>
            <w:left w:w="108" w:type="dxa"/>
            <w:bottom w:w="0" w:type="dxa"/>
            <w:right w:w="108" w:type="dxa"/>
          </w:tblCellMar>
        </w:tblPrEx>
        <w:trPr>
          <w:trHeight w:val="905"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响应文件递交截止时间</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响应文件递交截止时间：</w:t>
            </w:r>
            <w:r>
              <w:rPr>
                <w:rFonts w:hint="eastAsia" w:ascii="宋体" w:hAnsi="宋体" w:cs="宋体"/>
                <w:sz w:val="24"/>
                <w:szCs w:val="24"/>
                <w:highlight w:val="none"/>
                <w:lang w:eastAsia="zh-CN"/>
              </w:rPr>
              <w:t>2025年8月18日8时20分</w:t>
            </w:r>
          </w:p>
        </w:tc>
      </w:tr>
      <w:tr>
        <w:tblPrEx>
          <w:tblCellMar>
            <w:top w:w="0" w:type="dxa"/>
            <w:left w:w="108" w:type="dxa"/>
            <w:bottom w:w="0" w:type="dxa"/>
            <w:right w:w="108" w:type="dxa"/>
          </w:tblCellMar>
        </w:tblPrEx>
        <w:trPr>
          <w:trHeight w:val="672"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1</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是否退还</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响应文件</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tblPrEx>
          <w:tblCellMar>
            <w:top w:w="0" w:type="dxa"/>
            <w:left w:w="108" w:type="dxa"/>
            <w:bottom w:w="0" w:type="dxa"/>
            <w:right w:w="108" w:type="dxa"/>
          </w:tblCellMar>
        </w:tblPrEx>
        <w:trPr>
          <w:trHeight w:val="79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磋商时间和地点</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磋商时间：</w:t>
            </w:r>
            <w:r>
              <w:rPr>
                <w:rFonts w:hint="eastAsia" w:ascii="宋体" w:hAnsi="宋体" w:cs="宋体"/>
                <w:sz w:val="24"/>
                <w:szCs w:val="24"/>
                <w:highlight w:val="none"/>
                <w:lang w:eastAsia="zh-CN"/>
              </w:rPr>
              <w:t>2025年8月18日8时20分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磋商地点：渑池县公共资源交易中心六楼开标区</w:t>
            </w:r>
          </w:p>
        </w:tc>
      </w:tr>
      <w:tr>
        <w:tblPrEx>
          <w:tblCellMar>
            <w:top w:w="0" w:type="dxa"/>
            <w:left w:w="108" w:type="dxa"/>
            <w:bottom w:w="0" w:type="dxa"/>
            <w:right w:w="108" w:type="dxa"/>
          </w:tblCellMar>
        </w:tblPrEx>
        <w:trPr>
          <w:trHeight w:val="112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磋商小组由有关技术、经济等方面的专家组成，成员为3人,其中采购人代表1人，相关专家2人。</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评标专家确定方式：从相关专家库随机抽取</w:t>
            </w:r>
          </w:p>
        </w:tc>
      </w:tr>
      <w:tr>
        <w:tblPrEx>
          <w:tblCellMar>
            <w:top w:w="0" w:type="dxa"/>
            <w:left w:w="108" w:type="dxa"/>
            <w:bottom w:w="0" w:type="dxa"/>
            <w:right w:w="108" w:type="dxa"/>
          </w:tblCellMar>
        </w:tblPrEx>
        <w:trPr>
          <w:trHeight w:val="819"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是否授权磋商小组确定成交供应商</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否，按顺序推荐的成交候选供应商数：</w:t>
            </w:r>
            <w:r>
              <w:rPr>
                <w:rFonts w:hint="eastAsia" w:ascii="宋体" w:hAnsi="宋体" w:eastAsia="宋体" w:cs="宋体"/>
                <w:sz w:val="24"/>
                <w:szCs w:val="24"/>
                <w:highlight w:val="none"/>
                <w:u w:val="single"/>
              </w:rPr>
              <w:t xml:space="preserve"> 3名</w:t>
            </w:r>
          </w:p>
        </w:tc>
      </w:tr>
      <w:tr>
        <w:tblPrEx>
          <w:tblCellMar>
            <w:top w:w="0" w:type="dxa"/>
            <w:left w:w="108" w:type="dxa"/>
            <w:bottom w:w="0" w:type="dxa"/>
            <w:right w:w="108" w:type="dxa"/>
          </w:tblCellMar>
        </w:tblPrEx>
        <w:trPr>
          <w:trHeight w:val="1523"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评标标准及方法</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tblPrEx>
          <w:tblCellMar>
            <w:top w:w="0" w:type="dxa"/>
            <w:left w:w="108" w:type="dxa"/>
            <w:bottom w:w="0" w:type="dxa"/>
            <w:right w:w="108" w:type="dxa"/>
          </w:tblCellMar>
        </w:tblPrEx>
        <w:trPr>
          <w:trHeight w:val="953"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根据三门峡市财政局《关于进一步优化提升政府采购营商环境有关事项通知》三财购【2021】14号文件，该项目不收取履约保证金。</w:t>
            </w:r>
          </w:p>
        </w:tc>
      </w:tr>
      <w:tr>
        <w:tblPrEx>
          <w:tblCellMar>
            <w:top w:w="0" w:type="dxa"/>
            <w:left w:w="108" w:type="dxa"/>
            <w:bottom w:w="0" w:type="dxa"/>
            <w:right w:w="108" w:type="dxa"/>
          </w:tblCellMar>
        </w:tblPrEx>
        <w:trPr>
          <w:trHeight w:val="87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招标代理收费</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本项目代理服务费根据《河南省招标代理服务收费指导意见（豫招协【2023】002号）》有关规定收取，由中标单位支付。</w:t>
            </w:r>
          </w:p>
        </w:tc>
      </w:tr>
      <w:tr>
        <w:tblPrEx>
          <w:tblCellMar>
            <w:top w:w="0" w:type="dxa"/>
            <w:left w:w="108" w:type="dxa"/>
            <w:bottom w:w="0" w:type="dxa"/>
            <w:right w:w="108" w:type="dxa"/>
          </w:tblCellMar>
        </w:tblPrEx>
        <w:trPr>
          <w:trHeight w:val="933"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1458" w:type="dxa"/>
            <w:tcBorders>
              <w:top w:val="single" w:color="000000" w:sz="6" w:space="0"/>
              <w:left w:val="single" w:color="000000" w:sz="6" w:space="0"/>
              <w:bottom w:val="single" w:color="000000" w:sz="6" w:space="0"/>
            </w:tcBorders>
            <w:noWrap w:val="0"/>
            <w:vAlign w:val="center"/>
          </w:tcPr>
          <w:p>
            <w:pPr>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中标结果</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在《河南省政府采购网》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中国电子招标</w:t>
            </w:r>
            <w:r>
              <w:rPr>
                <w:rFonts w:hint="eastAsia" w:ascii="宋体" w:hAnsi="宋体" w:eastAsia="宋体" w:cs="宋体"/>
                <w:sz w:val="24"/>
                <w:szCs w:val="24"/>
                <w:highlight w:val="none"/>
              </w:rPr>
              <w:t>投标公共服务平台》和《三门峡市公共资源交易中心网》</w:t>
            </w:r>
            <w:r>
              <w:rPr>
                <w:rFonts w:hint="eastAsia" w:ascii="宋体" w:hAnsi="宋体" w:eastAsia="宋体" w:cs="宋体"/>
                <w:sz w:val="24"/>
                <w:szCs w:val="24"/>
                <w:highlight w:val="none"/>
                <w:lang w:val="en-US" w:eastAsia="zh-CN"/>
              </w:rPr>
              <w:t>公示</w:t>
            </w:r>
            <w:r>
              <w:rPr>
                <w:rFonts w:hint="eastAsia" w:ascii="宋体" w:hAnsi="宋体" w:eastAsia="宋体" w:cs="宋体"/>
                <w:sz w:val="24"/>
                <w:szCs w:val="24"/>
                <w:highlight w:val="none"/>
              </w:rPr>
              <w:t>。三个网站同步中标结果公告。</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招标人以书面形式向中标人发出中标通知书，同时向未中标企业以书面或电子形式告知未中标原因。</w:t>
            </w:r>
          </w:p>
        </w:tc>
      </w:tr>
      <w:tr>
        <w:tblPrEx>
          <w:tblCellMar>
            <w:top w:w="0" w:type="dxa"/>
            <w:left w:w="108" w:type="dxa"/>
            <w:bottom w:w="0" w:type="dxa"/>
            <w:right w:w="108" w:type="dxa"/>
          </w:tblCellMar>
        </w:tblPrEx>
        <w:trPr>
          <w:trHeight w:val="368" w:hRule="atLeast"/>
          <w:jc w:val="center"/>
        </w:trPr>
        <w:tc>
          <w:tcPr>
            <w:tcW w:w="1010" w:type="dxa"/>
            <w:tcBorders>
              <w:top w:val="single" w:color="000000" w:sz="6" w:space="0"/>
              <w:left w:val="single" w:color="000000" w:sz="12" w:space="0"/>
              <w:bottom w:val="single" w:color="000000" w:sz="6"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1458" w:type="dxa"/>
            <w:tcBorders>
              <w:top w:val="single" w:color="000000" w:sz="6" w:space="0"/>
              <w:left w:val="single" w:color="000000" w:sz="6" w:space="0"/>
              <w:bottom w:val="single" w:color="000000" w:sz="6"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tc>
        <w:tc>
          <w:tcPr>
            <w:tcW w:w="7556"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1、施工单位在施工期间必须采取相应措施以保证施工安全；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2、成交通知书发出后，成交供应商必须及时与采购人签订合同；</w:t>
            </w:r>
          </w:p>
          <w:p>
            <w:pPr>
              <w:numPr>
                <w:ilvl w:val="0"/>
                <w:numId w:val="4"/>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本磋商文件未尽事宜，执行国家、省、市相关规定。</w:t>
            </w:r>
          </w:p>
        </w:tc>
      </w:tr>
      <w:tr>
        <w:tblPrEx>
          <w:tblCellMar>
            <w:top w:w="0" w:type="dxa"/>
            <w:left w:w="108" w:type="dxa"/>
            <w:bottom w:w="0" w:type="dxa"/>
            <w:right w:w="108" w:type="dxa"/>
          </w:tblCellMar>
        </w:tblPrEx>
        <w:trPr>
          <w:trHeight w:val="3764" w:hRule="atLeast"/>
          <w:jc w:val="center"/>
        </w:trPr>
        <w:tc>
          <w:tcPr>
            <w:tcW w:w="1010" w:type="dxa"/>
            <w:tcBorders>
              <w:top w:val="single" w:color="000000" w:sz="6" w:space="0"/>
              <w:left w:val="single" w:color="000000" w:sz="12" w:space="0"/>
              <w:bottom w:val="single" w:color="000000" w:sz="12" w:space="0"/>
            </w:tcBorders>
            <w:noWrap w:val="0"/>
            <w:vAlign w:val="center"/>
          </w:tcPr>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电子化交易注意事项</w:t>
            </w:r>
          </w:p>
        </w:tc>
        <w:tc>
          <w:tcPr>
            <w:tcW w:w="9014" w:type="dxa"/>
            <w:gridSpan w:val="2"/>
            <w:tcBorders>
              <w:top w:val="single" w:color="000000" w:sz="6" w:space="0"/>
              <w:left w:val="single" w:color="000000" w:sz="12" w:space="0"/>
              <w:bottom w:val="single" w:color="000000" w:sz="12" w:space="0"/>
              <w:right w:val="single" w:color="000000" w:sz="12" w:space="0"/>
            </w:tcBorders>
            <w:noWrap w:val="0"/>
            <w:vAlign w:val="center"/>
          </w:tcPr>
          <w:p>
            <w:pPr>
              <w:spacing w:line="360" w:lineRule="auto"/>
              <w:ind w:firstLine="48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本项目为电子化、无纸化交易项目，响应文件是投标人、供应商（以下简称“供应商”）通过中心响应文件制作系统制作，并经过电子签章和加密后生成的电子版响应文件。供应商投标时，将不再接受任何纸质文件资料。</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电子化响应文件具体制作教材请供应商通过CA证书登录三门峡市公共资源电子化交易系统在 “下载专区”中查看。</w:t>
            </w:r>
          </w:p>
          <w:p>
            <w:pPr>
              <w:spacing w:line="360" w:lineRule="auto"/>
              <w:ind w:firstLine="48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温馨提示：本项目为电子化、无纸化交易项目，开标时不接受任何纸质资料，为保证您能投标成功，请需仔细阅读以下条款。</w:t>
            </w:r>
          </w:p>
          <w:p>
            <w:pPr>
              <w:spacing w:line="360" w:lineRule="auto"/>
              <w:ind w:firstLine="48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一、电子化投标</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（一）网上投标保证金的缴纳</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根据《河南省财政厅关于优化政府采购营商环境有关问题的通知》（豫财购【2019】4号）第6条的规定，投标保证金不再收取。供应商应以承诺函的形式替代保证金，承诺函应明确承诺事项及违背承诺的责任。</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（二）电子化响应文件的签章</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1、供应商在生成电子化响应文件后，应对电子化响应文件进行签章，未进行签章的视为无效投标。</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2、磋商文件中要求</w:t>
            </w:r>
            <w:r>
              <w:rPr>
                <w:rFonts w:hint="eastAsia" w:ascii="宋体" w:hAnsi="宋体" w:eastAsia="宋体" w:cs="宋体"/>
                <w:b/>
                <w:bCs/>
                <w:kern w:val="0"/>
                <w:sz w:val="24"/>
                <w:szCs w:val="24"/>
                <w:highlight w:val="none"/>
              </w:rPr>
              <w:t>法定代表人或授权委托人签字或盖章的</w:t>
            </w:r>
            <w:r>
              <w:rPr>
                <w:rFonts w:hint="eastAsia" w:ascii="宋体" w:hAnsi="宋体" w:eastAsia="宋体" w:cs="宋体"/>
                <w:bCs/>
                <w:kern w:val="0"/>
                <w:sz w:val="24"/>
                <w:szCs w:val="24"/>
                <w:highlight w:val="none"/>
              </w:rPr>
              <w:t>，供应商在进行</w:t>
            </w:r>
            <w:r>
              <w:rPr>
                <w:rFonts w:hint="eastAsia" w:ascii="宋体" w:hAnsi="宋体" w:eastAsia="宋体" w:cs="宋体"/>
                <w:b/>
                <w:bCs/>
                <w:kern w:val="0"/>
                <w:sz w:val="24"/>
                <w:szCs w:val="24"/>
                <w:highlight w:val="none"/>
              </w:rPr>
              <w:t>电子化响应文件签章时，以签盖法定代表人签章为准。</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（三）电子化响应文件的格式及上传投标</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供应商所上传的电子化响应文件，应是通过中心响应文件制作系统制作的（投标文件制作工具下载地址：http://t.cn/A6ZvtVob），经过签章和加密后生成的电子版响应文件。生成的电子版响应文件包含用于响应文件上传的主文件（文件格式为：.</w:t>
            </w:r>
            <w:r>
              <w:rPr>
                <w:rFonts w:hint="eastAsia" w:ascii="宋体" w:hAnsi="宋体" w:eastAsia="宋体" w:cs="宋体"/>
                <w:sz w:val="24"/>
                <w:szCs w:val="24"/>
                <w:highlight w:val="none"/>
              </w:rPr>
              <w:t xml:space="preserve"> </w:t>
            </w:r>
            <w:r>
              <w:rPr>
                <w:rFonts w:hint="eastAsia" w:ascii="宋体" w:hAnsi="宋体" w:eastAsia="宋体" w:cs="宋体"/>
                <w:bCs/>
                <w:kern w:val="0"/>
                <w:sz w:val="24"/>
                <w:szCs w:val="24"/>
                <w:highlight w:val="none"/>
              </w:rPr>
              <w:t>smxtf）和用于应急补救的响应文件备份文件（文件格式为：.</w:t>
            </w:r>
            <w:r>
              <w:rPr>
                <w:rFonts w:hint="eastAsia" w:ascii="宋体" w:hAnsi="宋体" w:eastAsia="宋体" w:cs="宋体"/>
                <w:sz w:val="24"/>
                <w:szCs w:val="24"/>
                <w:highlight w:val="none"/>
              </w:rPr>
              <w:t xml:space="preserve"> </w:t>
            </w:r>
            <w:r>
              <w:rPr>
                <w:rFonts w:hint="eastAsia" w:ascii="宋体" w:hAnsi="宋体" w:eastAsia="宋体" w:cs="宋体"/>
                <w:bCs/>
                <w:kern w:val="0"/>
                <w:sz w:val="24"/>
                <w:szCs w:val="24"/>
                <w:highlight w:val="none"/>
              </w:rPr>
              <w:t>smxtf）。备份文件主要用于电子化开标出现技术问题后的补救，请供应商随身携带。</w:t>
            </w:r>
          </w:p>
          <w:p>
            <w:pPr>
              <w:spacing w:line="360" w:lineRule="auto"/>
              <w:ind w:firstLine="48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注：供应商投报多个标段的，所生成的电子化响应文件仍为一个电子文件，供应商制作电子化响应文件时应将所报标段全部勾选后制作生成。</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2、电子化响应文件应在投标截止时间前成功上传至三门峡市公共资源电子化交易系统。至投标截止时间止，仍未上传成功的电子化响应文件将不予接收。</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注：如按照电子化投标操作教材制作完成的电子化响应文件无法上传的，供应商应在</w:t>
            </w:r>
            <w:r>
              <w:rPr>
                <w:rFonts w:hint="eastAsia" w:ascii="宋体" w:hAnsi="宋体" w:eastAsia="宋体" w:cs="宋体"/>
                <w:b/>
                <w:bCs/>
                <w:kern w:val="0"/>
                <w:sz w:val="24"/>
                <w:szCs w:val="24"/>
                <w:highlight w:val="none"/>
              </w:rPr>
              <w:t>投标截止时间前尽早的</w:t>
            </w:r>
            <w:r>
              <w:rPr>
                <w:rFonts w:hint="eastAsia" w:ascii="宋体" w:hAnsi="宋体" w:eastAsia="宋体" w:cs="宋体"/>
                <w:bCs/>
                <w:kern w:val="0"/>
                <w:sz w:val="24"/>
                <w:szCs w:val="24"/>
                <w:highlight w:val="none"/>
              </w:rPr>
              <w:t>联系中心技术人员，以便有充分的时间进行处理。</w:t>
            </w:r>
            <w:r>
              <w:rPr>
                <w:rFonts w:hint="eastAsia" w:ascii="宋体" w:hAnsi="宋体" w:eastAsia="宋体" w:cs="宋体"/>
                <w:b/>
                <w:bCs/>
                <w:kern w:val="0"/>
                <w:sz w:val="24"/>
                <w:szCs w:val="24"/>
                <w:highlight w:val="none"/>
              </w:rPr>
              <w:t>供应商应充分考虑到处理技术问题和上传数据等工作所需的时间问题，响应文件未在投标截止时间前成功上传的，其响应文件不予接收。</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技术联系电话：0398-3117871；</w:t>
            </w:r>
            <w:r>
              <w:rPr>
                <w:rFonts w:hint="eastAsia" w:ascii="宋体" w:hAnsi="宋体" w:eastAsia="宋体" w:cs="宋体"/>
                <w:sz w:val="24"/>
                <w:highlight w:val="none"/>
              </w:rPr>
              <w:t>主体库咨询电话：0398-3117815</w:t>
            </w:r>
          </w:p>
          <w:p>
            <w:pPr>
              <w:spacing w:line="360" w:lineRule="auto"/>
              <w:ind w:firstLine="480"/>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rPr>
              <w:t>（四）电子化项目开标、解密、唱标、</w:t>
            </w:r>
            <w:r>
              <w:rPr>
                <w:rFonts w:hint="eastAsia" w:ascii="宋体" w:hAnsi="宋体" w:eastAsia="宋体" w:cs="宋体"/>
                <w:bCs/>
                <w:kern w:val="0"/>
                <w:sz w:val="24"/>
                <w:szCs w:val="24"/>
                <w:highlight w:val="none"/>
                <w:lang w:val="en-US" w:eastAsia="zh-CN"/>
              </w:rPr>
              <w:t>评标</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1、本项目采用电子化、无纸化进行磋商</w:t>
            </w:r>
            <w:r>
              <w:rPr>
                <w:rFonts w:hint="eastAsia" w:ascii="宋体" w:hAnsi="宋体" w:eastAsia="宋体" w:cs="宋体"/>
                <w:bCs/>
                <w:kern w:val="0"/>
                <w:sz w:val="24"/>
                <w:szCs w:val="24"/>
                <w:highlight w:val="none"/>
                <w:lang w:eastAsia="zh-CN"/>
              </w:rPr>
              <w:t>。</w:t>
            </w:r>
            <w:r>
              <w:rPr>
                <w:rFonts w:hint="eastAsia" w:ascii="宋体" w:hAnsi="宋体" w:eastAsia="宋体" w:cs="宋体"/>
                <w:bCs/>
                <w:kern w:val="0"/>
                <w:sz w:val="24"/>
                <w:szCs w:val="24"/>
                <w:highlight w:val="none"/>
              </w:rPr>
              <w:t>开标当日</w:t>
            </w:r>
            <w:r>
              <w:rPr>
                <w:rFonts w:hint="eastAsia" w:ascii="宋体" w:hAnsi="宋体" w:eastAsia="宋体" w:cs="宋体"/>
                <w:bCs/>
                <w:sz w:val="24"/>
                <w:szCs w:val="24"/>
                <w:highlight w:val="none"/>
              </w:rPr>
              <w:t>，供应商</w:t>
            </w:r>
            <w:r>
              <w:rPr>
                <w:rFonts w:hint="eastAsia" w:ascii="宋体" w:hAnsi="宋体" w:eastAsia="宋体" w:cs="宋体"/>
                <w:bCs/>
                <w:sz w:val="24"/>
                <w:szCs w:val="24"/>
                <w:highlight w:val="none"/>
                <w:lang w:val="en-US" w:eastAsia="zh-CN"/>
              </w:rPr>
              <w:t>无需</w:t>
            </w:r>
            <w:r>
              <w:rPr>
                <w:rFonts w:hint="eastAsia" w:ascii="宋体" w:hAnsi="宋体" w:eastAsia="宋体" w:cs="宋体"/>
                <w:bCs/>
                <w:sz w:val="24"/>
                <w:szCs w:val="24"/>
                <w:highlight w:val="none"/>
              </w:rPr>
              <w:t>到开标现场参加开标会议</w:t>
            </w:r>
            <w:r>
              <w:rPr>
                <w:rFonts w:hint="eastAsia" w:ascii="宋体" w:hAnsi="宋体" w:eastAsia="宋体" w:cs="宋体"/>
                <w:bCs/>
                <w:kern w:val="0"/>
                <w:sz w:val="24"/>
                <w:szCs w:val="24"/>
                <w:highlight w:val="none"/>
                <w:lang w:eastAsia="zh-CN"/>
              </w:rPr>
              <w:t>。</w:t>
            </w:r>
            <w:r>
              <w:rPr>
                <w:rFonts w:hint="eastAsia" w:ascii="宋体" w:hAnsi="宋体" w:eastAsia="宋体" w:cs="宋体"/>
                <w:bCs/>
                <w:kern w:val="0"/>
                <w:sz w:val="24"/>
                <w:szCs w:val="24"/>
                <w:highlight w:val="none"/>
              </w:rPr>
              <w:t>供应商应当在投标截止时间前，登陆不见面开标大厅选择登陆三门峡市公共资源电子招投标系统进行登陆（网址为http://t.cn/A6huPROa）,在线准时参加开标活动并进行响应文件解密等</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3、电子化响应文件异常情况的处理</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如出现供应商的电子响应文件无法解密等异常情况，供应商应及时致电中介服务机构说明。响应文件异常，按以下步骤进行处理：</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（1）首先由技术人员进行问题排查。</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（2）经技术人员排查后，是供应商文件自身问题导致响应文件无法解密的，该响应文件将不予接收、解密和唱标。开标会议继续进行。</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4、待所有供应商响应文件解密完成后，由中介服务机构操作，对所有已解密响应文件进行唱标。</w:t>
            </w:r>
          </w:p>
          <w:p>
            <w:pPr>
              <w:spacing w:line="360" w:lineRule="auto"/>
              <w:ind w:firstLine="48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供应商应保证在开标期间电话、电脑、网络能够正常工作，供应商因停电、电脑病毒、网络堵塞等原因，未在规定的解密时间内对响应文件进行解密的，其响应文件不予接收、唱标。</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开标时供应商可登录到交易系统中在开标大厅中点击开标一览表查看自己的投标报价。如对自己的唱标内容有异议的，应在唱标内容显示后10分钟内向中介服务机构质疑。中介服务机构应在监督人员的监督下接受供应商的质疑并做好记录。供应商未在规定时间内提出质疑的，视为认可唱标内容。</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6</w:t>
            </w:r>
            <w:r>
              <w:rPr>
                <w:rFonts w:hint="eastAsia" w:ascii="宋体" w:hAnsi="宋体" w:eastAsia="宋体" w:cs="宋体"/>
                <w:bCs/>
                <w:kern w:val="0"/>
                <w:sz w:val="24"/>
                <w:szCs w:val="24"/>
                <w:highlight w:val="none"/>
              </w:rPr>
              <w:t>、评标时，评标委员会对电子化响应文件有质疑的，将通过电子化交易系统对供应商发起质疑，并在监督人员的监督下，质疑回复内容确认后，供应商的回复文件必须以经过供应商和其法定代表人签章的PDF格式文件为准，并通过电子化交易系统提交至评标委员会。</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7</w:t>
            </w:r>
            <w:r>
              <w:rPr>
                <w:rFonts w:hint="eastAsia" w:ascii="宋体" w:hAnsi="宋体" w:eastAsia="宋体" w:cs="宋体"/>
                <w:bCs/>
                <w:kern w:val="0"/>
                <w:sz w:val="24"/>
                <w:szCs w:val="24"/>
                <w:highlight w:val="none"/>
              </w:rPr>
              <w:t>、如评标委员会对需要回复的供应商连续三次致电未接通的，视为供应商放弃回复，评标委员会将自行对需要回复的内容进行认定。</w:t>
            </w:r>
          </w:p>
          <w:p>
            <w:pPr>
              <w:spacing w:line="360" w:lineRule="auto"/>
              <w:ind w:firstLine="48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二、相关证书原件的提交</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本项目实行资格后审，招标文件中要求</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提交资质、业绩、荣誉及单位人员等相关资料原件的，</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需将原件扫描件制作到电子投标文件中。评标委员会对原件的核验工作按以下条款进行：</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（一）评标时，评委查阅投标文件中是否具有该资料的原件扫描件。</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本项目需要提交的原件扫描件以投标截止前在投标文件中的信息为准。规定时间外上传或更改的信息不作为评标依据。</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（二）项目评标结果公示时，将同时公示中标候选人主体库信息，接受社会监督。</w:t>
            </w:r>
          </w:p>
          <w:p>
            <w:pPr>
              <w:spacing w:line="360" w:lineRule="auto"/>
              <w:ind w:firstLine="48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（三）</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需应仔细阅读操作手册，保证上传内容齐全，真实有效，原件扫描件清晰可辨。因</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上传原因导致应得分项而未得分或资格审查不合格等情况的，由</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自行承担责任。</w:t>
            </w:r>
          </w:p>
          <w:p>
            <w:pPr>
              <w:spacing w:line="360" w:lineRule="auto"/>
              <w:ind w:firstLine="277" w:firstLineChars="115"/>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提示：本项目为电子化、无纸化交易项目，开标时不再接受任何纸质资料，为保证您能投标成功，请需仔细阅读以上条款。</w:t>
            </w:r>
          </w:p>
        </w:tc>
      </w:tr>
    </w:tbl>
    <w:p>
      <w:pPr>
        <w:pStyle w:val="3"/>
        <w:spacing w:line="360" w:lineRule="auto"/>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 总则</w:t>
      </w:r>
    </w:p>
    <w:p>
      <w:pPr>
        <w:spacing w:line="360" w:lineRule="auto"/>
        <w:rPr>
          <w:rFonts w:hint="eastAsia" w:ascii="宋体" w:hAnsi="宋体" w:eastAsia="宋体" w:cs="宋体"/>
          <w:b/>
          <w:sz w:val="24"/>
          <w:szCs w:val="28"/>
          <w:highlight w:val="none"/>
        </w:rPr>
      </w:pPr>
      <w:bookmarkStart w:id="7" w:name="_Toc438797938"/>
      <w:bookmarkStart w:id="8" w:name="_Toc438797173"/>
      <w:bookmarkStart w:id="9" w:name="_Toc391284735"/>
      <w:r>
        <w:rPr>
          <w:rFonts w:hint="eastAsia" w:ascii="宋体" w:hAnsi="宋体" w:eastAsia="宋体" w:cs="宋体"/>
          <w:b/>
          <w:kern w:val="0"/>
          <w:sz w:val="24"/>
          <w:szCs w:val="28"/>
          <w:highlight w:val="none"/>
        </w:rPr>
        <w:t>1.1 项目概况</w:t>
      </w:r>
      <w:bookmarkEnd w:id="7"/>
      <w:bookmarkEnd w:id="8"/>
      <w:bookmarkEnd w:id="9"/>
      <w:r>
        <w:rPr>
          <w:rFonts w:hint="eastAsia" w:ascii="宋体" w:hAnsi="宋体" w:eastAsia="宋体" w:cs="宋体"/>
          <w:b/>
          <w:kern w:val="0"/>
          <w:sz w:val="24"/>
          <w:szCs w:val="28"/>
          <w:highlight w:val="none"/>
        </w:rPr>
        <w:t xml:space="preserve"> </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本采购项目采购人：</w:t>
      </w:r>
      <w:r>
        <w:rPr>
          <w:rFonts w:hint="eastAsia" w:ascii="宋体" w:hAnsi="宋体" w:eastAsia="宋体" w:cs="宋体"/>
          <w:sz w:val="24"/>
          <w:szCs w:val="24"/>
          <w:highlight w:val="none"/>
        </w:rPr>
        <w:t>见</w:t>
      </w:r>
      <w:r>
        <w:rPr>
          <w:rFonts w:hint="eastAsia" w:ascii="宋体" w:hAnsi="宋体" w:eastAsia="宋体" w:cs="宋体"/>
          <w:kern w:val="0"/>
          <w:sz w:val="24"/>
          <w:szCs w:val="24"/>
          <w:highlight w:val="none"/>
        </w:rPr>
        <w:t>供应商</w:t>
      </w:r>
      <w:r>
        <w:rPr>
          <w:rFonts w:hint="eastAsia" w:ascii="宋体" w:hAnsi="宋体" w:eastAsia="宋体" w:cs="宋体"/>
          <w:sz w:val="24"/>
          <w:szCs w:val="24"/>
          <w:highlight w:val="none"/>
        </w:rPr>
        <w:t>须知前附表。</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本采购项目招标代理机构：</w:t>
      </w:r>
      <w:r>
        <w:rPr>
          <w:rFonts w:hint="eastAsia" w:ascii="宋体" w:hAnsi="宋体" w:eastAsia="宋体" w:cs="宋体"/>
          <w:sz w:val="24"/>
          <w:szCs w:val="24"/>
          <w:highlight w:val="none"/>
        </w:rPr>
        <w:t>见</w:t>
      </w:r>
      <w:r>
        <w:rPr>
          <w:rFonts w:hint="eastAsia" w:ascii="宋体" w:hAnsi="宋体" w:eastAsia="宋体" w:cs="宋体"/>
          <w:kern w:val="0"/>
          <w:sz w:val="24"/>
          <w:szCs w:val="24"/>
          <w:highlight w:val="none"/>
        </w:rPr>
        <w:t>供应商</w:t>
      </w:r>
      <w:r>
        <w:rPr>
          <w:rFonts w:hint="eastAsia" w:ascii="宋体" w:hAnsi="宋体" w:eastAsia="宋体" w:cs="宋体"/>
          <w:sz w:val="24"/>
          <w:szCs w:val="24"/>
          <w:highlight w:val="none"/>
        </w:rPr>
        <w:t>须知前附表</w:t>
      </w:r>
      <w:r>
        <w:rPr>
          <w:rFonts w:hint="eastAsia" w:ascii="宋体" w:hAnsi="宋体" w:eastAsia="宋体" w:cs="宋体"/>
          <w:kern w:val="0"/>
          <w:sz w:val="24"/>
          <w:szCs w:val="24"/>
          <w:highlight w:val="none"/>
        </w:rPr>
        <w:t>。</w:t>
      </w:r>
    </w:p>
    <w:p>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1.1.4 本采购项目名称</w:t>
      </w:r>
      <w:r>
        <w:rPr>
          <w:rFonts w:hint="eastAsia" w:ascii="宋体" w:hAnsi="宋体" w:eastAsia="宋体" w:cs="宋体"/>
          <w:sz w:val="24"/>
          <w:szCs w:val="24"/>
          <w:highlight w:val="none"/>
        </w:rPr>
        <w:t>：见</w:t>
      </w:r>
      <w:r>
        <w:rPr>
          <w:rFonts w:hint="eastAsia" w:ascii="宋体" w:hAnsi="宋体" w:eastAsia="宋体" w:cs="宋体"/>
          <w:kern w:val="0"/>
          <w:sz w:val="24"/>
          <w:szCs w:val="24"/>
          <w:highlight w:val="none"/>
        </w:rPr>
        <w:t>供应商</w:t>
      </w:r>
      <w:r>
        <w:rPr>
          <w:rFonts w:hint="eastAsia" w:ascii="宋体" w:hAnsi="宋体" w:eastAsia="宋体" w:cs="宋体"/>
          <w:sz w:val="24"/>
          <w:szCs w:val="24"/>
          <w:highlight w:val="none"/>
        </w:rPr>
        <w:t>须知前附表</w:t>
      </w:r>
      <w:r>
        <w:rPr>
          <w:rFonts w:hint="eastAsia" w:ascii="宋体" w:hAnsi="宋体" w:eastAsia="宋体" w:cs="宋体"/>
          <w:kern w:val="0"/>
          <w:sz w:val="24"/>
          <w:szCs w:val="24"/>
          <w:highlight w:val="none"/>
        </w:rPr>
        <w:t>。</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1.1.5 本采购项目地点：</w:t>
      </w:r>
      <w:r>
        <w:rPr>
          <w:rFonts w:hint="eastAsia" w:ascii="宋体" w:hAnsi="宋体" w:eastAsia="宋体" w:cs="宋体"/>
          <w:sz w:val="24"/>
          <w:szCs w:val="24"/>
          <w:highlight w:val="none"/>
        </w:rPr>
        <w:t>见</w:t>
      </w:r>
      <w:r>
        <w:rPr>
          <w:rFonts w:hint="eastAsia" w:ascii="宋体" w:hAnsi="宋体" w:eastAsia="宋体" w:cs="宋体"/>
          <w:kern w:val="0"/>
          <w:sz w:val="24"/>
          <w:szCs w:val="24"/>
          <w:highlight w:val="none"/>
        </w:rPr>
        <w:t>供应商</w:t>
      </w:r>
      <w:r>
        <w:rPr>
          <w:rFonts w:hint="eastAsia" w:ascii="宋体" w:hAnsi="宋体" w:eastAsia="宋体" w:cs="宋体"/>
          <w:sz w:val="24"/>
          <w:szCs w:val="24"/>
          <w:highlight w:val="none"/>
        </w:rPr>
        <w:t>须知前附表。</w:t>
      </w:r>
    </w:p>
    <w:p>
      <w:pPr>
        <w:spacing w:line="360" w:lineRule="auto"/>
        <w:rPr>
          <w:rFonts w:hint="eastAsia" w:ascii="宋体" w:hAnsi="宋体" w:eastAsia="宋体" w:cs="宋体"/>
          <w:b/>
          <w:kern w:val="0"/>
          <w:sz w:val="24"/>
          <w:szCs w:val="28"/>
          <w:highlight w:val="none"/>
        </w:rPr>
      </w:pPr>
      <w:bookmarkStart w:id="10" w:name="_Toc391284736"/>
      <w:bookmarkStart w:id="11" w:name="_Toc438797174"/>
      <w:bookmarkStart w:id="12" w:name="_Toc438797939"/>
      <w:r>
        <w:rPr>
          <w:rFonts w:hint="eastAsia" w:ascii="宋体" w:hAnsi="宋体" w:eastAsia="宋体" w:cs="宋体"/>
          <w:b/>
          <w:kern w:val="0"/>
          <w:sz w:val="24"/>
          <w:szCs w:val="28"/>
          <w:highlight w:val="none"/>
        </w:rPr>
        <w:t>1.2 资金来源和落实情况</w:t>
      </w:r>
      <w:bookmarkEnd w:id="10"/>
      <w:bookmarkEnd w:id="11"/>
      <w:bookmarkEnd w:id="12"/>
      <w:r>
        <w:rPr>
          <w:rFonts w:hint="eastAsia" w:ascii="宋体" w:hAnsi="宋体" w:eastAsia="宋体" w:cs="宋体"/>
          <w:b/>
          <w:kern w:val="0"/>
          <w:sz w:val="24"/>
          <w:szCs w:val="28"/>
          <w:highlight w:val="none"/>
        </w:rPr>
        <w:t xml:space="preserve"> </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本采购项目的资金来源：见供应商须知前附表。</w:t>
      </w:r>
    </w:p>
    <w:p>
      <w:pPr>
        <w:spacing w:line="360" w:lineRule="auto"/>
        <w:rPr>
          <w:rFonts w:hint="eastAsia" w:ascii="宋体" w:hAnsi="宋体" w:eastAsia="宋体" w:cs="宋体"/>
          <w:b/>
          <w:kern w:val="0"/>
          <w:sz w:val="24"/>
          <w:szCs w:val="28"/>
          <w:highlight w:val="none"/>
        </w:rPr>
      </w:pPr>
      <w:bookmarkStart w:id="13" w:name="_Toc391284737"/>
      <w:bookmarkStart w:id="14" w:name="_Toc438797940"/>
      <w:bookmarkStart w:id="15" w:name="_Toc438797175"/>
      <w:r>
        <w:rPr>
          <w:rFonts w:hint="eastAsia" w:ascii="宋体" w:hAnsi="宋体" w:eastAsia="宋体" w:cs="宋体"/>
          <w:b/>
          <w:kern w:val="0"/>
          <w:sz w:val="24"/>
          <w:szCs w:val="28"/>
          <w:highlight w:val="none"/>
        </w:rPr>
        <w:t>1.3 采购范围</w:t>
      </w:r>
      <w:bookmarkEnd w:id="13"/>
      <w:bookmarkEnd w:id="14"/>
      <w:bookmarkEnd w:id="15"/>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本次项目概况：见供应商须知前附表。</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本次项目工期：见供应商须知前附表。</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本次项目质保期：见供应商须知前附表。</w:t>
      </w:r>
    </w:p>
    <w:p>
      <w:pPr>
        <w:spacing w:line="360" w:lineRule="auto"/>
        <w:rPr>
          <w:rFonts w:hint="eastAsia" w:ascii="宋体" w:hAnsi="宋体" w:eastAsia="宋体" w:cs="宋体"/>
          <w:b/>
          <w:kern w:val="0"/>
          <w:sz w:val="24"/>
          <w:szCs w:val="28"/>
          <w:highlight w:val="none"/>
        </w:rPr>
      </w:pPr>
      <w:bookmarkStart w:id="16" w:name="_Toc438797941"/>
      <w:bookmarkStart w:id="17" w:name="_Toc438797176"/>
      <w:bookmarkStart w:id="18" w:name="_Toc391284738"/>
      <w:r>
        <w:rPr>
          <w:rFonts w:hint="eastAsia" w:ascii="宋体" w:hAnsi="宋体" w:eastAsia="宋体" w:cs="宋体"/>
          <w:b/>
          <w:kern w:val="0"/>
          <w:sz w:val="24"/>
          <w:szCs w:val="28"/>
          <w:highlight w:val="none"/>
        </w:rPr>
        <w:t>1.4 供应商资格要求</w:t>
      </w:r>
      <w:bookmarkEnd w:id="16"/>
      <w:bookmarkEnd w:id="17"/>
      <w:bookmarkEnd w:id="18"/>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供应商具备承担本采购项目承包的资质条件、能力和信誉。</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（1）资质条件：见供应商须知前附表；</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（2）业绩要求：见供应商须知前附表；</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（3）信誉要求：见供应商须知前附表；</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（4）其他要求：见供应商须知前附表；</w:t>
      </w:r>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本次采购不接受联合体竞标。</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供应商不得存在下列情形之一：</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（1）为采购人不具有独立法人资格的附属机构（单位）；</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（2）为本项目提供招标代理服务的；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（3）与本项目采购人或招标代理机构同为一个法定代表人的；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（4）与本项目的采购人或招标代理机构相互控股或参股的；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（5）与本项目的采购人或招标代理机构相互任职或工作的；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（6）被责令停业的；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（7）被暂停或取消竞标资格的；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（8）财产被接管或冻结的；</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（9）在最近三年内有骗取中标或严重违约或在履约过程中发生重大安全问题的。</w:t>
      </w:r>
    </w:p>
    <w:p>
      <w:pPr>
        <w:spacing w:line="360" w:lineRule="auto"/>
        <w:rPr>
          <w:rFonts w:hint="eastAsia" w:ascii="宋体" w:hAnsi="宋体" w:eastAsia="宋体" w:cs="宋体"/>
          <w:b/>
          <w:kern w:val="0"/>
          <w:sz w:val="24"/>
          <w:szCs w:val="28"/>
          <w:highlight w:val="none"/>
        </w:rPr>
      </w:pPr>
      <w:bookmarkStart w:id="19" w:name="_Toc438797177"/>
      <w:bookmarkStart w:id="20" w:name="_Toc438797942"/>
      <w:bookmarkStart w:id="21" w:name="_Toc391284739"/>
      <w:r>
        <w:rPr>
          <w:rFonts w:hint="eastAsia" w:ascii="宋体" w:hAnsi="宋体" w:eastAsia="宋体" w:cs="宋体"/>
          <w:b/>
          <w:kern w:val="0"/>
          <w:sz w:val="24"/>
          <w:szCs w:val="28"/>
          <w:highlight w:val="none"/>
        </w:rPr>
        <w:t>1.5 费用承担</w:t>
      </w:r>
      <w:bookmarkEnd w:id="19"/>
      <w:bookmarkEnd w:id="20"/>
      <w:bookmarkEnd w:id="21"/>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供应商准备和参加投（竞）标活动发生的费用自理，业主和招标代理公司在任何情况下均无义务和责任承担此费用。</w:t>
      </w:r>
    </w:p>
    <w:p>
      <w:pPr>
        <w:spacing w:line="360" w:lineRule="auto"/>
        <w:rPr>
          <w:rFonts w:hint="eastAsia" w:ascii="宋体" w:hAnsi="宋体" w:eastAsia="宋体" w:cs="宋体"/>
          <w:b/>
          <w:kern w:val="0"/>
          <w:sz w:val="24"/>
          <w:szCs w:val="28"/>
          <w:highlight w:val="none"/>
        </w:rPr>
      </w:pPr>
      <w:bookmarkStart w:id="22" w:name="_Toc391284740"/>
      <w:bookmarkStart w:id="23" w:name="_Toc438797178"/>
      <w:bookmarkStart w:id="24" w:name="_Toc438797943"/>
      <w:r>
        <w:rPr>
          <w:rFonts w:hint="eastAsia" w:ascii="宋体" w:hAnsi="宋体" w:eastAsia="宋体" w:cs="宋体"/>
          <w:b/>
          <w:kern w:val="0"/>
          <w:sz w:val="24"/>
          <w:szCs w:val="28"/>
          <w:highlight w:val="none"/>
        </w:rPr>
        <w:t>1.6 保密</w:t>
      </w:r>
      <w:bookmarkEnd w:id="22"/>
      <w:bookmarkEnd w:id="23"/>
      <w:bookmarkEnd w:id="24"/>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参与采购活动的各方应对竞争性磋商文件和响应文件中的商业和技术等秘密保密，违者应对由此造成的后果承担法律责任。</w:t>
      </w:r>
    </w:p>
    <w:p>
      <w:pPr>
        <w:spacing w:line="360" w:lineRule="auto"/>
        <w:rPr>
          <w:rFonts w:hint="eastAsia" w:ascii="宋体" w:hAnsi="宋体" w:eastAsia="宋体" w:cs="宋体"/>
          <w:b/>
          <w:kern w:val="0"/>
          <w:sz w:val="24"/>
          <w:szCs w:val="28"/>
          <w:highlight w:val="none"/>
        </w:rPr>
      </w:pPr>
      <w:bookmarkStart w:id="25" w:name="_Toc438797179"/>
      <w:bookmarkStart w:id="26" w:name="_Toc438797944"/>
      <w:bookmarkStart w:id="27" w:name="_Toc391284741"/>
      <w:r>
        <w:rPr>
          <w:rFonts w:hint="eastAsia" w:ascii="宋体" w:hAnsi="宋体" w:eastAsia="宋体" w:cs="宋体"/>
          <w:b/>
          <w:kern w:val="0"/>
          <w:sz w:val="24"/>
          <w:szCs w:val="28"/>
          <w:highlight w:val="none"/>
        </w:rPr>
        <w:t>1.7 语言文字</w:t>
      </w:r>
      <w:bookmarkEnd w:id="25"/>
      <w:bookmarkEnd w:id="26"/>
      <w:bookmarkEnd w:id="27"/>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除专用术语外，与采购有关的语言均使用中文。必要时专用术语应附有中文注释。</w:t>
      </w:r>
    </w:p>
    <w:p>
      <w:pPr>
        <w:spacing w:line="360" w:lineRule="auto"/>
        <w:rPr>
          <w:rFonts w:hint="eastAsia" w:ascii="宋体" w:hAnsi="宋体" w:eastAsia="宋体" w:cs="宋体"/>
          <w:b/>
          <w:kern w:val="0"/>
          <w:sz w:val="24"/>
          <w:szCs w:val="28"/>
          <w:highlight w:val="none"/>
        </w:rPr>
      </w:pPr>
      <w:bookmarkStart w:id="28" w:name="_Toc438797945"/>
      <w:bookmarkStart w:id="29" w:name="_Toc391284742"/>
      <w:bookmarkStart w:id="30" w:name="_Toc438797180"/>
      <w:r>
        <w:rPr>
          <w:rFonts w:hint="eastAsia" w:ascii="宋体" w:hAnsi="宋体" w:eastAsia="宋体" w:cs="宋体"/>
          <w:b/>
          <w:kern w:val="0"/>
          <w:sz w:val="24"/>
          <w:szCs w:val="28"/>
          <w:highlight w:val="none"/>
        </w:rPr>
        <w:t>1.8 计量单位</w:t>
      </w:r>
      <w:bookmarkEnd w:id="28"/>
      <w:bookmarkEnd w:id="29"/>
      <w:bookmarkEnd w:id="30"/>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所有计量均采用中华人民共和国法定计量单位。</w:t>
      </w:r>
    </w:p>
    <w:p>
      <w:pPr>
        <w:spacing w:line="360" w:lineRule="auto"/>
        <w:rPr>
          <w:rFonts w:hint="eastAsia" w:ascii="宋体" w:hAnsi="宋体" w:eastAsia="宋体" w:cs="宋体"/>
          <w:b/>
          <w:kern w:val="0"/>
          <w:sz w:val="24"/>
          <w:szCs w:val="28"/>
          <w:highlight w:val="none"/>
        </w:rPr>
      </w:pPr>
      <w:bookmarkStart w:id="31" w:name="_Toc438797946"/>
      <w:bookmarkStart w:id="32" w:name="_Toc391284743"/>
      <w:bookmarkStart w:id="33" w:name="_Toc438797181"/>
      <w:r>
        <w:rPr>
          <w:rFonts w:hint="eastAsia" w:ascii="宋体" w:hAnsi="宋体" w:eastAsia="宋体" w:cs="宋体"/>
          <w:b/>
          <w:kern w:val="0"/>
          <w:sz w:val="24"/>
          <w:szCs w:val="28"/>
          <w:highlight w:val="none"/>
        </w:rPr>
        <w:t>1.9 踏勘现场</w:t>
      </w:r>
      <w:bookmarkEnd w:id="31"/>
      <w:bookmarkEnd w:id="32"/>
      <w:bookmarkEnd w:id="33"/>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1.9.1 是否组织踏勘：不组织。</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1.9.2 供应商自行踏勘现场发生的费用自理。</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1.9.3 除采购人的原因外，响应人自行负责在踏勘现场中所发生的人员伤亡和财产损失。</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1.9.4 采购人在踏勘现场中介绍的项目场地和相关的周边环境情况，供应商在编制响应文件时参考，采购人不对响应人据此作出的判断和决策负责。</w:t>
      </w:r>
    </w:p>
    <w:p>
      <w:pPr>
        <w:spacing w:line="360" w:lineRule="auto"/>
        <w:rPr>
          <w:rFonts w:hint="eastAsia" w:ascii="宋体" w:hAnsi="宋体" w:eastAsia="宋体" w:cs="宋体"/>
          <w:b/>
          <w:kern w:val="0"/>
          <w:sz w:val="24"/>
          <w:szCs w:val="28"/>
          <w:highlight w:val="none"/>
        </w:rPr>
      </w:pPr>
      <w:bookmarkStart w:id="34" w:name="_Toc391284744"/>
      <w:bookmarkStart w:id="35" w:name="_Toc438797182"/>
      <w:bookmarkStart w:id="36" w:name="_Toc438797947"/>
      <w:r>
        <w:rPr>
          <w:rFonts w:hint="eastAsia" w:ascii="宋体" w:hAnsi="宋体" w:eastAsia="宋体" w:cs="宋体"/>
          <w:b/>
          <w:kern w:val="0"/>
          <w:sz w:val="24"/>
          <w:szCs w:val="28"/>
          <w:highlight w:val="none"/>
        </w:rPr>
        <w:t>1.10 竞标预备会</w:t>
      </w:r>
      <w:bookmarkEnd w:id="34"/>
      <w:bookmarkEnd w:id="35"/>
      <w:bookmarkEnd w:id="36"/>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1.10.1 采购人不召开竞标预备会，采购人按响应人须知前附表规定的时间以公告形式澄清响应人提出的问题。</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1.10.2</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供应商应在供应商须知前附表规定的时间前，将提出的问题送达采购人。</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1.10.3 采购人在供应商须知前附表规定的时间内，将对供应商所提问题的澄清，以公告方式通知所有</w:t>
      </w:r>
      <w:r>
        <w:rPr>
          <w:rFonts w:hint="eastAsia" w:ascii="宋体" w:hAnsi="宋体" w:eastAsia="宋体" w:cs="宋体"/>
          <w:kern w:val="0"/>
          <w:sz w:val="24"/>
          <w:szCs w:val="24"/>
          <w:highlight w:val="none"/>
          <w:lang w:val="en-US" w:eastAsia="zh-CN"/>
        </w:rPr>
        <w:t>下载</w:t>
      </w:r>
      <w:r>
        <w:rPr>
          <w:rFonts w:hint="eastAsia" w:ascii="宋体" w:hAnsi="宋体" w:eastAsia="宋体" w:cs="宋体"/>
          <w:kern w:val="0"/>
          <w:sz w:val="24"/>
          <w:szCs w:val="24"/>
          <w:highlight w:val="none"/>
        </w:rPr>
        <w:t>竞争性磋商文件的供应商。该澄清内容为竞争性磋商文件的组成部分。</w:t>
      </w:r>
    </w:p>
    <w:p>
      <w:pPr>
        <w:spacing w:line="360" w:lineRule="auto"/>
        <w:rPr>
          <w:rFonts w:hint="eastAsia" w:ascii="宋体" w:hAnsi="宋体" w:eastAsia="宋体" w:cs="宋体"/>
          <w:b/>
          <w:kern w:val="0"/>
          <w:sz w:val="24"/>
          <w:szCs w:val="28"/>
          <w:highlight w:val="none"/>
        </w:rPr>
      </w:pPr>
      <w:bookmarkStart w:id="37" w:name="_Toc391284745"/>
      <w:bookmarkStart w:id="38" w:name="_Toc438797948"/>
      <w:bookmarkStart w:id="39" w:name="_Toc438797183"/>
      <w:r>
        <w:rPr>
          <w:rFonts w:hint="eastAsia" w:ascii="宋体" w:hAnsi="宋体" w:eastAsia="宋体" w:cs="宋体"/>
          <w:b/>
          <w:kern w:val="0"/>
          <w:sz w:val="24"/>
          <w:szCs w:val="28"/>
          <w:highlight w:val="none"/>
        </w:rPr>
        <w:t>1.11分包</w:t>
      </w:r>
      <w:bookmarkEnd w:id="37"/>
      <w:bookmarkEnd w:id="38"/>
      <w:bookmarkEnd w:id="39"/>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不允许分包</w:t>
      </w:r>
      <w:r>
        <w:rPr>
          <w:rFonts w:hint="eastAsia" w:ascii="宋体" w:hAnsi="宋体" w:eastAsia="宋体" w:cs="宋体"/>
          <w:kern w:val="0"/>
          <w:sz w:val="24"/>
          <w:szCs w:val="24"/>
          <w:highlight w:val="none"/>
        </w:rPr>
        <w:t>。</w:t>
      </w:r>
      <w:bookmarkStart w:id="40" w:name="_Toc438797184"/>
      <w:bookmarkStart w:id="41" w:name="_Toc438797949"/>
      <w:bookmarkStart w:id="42" w:name="_Toc391284746"/>
    </w:p>
    <w:p>
      <w:pPr>
        <w:spacing w:line="360" w:lineRule="auto"/>
        <w:rPr>
          <w:rFonts w:hint="eastAsia" w:ascii="宋体" w:hAnsi="宋体" w:eastAsia="宋体" w:cs="宋体"/>
          <w:sz w:val="24"/>
          <w:szCs w:val="22"/>
          <w:highlight w:val="none"/>
        </w:rPr>
      </w:pPr>
      <w:r>
        <w:rPr>
          <w:rFonts w:hint="eastAsia" w:ascii="宋体" w:hAnsi="宋体" w:eastAsia="宋体" w:cs="宋体"/>
          <w:b/>
          <w:kern w:val="0"/>
          <w:sz w:val="24"/>
          <w:szCs w:val="28"/>
          <w:highlight w:val="none"/>
        </w:rPr>
        <w:t>1.12 偏离</w:t>
      </w:r>
      <w:bookmarkEnd w:id="40"/>
      <w:bookmarkEnd w:id="41"/>
      <w:bookmarkEnd w:id="42"/>
    </w:p>
    <w:p>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sz w:val="24"/>
          <w:highlight w:val="none"/>
        </w:rPr>
        <w:t>不允许偏离。</w:t>
      </w:r>
      <w:r>
        <w:rPr>
          <w:rFonts w:hint="eastAsia" w:ascii="宋体" w:hAnsi="宋体" w:eastAsia="宋体" w:cs="宋体"/>
          <w:kern w:val="0"/>
          <w:sz w:val="24"/>
          <w:szCs w:val="24"/>
          <w:highlight w:val="none"/>
        </w:rPr>
        <w:t>供应商须知前附表允许响应文件偏离竞争性磋商文件某些要求的，偏离应当符合竞争性磋商文件规定的偏离范围和幅度</w:t>
      </w:r>
      <w:r>
        <w:rPr>
          <w:rFonts w:hint="eastAsia" w:ascii="宋体" w:hAnsi="宋体" w:eastAsia="宋体" w:cs="宋体"/>
          <w:kern w:val="0"/>
          <w:sz w:val="24"/>
          <w:szCs w:val="24"/>
          <w:highlight w:val="none"/>
          <w:lang w:eastAsia="zh-CN"/>
        </w:rPr>
        <w:t>。</w:t>
      </w:r>
    </w:p>
    <w:p>
      <w:pPr>
        <w:pStyle w:val="3"/>
        <w:spacing w:line="360" w:lineRule="auto"/>
        <w:jc w:val="both"/>
        <w:rPr>
          <w:rFonts w:hint="eastAsia" w:ascii="宋体" w:hAnsi="宋体" w:eastAsia="宋体" w:cs="宋体"/>
          <w:color w:val="auto"/>
          <w:kern w:val="0"/>
          <w:sz w:val="21"/>
          <w:szCs w:val="24"/>
          <w:highlight w:val="none"/>
        </w:rPr>
      </w:pPr>
      <w:bookmarkStart w:id="43" w:name="_Toc391284747"/>
      <w:bookmarkStart w:id="44" w:name="_Toc16608"/>
      <w:bookmarkStart w:id="45" w:name="_Toc438797950"/>
      <w:bookmarkStart w:id="46" w:name="_Toc438797185"/>
      <w:r>
        <w:rPr>
          <w:rFonts w:hint="eastAsia" w:ascii="宋体" w:hAnsi="宋体" w:eastAsia="宋体" w:cs="宋体"/>
          <w:color w:val="auto"/>
          <w:kern w:val="0"/>
          <w:sz w:val="28"/>
          <w:szCs w:val="36"/>
          <w:highlight w:val="none"/>
        </w:rPr>
        <w:t>2.竞争性磋商文件</w:t>
      </w:r>
      <w:bookmarkEnd w:id="43"/>
      <w:bookmarkEnd w:id="44"/>
      <w:bookmarkEnd w:id="45"/>
      <w:bookmarkEnd w:id="46"/>
    </w:p>
    <w:p>
      <w:pPr>
        <w:spacing w:line="360" w:lineRule="auto"/>
        <w:rPr>
          <w:rFonts w:hint="eastAsia" w:ascii="宋体" w:hAnsi="宋体" w:eastAsia="宋体" w:cs="宋体"/>
          <w:b/>
          <w:kern w:val="0"/>
          <w:sz w:val="24"/>
          <w:szCs w:val="28"/>
          <w:highlight w:val="none"/>
        </w:rPr>
      </w:pPr>
      <w:bookmarkStart w:id="47" w:name="_Toc438797186"/>
      <w:bookmarkStart w:id="48" w:name="_Toc438797951"/>
      <w:bookmarkStart w:id="49" w:name="_Toc391284748"/>
      <w:r>
        <w:rPr>
          <w:rFonts w:hint="eastAsia" w:ascii="宋体" w:hAnsi="宋体" w:eastAsia="宋体" w:cs="宋体"/>
          <w:b/>
          <w:kern w:val="0"/>
          <w:sz w:val="24"/>
          <w:szCs w:val="28"/>
          <w:highlight w:val="none"/>
        </w:rPr>
        <w:t>2.1 竞争性磋商文件的组成</w:t>
      </w:r>
      <w:bookmarkEnd w:id="47"/>
      <w:bookmarkEnd w:id="48"/>
      <w:bookmarkEnd w:id="49"/>
      <w:r>
        <w:rPr>
          <w:rFonts w:hint="eastAsia" w:ascii="宋体" w:hAnsi="宋体" w:eastAsia="宋体" w:cs="宋体"/>
          <w:b/>
          <w:kern w:val="0"/>
          <w:sz w:val="24"/>
          <w:szCs w:val="28"/>
          <w:highlight w:val="none"/>
        </w:rPr>
        <w:t xml:space="preserve"> </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本竞争性磋商文件包括：</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（1）竞争性磋商公告</w:t>
      </w:r>
      <w:r>
        <w:rPr>
          <w:rFonts w:hint="eastAsia" w:ascii="宋体" w:hAnsi="宋体" w:eastAsia="宋体" w:cs="宋体"/>
          <w:bCs/>
          <w:sz w:val="24"/>
          <w:szCs w:val="24"/>
          <w:highlight w:val="none"/>
        </w:rPr>
        <w:t>；</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（2）供应商须知；</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（3）技术标准和要求；</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（4）工程量清单；</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（5）合同条款及格式；</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（6）评标标准和方法；</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（7）响应文件格式；</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根据本章第1.10 款、第2.2 款和第2.3 款对竞争性磋商文件所作的澄清、修改，构成竞争性磋商文件的组成部分。</w:t>
      </w:r>
    </w:p>
    <w:p>
      <w:pPr>
        <w:spacing w:line="360" w:lineRule="auto"/>
        <w:rPr>
          <w:rFonts w:hint="eastAsia" w:ascii="宋体" w:hAnsi="宋体" w:eastAsia="宋体" w:cs="宋体"/>
          <w:b/>
          <w:kern w:val="0"/>
          <w:sz w:val="24"/>
          <w:szCs w:val="28"/>
          <w:highlight w:val="none"/>
        </w:rPr>
      </w:pPr>
      <w:bookmarkStart w:id="50" w:name="_Toc438797952"/>
      <w:bookmarkStart w:id="51" w:name="_Toc391284749"/>
      <w:bookmarkStart w:id="52" w:name="_Toc438797187"/>
      <w:r>
        <w:rPr>
          <w:rFonts w:hint="eastAsia" w:ascii="宋体" w:hAnsi="宋体" w:eastAsia="宋体" w:cs="宋体"/>
          <w:b/>
          <w:kern w:val="0"/>
          <w:sz w:val="24"/>
          <w:szCs w:val="28"/>
          <w:highlight w:val="none"/>
        </w:rPr>
        <w:t>2.2 竞争性磋商文件的澄清</w:t>
      </w:r>
      <w:bookmarkEnd w:id="50"/>
      <w:bookmarkEnd w:id="51"/>
      <w:bookmarkEnd w:id="52"/>
      <w:r>
        <w:rPr>
          <w:rFonts w:hint="eastAsia" w:ascii="宋体" w:hAnsi="宋体" w:eastAsia="宋体" w:cs="宋体"/>
          <w:b/>
          <w:kern w:val="0"/>
          <w:sz w:val="24"/>
          <w:szCs w:val="28"/>
          <w:highlight w:val="none"/>
        </w:rPr>
        <w:t xml:space="preserve"> </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2.2.1 供应商应仔细阅读和检查竞争性磋商文件的全部内容。如发现缺页或附件不全，应及时向采购人提出，以便补齐。如有疑问，应在提交磋商响应文件截止时间5日前在电子交易系统中提出，要求采购人对竞争性磋商文件予以澄清，否则，将视为对本竞争性磋商文件要求无任何异议。</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2.2.2 竞争性磋商文件的澄清将在供应商须知前附表规定的时间在电子交易系统中以澄清形式公示给所有</w:t>
      </w:r>
      <w:r>
        <w:rPr>
          <w:rFonts w:hint="eastAsia" w:ascii="宋体" w:hAnsi="宋体" w:eastAsia="宋体" w:cs="宋体"/>
          <w:kern w:val="0"/>
          <w:sz w:val="24"/>
          <w:szCs w:val="24"/>
          <w:highlight w:val="none"/>
          <w:lang w:val="en-US" w:eastAsia="zh-CN"/>
        </w:rPr>
        <w:t>下载</w:t>
      </w:r>
      <w:r>
        <w:rPr>
          <w:rFonts w:hint="eastAsia" w:ascii="宋体" w:hAnsi="宋体" w:eastAsia="宋体" w:cs="宋体"/>
          <w:kern w:val="0"/>
          <w:sz w:val="24"/>
          <w:szCs w:val="24"/>
          <w:highlight w:val="none"/>
        </w:rPr>
        <w:t>竞争性磋商文件的供应商，但不指明澄清问题的来源。</w:t>
      </w:r>
    </w:p>
    <w:p>
      <w:pPr>
        <w:spacing w:line="360" w:lineRule="auto"/>
        <w:rPr>
          <w:rFonts w:hint="eastAsia" w:ascii="宋体" w:hAnsi="宋体" w:eastAsia="宋体" w:cs="宋体"/>
          <w:b/>
          <w:kern w:val="0"/>
          <w:sz w:val="24"/>
          <w:szCs w:val="28"/>
          <w:highlight w:val="none"/>
        </w:rPr>
      </w:pPr>
      <w:bookmarkStart w:id="53" w:name="_Toc438797953"/>
      <w:bookmarkStart w:id="54" w:name="_Toc438797188"/>
      <w:bookmarkStart w:id="55" w:name="_Toc391284750"/>
      <w:r>
        <w:rPr>
          <w:rFonts w:hint="eastAsia" w:ascii="宋体" w:hAnsi="宋体" w:eastAsia="宋体" w:cs="宋体"/>
          <w:b/>
          <w:kern w:val="0"/>
          <w:sz w:val="24"/>
          <w:szCs w:val="28"/>
          <w:highlight w:val="none"/>
        </w:rPr>
        <w:t>2.3 竞争性磋商文件的修改</w:t>
      </w:r>
      <w:bookmarkEnd w:id="53"/>
      <w:bookmarkEnd w:id="54"/>
      <w:bookmarkEnd w:id="55"/>
      <w:r>
        <w:rPr>
          <w:rFonts w:hint="eastAsia" w:ascii="宋体" w:hAnsi="宋体" w:eastAsia="宋体" w:cs="宋体"/>
          <w:b/>
          <w:kern w:val="0"/>
          <w:sz w:val="24"/>
          <w:szCs w:val="28"/>
          <w:highlight w:val="none"/>
        </w:rPr>
        <w:t xml:space="preserve"> </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2.3.1 在竞标截止时间</w:t>
      </w:r>
      <w:r>
        <w:rPr>
          <w:rFonts w:hint="eastAsia" w:ascii="宋体" w:hAnsi="宋体" w:eastAsia="宋体" w:cs="宋体"/>
          <w:sz w:val="24"/>
          <w:szCs w:val="24"/>
          <w:highlight w:val="none"/>
        </w:rPr>
        <w:t>至少5日前</w:t>
      </w:r>
      <w:r>
        <w:rPr>
          <w:rFonts w:hint="eastAsia" w:ascii="宋体" w:hAnsi="宋体" w:eastAsia="宋体" w:cs="宋体"/>
          <w:kern w:val="0"/>
          <w:sz w:val="24"/>
          <w:szCs w:val="24"/>
          <w:highlight w:val="none"/>
        </w:rPr>
        <w:t>，采购人可以在电子交易系统中修改竞争性磋商文件，并公告给所有磋商供应商。如果修改竞争性磋商文件的时间距竞标截止时间不足5天，相应延长竞标截止时间。</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 采购人一旦对竞争性磋商文件作出了澄清、修改，即刻发生效力，采购人有关的补充文件，将作为竞争性磋商文件的组成部分，对所有现实的或潜在的竞（投）标人均具有约束力，而无论是否已经实际收到该澄清和修改文件。同时，采购人和供应商的权利及义务将受到新的截止期的约束。</w:t>
      </w:r>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2.3.4 修改（更正）或补充文件将作为竞争性磋商文件的组成部分，对所有供应商具有约束力。当竞争性磋商文件与修改（更正）或补充文件相矛盾时，以最后发出的修改（更正）或补充文件为准。</w:t>
      </w:r>
    </w:p>
    <w:p>
      <w:pPr>
        <w:pStyle w:val="3"/>
        <w:spacing w:line="360" w:lineRule="auto"/>
        <w:jc w:val="both"/>
        <w:rPr>
          <w:rFonts w:hint="eastAsia" w:ascii="宋体" w:hAnsi="宋体" w:eastAsia="宋体" w:cs="宋体"/>
          <w:color w:val="auto"/>
          <w:kern w:val="0"/>
          <w:sz w:val="28"/>
          <w:szCs w:val="36"/>
          <w:highlight w:val="none"/>
        </w:rPr>
      </w:pPr>
      <w:bookmarkStart w:id="56" w:name="_Toc438797954"/>
      <w:bookmarkStart w:id="57" w:name="_Toc438797189"/>
      <w:bookmarkStart w:id="58" w:name="_Toc20540"/>
      <w:bookmarkStart w:id="59" w:name="_Toc391284751"/>
      <w:r>
        <w:rPr>
          <w:rFonts w:hint="eastAsia" w:ascii="宋体" w:hAnsi="宋体" w:eastAsia="宋体" w:cs="宋体"/>
          <w:color w:val="auto"/>
          <w:kern w:val="0"/>
          <w:sz w:val="28"/>
          <w:szCs w:val="36"/>
          <w:highlight w:val="none"/>
        </w:rPr>
        <w:t>3.响应文件</w:t>
      </w:r>
      <w:bookmarkEnd w:id="56"/>
      <w:bookmarkEnd w:id="57"/>
      <w:bookmarkEnd w:id="58"/>
      <w:bookmarkEnd w:id="59"/>
    </w:p>
    <w:p>
      <w:pPr>
        <w:spacing w:line="360" w:lineRule="auto"/>
        <w:rPr>
          <w:rFonts w:hint="eastAsia" w:ascii="宋体" w:hAnsi="宋体" w:eastAsia="宋体" w:cs="宋体"/>
          <w:b/>
          <w:kern w:val="0"/>
          <w:sz w:val="24"/>
          <w:szCs w:val="28"/>
          <w:highlight w:val="none"/>
        </w:rPr>
      </w:pPr>
      <w:bookmarkStart w:id="60" w:name="_Toc438797955"/>
      <w:bookmarkStart w:id="61" w:name="_Toc438797190"/>
      <w:bookmarkStart w:id="62" w:name="_Toc391284752"/>
      <w:r>
        <w:rPr>
          <w:rFonts w:hint="eastAsia" w:ascii="宋体" w:hAnsi="宋体" w:eastAsia="宋体" w:cs="宋体"/>
          <w:b/>
          <w:kern w:val="0"/>
          <w:sz w:val="24"/>
          <w:szCs w:val="28"/>
          <w:highlight w:val="none"/>
        </w:rPr>
        <w:t>3.1 响应文件的组成</w:t>
      </w:r>
      <w:bookmarkEnd w:id="60"/>
      <w:bookmarkEnd w:id="61"/>
      <w:bookmarkEnd w:id="62"/>
    </w:p>
    <w:p>
      <w:pPr>
        <w:autoSpaceDE w:val="0"/>
        <w:autoSpaceDN w:val="0"/>
        <w:adjustRightInd w:val="0"/>
        <w:spacing w:line="360" w:lineRule="auto"/>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3.1.1 响应文件应包括下列内容：</w:t>
      </w:r>
    </w:p>
    <w:p>
      <w:pPr>
        <w:spacing w:line="360" w:lineRule="auto"/>
        <w:ind w:firstLine="480" w:firstLineChars="200"/>
        <w:rPr>
          <w:rFonts w:hint="eastAsia" w:ascii="宋体" w:hAnsi="宋体" w:eastAsia="宋体" w:cs="宋体"/>
          <w:kern w:val="0"/>
          <w:sz w:val="24"/>
          <w:szCs w:val="24"/>
          <w:highlight w:val="none"/>
        </w:rPr>
      </w:pPr>
      <w:bookmarkStart w:id="63" w:name="_Toc438797191"/>
      <w:bookmarkStart w:id="64" w:name="_Toc438797956"/>
      <w:bookmarkStart w:id="65" w:name="_Toc391284753"/>
      <w:bookmarkStart w:id="66" w:name="_Toc211766578"/>
      <w:r>
        <w:rPr>
          <w:rFonts w:hint="eastAsia" w:ascii="宋体" w:hAnsi="宋体" w:eastAsia="宋体" w:cs="宋体"/>
          <w:kern w:val="0"/>
          <w:sz w:val="24"/>
          <w:szCs w:val="24"/>
          <w:highlight w:val="none"/>
        </w:rPr>
        <w:t>（1）磋商函及磋商函附录；</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（2）法定代表人身份证明；</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（3）授权委托书；</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sz w:val="24"/>
          <w:szCs w:val="24"/>
          <w:highlight w:val="none"/>
        </w:rPr>
        <w:t>磋商承诺书</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（5）已标价工程量清单；</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（6）施工组织设计；</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（7）项目管理机构；</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（8）供应商基本情况表；</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（9）供应商认为需要提供的其他材料</w:t>
      </w:r>
    </w:p>
    <w:p>
      <w:pPr>
        <w:spacing w:line="360" w:lineRule="auto"/>
        <w:rPr>
          <w:rFonts w:hint="eastAsia" w:ascii="宋体" w:hAnsi="宋体" w:eastAsia="宋体" w:cs="宋体"/>
          <w:b/>
          <w:kern w:val="0"/>
          <w:sz w:val="24"/>
          <w:szCs w:val="28"/>
          <w:highlight w:val="none"/>
        </w:rPr>
      </w:pPr>
      <w:r>
        <w:rPr>
          <w:rFonts w:hint="eastAsia" w:ascii="宋体" w:hAnsi="宋体" w:eastAsia="宋体" w:cs="宋体"/>
          <w:b/>
          <w:kern w:val="0"/>
          <w:sz w:val="24"/>
          <w:szCs w:val="28"/>
          <w:highlight w:val="none"/>
        </w:rPr>
        <w:t>3.2磋商报价</w:t>
      </w:r>
      <w:bookmarkEnd w:id="63"/>
      <w:bookmarkEnd w:id="64"/>
      <w:bookmarkEnd w:id="65"/>
      <w:bookmarkEnd w:id="66"/>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 根据竞争性磋商文件规定的采购内容，供应商应对本次磋商的全部工作内容进行磋商报价。磋商报价应是竞争性磋商文件所确定的磋商范围内的全部工作内容的价格体现。</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 采购人设有最高限价的，供应商的投标报价不得超过最高限价，最高限价或其计算方法在供应商须知前附表中载明</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3.2.2磋商报价要求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（1）各</w:t>
      </w:r>
      <w:r>
        <w:rPr>
          <w:rFonts w:hint="eastAsia" w:ascii="宋体" w:hAnsi="宋体" w:eastAsia="宋体" w:cs="宋体"/>
          <w:sz w:val="24"/>
          <w:highlight w:val="none"/>
        </w:rPr>
        <w:t>供应商</w:t>
      </w:r>
      <w:r>
        <w:rPr>
          <w:rFonts w:hint="eastAsia" w:ascii="宋体" w:hAnsi="宋体" w:eastAsia="宋体" w:cs="宋体"/>
          <w:sz w:val="24"/>
          <w:szCs w:val="24"/>
          <w:highlight w:val="none"/>
        </w:rPr>
        <w:t>在投标时必须在响应文件中提供一份完整的报价清单。</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highlight w:val="none"/>
        </w:rPr>
        <w:t>供应商</w:t>
      </w:r>
      <w:r>
        <w:rPr>
          <w:rFonts w:hint="eastAsia" w:ascii="宋体" w:hAnsi="宋体" w:eastAsia="宋体" w:cs="宋体"/>
          <w:sz w:val="24"/>
          <w:szCs w:val="24"/>
          <w:highlight w:val="none"/>
        </w:rPr>
        <w:t>的投标总价必须与其他投标报价表中的数据合计相吻合；</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（3）本次磋商的最终投标总报价不得高于招标控制价，高于控制价的报价将不再评审；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（4）响应文件报价中的单价和总价全部采用人民币表示。</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67" w:name="_Toc391284754"/>
      <w:bookmarkStart w:id="68" w:name="_Toc438797957"/>
      <w:bookmarkStart w:id="69" w:name="_Toc438797192"/>
      <w:r>
        <w:rPr>
          <w:rFonts w:hint="eastAsia" w:ascii="宋体" w:hAnsi="宋体" w:eastAsia="宋体" w:cs="宋体"/>
          <w:b/>
          <w:kern w:val="0"/>
          <w:sz w:val="24"/>
          <w:szCs w:val="28"/>
          <w:highlight w:val="none"/>
        </w:rPr>
        <w:t>3.3 磋商有效期</w:t>
      </w:r>
      <w:bookmarkEnd w:id="67"/>
      <w:bookmarkEnd w:id="68"/>
      <w:bookmarkEnd w:id="69"/>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在供应商须知前附表规定的投标有效期内，供应商不得主动要求撤销或修改其响应文件。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出现特殊情况需要延长投标有效期的，采购人以公告形式通知所有供应商延长投标有效期。供应商拒绝延长的，其竞标失效。</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70" w:name="_Toc391284755"/>
      <w:bookmarkStart w:id="71" w:name="_Toc438797958"/>
      <w:bookmarkStart w:id="72" w:name="_Toc438797193"/>
      <w:r>
        <w:rPr>
          <w:rFonts w:hint="eastAsia" w:ascii="宋体" w:hAnsi="宋体" w:eastAsia="宋体" w:cs="宋体"/>
          <w:b/>
          <w:kern w:val="0"/>
          <w:sz w:val="24"/>
          <w:szCs w:val="28"/>
          <w:highlight w:val="none"/>
        </w:rPr>
        <w:t>3.4 磋商</w:t>
      </w:r>
      <w:bookmarkEnd w:id="70"/>
      <w:bookmarkEnd w:id="71"/>
      <w:bookmarkEnd w:id="72"/>
      <w:r>
        <w:rPr>
          <w:rFonts w:hint="eastAsia" w:ascii="宋体" w:hAnsi="宋体" w:eastAsia="宋体" w:cs="宋体"/>
          <w:b/>
          <w:kern w:val="0"/>
          <w:sz w:val="24"/>
          <w:szCs w:val="28"/>
          <w:highlight w:val="none"/>
        </w:rPr>
        <w:t>承诺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供应商对参加本次投标活动内容自行作出承诺，自觉履行磋商文件中职责。</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73" w:name="_Toc438797960"/>
      <w:bookmarkStart w:id="74" w:name="_Toc391284757"/>
      <w:bookmarkStart w:id="75" w:name="_Toc438797195"/>
      <w:r>
        <w:rPr>
          <w:rFonts w:hint="eastAsia" w:ascii="宋体" w:hAnsi="宋体" w:eastAsia="宋体" w:cs="宋体"/>
          <w:b/>
          <w:kern w:val="0"/>
          <w:sz w:val="24"/>
          <w:szCs w:val="28"/>
          <w:highlight w:val="none"/>
        </w:rPr>
        <w:t>3.5 备选竞标方案</w:t>
      </w:r>
      <w:bookmarkEnd w:id="73"/>
      <w:bookmarkEnd w:id="74"/>
      <w:bookmarkEnd w:id="75"/>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除供应商须知前附表另有规定外，供应商不得递交备选竞标方案。允许供应商递交备选竞标方案的，只有中标人所递交的备选竞标方案方可予以考虑。</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76" w:name="_Toc438797196"/>
      <w:bookmarkStart w:id="77" w:name="_Toc438797961"/>
      <w:bookmarkStart w:id="78" w:name="_Toc391284758"/>
      <w:r>
        <w:rPr>
          <w:rFonts w:hint="eastAsia" w:ascii="宋体" w:hAnsi="宋体" w:eastAsia="宋体" w:cs="宋体"/>
          <w:b/>
          <w:kern w:val="0"/>
          <w:sz w:val="24"/>
          <w:szCs w:val="28"/>
          <w:highlight w:val="none"/>
        </w:rPr>
        <w:t>3.6响应文件的编制</w:t>
      </w:r>
      <w:bookmarkEnd w:id="76"/>
      <w:bookmarkEnd w:id="77"/>
      <w:bookmarkEnd w:id="78"/>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响应文件应按第七章“响应文件格式”进行编写，如有必要，可以增加附页，作为响应文件的组成部分。其中，磋商函附录在满足竞争性磋商文件实质性要求的基础上，可以提出比竞争性磋商文件要求更有利于采购人的承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响应文件应当对竞争性磋商文件有关工期、质保期、竞标有效期、等实质性内容作出响应。</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响应文件并由供应商的法定代表人或其委托代理人签字和电子签章。委托代理人签字的，响应文件应附法定代表人签署的授权委托书。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电子化交易项目竞争性磋商响应文件（以下简称“响应文件”）是投标人、供应商（以下简称“</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”）通过中心</w:t>
      </w:r>
      <w:r>
        <w:rPr>
          <w:rFonts w:hint="eastAsia" w:ascii="宋体" w:hAnsi="宋体" w:eastAsia="宋体" w:cs="宋体"/>
          <w:bCs/>
          <w:kern w:val="0"/>
          <w:sz w:val="24"/>
          <w:szCs w:val="24"/>
          <w:highlight w:val="none"/>
        </w:rPr>
        <w:t>响应</w:t>
      </w:r>
      <w:r>
        <w:rPr>
          <w:rFonts w:hint="eastAsia" w:ascii="宋体" w:hAnsi="宋体" w:eastAsia="宋体" w:cs="宋体"/>
          <w:kern w:val="0"/>
          <w:sz w:val="24"/>
          <w:szCs w:val="24"/>
          <w:highlight w:val="none"/>
        </w:rPr>
        <w:t>文件制作系统制作，并经过签章和加密后生成的电子版响应文件。</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投标时，将不再接受任何纸质文件资料。（详细内容查看前附表中“</w:t>
      </w:r>
      <w:r>
        <w:rPr>
          <w:rFonts w:hint="eastAsia" w:ascii="宋体" w:hAnsi="宋体" w:eastAsia="宋体" w:cs="宋体"/>
          <w:b/>
          <w:bCs/>
          <w:sz w:val="24"/>
          <w:szCs w:val="24"/>
          <w:highlight w:val="none"/>
        </w:rPr>
        <w:t>电子化交易注意事项</w:t>
      </w:r>
      <w:r>
        <w:rPr>
          <w:rFonts w:hint="eastAsia" w:ascii="宋体" w:hAnsi="宋体" w:eastAsia="宋体" w:cs="宋体"/>
          <w:kern w:val="0"/>
          <w:sz w:val="24"/>
          <w:szCs w:val="24"/>
          <w:highlight w:val="none"/>
        </w:rPr>
        <w:t>”）</w:t>
      </w:r>
    </w:p>
    <w:p>
      <w:pPr>
        <w:pStyle w:val="3"/>
        <w:spacing w:line="360" w:lineRule="auto"/>
        <w:jc w:val="both"/>
        <w:rPr>
          <w:rFonts w:hint="eastAsia" w:ascii="宋体" w:hAnsi="宋体" w:eastAsia="宋体" w:cs="宋体"/>
          <w:color w:val="auto"/>
          <w:kern w:val="0"/>
          <w:sz w:val="28"/>
          <w:szCs w:val="36"/>
          <w:highlight w:val="none"/>
          <w:lang w:eastAsia="zh-CN"/>
        </w:rPr>
      </w:pPr>
      <w:bookmarkStart w:id="79" w:name="_Toc438797962"/>
      <w:bookmarkStart w:id="80" w:name="_Toc391284759"/>
      <w:bookmarkStart w:id="81" w:name="_Toc7901"/>
      <w:bookmarkStart w:id="82" w:name="_Toc438797197"/>
      <w:r>
        <w:rPr>
          <w:rFonts w:hint="eastAsia" w:ascii="宋体" w:hAnsi="宋体" w:eastAsia="宋体" w:cs="宋体"/>
          <w:color w:val="auto"/>
          <w:kern w:val="0"/>
          <w:sz w:val="28"/>
          <w:szCs w:val="36"/>
          <w:highlight w:val="none"/>
        </w:rPr>
        <w:t>4.</w:t>
      </w:r>
      <w:bookmarkEnd w:id="79"/>
      <w:bookmarkEnd w:id="80"/>
      <w:bookmarkEnd w:id="81"/>
      <w:bookmarkEnd w:id="82"/>
      <w:r>
        <w:rPr>
          <w:rFonts w:hint="eastAsia" w:ascii="宋体" w:hAnsi="宋体" w:eastAsia="宋体" w:cs="宋体"/>
          <w:color w:val="auto"/>
          <w:kern w:val="0"/>
          <w:sz w:val="28"/>
          <w:szCs w:val="36"/>
          <w:highlight w:val="none"/>
          <w:lang w:eastAsia="zh-CN"/>
        </w:rPr>
        <w:t>响应文件的递交</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83" w:name="_Toc391284760"/>
      <w:bookmarkStart w:id="84" w:name="_Toc438797198"/>
      <w:bookmarkStart w:id="85" w:name="_Toc438797963"/>
      <w:r>
        <w:rPr>
          <w:rFonts w:hint="eastAsia" w:ascii="宋体" w:hAnsi="宋体" w:eastAsia="宋体" w:cs="宋体"/>
          <w:b/>
          <w:kern w:val="0"/>
          <w:sz w:val="24"/>
          <w:szCs w:val="28"/>
          <w:highlight w:val="none"/>
        </w:rPr>
        <w:t>4.1 响应文件</w:t>
      </w:r>
      <w:bookmarkEnd w:id="83"/>
      <w:bookmarkEnd w:id="84"/>
      <w:bookmarkEnd w:id="85"/>
      <w:r>
        <w:rPr>
          <w:rFonts w:hint="eastAsia" w:ascii="宋体" w:hAnsi="宋体" w:eastAsia="宋体" w:cs="宋体"/>
          <w:b/>
          <w:kern w:val="0"/>
          <w:sz w:val="24"/>
          <w:szCs w:val="28"/>
          <w:highlight w:val="none"/>
        </w:rPr>
        <w:t>上传</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供应商所上传的电子化响应文件，应是通过三门峡市公共资源电子化交易系统磋商响应文件制作系统制作的，经过签章和加密后生成的电子版磋商响应文件。其中包含用于磋响应文件上传的主文件（</w:t>
      </w:r>
      <w:r>
        <w:rPr>
          <w:rFonts w:hint="eastAsia" w:ascii="宋体" w:hAnsi="宋体" w:eastAsia="宋体" w:cs="宋体"/>
          <w:sz w:val="24"/>
          <w:highlight w:val="none"/>
          <w:lang w:val="en-US" w:eastAsia="zh-CN"/>
        </w:rPr>
        <w:t>后缀</w:t>
      </w:r>
      <w:r>
        <w:rPr>
          <w:rFonts w:hint="eastAsia" w:ascii="宋体" w:hAnsi="宋体" w:eastAsia="宋体" w:cs="宋体"/>
          <w:sz w:val="24"/>
          <w:highlight w:val="none"/>
        </w:rPr>
        <w:t>格式为：.</w:t>
      </w:r>
      <w:r>
        <w:rPr>
          <w:rFonts w:hint="eastAsia" w:ascii="宋体" w:hAnsi="宋体" w:eastAsia="宋体" w:cs="宋体"/>
          <w:bCs/>
          <w:sz w:val="24"/>
          <w:highlight w:val="none"/>
        </w:rPr>
        <w:t>smxtf</w:t>
      </w:r>
      <w:r>
        <w:rPr>
          <w:rFonts w:hint="eastAsia" w:ascii="宋体" w:hAnsi="宋体" w:eastAsia="宋体" w:cs="宋体"/>
          <w:sz w:val="24"/>
          <w:highlight w:val="none"/>
        </w:rPr>
        <w:t>）和用于应急补救的响应文件备份文件（</w:t>
      </w:r>
      <w:r>
        <w:rPr>
          <w:rFonts w:hint="eastAsia" w:ascii="宋体" w:hAnsi="宋体" w:eastAsia="宋体" w:cs="宋体"/>
          <w:sz w:val="24"/>
          <w:highlight w:val="none"/>
          <w:lang w:val="en-US" w:eastAsia="zh-CN"/>
        </w:rPr>
        <w:t>后缀</w:t>
      </w:r>
      <w:r>
        <w:rPr>
          <w:rFonts w:hint="eastAsia" w:ascii="宋体" w:hAnsi="宋体" w:eastAsia="宋体" w:cs="宋体"/>
          <w:sz w:val="24"/>
          <w:highlight w:val="none"/>
        </w:rPr>
        <w:t>格式为：.n</w:t>
      </w:r>
      <w:r>
        <w:rPr>
          <w:rFonts w:hint="eastAsia" w:ascii="宋体" w:hAnsi="宋体" w:eastAsia="宋体" w:cs="宋体"/>
          <w:bCs/>
          <w:sz w:val="24"/>
          <w:highlight w:val="none"/>
        </w:rPr>
        <w:t>smxtf</w:t>
      </w:r>
      <w:r>
        <w:rPr>
          <w:rFonts w:hint="eastAsia" w:ascii="宋体" w:hAnsi="宋体" w:eastAsia="宋体" w:cs="宋体"/>
          <w:sz w:val="24"/>
          <w:highlight w:val="none"/>
        </w:rPr>
        <w:t>）</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86" w:name="_Toc438797964"/>
      <w:bookmarkStart w:id="87" w:name="_Toc438797199"/>
      <w:bookmarkStart w:id="88" w:name="_Toc391284761"/>
      <w:r>
        <w:rPr>
          <w:rFonts w:hint="eastAsia" w:ascii="宋体" w:hAnsi="宋体" w:eastAsia="宋体" w:cs="宋体"/>
          <w:b/>
          <w:kern w:val="0"/>
          <w:sz w:val="24"/>
          <w:szCs w:val="28"/>
          <w:highlight w:val="none"/>
        </w:rPr>
        <w:t>4.2 响应文件的递交</w:t>
      </w:r>
      <w:bookmarkEnd w:id="86"/>
      <w:bookmarkEnd w:id="87"/>
      <w:bookmarkEnd w:id="88"/>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4.2.1 供应商应在本章第2.2.2项规定的竞标截止时间前递交及上传响应文件。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4.2.2 除供应商须知前附表另有规定外，供应商所递交的响应文件不予退还。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4.2.3 电子化响应文件应在投标截止时间前成功上传至三门峡市公共资源电子化交易系统。逾期上传的电子化响应文件将不予接收。电子交易系统将拒绝在响应文件递交截止时间后送交的响应文件。</w:t>
      </w:r>
    </w:p>
    <w:p>
      <w:pPr>
        <w:pStyle w:val="9"/>
        <w:keepNext w:val="0"/>
        <w:keepLines w:val="0"/>
        <w:pageBreakBefore w:val="0"/>
        <w:widowControl w:val="0"/>
        <w:kinsoku/>
        <w:wordWrap/>
        <w:overflowPunct/>
        <w:topLinePunct w:val="0"/>
        <w:bidi w:val="0"/>
        <w:snapToGrid/>
        <w:spacing w:line="360" w:lineRule="auto"/>
        <w:ind w:firstLine="472" w:firstLineChars="196"/>
        <w:textAlignment w:val="auto"/>
        <w:rPr>
          <w:rFonts w:hint="eastAsia" w:ascii="宋体" w:hAnsi="宋体" w:eastAsia="宋体" w:cs="宋体"/>
          <w:highlight w:val="none"/>
        </w:rPr>
      </w:pPr>
      <w:r>
        <w:rPr>
          <w:rFonts w:hint="eastAsia" w:ascii="宋体" w:hAnsi="宋体" w:eastAsia="宋体" w:cs="宋体"/>
          <w:b/>
          <w:bCs/>
          <w:highlight w:val="none"/>
        </w:rPr>
        <w:t>注：</w:t>
      </w:r>
      <w:r>
        <w:rPr>
          <w:rFonts w:hint="eastAsia" w:ascii="宋体" w:hAnsi="宋体" w:eastAsia="宋体" w:cs="宋体"/>
          <w:highlight w:val="none"/>
        </w:rPr>
        <w:t>如按照电子化投标操作教材制作完成的电子化响应文件无法上传的，供应商应在</w:t>
      </w:r>
      <w:r>
        <w:rPr>
          <w:rFonts w:hint="eastAsia" w:ascii="宋体" w:hAnsi="宋体" w:eastAsia="宋体" w:cs="宋体"/>
          <w:b/>
          <w:bCs/>
          <w:highlight w:val="none"/>
        </w:rPr>
        <w:t>响应文件递交截止时间前尽早的</w:t>
      </w:r>
      <w:r>
        <w:rPr>
          <w:rFonts w:hint="eastAsia" w:ascii="宋体" w:hAnsi="宋体" w:eastAsia="宋体" w:cs="宋体"/>
          <w:highlight w:val="none"/>
        </w:rPr>
        <w:t>联系中心技术人员，以便有充分的时间进行处理。</w:t>
      </w:r>
      <w:r>
        <w:rPr>
          <w:rFonts w:hint="eastAsia" w:ascii="宋体" w:hAnsi="宋体" w:eastAsia="宋体" w:cs="宋体"/>
          <w:b/>
          <w:bCs/>
          <w:highlight w:val="none"/>
        </w:rPr>
        <w:t>供应商应充分考虑到处理技术问题和上传数据等工作所需的时间问题，响应文件未在响应文件递交截止时间前成功上传的，其响应文件不予接收。</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89" w:name="_Toc438797965"/>
      <w:bookmarkStart w:id="90" w:name="_Toc391284762"/>
      <w:bookmarkStart w:id="91" w:name="_Toc438797200"/>
      <w:r>
        <w:rPr>
          <w:rFonts w:hint="eastAsia" w:ascii="宋体" w:hAnsi="宋体" w:eastAsia="宋体" w:cs="宋体"/>
          <w:b/>
          <w:kern w:val="0"/>
          <w:sz w:val="24"/>
          <w:szCs w:val="28"/>
          <w:highlight w:val="none"/>
        </w:rPr>
        <w:t>4.3 响应文件的修改与撤回</w:t>
      </w:r>
      <w:bookmarkEnd w:id="89"/>
      <w:bookmarkEnd w:id="90"/>
      <w:bookmarkEnd w:id="91"/>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highlight w:val="none"/>
        </w:rPr>
      </w:pPr>
      <w:r>
        <w:rPr>
          <w:rFonts w:hint="eastAsia" w:ascii="宋体" w:hAnsi="宋体" w:eastAsia="宋体" w:cs="宋体"/>
          <w:kern w:val="0"/>
          <w:sz w:val="24"/>
          <w:szCs w:val="24"/>
          <w:highlight w:val="none"/>
        </w:rPr>
        <w:t>4.3.1 在本章规定的竞标截止时间前，供应商可以修改或撤回已递交的响应文件。</w:t>
      </w:r>
    </w:p>
    <w:p>
      <w:pPr>
        <w:pStyle w:val="3"/>
        <w:spacing w:line="360" w:lineRule="auto"/>
        <w:jc w:val="both"/>
        <w:rPr>
          <w:rFonts w:hint="eastAsia" w:ascii="宋体" w:hAnsi="宋体" w:eastAsia="宋体" w:cs="宋体"/>
          <w:color w:val="auto"/>
          <w:kern w:val="0"/>
          <w:sz w:val="28"/>
          <w:szCs w:val="36"/>
          <w:highlight w:val="none"/>
          <w:lang w:eastAsia="zh-CN"/>
        </w:rPr>
      </w:pPr>
      <w:bookmarkStart w:id="92" w:name="_Toc438797201"/>
      <w:bookmarkStart w:id="93" w:name="_Toc651"/>
      <w:bookmarkStart w:id="94" w:name="_Toc438797966"/>
      <w:bookmarkStart w:id="95" w:name="_Toc391284763"/>
      <w:r>
        <w:rPr>
          <w:rFonts w:hint="eastAsia" w:ascii="宋体" w:hAnsi="宋体" w:eastAsia="宋体" w:cs="宋体"/>
          <w:color w:val="auto"/>
          <w:kern w:val="0"/>
          <w:sz w:val="28"/>
          <w:szCs w:val="36"/>
          <w:highlight w:val="none"/>
        </w:rPr>
        <w:t>5.</w:t>
      </w:r>
      <w:bookmarkEnd w:id="92"/>
      <w:bookmarkEnd w:id="93"/>
      <w:bookmarkEnd w:id="94"/>
      <w:bookmarkEnd w:id="95"/>
      <w:r>
        <w:rPr>
          <w:rFonts w:hint="eastAsia" w:ascii="宋体" w:hAnsi="宋体" w:eastAsia="宋体" w:cs="宋体"/>
          <w:color w:val="auto"/>
          <w:kern w:val="0"/>
          <w:sz w:val="28"/>
          <w:szCs w:val="36"/>
          <w:highlight w:val="none"/>
        </w:rPr>
        <w:t>磋商</w:t>
      </w:r>
      <w:r>
        <w:rPr>
          <w:rFonts w:hint="eastAsia" w:ascii="宋体" w:hAnsi="宋体" w:eastAsia="宋体" w:cs="宋体"/>
          <w:color w:val="auto"/>
          <w:kern w:val="0"/>
          <w:sz w:val="28"/>
          <w:szCs w:val="36"/>
          <w:highlight w:val="none"/>
          <w:lang w:eastAsia="zh-CN"/>
        </w:rPr>
        <w:t>程序</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96" w:name="_Toc438797202"/>
      <w:bookmarkStart w:id="97" w:name="_Toc438797967"/>
      <w:bookmarkStart w:id="98" w:name="_Toc391284764"/>
      <w:r>
        <w:rPr>
          <w:rFonts w:hint="eastAsia" w:ascii="宋体" w:hAnsi="宋体" w:eastAsia="宋体" w:cs="宋体"/>
          <w:b/>
          <w:kern w:val="0"/>
          <w:sz w:val="24"/>
          <w:szCs w:val="28"/>
          <w:highlight w:val="none"/>
        </w:rPr>
        <w:t>5.1 磋商时间和地点</w:t>
      </w:r>
      <w:bookmarkEnd w:id="96"/>
      <w:bookmarkEnd w:id="97"/>
      <w:bookmarkEnd w:id="98"/>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采购人在供应商须知前附表规定的竞标截止时间（开标时间）和地点依法开标。</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kern w:val="0"/>
          <w:sz w:val="24"/>
          <w:szCs w:val="28"/>
          <w:highlight w:val="none"/>
        </w:rPr>
      </w:pPr>
      <w:bookmarkStart w:id="99" w:name="_Toc438797968"/>
      <w:bookmarkStart w:id="100" w:name="_Toc391284765"/>
      <w:bookmarkStart w:id="101" w:name="_Toc438797203"/>
      <w:r>
        <w:rPr>
          <w:rFonts w:hint="eastAsia" w:ascii="宋体" w:hAnsi="宋体" w:eastAsia="宋体" w:cs="宋体"/>
          <w:b/>
          <w:kern w:val="0"/>
          <w:sz w:val="24"/>
          <w:szCs w:val="28"/>
          <w:highlight w:val="none"/>
        </w:rPr>
        <w:t>5.2 磋商程序</w:t>
      </w:r>
      <w:bookmarkEnd w:id="99"/>
      <w:bookmarkEnd w:id="100"/>
      <w:bookmarkEnd w:id="101"/>
      <w:bookmarkStart w:id="102" w:name="_Toc391284766"/>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1、磋商小组对竞争性磋商文件进行熟悉确认。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2、磋商小组推选组长，讨论、通过磋商工作流程和磋商要点。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3、资格性审查（审查响应文件中的相关资料）。磋商开始后，磋商小组依据竞争性磋商文件规定，对响应文件中的资格证明是否已按要求提供等进行审查，以确定磋商供应商是否具备参与磋商的资格。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符合性审查（审查响应文件中的相关资料）。磋商小组依据竞争性磋商文件规定，对响应文件的内容是否完整、文件签署是否正确、响应文件是否符合竞争性磋商文件的要求进行审查，以确定是否对竞争性磋商文件的实质性要求作出响应（确定磋商供应商是否具备参与磋商的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5、技术评审。磋商小组对响应文件在质量、服务等方面是否能满足竞争性磋商文件实质性要求进行评审打分。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6、在资格性、符合性审查、技术评审中如出现下列情况之一的响应文件，按无效响应文件处理，不再进行磋商，磋商小组当场告知供应商：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（一）响应文件未按竞争性磋商文件要求签署、盖章的；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（二）不具备竞争性磋商文件中规定的资格要求的；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（三）报价超过竞争性磋商文件中规定的预算金额或者最高限价的；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（四）响应文件含有采购人不能接受的附加条件的;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（五）法律、法规和竞争性磋商文件规定的其他无效情形。</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rPr>
        <w:t>、磋商小组对通过资格性和符合性审查的响应文件进行评估，确定与各供应商磋商的具体内容。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8、围绕磋商要点，对各供应商磋商递交响应文件的顺序进行磋商。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磋商过程中，磋商小组可以根据磋商情况实质性变动采购需求中的技术、服务要求以及合同草案条款，但不得变动竞争性磋商文件中的其他内容。实质性变动的内容需经采购人(业主)代表确认。并以公告形式通知所有参加磋商的响应人，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响应人为自然人的应当由本人签字并附身份证。供应商应根据磋商小组的要求，在规定时间内做出响应，未做出响应的响应文件将被视为无效竞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10、磋商结束后，磋商小组将在实质性响应竞争性磋商文件的供应商中，按少数服从多数的原</w:t>
      </w:r>
      <w:r>
        <w:rPr>
          <w:rFonts w:hint="eastAsia" w:ascii="宋体" w:hAnsi="宋体" w:eastAsia="宋体" w:cs="宋体"/>
          <w:color w:val="auto"/>
          <w:kern w:val="0"/>
          <w:sz w:val="24"/>
          <w:szCs w:val="24"/>
          <w:highlight w:val="none"/>
        </w:rPr>
        <w:t>则推荐</w:t>
      </w:r>
      <w:r>
        <w:rPr>
          <w:rFonts w:hint="eastAsia" w:ascii="宋体" w:hAnsi="宋体" w:eastAsia="宋体" w:cs="宋体"/>
          <w:color w:val="auto"/>
          <w:kern w:val="0"/>
          <w:sz w:val="24"/>
          <w:szCs w:val="24"/>
          <w:highlight w:val="none"/>
          <w:lang w:val="en-US" w:eastAsia="zh-CN"/>
        </w:rPr>
        <w:t>候选</w:t>
      </w:r>
      <w:r>
        <w:rPr>
          <w:rFonts w:hint="eastAsia" w:ascii="宋体" w:hAnsi="宋体" w:eastAsia="宋体" w:cs="宋体"/>
          <w:color w:val="auto"/>
          <w:kern w:val="0"/>
          <w:sz w:val="24"/>
          <w:szCs w:val="24"/>
          <w:highlight w:val="none"/>
        </w:rPr>
        <w:t>供应商</w:t>
      </w:r>
      <w:r>
        <w:rPr>
          <w:rFonts w:hint="eastAsia" w:ascii="宋体" w:hAnsi="宋体" w:eastAsia="宋体" w:cs="宋体"/>
          <w:kern w:val="0"/>
          <w:sz w:val="24"/>
          <w:szCs w:val="24"/>
          <w:highlight w:val="none"/>
        </w:rPr>
        <w:t>，经采购人同意并确定采购项目最终解决方案。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11、经磋商确定最终采购需求，由磋商小组采用综合评分法对通过初步评审的有效响应人的响应文件进行综合评分。</w:t>
      </w:r>
    </w:p>
    <w:p>
      <w:pPr>
        <w:pStyle w:val="3"/>
        <w:keepNext w:val="0"/>
        <w:keepLines w:val="0"/>
        <w:pageBreakBefore w:val="0"/>
        <w:kinsoku/>
        <w:wordWrap/>
        <w:overflowPunct/>
        <w:topLinePunct w:val="0"/>
        <w:bidi w:val="0"/>
        <w:snapToGrid/>
        <w:spacing w:before="0" w:line="460" w:lineRule="exact"/>
        <w:jc w:val="both"/>
        <w:textAlignment w:val="auto"/>
        <w:rPr>
          <w:rFonts w:hint="eastAsia" w:ascii="宋体" w:hAnsi="宋体" w:eastAsia="宋体" w:cs="宋体"/>
          <w:bCs/>
          <w:color w:val="auto"/>
          <w:kern w:val="0"/>
          <w:sz w:val="21"/>
          <w:szCs w:val="24"/>
          <w:highlight w:val="none"/>
          <w:lang w:eastAsia="zh-CN"/>
        </w:rPr>
      </w:pPr>
      <w:bookmarkStart w:id="103" w:name="_Toc22467"/>
      <w:bookmarkStart w:id="104" w:name="_Toc438797969"/>
      <w:bookmarkStart w:id="105" w:name="_Toc438797204"/>
      <w:r>
        <w:rPr>
          <w:rFonts w:hint="eastAsia" w:ascii="宋体" w:hAnsi="宋体" w:eastAsia="宋体" w:cs="宋体"/>
          <w:color w:val="auto"/>
          <w:kern w:val="0"/>
          <w:sz w:val="28"/>
          <w:szCs w:val="36"/>
          <w:highlight w:val="none"/>
        </w:rPr>
        <w:t>6.</w:t>
      </w:r>
      <w:r>
        <w:rPr>
          <w:rFonts w:hint="eastAsia" w:ascii="宋体" w:hAnsi="宋体" w:eastAsia="宋体" w:cs="宋体"/>
          <w:color w:val="auto"/>
          <w:kern w:val="0"/>
          <w:sz w:val="28"/>
          <w:szCs w:val="36"/>
          <w:highlight w:val="none"/>
          <w:lang w:eastAsia="zh-CN"/>
        </w:rPr>
        <w:t>详细</w:t>
      </w:r>
      <w:r>
        <w:rPr>
          <w:rFonts w:hint="eastAsia" w:ascii="宋体" w:hAnsi="宋体" w:eastAsia="宋体" w:cs="宋体"/>
          <w:color w:val="auto"/>
          <w:kern w:val="0"/>
          <w:sz w:val="28"/>
          <w:szCs w:val="36"/>
          <w:highlight w:val="none"/>
        </w:rPr>
        <w:t>磋商</w:t>
      </w:r>
      <w:bookmarkEnd w:id="102"/>
      <w:bookmarkEnd w:id="103"/>
      <w:bookmarkEnd w:id="104"/>
      <w:bookmarkEnd w:id="105"/>
    </w:p>
    <w:p>
      <w:pPr>
        <w:keepNext w:val="0"/>
        <w:keepLines w:val="0"/>
        <w:pageBreakBefore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06" w:name="_Toc438797970"/>
      <w:bookmarkStart w:id="107" w:name="_Toc391284767"/>
      <w:bookmarkStart w:id="108" w:name="_Toc438797205"/>
      <w:r>
        <w:rPr>
          <w:rFonts w:hint="eastAsia" w:ascii="宋体" w:hAnsi="宋体" w:eastAsia="宋体" w:cs="宋体"/>
          <w:b/>
          <w:kern w:val="0"/>
          <w:sz w:val="24"/>
          <w:szCs w:val="28"/>
          <w:highlight w:val="none"/>
        </w:rPr>
        <w:t>6.1 磋商小组</w:t>
      </w:r>
      <w:bookmarkEnd w:id="106"/>
      <w:bookmarkEnd w:id="107"/>
      <w:bookmarkEnd w:id="108"/>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6.1.1 磋商小组将依法组建。</w:t>
      </w:r>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6.1.2 磋商小组成员有下列情形之一的，应当回避：</w:t>
      </w:r>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（1）采购人或供应商的主要负责人的近亲属；</w:t>
      </w:r>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（2）项目主管部门或者行政监督部门的人员；</w:t>
      </w:r>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（3）与供应商有经济利益关系，可能影响对竞标公正评审的；</w:t>
      </w:r>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（4）曾因在招标采购、评审以及其他与采购有关活动中从事违法行为而受过行政处罚或刑事处罚的。</w:t>
      </w:r>
    </w:p>
    <w:p>
      <w:pPr>
        <w:keepNext w:val="0"/>
        <w:keepLines w:val="0"/>
        <w:pageBreakBefore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09" w:name="_Toc391284768"/>
      <w:bookmarkStart w:id="110" w:name="_Toc438797971"/>
      <w:bookmarkStart w:id="111" w:name="_Toc438797206"/>
      <w:r>
        <w:rPr>
          <w:rFonts w:hint="eastAsia" w:ascii="宋体" w:hAnsi="宋体" w:eastAsia="宋体" w:cs="宋体"/>
          <w:b/>
          <w:kern w:val="0"/>
          <w:sz w:val="24"/>
          <w:szCs w:val="28"/>
          <w:highlight w:val="none"/>
        </w:rPr>
        <w:t>6.2磋商原则</w:t>
      </w:r>
      <w:bookmarkEnd w:id="109"/>
      <w:bookmarkEnd w:id="110"/>
      <w:bookmarkEnd w:id="111"/>
    </w:p>
    <w:p>
      <w:pPr>
        <w:keepNext w:val="0"/>
        <w:keepLines w:val="0"/>
        <w:pageBreakBefore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磋商活动遵循公平、公正、科学和择优的原则。</w:t>
      </w:r>
    </w:p>
    <w:p>
      <w:pPr>
        <w:keepNext w:val="0"/>
        <w:keepLines w:val="0"/>
        <w:pageBreakBefore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r>
        <w:rPr>
          <w:rFonts w:hint="eastAsia" w:ascii="宋体" w:hAnsi="宋体" w:eastAsia="宋体" w:cs="宋体"/>
          <w:b/>
          <w:kern w:val="0"/>
          <w:sz w:val="24"/>
          <w:szCs w:val="28"/>
          <w:highlight w:val="none"/>
        </w:rPr>
        <w:t>6.3最后报价</w:t>
      </w:r>
    </w:p>
    <w:p>
      <w:pPr>
        <w:keepNext w:val="0"/>
        <w:keepLines w:val="0"/>
        <w:pageBreakBefore w:val="0"/>
        <w:kinsoku/>
        <w:wordWrap/>
        <w:overflowPunct/>
        <w:topLinePunct w:val="0"/>
        <w:bidi w:val="0"/>
        <w:adjustRightInd w:val="0"/>
        <w:snapToGrid w:val="0"/>
        <w:spacing w:line="460" w:lineRule="exact"/>
        <w:ind w:firstLine="4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竞争性磋商文件初步审查通过，磋商结束后，磋商小组应当要求所有实质性响应的供应商在规定时间内提交最后报价。</w:t>
      </w:r>
      <w:r>
        <w:rPr>
          <w:rFonts w:hint="eastAsia" w:ascii="宋体" w:hAnsi="宋体" w:eastAsia="宋体" w:cs="宋体"/>
          <w:sz w:val="24"/>
          <w:szCs w:val="24"/>
          <w:highlight w:val="none"/>
          <w:lang w:val="en-US" w:eastAsia="zh-CN"/>
        </w:rPr>
        <w:t>通过初步评审的供应商有均等的最后报价机会，供应商应在磋商小组规定的时间内完成报价。在未对磋商文件作出实质性变动的情况下，供应商提交的最后报价不得高于其前一次报价。</w:t>
      </w:r>
    </w:p>
    <w:p>
      <w:pPr>
        <w:keepNext w:val="0"/>
        <w:keepLines w:val="0"/>
        <w:pageBreakBefore w:val="0"/>
        <w:kinsoku/>
        <w:wordWrap/>
        <w:overflowPunct/>
        <w:topLinePunct w:val="0"/>
        <w:bidi w:val="0"/>
        <w:adjustRightInd w:val="0"/>
        <w:snapToGrid w:val="0"/>
        <w:spacing w:line="460" w:lineRule="exact"/>
        <w:ind w:firstLine="450"/>
        <w:textAlignment w:val="auto"/>
        <w:rPr>
          <w:rFonts w:hint="eastAsia" w:ascii="宋体" w:hAnsi="宋体" w:eastAsia="宋体" w:cs="宋体"/>
          <w:b/>
          <w:kern w:val="0"/>
          <w:sz w:val="24"/>
          <w:szCs w:val="28"/>
          <w:highlight w:val="none"/>
        </w:rPr>
      </w:pPr>
      <w:r>
        <w:rPr>
          <w:rFonts w:hint="eastAsia" w:ascii="宋体" w:hAnsi="宋体" w:eastAsia="宋体" w:cs="宋体"/>
          <w:b/>
          <w:bCs/>
          <w:sz w:val="24"/>
          <w:highlight w:val="none"/>
        </w:rPr>
        <w:t>【注：1、最终报价不得超出招标控制价；2、最终报价明显低于成本价的，供应商需做出合理说明，否则将承担不被接受的风险】</w:t>
      </w:r>
      <w:r>
        <w:rPr>
          <w:rFonts w:hint="eastAsia" w:ascii="宋体" w:hAnsi="宋体" w:eastAsia="宋体" w:cs="宋体"/>
          <w:sz w:val="24"/>
          <w:highlight w:val="none"/>
        </w:rPr>
        <w:t>。</w:t>
      </w:r>
      <w:bookmarkStart w:id="112" w:name="_Toc391284769"/>
      <w:bookmarkStart w:id="113" w:name="_Toc438797207"/>
      <w:bookmarkStart w:id="114" w:name="_Toc438797972"/>
    </w:p>
    <w:p>
      <w:pPr>
        <w:keepNext w:val="0"/>
        <w:keepLines w:val="0"/>
        <w:pageBreakBefore w:val="0"/>
        <w:kinsoku/>
        <w:wordWrap/>
        <w:overflowPunct/>
        <w:topLinePunct w:val="0"/>
        <w:bidi w:val="0"/>
        <w:spacing w:line="460" w:lineRule="exact"/>
        <w:textAlignment w:val="auto"/>
        <w:rPr>
          <w:rFonts w:hint="eastAsia" w:ascii="宋体" w:hAnsi="宋体" w:eastAsia="宋体" w:cs="宋体"/>
          <w:b/>
          <w:kern w:val="0"/>
          <w:sz w:val="24"/>
          <w:szCs w:val="28"/>
          <w:highlight w:val="none"/>
        </w:rPr>
      </w:pPr>
      <w:r>
        <w:rPr>
          <w:rFonts w:hint="eastAsia" w:ascii="宋体" w:hAnsi="宋体" w:eastAsia="宋体" w:cs="宋体"/>
          <w:b/>
          <w:kern w:val="0"/>
          <w:sz w:val="24"/>
          <w:szCs w:val="28"/>
          <w:highlight w:val="none"/>
        </w:rPr>
        <w:t>6.</w:t>
      </w:r>
      <w:bookmarkEnd w:id="112"/>
      <w:r>
        <w:rPr>
          <w:rFonts w:hint="eastAsia" w:ascii="宋体" w:hAnsi="宋体" w:eastAsia="宋体" w:cs="宋体"/>
          <w:b/>
          <w:kern w:val="0"/>
          <w:sz w:val="24"/>
          <w:szCs w:val="28"/>
          <w:highlight w:val="none"/>
        </w:rPr>
        <w:t>4综合评分</w:t>
      </w:r>
      <w:bookmarkEnd w:id="113"/>
      <w:bookmarkEnd w:id="114"/>
    </w:p>
    <w:p>
      <w:pPr>
        <w:keepNext w:val="0"/>
        <w:keepLines w:val="0"/>
        <w:pageBreakBefore w:val="0"/>
        <w:kinsoku/>
        <w:wordWrap/>
        <w:overflowPunct/>
        <w:topLinePunct w:val="0"/>
        <w:autoSpaceDE w:val="0"/>
        <w:autoSpaceDN w:val="0"/>
        <w:bidi w:val="0"/>
        <w:adjustRightInd w:val="0"/>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r>
        <w:rPr>
          <w:rFonts w:hint="eastAsia" w:ascii="宋体" w:hAnsi="宋体" w:eastAsia="宋体" w:cs="宋体"/>
          <w:kern w:val="0"/>
          <w:sz w:val="24"/>
          <w:szCs w:val="24"/>
          <w:highlight w:val="none"/>
        </w:rPr>
        <w:t>。磋商小组应按照第六章“评标标准和方法”规定的方法、评审因素、标准和程序对响应文件进行评审。第六章“评标标准和方法”没有规定的方法、评审因素和标准，不作为综合评分依据。</w:t>
      </w:r>
    </w:p>
    <w:p>
      <w:pPr>
        <w:pStyle w:val="3"/>
        <w:keepNext w:val="0"/>
        <w:keepLines w:val="0"/>
        <w:pageBreakBefore w:val="0"/>
        <w:kinsoku/>
        <w:wordWrap/>
        <w:overflowPunct/>
        <w:topLinePunct w:val="0"/>
        <w:bidi w:val="0"/>
        <w:spacing w:before="0" w:line="460" w:lineRule="exact"/>
        <w:jc w:val="both"/>
        <w:textAlignment w:val="auto"/>
        <w:rPr>
          <w:rFonts w:hint="eastAsia" w:ascii="宋体" w:hAnsi="宋体" w:eastAsia="宋体" w:cs="宋体"/>
          <w:color w:val="auto"/>
          <w:kern w:val="0"/>
          <w:sz w:val="28"/>
          <w:szCs w:val="36"/>
          <w:highlight w:val="none"/>
        </w:rPr>
      </w:pPr>
      <w:bookmarkStart w:id="115" w:name="_Toc438797973"/>
      <w:bookmarkStart w:id="116" w:name="_Toc438797208"/>
      <w:bookmarkStart w:id="117" w:name="_Toc391284770"/>
      <w:bookmarkStart w:id="118" w:name="_Toc19073"/>
      <w:r>
        <w:rPr>
          <w:rFonts w:hint="eastAsia" w:ascii="宋体" w:hAnsi="宋体" w:eastAsia="宋体" w:cs="宋体"/>
          <w:color w:val="auto"/>
          <w:kern w:val="0"/>
          <w:sz w:val="28"/>
          <w:szCs w:val="36"/>
          <w:highlight w:val="none"/>
        </w:rPr>
        <w:t>7.合同授予</w:t>
      </w:r>
      <w:bookmarkEnd w:id="115"/>
      <w:bookmarkEnd w:id="116"/>
      <w:bookmarkEnd w:id="117"/>
      <w:bookmarkEnd w:id="118"/>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19" w:name="_Toc391284771"/>
      <w:bookmarkStart w:id="120" w:name="_Toc438797974"/>
      <w:bookmarkStart w:id="121" w:name="_Toc438797209"/>
      <w:r>
        <w:rPr>
          <w:rFonts w:hint="eastAsia" w:ascii="宋体" w:hAnsi="宋体" w:eastAsia="宋体" w:cs="宋体"/>
          <w:b/>
          <w:kern w:val="0"/>
          <w:sz w:val="24"/>
          <w:szCs w:val="28"/>
          <w:highlight w:val="none"/>
        </w:rPr>
        <w:t>7.1 定标方式</w:t>
      </w:r>
      <w:bookmarkEnd w:id="119"/>
      <w:bookmarkEnd w:id="120"/>
      <w:bookmarkEnd w:id="121"/>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采购人依据磋商小组推荐的中标候选人确定中标人，磋商小组推荐中标候选人的人数见供应商须知前附表。</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22" w:name="_Toc438797975"/>
      <w:bookmarkStart w:id="123" w:name="_Toc391284772"/>
      <w:bookmarkStart w:id="124" w:name="_Toc438797210"/>
      <w:r>
        <w:rPr>
          <w:rFonts w:hint="eastAsia" w:ascii="宋体" w:hAnsi="宋体" w:eastAsia="宋体" w:cs="宋体"/>
          <w:b/>
          <w:kern w:val="0"/>
          <w:sz w:val="24"/>
          <w:szCs w:val="28"/>
          <w:highlight w:val="none"/>
        </w:rPr>
        <w:t>7.2 成交通知</w:t>
      </w:r>
      <w:bookmarkEnd w:id="122"/>
      <w:bookmarkEnd w:id="123"/>
      <w:bookmarkEnd w:id="124"/>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在本章第3.3 款规定的竞标有效期内，采购人向中标人发出成交通知书，同时将成交结果通知未中标的供应商（在确定成交供应商后，成交结果将在磋商公告发布的网站进行公布）。</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25" w:name="_Toc438797976"/>
      <w:bookmarkStart w:id="126" w:name="_Toc391284773"/>
      <w:bookmarkStart w:id="127" w:name="_Toc438797211"/>
      <w:r>
        <w:rPr>
          <w:rFonts w:hint="eastAsia" w:ascii="宋体" w:hAnsi="宋体" w:eastAsia="宋体" w:cs="宋体"/>
          <w:b/>
          <w:kern w:val="0"/>
          <w:sz w:val="24"/>
          <w:szCs w:val="28"/>
          <w:highlight w:val="none"/>
        </w:rPr>
        <w:t>7.3 履约担保</w:t>
      </w:r>
      <w:bookmarkEnd w:id="125"/>
      <w:bookmarkEnd w:id="126"/>
      <w:bookmarkEnd w:id="127"/>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7.3.1 在签订合同前，中标人应按供应商须知前附表规定的金额、担保形式和竞争性磋商文件第五章“合同条款及格式”规定的履约担保格式向采购人提交履约担保。联合体中标的（联合体不适用本项目），其履约担保由牵头人递交，并应符合供应商须知前附表规定的金额、担保形式和竞争性磋商文件第五章“合同条款及格式”规定的履约担保格式要求。</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28" w:name="_Toc438797212"/>
      <w:bookmarkStart w:id="129" w:name="_Toc438797977"/>
      <w:bookmarkStart w:id="130" w:name="_Toc391284774"/>
      <w:r>
        <w:rPr>
          <w:rFonts w:hint="eastAsia" w:ascii="宋体" w:hAnsi="宋体" w:eastAsia="宋体" w:cs="宋体"/>
          <w:b/>
          <w:kern w:val="0"/>
          <w:sz w:val="24"/>
          <w:szCs w:val="28"/>
          <w:highlight w:val="none"/>
        </w:rPr>
        <w:t>7.4 签订合同</w:t>
      </w:r>
      <w:bookmarkEnd w:id="128"/>
      <w:bookmarkEnd w:id="129"/>
      <w:bookmarkEnd w:id="130"/>
      <w:bookmarkStart w:id="212" w:name="_GoBack"/>
      <w:bookmarkEnd w:id="212"/>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7.4.1 采购人和中标人应当自中标通知书发出之日起30天内，根据竞争性磋商文件和中标人的响应文件订立书面合同。中标人无正当理由拒签合同的，采购人取消其中标资格；给采购人造成的损失，中标人应当对采购人予以赔偿。</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7.4.2 发出中标通知书后，采购人无正当理由拒签合同的，给中标人造成损失的，还应当赔偿损失。</w:t>
      </w:r>
    </w:p>
    <w:p>
      <w:pPr>
        <w:pStyle w:val="3"/>
        <w:keepNext w:val="0"/>
        <w:keepLines w:val="0"/>
        <w:pageBreakBefore w:val="0"/>
        <w:kinsoku/>
        <w:wordWrap/>
        <w:overflowPunct/>
        <w:topLinePunct w:val="0"/>
        <w:bidi w:val="0"/>
        <w:spacing w:before="0" w:line="460" w:lineRule="exact"/>
        <w:jc w:val="both"/>
        <w:textAlignment w:val="auto"/>
        <w:rPr>
          <w:rFonts w:hint="eastAsia" w:ascii="宋体" w:hAnsi="宋体" w:eastAsia="宋体" w:cs="宋体"/>
          <w:color w:val="auto"/>
          <w:kern w:val="0"/>
          <w:sz w:val="21"/>
          <w:szCs w:val="24"/>
          <w:highlight w:val="none"/>
          <w:lang w:eastAsia="zh-CN"/>
        </w:rPr>
      </w:pPr>
      <w:bookmarkStart w:id="131" w:name="_Toc438797978"/>
      <w:bookmarkStart w:id="132" w:name="_Toc438797213"/>
      <w:bookmarkStart w:id="133" w:name="_Toc387"/>
      <w:bookmarkStart w:id="134" w:name="_Toc391284775"/>
      <w:r>
        <w:rPr>
          <w:rFonts w:hint="eastAsia" w:ascii="宋体" w:hAnsi="宋体" w:eastAsia="宋体" w:cs="宋体"/>
          <w:color w:val="auto"/>
          <w:kern w:val="0"/>
          <w:sz w:val="28"/>
          <w:szCs w:val="36"/>
          <w:highlight w:val="none"/>
        </w:rPr>
        <w:t>8.重新招标和不再</w:t>
      </w:r>
      <w:bookmarkEnd w:id="131"/>
      <w:bookmarkEnd w:id="132"/>
      <w:bookmarkEnd w:id="133"/>
      <w:bookmarkEnd w:id="134"/>
      <w:r>
        <w:rPr>
          <w:rFonts w:hint="eastAsia" w:ascii="宋体" w:hAnsi="宋体" w:eastAsia="宋体" w:cs="宋体"/>
          <w:color w:val="auto"/>
          <w:kern w:val="0"/>
          <w:sz w:val="28"/>
          <w:szCs w:val="36"/>
          <w:highlight w:val="none"/>
          <w:lang w:eastAsia="zh-CN"/>
        </w:rPr>
        <w:t>招标</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35" w:name="_Toc391284776"/>
      <w:bookmarkStart w:id="136" w:name="_Toc438797979"/>
      <w:bookmarkStart w:id="137" w:name="_Toc438797214"/>
      <w:r>
        <w:rPr>
          <w:rFonts w:hint="eastAsia" w:ascii="宋体" w:hAnsi="宋体" w:eastAsia="宋体" w:cs="宋体"/>
          <w:b/>
          <w:kern w:val="0"/>
          <w:sz w:val="24"/>
          <w:szCs w:val="28"/>
          <w:highlight w:val="none"/>
        </w:rPr>
        <w:t>8.1 重新招标</w:t>
      </w:r>
      <w:bookmarkEnd w:id="135"/>
      <w:bookmarkEnd w:id="136"/>
      <w:bookmarkEnd w:id="137"/>
    </w:p>
    <w:p>
      <w:pPr>
        <w:keepNext w:val="0"/>
        <w:keepLines w:val="0"/>
        <w:pageBreakBefore w:val="0"/>
        <w:widowControl w:val="0"/>
        <w:kinsoku/>
        <w:wordWrap/>
        <w:overflowPunct/>
        <w:topLinePunct w:val="0"/>
        <w:bidi w:val="0"/>
        <w:snapToGrid/>
        <w:spacing w:line="460" w:lineRule="exact"/>
        <w:ind w:firstLine="607" w:firstLineChars="25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有下列情形之一的，采购人将重新招标：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（1）竞标截止时间止，供应商少于法定人数的；</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（2）经磋商小组评审后否决所有竞标的。</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38" w:name="_Toc438797215"/>
      <w:bookmarkStart w:id="139" w:name="_Toc391284777"/>
      <w:bookmarkStart w:id="140" w:name="_Toc438797980"/>
      <w:r>
        <w:rPr>
          <w:rFonts w:hint="eastAsia" w:ascii="宋体" w:hAnsi="宋体" w:eastAsia="宋体" w:cs="宋体"/>
          <w:b/>
          <w:kern w:val="0"/>
          <w:sz w:val="24"/>
          <w:szCs w:val="28"/>
          <w:highlight w:val="none"/>
        </w:rPr>
        <w:t>8.2 不再</w:t>
      </w:r>
      <w:bookmarkEnd w:id="138"/>
      <w:bookmarkEnd w:id="139"/>
      <w:bookmarkEnd w:id="140"/>
      <w:r>
        <w:rPr>
          <w:rFonts w:hint="eastAsia" w:ascii="宋体" w:hAnsi="宋体" w:eastAsia="宋体" w:cs="宋体"/>
          <w:b/>
          <w:kern w:val="0"/>
          <w:sz w:val="24"/>
          <w:szCs w:val="28"/>
          <w:highlight w:val="none"/>
        </w:rPr>
        <w:t>招标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重新磋商后响应人仍少于法定人数或者所有响应文件被否决的，经原审批或核准部门批准后不再进行磋商。</w:t>
      </w:r>
    </w:p>
    <w:p>
      <w:pPr>
        <w:pStyle w:val="3"/>
        <w:keepNext w:val="0"/>
        <w:keepLines w:val="0"/>
        <w:pageBreakBefore w:val="0"/>
        <w:kinsoku/>
        <w:wordWrap/>
        <w:overflowPunct/>
        <w:topLinePunct w:val="0"/>
        <w:bidi w:val="0"/>
        <w:spacing w:before="0" w:line="460" w:lineRule="exact"/>
        <w:jc w:val="both"/>
        <w:textAlignment w:val="auto"/>
        <w:rPr>
          <w:rFonts w:hint="eastAsia" w:ascii="宋体" w:hAnsi="宋体" w:eastAsia="宋体" w:cs="宋体"/>
          <w:color w:val="auto"/>
          <w:kern w:val="0"/>
          <w:sz w:val="28"/>
          <w:szCs w:val="36"/>
          <w:highlight w:val="none"/>
        </w:rPr>
      </w:pPr>
      <w:bookmarkStart w:id="141" w:name="_Toc15227"/>
      <w:bookmarkStart w:id="142" w:name="_Toc391284778"/>
      <w:bookmarkStart w:id="143" w:name="_Toc438797981"/>
      <w:bookmarkStart w:id="144" w:name="_Toc438797216"/>
      <w:r>
        <w:rPr>
          <w:rFonts w:hint="eastAsia" w:ascii="宋体" w:hAnsi="宋体" w:eastAsia="宋体" w:cs="宋体"/>
          <w:color w:val="auto"/>
          <w:kern w:val="0"/>
          <w:sz w:val="28"/>
          <w:szCs w:val="36"/>
          <w:highlight w:val="none"/>
        </w:rPr>
        <w:t>9.纪律和监督</w:t>
      </w:r>
      <w:bookmarkEnd w:id="141"/>
      <w:bookmarkEnd w:id="142"/>
      <w:bookmarkEnd w:id="143"/>
      <w:bookmarkEnd w:id="144"/>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45" w:name="_Toc438797982"/>
      <w:bookmarkStart w:id="146" w:name="_Toc438797217"/>
      <w:bookmarkStart w:id="147" w:name="_Toc391284779"/>
      <w:r>
        <w:rPr>
          <w:rFonts w:hint="eastAsia" w:ascii="宋体" w:hAnsi="宋体" w:eastAsia="宋体" w:cs="宋体"/>
          <w:b/>
          <w:kern w:val="0"/>
          <w:sz w:val="24"/>
          <w:szCs w:val="28"/>
          <w:highlight w:val="none"/>
        </w:rPr>
        <w:t>9.1 对采购人的纪律要求</w:t>
      </w:r>
      <w:bookmarkEnd w:id="145"/>
      <w:bookmarkEnd w:id="146"/>
      <w:bookmarkEnd w:id="147"/>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采购人不得泄漏采购活动中应当保密的情况和资料，不得供应商串通损害国家利益、社会公共利益或者他人合法权益。</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48" w:name="_Toc391284780"/>
      <w:bookmarkStart w:id="149" w:name="_Toc438797218"/>
      <w:bookmarkStart w:id="150" w:name="_Toc438797983"/>
      <w:r>
        <w:rPr>
          <w:rFonts w:hint="eastAsia" w:ascii="宋体" w:hAnsi="宋体" w:eastAsia="宋体" w:cs="宋体"/>
          <w:b/>
          <w:kern w:val="0"/>
          <w:sz w:val="24"/>
          <w:szCs w:val="28"/>
          <w:highlight w:val="none"/>
        </w:rPr>
        <w:t>9.2 对</w:t>
      </w:r>
      <w:r>
        <w:rPr>
          <w:rFonts w:hint="eastAsia" w:ascii="宋体" w:hAnsi="宋体" w:eastAsia="宋体" w:cs="宋体"/>
          <w:b/>
          <w:kern w:val="0"/>
          <w:sz w:val="24"/>
          <w:szCs w:val="24"/>
          <w:highlight w:val="none"/>
        </w:rPr>
        <w:t>供应商</w:t>
      </w:r>
      <w:r>
        <w:rPr>
          <w:rFonts w:hint="eastAsia" w:ascii="宋体" w:hAnsi="宋体" w:eastAsia="宋体" w:cs="宋体"/>
          <w:b/>
          <w:kern w:val="0"/>
          <w:sz w:val="24"/>
          <w:szCs w:val="28"/>
          <w:highlight w:val="none"/>
        </w:rPr>
        <w:t>的纪律要求</w:t>
      </w:r>
      <w:bookmarkEnd w:id="148"/>
      <w:bookmarkEnd w:id="149"/>
      <w:bookmarkEnd w:id="150"/>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供应商不得相互串通竞标或者与采购人串通竞标，不得向采购人或者磋商小组成员行贿谋取中标，不得以他人名义竞标或者以其他方式弄虚作假骗取中标；供应商不得以任何方式干扰、影响评审工作。</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51" w:name="_Toc438797219"/>
      <w:bookmarkStart w:id="152" w:name="_Toc391284781"/>
      <w:bookmarkStart w:id="153" w:name="_Toc438797984"/>
      <w:r>
        <w:rPr>
          <w:rFonts w:hint="eastAsia" w:ascii="宋体" w:hAnsi="宋体" w:eastAsia="宋体" w:cs="宋体"/>
          <w:b/>
          <w:kern w:val="0"/>
          <w:sz w:val="24"/>
          <w:szCs w:val="28"/>
          <w:highlight w:val="none"/>
        </w:rPr>
        <w:t>9.3 对磋商小组成员的纪律要求</w:t>
      </w:r>
      <w:bookmarkEnd w:id="151"/>
      <w:bookmarkEnd w:id="152"/>
      <w:bookmarkEnd w:id="153"/>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第六章“评审标准和方法”没有规定的评审因素和标准进行评审。评审专家（磋商小组）应当遵守评审工作纪律，不得透露评审情况和评审中获悉的商业秘密。</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54" w:name="_Toc391284782"/>
      <w:bookmarkStart w:id="155" w:name="_Toc438797985"/>
      <w:bookmarkStart w:id="156" w:name="_Toc438797220"/>
      <w:r>
        <w:rPr>
          <w:rFonts w:hint="eastAsia" w:ascii="宋体" w:hAnsi="宋体" w:eastAsia="宋体" w:cs="宋体"/>
          <w:b/>
          <w:kern w:val="0"/>
          <w:sz w:val="24"/>
          <w:szCs w:val="28"/>
          <w:highlight w:val="none"/>
        </w:rPr>
        <w:t>9.4 对与评审活动有关的工作人员的纪律要求</w:t>
      </w:r>
      <w:bookmarkEnd w:id="154"/>
      <w:bookmarkEnd w:id="155"/>
      <w:bookmarkEnd w:id="156"/>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与评审活动有关的工作人员不得收受他人的财物或者其他好处，不得向他人透漏对响应文件的</w:t>
      </w:r>
      <w:r>
        <w:rPr>
          <w:rFonts w:hint="eastAsia" w:ascii="宋体" w:hAnsi="宋体" w:eastAsia="宋体" w:cs="宋体"/>
          <w:sz w:val="24"/>
          <w:szCs w:val="24"/>
          <w:highlight w:val="none"/>
        </w:rPr>
        <w:t>评审和比较、中标候选人的推荐情况以及评审有关的其他情况。在评审活动中，与评审活动有关的工作人员不得</w:t>
      </w:r>
      <w:r>
        <w:rPr>
          <w:rFonts w:hint="eastAsia" w:ascii="宋体" w:hAnsi="宋体" w:eastAsia="宋体" w:cs="宋体"/>
          <w:kern w:val="0"/>
          <w:sz w:val="24"/>
          <w:szCs w:val="24"/>
          <w:highlight w:val="none"/>
        </w:rPr>
        <w:t>擅离职守，影响评审程序正常进行。</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0"/>
          <w:sz w:val="24"/>
          <w:szCs w:val="28"/>
          <w:highlight w:val="none"/>
        </w:rPr>
      </w:pPr>
      <w:bookmarkStart w:id="157" w:name="_Toc391284783"/>
      <w:bookmarkStart w:id="158" w:name="_Toc438797986"/>
      <w:bookmarkStart w:id="159" w:name="_Toc438797221"/>
      <w:r>
        <w:rPr>
          <w:rFonts w:hint="eastAsia" w:ascii="宋体" w:hAnsi="宋体" w:eastAsia="宋体" w:cs="宋体"/>
          <w:b/>
          <w:kern w:val="0"/>
          <w:sz w:val="24"/>
          <w:szCs w:val="28"/>
          <w:highlight w:val="none"/>
        </w:rPr>
        <w:t>9.5 投诉</w:t>
      </w:r>
      <w:bookmarkEnd w:id="157"/>
      <w:bookmarkEnd w:id="158"/>
      <w:bookmarkEnd w:id="159"/>
    </w:p>
    <w:p>
      <w:pPr>
        <w:keepNext w:val="0"/>
        <w:keepLines w:val="0"/>
        <w:pageBreakBefore w:val="0"/>
        <w:widowControl w:val="0"/>
        <w:kinsoku/>
        <w:wordWrap/>
        <w:overflowPunct/>
        <w:topLinePunct w:val="0"/>
        <w:autoSpaceDE w:val="0"/>
        <w:autoSpaceDN w:val="0"/>
        <w:bidi w:val="0"/>
        <w:adjustRightInd w:val="0"/>
        <w:snapToGrid/>
        <w:spacing w:line="460" w:lineRule="exact"/>
        <w:ind w:firstLine="484" w:firstLineChars="20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供应商和其他利害关系人认为本次采购活动违反法律、法规和规章规定的，有权向有关行政监督部门投诉。</w:t>
      </w:r>
    </w:p>
    <w:p>
      <w:pPr>
        <w:keepNext w:val="0"/>
        <w:keepLines w:val="0"/>
        <w:pageBreakBefore w:val="0"/>
        <w:kinsoku/>
        <w:wordWrap/>
        <w:overflowPunct/>
        <w:topLinePunct w:val="0"/>
        <w:bidi w:val="0"/>
        <w:spacing w:line="460" w:lineRule="exact"/>
        <w:textAlignment w:val="auto"/>
        <w:rPr>
          <w:rFonts w:hint="eastAsia" w:ascii="宋体" w:hAnsi="宋体" w:eastAsia="宋体" w:cs="宋体"/>
          <w:b/>
          <w:sz w:val="28"/>
          <w:szCs w:val="28"/>
          <w:highlight w:val="none"/>
        </w:rPr>
      </w:pPr>
      <w:bookmarkStart w:id="160" w:name="_Toc144974547"/>
      <w:bookmarkStart w:id="161" w:name="_Toc152042357"/>
      <w:bookmarkStart w:id="162" w:name="_Toc152045580"/>
      <w:bookmarkStart w:id="163" w:name="_Toc179632598"/>
      <w:r>
        <w:rPr>
          <w:rFonts w:hint="eastAsia" w:ascii="宋体" w:hAnsi="宋体" w:eastAsia="宋体" w:cs="宋体"/>
          <w:b/>
          <w:sz w:val="28"/>
          <w:szCs w:val="28"/>
          <w:highlight w:val="none"/>
        </w:rPr>
        <w:t>10、其他</w:t>
      </w:r>
      <w:bookmarkEnd w:id="160"/>
      <w:bookmarkEnd w:id="161"/>
      <w:bookmarkEnd w:id="162"/>
      <w:bookmarkEnd w:id="163"/>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b/>
          <w:sz w:val="24"/>
          <w:szCs w:val="28"/>
          <w:highlight w:val="none"/>
        </w:rPr>
      </w:pPr>
      <w:r>
        <w:rPr>
          <w:rFonts w:hint="eastAsia" w:ascii="宋体" w:hAnsi="宋体" w:eastAsia="宋体" w:cs="宋体"/>
          <w:sz w:val="24"/>
          <w:szCs w:val="28"/>
          <w:highlight w:val="none"/>
        </w:rPr>
        <w:t>需要补充的其他内容：见</w:t>
      </w:r>
      <w:r>
        <w:rPr>
          <w:rFonts w:hint="eastAsia" w:ascii="宋体" w:hAnsi="宋体" w:eastAsia="宋体" w:cs="宋体"/>
          <w:kern w:val="0"/>
          <w:sz w:val="24"/>
          <w:szCs w:val="24"/>
          <w:highlight w:val="none"/>
        </w:rPr>
        <w:t>供应商</w:t>
      </w:r>
      <w:r>
        <w:rPr>
          <w:rFonts w:hint="eastAsia" w:ascii="宋体" w:hAnsi="宋体" w:eastAsia="宋体" w:cs="宋体"/>
          <w:sz w:val="24"/>
          <w:szCs w:val="28"/>
          <w:highlight w:val="none"/>
        </w:rPr>
        <w:t>须知前附表。</w:t>
      </w:r>
      <w:bookmarkStart w:id="164" w:name="_Toc152045581"/>
      <w:bookmarkStart w:id="165" w:name="_Toc152042358"/>
      <w:bookmarkStart w:id="166" w:name="_Toc179632599"/>
      <w:bookmarkStart w:id="167" w:name="_Toc144974548"/>
    </w:p>
    <w:p>
      <w:pPr>
        <w:keepNext w:val="0"/>
        <w:keepLines w:val="0"/>
        <w:pageBreakBefore w:val="0"/>
        <w:kinsoku/>
        <w:wordWrap/>
        <w:overflowPunct/>
        <w:topLinePunct w:val="0"/>
        <w:bidi w:val="0"/>
        <w:spacing w:line="460" w:lineRule="exact"/>
        <w:ind w:left="480"/>
        <w:textAlignment w:val="auto"/>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本磋商文件未尽事宜执行国家、省、市相关规定</w:t>
      </w:r>
      <w:bookmarkEnd w:id="164"/>
      <w:bookmarkEnd w:id="165"/>
      <w:bookmarkEnd w:id="166"/>
      <w:bookmarkEnd w:id="167"/>
      <w:r>
        <w:rPr>
          <w:rFonts w:hint="eastAsia" w:ascii="宋体" w:hAnsi="宋体" w:eastAsia="宋体" w:cs="宋体"/>
          <w:sz w:val="24"/>
          <w:szCs w:val="28"/>
          <w:highlight w:val="none"/>
          <w:lang w:eastAsia="zh-CN"/>
        </w:rPr>
        <w:t>。</w:t>
      </w:r>
    </w:p>
    <w:p>
      <w:pPr>
        <w:spacing w:line="360" w:lineRule="auto"/>
        <w:rPr>
          <w:rFonts w:hint="eastAsia" w:ascii="宋体" w:hAnsi="宋体" w:eastAsia="宋体" w:cs="宋体"/>
          <w:b/>
          <w:color w:val="000000"/>
          <w:sz w:val="24"/>
          <w:highlight w:val="none"/>
        </w:rPr>
      </w:pPr>
    </w:p>
    <w:p>
      <w:pPr>
        <w:spacing w:line="360" w:lineRule="auto"/>
        <w:ind w:right="-340" w:rightChars="-162"/>
        <w:jc w:val="center"/>
        <w:rPr>
          <w:rFonts w:hint="eastAsia" w:ascii="宋体" w:hAnsi="宋体" w:eastAsia="宋体" w:cs="宋体"/>
          <w:b/>
          <w:sz w:val="32"/>
          <w:szCs w:val="32"/>
          <w:highlight w:val="none"/>
        </w:rPr>
      </w:pPr>
      <w:r>
        <w:rPr>
          <w:rFonts w:hint="eastAsia" w:ascii="宋体" w:hAnsi="宋体" w:eastAsia="宋体" w:cs="宋体"/>
          <w:b/>
          <w:color w:val="000000"/>
          <w:sz w:val="24"/>
          <w:highlight w:val="none"/>
        </w:rPr>
        <w:br w:type="page"/>
      </w:r>
      <w:bookmarkStart w:id="168" w:name="_Toc455333415"/>
      <w:r>
        <w:rPr>
          <w:rFonts w:hint="eastAsia" w:ascii="宋体" w:hAnsi="宋体" w:eastAsia="宋体" w:cs="宋体"/>
          <w:b/>
          <w:sz w:val="32"/>
          <w:szCs w:val="32"/>
          <w:highlight w:val="none"/>
        </w:rPr>
        <w:t>第三章 技术标准和要求</w:t>
      </w:r>
    </w:p>
    <w:p>
      <w:pPr>
        <w:spacing w:line="360" w:lineRule="auto"/>
        <w:ind w:right="-340" w:rightChars="-162"/>
        <w:jc w:val="center"/>
        <w:rPr>
          <w:rFonts w:hint="eastAsia" w:ascii="宋体" w:hAnsi="宋体" w:eastAsia="宋体" w:cs="宋体"/>
          <w:b/>
          <w:sz w:val="32"/>
          <w:szCs w:val="32"/>
          <w:highlight w:val="none"/>
        </w:rPr>
      </w:pPr>
    </w:p>
    <w:p>
      <w:pPr>
        <w:spacing w:line="360" w:lineRule="auto"/>
        <w:ind w:firstLine="480" w:firstLineChars="200"/>
        <w:rPr>
          <w:rFonts w:hint="eastAsia" w:ascii="宋体" w:hAnsi="宋体" w:eastAsia="宋体" w:cs="宋体"/>
          <w:color w:val="auto"/>
          <w:sz w:val="24"/>
          <w:szCs w:val="24"/>
          <w:highlight w:val="none"/>
        </w:rPr>
      </w:pPr>
      <w:bookmarkStart w:id="169" w:name="_Toc282615320"/>
      <w:bookmarkStart w:id="170" w:name="_Toc287621014"/>
      <w:bookmarkStart w:id="171" w:name="_Toc285539108"/>
      <w:bookmarkStart w:id="172" w:name="_Toc290577186"/>
      <w:r>
        <w:rPr>
          <w:rFonts w:hint="eastAsia" w:ascii="宋体" w:hAnsi="宋体" w:eastAsia="宋体" w:cs="宋体"/>
          <w:color w:val="auto"/>
          <w:sz w:val="24"/>
          <w:szCs w:val="24"/>
          <w:highlight w:val="none"/>
        </w:rPr>
        <w:t>一、适用的规范、标准和规程</w:t>
      </w:r>
      <w:bookmarkEnd w:id="169"/>
      <w:bookmarkEnd w:id="170"/>
      <w:bookmarkEnd w:id="171"/>
      <w:bookmarkEnd w:id="172"/>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适用现行国家、行业和地方规范、标准和规程。构成合同文件的任何内容与适用的规范、标准和规程之间出现矛盾，施工人应书面要求发包人予以澄清，除发包人有特别指示外，监理人应按照最严格的标准执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pPr>
        <w:spacing w:line="360" w:lineRule="auto"/>
        <w:ind w:firstLine="482" w:firstLineChars="200"/>
        <w:rPr>
          <w:rFonts w:hint="eastAsia" w:ascii="宋体" w:hAnsi="宋体" w:eastAsia="宋体" w:cs="宋体"/>
          <w:b/>
          <w:color w:val="auto"/>
          <w:sz w:val="24"/>
          <w:szCs w:val="24"/>
          <w:highlight w:val="none"/>
        </w:rPr>
      </w:pPr>
      <w:bookmarkStart w:id="173" w:name="_Toc290577187"/>
      <w:bookmarkStart w:id="174" w:name="_Toc285539109"/>
      <w:bookmarkStart w:id="175" w:name="_Toc282615321"/>
      <w:bookmarkStart w:id="176" w:name="_Toc287621015"/>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施工、监理及验收规范</w:t>
      </w:r>
      <w:bookmarkEnd w:id="173"/>
      <w:bookmarkEnd w:id="174"/>
      <w:bookmarkEnd w:id="175"/>
      <w:bookmarkEnd w:id="17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本工程执行国家现行的与本工程有关的施工、监理及验收规范、标准图集、图纸设计等。</w:t>
      </w:r>
    </w:p>
    <w:p>
      <w:pPr>
        <w:spacing w:line="360" w:lineRule="auto"/>
        <w:ind w:firstLine="480" w:firstLineChars="200"/>
        <w:rPr>
          <w:rFonts w:hint="eastAsia" w:ascii="宋体" w:hAnsi="宋体" w:eastAsia="宋体" w:cs="宋体"/>
          <w:color w:val="auto"/>
          <w:sz w:val="24"/>
          <w:szCs w:val="24"/>
          <w:highlight w:val="none"/>
        </w:rPr>
      </w:pPr>
      <w:bookmarkStart w:id="177" w:name="_Toc287621016"/>
      <w:bookmarkStart w:id="178" w:name="_Toc285539110"/>
      <w:bookmarkStart w:id="179" w:name="_Toc282615322"/>
      <w:bookmarkStart w:id="180" w:name="_Toc290577188"/>
      <w:r>
        <w:rPr>
          <w:rFonts w:hint="eastAsia" w:ascii="宋体" w:hAnsi="宋体" w:eastAsia="宋体" w:cs="宋体"/>
          <w:color w:val="auto"/>
          <w:sz w:val="24"/>
          <w:szCs w:val="24"/>
          <w:highlight w:val="none"/>
        </w:rPr>
        <w:t>三、主要质量检验评定标准</w:t>
      </w:r>
      <w:bookmarkEnd w:id="177"/>
      <w:bookmarkEnd w:id="178"/>
      <w:bookmarkEnd w:id="179"/>
      <w:bookmarkEnd w:id="180"/>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本工程执行国家现行的与本工程有关的质量检验评定标准。工程质量应达到国家规定的合格标准。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四、技术条款未尽事宜应执行相关标准和规程规范。本章节所提供的技术数据，仅供参考，最终以实际施工设计为准。</w:t>
      </w:r>
    </w:p>
    <w:p>
      <w:pPr>
        <w:pStyle w:val="9"/>
        <w:spacing w:line="360" w:lineRule="auto"/>
        <w:ind w:right="-340" w:rightChars="-162"/>
        <w:rPr>
          <w:rFonts w:hint="eastAsia" w:ascii="宋体" w:hAnsi="宋体" w:eastAsia="宋体" w:cs="宋体"/>
          <w:b/>
          <w:color w:val="auto"/>
          <w:kern w:val="2"/>
          <w:sz w:val="32"/>
          <w:szCs w:val="32"/>
          <w:highlight w:val="none"/>
        </w:rPr>
      </w:pPr>
    </w:p>
    <w:p>
      <w:pPr>
        <w:pStyle w:val="9"/>
        <w:spacing w:line="360" w:lineRule="auto"/>
        <w:ind w:right="-340" w:rightChars="-162"/>
        <w:rPr>
          <w:rFonts w:hint="eastAsia" w:ascii="宋体" w:hAnsi="宋体" w:eastAsia="宋体" w:cs="宋体"/>
          <w:b/>
          <w:sz w:val="32"/>
          <w:szCs w:val="32"/>
          <w:highlight w:val="none"/>
        </w:rPr>
      </w:pPr>
      <w:r>
        <w:rPr>
          <w:rFonts w:hint="eastAsia" w:ascii="宋体" w:hAnsi="宋体" w:eastAsia="宋体" w:cs="宋体"/>
          <w:highlight w:val="none"/>
        </w:rPr>
        <w:br w:type="page"/>
      </w:r>
    </w:p>
    <w:p>
      <w:pPr>
        <w:spacing w:line="360" w:lineRule="auto"/>
        <w:ind w:right="-340" w:rightChars="-162"/>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第四章 工程量清单</w:t>
      </w:r>
    </w:p>
    <w:p>
      <w:pPr>
        <w:pStyle w:val="9"/>
        <w:spacing w:line="360" w:lineRule="auto"/>
        <w:jc w:val="center"/>
        <w:rPr>
          <w:rFonts w:hint="eastAsia" w:ascii="宋体" w:hAnsi="宋体" w:eastAsia="宋体" w:cs="宋体"/>
          <w:highlight w:val="none"/>
        </w:rPr>
      </w:pPr>
      <w:r>
        <w:rPr>
          <w:rFonts w:hint="eastAsia" w:ascii="宋体" w:hAnsi="宋体" w:eastAsia="宋体" w:cs="宋体"/>
          <w:highlight w:val="none"/>
        </w:rPr>
        <w:t>（另附）</w:t>
      </w:r>
    </w:p>
    <w:p>
      <w:pPr>
        <w:spacing w:line="360" w:lineRule="auto"/>
        <w:ind w:right="-340" w:rightChars="-162"/>
        <w:rPr>
          <w:rFonts w:hint="eastAsia" w:ascii="宋体" w:hAnsi="宋体" w:eastAsia="宋体" w:cs="宋体"/>
          <w:highlight w:val="none"/>
        </w:rPr>
      </w:pPr>
    </w:p>
    <w:p>
      <w:pPr>
        <w:spacing w:line="360" w:lineRule="auto"/>
        <w:ind w:right="-340" w:rightChars="-162"/>
        <w:rPr>
          <w:rFonts w:hint="eastAsia" w:ascii="宋体" w:hAnsi="宋体" w:eastAsia="宋体" w:cs="宋体"/>
          <w:highlight w:val="none"/>
        </w:rPr>
      </w:pPr>
    </w:p>
    <w:p>
      <w:pPr>
        <w:spacing w:line="360" w:lineRule="auto"/>
        <w:ind w:right="-340" w:rightChars="-162"/>
        <w:jc w:val="center"/>
        <w:rPr>
          <w:rFonts w:hint="eastAsia" w:ascii="宋体" w:hAnsi="宋体" w:eastAsia="宋体" w:cs="宋体"/>
          <w:b/>
          <w:sz w:val="22"/>
          <w:szCs w:val="24"/>
          <w:highlight w:val="none"/>
        </w:rPr>
      </w:pPr>
      <w:r>
        <w:rPr>
          <w:rFonts w:hint="eastAsia" w:ascii="宋体" w:hAnsi="宋体" w:eastAsia="宋体" w:cs="宋体"/>
          <w:highlight w:val="none"/>
        </w:rPr>
        <w:br w:type="page"/>
      </w:r>
      <w:r>
        <w:rPr>
          <w:rFonts w:hint="eastAsia" w:ascii="宋体" w:hAnsi="宋体" w:eastAsia="宋体" w:cs="宋体"/>
          <w:b/>
          <w:sz w:val="32"/>
          <w:szCs w:val="36"/>
          <w:highlight w:val="none"/>
        </w:rPr>
        <w:t>第五章 合同条款及格式</w:t>
      </w:r>
    </w:p>
    <w:p>
      <w:pPr>
        <w:pStyle w:val="35"/>
        <w:widowControl/>
        <w:spacing w:line="360" w:lineRule="auto"/>
        <w:ind w:firstLine="487" w:firstLineChars="202"/>
        <w:rPr>
          <w:rFonts w:hint="eastAsia" w:ascii="宋体" w:hAnsi="宋体" w:eastAsia="宋体" w:cs="宋体"/>
          <w:b/>
          <w:bCs/>
          <w:color w:val="000000"/>
          <w:sz w:val="24"/>
          <w:szCs w:val="24"/>
          <w:highlight w:val="none"/>
        </w:rPr>
      </w:pPr>
    </w:p>
    <w:p>
      <w:pPr>
        <w:spacing w:line="360" w:lineRule="auto"/>
        <w:ind w:firstLine="482"/>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rPr>
        <w:t>由项目建设单位与</w:t>
      </w:r>
      <w:r>
        <w:rPr>
          <w:rFonts w:hint="eastAsia" w:ascii="宋体" w:hAnsi="宋体" w:eastAsia="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单位根据本</w:t>
      </w:r>
      <w:r>
        <w:rPr>
          <w:rFonts w:hint="eastAsia" w:ascii="宋体" w:hAnsi="宋体" w:eastAsia="宋体" w:cs="宋体"/>
          <w:b/>
          <w:bCs/>
          <w:color w:val="000000"/>
          <w:sz w:val="24"/>
          <w:szCs w:val="24"/>
          <w:highlight w:val="none"/>
          <w:lang w:val="en-US" w:eastAsia="zh-CN"/>
        </w:rPr>
        <w:t>磋商</w:t>
      </w:r>
      <w:r>
        <w:rPr>
          <w:rFonts w:hint="eastAsia" w:ascii="宋体" w:hAnsi="宋体" w:eastAsia="宋体" w:cs="宋体"/>
          <w:b/>
          <w:bCs/>
          <w:color w:val="000000"/>
          <w:sz w:val="24"/>
          <w:szCs w:val="24"/>
          <w:highlight w:val="none"/>
        </w:rPr>
        <w:t>文件、</w:t>
      </w:r>
      <w:r>
        <w:rPr>
          <w:rFonts w:hint="eastAsia" w:ascii="宋体" w:hAnsi="宋体" w:eastAsia="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单位</w:t>
      </w:r>
      <w:r>
        <w:rPr>
          <w:rFonts w:hint="eastAsia" w:ascii="宋体" w:hAnsi="宋体" w:eastAsia="宋体" w:cs="宋体"/>
          <w:b/>
          <w:bCs/>
          <w:color w:val="000000"/>
          <w:sz w:val="24"/>
          <w:szCs w:val="24"/>
          <w:highlight w:val="none"/>
          <w:lang w:val="en-US" w:eastAsia="zh-CN"/>
        </w:rPr>
        <w:t>响应</w:t>
      </w:r>
      <w:r>
        <w:rPr>
          <w:rFonts w:hint="eastAsia" w:ascii="宋体" w:hAnsi="宋体" w:eastAsia="宋体" w:cs="宋体"/>
          <w:b/>
          <w:bCs/>
          <w:color w:val="000000"/>
          <w:sz w:val="24"/>
          <w:szCs w:val="24"/>
          <w:highlight w:val="none"/>
        </w:rPr>
        <w:t>文件及</w:t>
      </w:r>
      <w:r>
        <w:rPr>
          <w:rFonts w:hint="eastAsia" w:ascii="宋体" w:hAnsi="宋体" w:eastAsia="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通知书，以《建设工程施工总承包合同（示范文本）》（GF-2020-0216）为范本，协商签订本项目施工合同。</w:t>
      </w:r>
    </w:p>
    <w:p>
      <w:pPr>
        <w:spacing w:line="360" w:lineRule="auto"/>
        <w:ind w:right="-340" w:rightChars="-162"/>
        <w:jc w:val="center"/>
        <w:rPr>
          <w:rFonts w:hint="eastAsia" w:ascii="宋体" w:hAnsi="宋体" w:eastAsia="宋体" w:cs="宋体"/>
          <w:b/>
          <w:sz w:val="32"/>
          <w:szCs w:val="32"/>
          <w:highlight w:val="none"/>
        </w:rPr>
      </w:pPr>
      <w:r>
        <w:rPr>
          <w:rFonts w:hint="eastAsia" w:ascii="宋体" w:hAnsi="宋体" w:eastAsia="宋体" w:cs="宋体"/>
          <w:color w:val="000000"/>
          <w:sz w:val="24"/>
          <w:highlight w:val="none"/>
        </w:rPr>
        <w:br w:type="page"/>
      </w:r>
      <w:bookmarkEnd w:id="168"/>
      <w:r>
        <w:rPr>
          <w:rFonts w:hint="eastAsia" w:ascii="宋体" w:hAnsi="宋体" w:eastAsia="宋体" w:cs="宋体"/>
          <w:b/>
          <w:sz w:val="32"/>
          <w:szCs w:val="32"/>
          <w:highlight w:val="none"/>
        </w:rPr>
        <w:t>第六章 评标标准和方法</w:t>
      </w:r>
    </w:p>
    <w:p>
      <w:pPr>
        <w:spacing w:line="360" w:lineRule="auto"/>
        <w:ind w:right="-340" w:rightChars="-162" w:firstLine="420"/>
        <w:rPr>
          <w:rFonts w:hint="eastAsia" w:ascii="宋体" w:hAnsi="宋体" w:eastAsia="宋体" w:cs="宋体"/>
          <w:sz w:val="22"/>
          <w:szCs w:val="24"/>
          <w:highlight w:val="none"/>
        </w:rPr>
      </w:pPr>
      <w:r>
        <w:rPr>
          <w:rFonts w:hint="eastAsia" w:ascii="宋体" w:hAnsi="宋体" w:eastAsia="宋体" w:cs="宋体"/>
          <w:sz w:val="24"/>
          <w:szCs w:val="24"/>
          <w:highlight w:val="none"/>
        </w:rPr>
        <w:t>本次竞争性磋商的评审分为初步审查和详细审查</w:t>
      </w:r>
      <w:r>
        <w:rPr>
          <w:rFonts w:hint="eastAsia" w:ascii="宋体" w:hAnsi="宋体" w:eastAsia="宋体" w:cs="宋体"/>
          <w:sz w:val="22"/>
          <w:szCs w:val="24"/>
          <w:highlight w:val="none"/>
        </w:rPr>
        <w:t>。</w:t>
      </w:r>
    </w:p>
    <w:p>
      <w:pPr>
        <w:numPr>
          <w:ilvl w:val="0"/>
          <w:numId w:val="5"/>
        </w:numPr>
        <w:spacing w:after="200" w:line="360" w:lineRule="auto"/>
        <w:ind w:right="-340" w:rightChars="-162"/>
        <w:rPr>
          <w:rFonts w:hint="eastAsia" w:ascii="宋体" w:hAnsi="宋体" w:eastAsia="宋体" w:cs="宋体"/>
          <w:b/>
          <w:bCs/>
          <w:sz w:val="28"/>
          <w:szCs w:val="28"/>
          <w:highlight w:val="none"/>
        </w:rPr>
      </w:pPr>
      <w:r>
        <w:rPr>
          <w:rFonts w:hint="eastAsia" w:ascii="宋体" w:hAnsi="宋体" w:eastAsia="宋体" w:cs="宋体"/>
          <w:b/>
          <w:sz w:val="24"/>
          <w:szCs w:val="24"/>
          <w:highlight w:val="none"/>
        </w:rPr>
        <w:t>初步审查</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80"/>
        <w:gridCol w:w="2440"/>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325" w:type="dxa"/>
            <w:gridSpan w:val="4"/>
            <w:vAlign w:val="center"/>
          </w:tcPr>
          <w:p>
            <w:pPr>
              <w:spacing w:after="200" w:line="360" w:lineRule="auto"/>
              <w:ind w:right="-340" w:rightChars="-162" w:firstLine="211" w:firstLineChars="100"/>
              <w:jc w:val="center"/>
              <w:rPr>
                <w:rFonts w:hint="eastAsia" w:ascii="宋体" w:hAnsi="宋体" w:eastAsia="宋体" w:cs="宋体"/>
                <w:color w:val="auto"/>
                <w:kern w:val="0"/>
                <w:sz w:val="21"/>
                <w:szCs w:val="21"/>
                <w:highlight w:val="none"/>
              </w:rPr>
            </w:pPr>
            <w:bookmarkStart w:id="181" w:name="_Toc9836"/>
            <w:r>
              <w:rPr>
                <w:rFonts w:hint="eastAsia" w:ascii="宋体" w:hAnsi="宋体" w:eastAsia="宋体" w:cs="宋体"/>
                <w:b/>
                <w:color w:val="auto"/>
                <w:sz w:val="21"/>
                <w:szCs w:val="21"/>
                <w:highlight w:val="none"/>
              </w:rPr>
              <w:t>一、初步审查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05" w:type="dxa"/>
            <w:gridSpan w:val="2"/>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w:t>
            </w:r>
          </w:p>
        </w:tc>
        <w:tc>
          <w:tcPr>
            <w:tcW w:w="2440" w:type="dxa"/>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c>
          <w:tcPr>
            <w:tcW w:w="5280" w:type="dxa"/>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5" w:type="dxa"/>
            <w:vMerge w:val="restart"/>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80" w:type="dxa"/>
            <w:vMerge w:val="restart"/>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符合性评审</w:t>
            </w: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供应商名称</w:t>
            </w:r>
          </w:p>
        </w:tc>
        <w:tc>
          <w:tcPr>
            <w:tcW w:w="5280" w:type="dxa"/>
            <w:vAlign w:val="center"/>
          </w:tcPr>
          <w:p>
            <w:pPr>
              <w:autoSpaceDE w:val="0"/>
              <w:autoSpaceDN w:val="0"/>
              <w:adjustRightIn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盖章、签字</w:t>
            </w:r>
          </w:p>
        </w:tc>
        <w:tc>
          <w:tcPr>
            <w:tcW w:w="5280" w:type="dxa"/>
            <w:vAlign w:val="center"/>
          </w:tcPr>
          <w:p>
            <w:pPr>
              <w:autoSpaceDE w:val="0"/>
              <w:autoSpaceDN w:val="0"/>
              <w:adjustRightIn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符合竞争性磋商文件签字、盖章的要求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报价唯一</w:t>
            </w:r>
          </w:p>
        </w:tc>
        <w:tc>
          <w:tcPr>
            <w:tcW w:w="5280" w:type="dxa"/>
            <w:vAlign w:val="center"/>
          </w:tcPr>
          <w:p>
            <w:pPr>
              <w:autoSpaceDE w:val="0"/>
              <w:autoSpaceDN w:val="0"/>
              <w:adjustRightIn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sz w:val="24"/>
                <w:szCs w:val="24"/>
                <w:highlight w:val="none"/>
              </w:rPr>
              <w:t>只能有一个有效报价且不超过最高限价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525" w:type="dxa"/>
            <w:vMerge w:val="restart"/>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080" w:type="dxa"/>
            <w:vMerge w:val="restar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w:t>
            </w:r>
            <w:r>
              <w:rPr>
                <w:rFonts w:hint="eastAsia" w:ascii="宋体" w:hAnsi="宋体" w:eastAsia="宋体" w:cs="宋体"/>
                <w:color w:val="auto"/>
                <w:kern w:val="0"/>
                <w:sz w:val="21"/>
                <w:szCs w:val="21"/>
                <w:highlight w:val="none"/>
              </w:rPr>
              <w:t>标准</w:t>
            </w: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kern w:val="0"/>
                <w:sz w:val="24"/>
                <w:highlight w:val="none"/>
              </w:rPr>
              <w:t>营业执照</w:t>
            </w:r>
          </w:p>
        </w:tc>
        <w:tc>
          <w:tcPr>
            <w:tcW w:w="528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kern w:val="0"/>
                <w:sz w:val="24"/>
                <w:highlight w:val="none"/>
              </w:rPr>
              <w:t>须具有有效的营业执照副本、税务登记证副本、组织机构代码证（或三证合一的营业执照副本）；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kern w:val="0"/>
                <w:sz w:val="24"/>
                <w:highlight w:val="none"/>
              </w:rPr>
              <w:t>资质证书</w:t>
            </w:r>
          </w:p>
        </w:tc>
        <w:tc>
          <w:tcPr>
            <w:tcW w:w="528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kern w:val="0"/>
                <w:sz w:val="24"/>
                <w:highlight w:val="none"/>
                <w:lang w:eastAsia="zh-CN"/>
              </w:rPr>
              <w:t>响应人须具有</w:t>
            </w:r>
            <w:r>
              <w:rPr>
                <w:rFonts w:hint="eastAsia" w:ascii="宋体" w:hAnsi="宋体" w:cs="宋体"/>
                <w:bCs/>
                <w:kern w:val="0"/>
                <w:sz w:val="24"/>
                <w:highlight w:val="none"/>
                <w:lang w:eastAsia="zh-CN"/>
              </w:rPr>
              <w:t>市政公用工程</w:t>
            </w:r>
            <w:r>
              <w:rPr>
                <w:rFonts w:hint="eastAsia" w:ascii="宋体" w:hAnsi="宋体" w:eastAsia="宋体" w:cs="宋体"/>
                <w:bCs/>
                <w:kern w:val="0"/>
                <w:sz w:val="24"/>
                <w:highlight w:val="none"/>
                <w:lang w:eastAsia="zh-CN"/>
              </w:rPr>
              <w:t>叁级及以上资质（含叁级），具有有效的企业安全生产许可证；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kern w:val="0"/>
                <w:sz w:val="24"/>
                <w:highlight w:val="none"/>
              </w:rPr>
              <w:t>项目经理</w:t>
            </w:r>
          </w:p>
        </w:tc>
        <w:tc>
          <w:tcPr>
            <w:tcW w:w="528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eastAsia="zh-CN"/>
              </w:rPr>
              <w:t>拟派项目经理须具有</w:t>
            </w:r>
            <w:r>
              <w:rPr>
                <w:rFonts w:hint="eastAsia" w:ascii="宋体" w:hAnsi="宋体" w:cs="宋体"/>
                <w:color w:val="auto"/>
                <w:sz w:val="24"/>
                <w:szCs w:val="24"/>
                <w:highlight w:val="none"/>
                <w:lang w:eastAsia="zh-CN"/>
              </w:rPr>
              <w:t>市政公用工程</w:t>
            </w:r>
            <w:r>
              <w:rPr>
                <w:rFonts w:hint="eastAsia" w:ascii="宋体" w:hAnsi="宋体" w:eastAsia="宋体" w:cs="宋体"/>
                <w:color w:val="auto"/>
                <w:sz w:val="24"/>
                <w:szCs w:val="24"/>
                <w:highlight w:val="none"/>
                <w:lang w:eastAsia="zh-CN"/>
              </w:rPr>
              <w:t>专业贰级及以上注册建造师资格</w:t>
            </w:r>
            <w:r>
              <w:rPr>
                <w:rFonts w:hint="eastAsia" w:ascii="宋体" w:hAnsi="宋体" w:eastAsia="宋体" w:cs="宋体"/>
                <w:color w:val="auto"/>
                <w:sz w:val="24"/>
                <w:szCs w:val="24"/>
                <w:highlight w:val="none"/>
              </w:rPr>
              <w:t>并具有有效的安全生产考核合格证；同时提供近三个月以来的社保证明和无在建工程承诺书；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无行贿犯罪记录</w:t>
            </w:r>
          </w:p>
        </w:tc>
        <w:tc>
          <w:tcPr>
            <w:tcW w:w="528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kern w:val="0"/>
                <w:sz w:val="24"/>
                <w:highlight w:val="none"/>
              </w:rPr>
              <w:t>出具无行贿犯罪记录在中国裁判文书网自行查询或自行承诺（查询对象：企业、法定代表人）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kern w:val="0"/>
                <w:sz w:val="24"/>
                <w:highlight w:val="none"/>
              </w:rPr>
              <w:t>无商业贿赂及不正当竞争行为承诺书</w:t>
            </w:r>
          </w:p>
        </w:tc>
        <w:tc>
          <w:tcPr>
            <w:tcW w:w="5280" w:type="dxa"/>
            <w:vAlign w:val="center"/>
          </w:tcPr>
          <w:p>
            <w:pPr>
              <w:autoSpaceDE w:val="0"/>
              <w:autoSpaceDN w:val="0"/>
              <w:adjustRightInd w:val="0"/>
              <w:spacing w:line="360" w:lineRule="auto"/>
              <w:ind w:right="-61" w:rightChars="-29"/>
              <w:jc w:val="left"/>
              <w:rPr>
                <w:rFonts w:hint="eastAsia" w:ascii="宋体" w:hAnsi="宋体" w:eastAsia="宋体" w:cs="宋体"/>
                <w:color w:val="auto"/>
                <w:kern w:val="0"/>
                <w:sz w:val="21"/>
                <w:szCs w:val="21"/>
                <w:highlight w:val="none"/>
              </w:rPr>
            </w:pPr>
            <w:r>
              <w:rPr>
                <w:rFonts w:hint="eastAsia" w:ascii="宋体" w:hAnsi="宋体" w:eastAsia="宋体" w:cs="宋体"/>
                <w:bCs/>
                <w:kern w:val="0"/>
                <w:sz w:val="24"/>
                <w:highlight w:val="none"/>
              </w:rPr>
              <w:t>供应商出具的本单位无商业贿赂及无不正当竞争行为承诺书；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kern w:val="0"/>
                <w:sz w:val="24"/>
                <w:highlight w:val="none"/>
              </w:rPr>
              <w:t>信用查询</w:t>
            </w:r>
          </w:p>
        </w:tc>
        <w:tc>
          <w:tcPr>
            <w:tcW w:w="5280" w:type="dxa"/>
            <w:vAlign w:val="center"/>
          </w:tcPr>
          <w:p>
            <w:pPr>
              <w:autoSpaceDE w:val="0"/>
              <w:autoSpaceDN w:val="0"/>
              <w:adjustRightInd w:val="0"/>
              <w:spacing w:line="360" w:lineRule="auto"/>
              <w:jc w:val="left"/>
              <w:rPr>
                <w:rFonts w:hint="eastAsia" w:ascii="宋体" w:hAnsi="宋体" w:eastAsia="宋体" w:cs="宋体"/>
                <w:b w:val="0"/>
                <w:bCs w:val="0"/>
                <w:color w:val="auto"/>
                <w:kern w:val="0"/>
                <w:sz w:val="21"/>
                <w:szCs w:val="21"/>
                <w:highlight w:val="none"/>
                <w:shd w:val="clear" w:color="auto" w:fill="FFFFFF"/>
              </w:rPr>
            </w:pPr>
            <w:r>
              <w:rPr>
                <w:rFonts w:hint="eastAsia" w:ascii="宋体" w:hAnsi="宋体" w:eastAsia="宋体" w:cs="宋体"/>
                <w:bCs/>
                <w:kern w:val="0"/>
                <w:sz w:val="24"/>
                <w:highlight w:val="none"/>
              </w:rPr>
              <w:t>没有被列入“中国执行信息公开网”的“失信被执行人”、“信用中国”的“重大税收违法失信主体”及“中国政府采购网”的“政府采购严重违法失信行为记录名单”的供应商。【查询渠道：“中国执行信息公开网”（http://zxgk.court.gov.cn/）“信用中国”网站（www.creditchina.gov.cn）、“中国政府采购网”（www.ccgp.gov.cn）】（提供网站的查询信息截图,查询结果页面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kern w:val="0"/>
                <w:sz w:val="24"/>
                <w:highlight w:val="none"/>
                <w:lang w:val="en-US" w:eastAsia="zh-CN"/>
              </w:rPr>
              <w:t>企业</w:t>
            </w:r>
            <w:r>
              <w:rPr>
                <w:rFonts w:hint="eastAsia" w:ascii="宋体" w:hAnsi="宋体" w:cs="宋体"/>
                <w:kern w:val="0"/>
                <w:sz w:val="24"/>
                <w:highlight w:val="none"/>
                <w:lang w:val="en-US" w:eastAsia="zh-CN"/>
              </w:rPr>
              <w:t>信用</w:t>
            </w:r>
            <w:r>
              <w:rPr>
                <w:rFonts w:hint="eastAsia" w:ascii="宋体" w:hAnsi="宋体" w:eastAsia="宋体" w:cs="宋体"/>
                <w:kern w:val="0"/>
                <w:sz w:val="24"/>
                <w:highlight w:val="none"/>
                <w:lang w:val="en-US" w:eastAsia="zh-CN"/>
              </w:rPr>
              <w:t>信息</w:t>
            </w:r>
          </w:p>
        </w:tc>
        <w:tc>
          <w:tcPr>
            <w:tcW w:w="5280" w:type="dxa"/>
            <w:vAlign w:val="center"/>
          </w:tcPr>
          <w:p>
            <w:pPr>
              <w:autoSpaceDE w:val="0"/>
              <w:autoSpaceDN w:val="0"/>
              <w:adjustRightInd w:val="0"/>
              <w:spacing w:line="360" w:lineRule="auto"/>
              <w:jc w:val="left"/>
              <w:rPr>
                <w:rFonts w:hint="eastAsia" w:ascii="宋体" w:hAnsi="宋体" w:eastAsia="宋体" w:cs="宋体"/>
                <w:b w:val="0"/>
                <w:bCs w:val="0"/>
                <w:color w:val="auto"/>
                <w:kern w:val="0"/>
                <w:sz w:val="21"/>
                <w:szCs w:val="21"/>
                <w:highlight w:val="none"/>
                <w:shd w:val="clear" w:color="auto" w:fill="FFFFFF"/>
              </w:rPr>
            </w:pPr>
            <w:r>
              <w:rPr>
                <w:rFonts w:hint="eastAsia" w:ascii="宋体" w:hAnsi="宋体" w:eastAsia="宋体" w:cs="宋体"/>
                <w:kern w:val="0"/>
                <w:sz w:val="24"/>
                <w:highlight w:val="none"/>
              </w:rPr>
              <w:t>单位负责人为同一人或者存在控股、管理关系的不同单位，不得同时参加本项目投标（提供加盖</w:t>
            </w:r>
            <w:r>
              <w:rPr>
                <w:rFonts w:hint="eastAsia" w:ascii="宋体" w:hAnsi="宋体" w:eastAsia="宋体" w:cs="宋体"/>
                <w:bCs/>
                <w:sz w:val="24"/>
                <w:szCs w:val="24"/>
                <w:highlight w:val="none"/>
                <w:lang w:val="en-US" w:eastAsia="zh-CN"/>
              </w:rPr>
              <w:t>供应商</w:t>
            </w:r>
            <w:r>
              <w:rPr>
                <w:rFonts w:hint="eastAsia" w:ascii="宋体" w:hAnsi="宋体" w:eastAsia="宋体" w:cs="宋体"/>
                <w:kern w:val="0"/>
                <w:sz w:val="24"/>
                <w:highlight w:val="none"/>
              </w:rPr>
              <w:t>公章的“国家企业信用信息公示系统”中公示的公司信息、股东或投资人信息）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5" w:type="dxa"/>
            <w:vMerge w:val="restart"/>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080" w:type="dxa"/>
            <w:vMerge w:val="restart"/>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响应性审查</w:t>
            </w:r>
            <w:r>
              <w:rPr>
                <w:rFonts w:hint="eastAsia" w:ascii="宋体" w:hAnsi="宋体" w:eastAsia="宋体" w:cs="宋体"/>
                <w:color w:val="auto"/>
                <w:kern w:val="0"/>
                <w:sz w:val="21"/>
                <w:szCs w:val="21"/>
                <w:highlight w:val="none"/>
              </w:rPr>
              <w:t>标准</w:t>
            </w: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kern w:val="0"/>
                <w:sz w:val="24"/>
                <w:highlight w:val="none"/>
              </w:rPr>
              <w:t>计划工期</w:t>
            </w:r>
          </w:p>
        </w:tc>
        <w:tc>
          <w:tcPr>
            <w:tcW w:w="5280" w:type="dxa"/>
            <w:vAlign w:val="center"/>
          </w:tcPr>
          <w:p>
            <w:pPr>
              <w:autoSpaceDE w:val="0"/>
              <w:autoSpaceDN w:val="0"/>
              <w:adjustRightInd w:val="0"/>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cs="宋体"/>
                <w:sz w:val="24"/>
                <w:highlight w:val="none"/>
                <w:lang w:val="en-US"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kern w:val="0"/>
                <w:sz w:val="24"/>
                <w:highlight w:val="none"/>
              </w:rPr>
              <w:t>质量要求</w:t>
            </w:r>
          </w:p>
        </w:tc>
        <w:tc>
          <w:tcPr>
            <w:tcW w:w="5280" w:type="dxa"/>
            <w:vAlign w:val="center"/>
          </w:tcPr>
          <w:p>
            <w:pPr>
              <w:pStyle w:val="6"/>
              <w:widowControl/>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sz w:val="24"/>
                <w:highlight w:val="none"/>
                <w:lang w:val="en-US" w:eastAsia="zh-CN"/>
              </w:rPr>
              <w:t>达到国家质量验收规范合格标准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kern w:val="0"/>
                <w:sz w:val="24"/>
                <w:highlight w:val="none"/>
              </w:rPr>
              <w:t>磋商有效期</w:t>
            </w:r>
          </w:p>
        </w:tc>
        <w:tc>
          <w:tcPr>
            <w:tcW w:w="5280" w:type="dxa"/>
            <w:vAlign w:val="center"/>
          </w:tcPr>
          <w:p>
            <w:pPr>
              <w:pStyle w:val="6"/>
              <w:widowControl/>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sz w:val="24"/>
                <w:highlight w:val="none"/>
              </w:rPr>
              <w:t>60日历天（从磋商截止之日算起）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kern w:val="0"/>
                <w:sz w:val="24"/>
                <w:highlight w:val="none"/>
              </w:rPr>
              <w:t>已标价工程量清单</w:t>
            </w:r>
          </w:p>
        </w:tc>
        <w:tc>
          <w:tcPr>
            <w:tcW w:w="528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kern w:val="0"/>
                <w:sz w:val="24"/>
                <w:highlight w:val="none"/>
              </w:rPr>
              <w:t>符合“工程量清单”给出的范围及数量，</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不得擅自修改工程量清单上的工程项目和数量，否则其投标将予否决。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25"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1080" w:type="dxa"/>
            <w:vMerge w:val="continue"/>
            <w:vAlign w:val="center"/>
          </w:tcPr>
          <w:p>
            <w:pPr>
              <w:widowControl/>
              <w:spacing w:line="360" w:lineRule="auto"/>
              <w:jc w:val="center"/>
              <w:rPr>
                <w:rFonts w:hint="eastAsia" w:ascii="宋体" w:hAnsi="宋体" w:eastAsia="宋体" w:cs="宋体"/>
                <w:color w:val="auto"/>
                <w:kern w:val="0"/>
                <w:sz w:val="21"/>
                <w:szCs w:val="21"/>
                <w:highlight w:val="none"/>
              </w:rPr>
            </w:pPr>
          </w:p>
        </w:tc>
        <w:tc>
          <w:tcPr>
            <w:tcW w:w="2440" w:type="dxa"/>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sz w:val="24"/>
                <w:highlight w:val="none"/>
                <w:lang w:val="en-US" w:eastAsia="zh-CN"/>
              </w:rPr>
              <w:t>其他响应性</w:t>
            </w:r>
          </w:p>
        </w:tc>
        <w:tc>
          <w:tcPr>
            <w:tcW w:w="5280" w:type="dxa"/>
            <w:vAlign w:val="center"/>
          </w:tcPr>
          <w:p>
            <w:pPr>
              <w:autoSpaceDE w:val="0"/>
              <w:autoSpaceDN w:val="0"/>
              <w:adjustRightIn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sz w:val="24"/>
                <w:highlight w:val="none"/>
                <w:lang w:val="en-US" w:eastAsia="zh-CN"/>
              </w:rPr>
              <w:t>满足磋商文件的其他实质性要求</w:t>
            </w:r>
          </w:p>
        </w:tc>
      </w:tr>
      <w:bookmarkEnd w:id="181"/>
    </w:tbl>
    <w:p>
      <w:pPr>
        <w:wordWrap w:val="0"/>
        <w:spacing w:line="460" w:lineRule="exact"/>
        <w:ind w:firstLine="493" w:firstLineChars="196"/>
        <w:rPr>
          <w:rFonts w:ascii="宋体" w:hAnsi="宋体" w:cs="宋体"/>
          <w:spacing w:val="6"/>
          <w:sz w:val="24"/>
          <w:highlight w:val="none"/>
        </w:rPr>
      </w:pPr>
      <w:r>
        <w:rPr>
          <w:rFonts w:hint="eastAsia" w:ascii="宋体" w:hAnsi="宋体" w:cs="宋体"/>
          <w:spacing w:val="6"/>
          <w:sz w:val="24"/>
          <w:highlight w:val="none"/>
        </w:rPr>
        <w:t>根据《政府采购法》及相关法律法规的有关规定与本工程特点，本着公开、公平、公正的原则，特制定本评标办法。</w:t>
      </w:r>
    </w:p>
    <w:p>
      <w:pPr>
        <w:wordWrap w:val="0"/>
        <w:spacing w:line="460" w:lineRule="exact"/>
        <w:ind w:firstLine="493" w:firstLineChars="196"/>
        <w:rPr>
          <w:rFonts w:ascii="宋体" w:hAnsi="宋体" w:cs="宋体"/>
          <w:spacing w:val="6"/>
          <w:sz w:val="24"/>
          <w:highlight w:val="none"/>
        </w:rPr>
      </w:pPr>
      <w:r>
        <w:rPr>
          <w:rFonts w:hint="eastAsia" w:ascii="宋体" w:hAnsi="宋体" w:cs="宋体"/>
          <w:spacing w:val="6"/>
          <w:sz w:val="24"/>
          <w:highlight w:val="none"/>
        </w:rPr>
        <w:t>评标工作在磋商小组内独立进行，磋商小组将遵照评标原则，公正、平等地对待所有供应商。</w:t>
      </w:r>
    </w:p>
    <w:p>
      <w:pPr>
        <w:wordWrap w:val="0"/>
        <w:spacing w:line="460" w:lineRule="exact"/>
        <w:ind w:firstLine="493" w:firstLineChars="196"/>
        <w:rPr>
          <w:rFonts w:ascii="宋体" w:hAnsi="宋体" w:cs="宋体"/>
          <w:spacing w:val="6"/>
          <w:sz w:val="24"/>
          <w:highlight w:val="none"/>
        </w:rPr>
      </w:pPr>
      <w:r>
        <w:rPr>
          <w:rFonts w:hint="eastAsia" w:ascii="宋体" w:hAnsi="宋体" w:cs="宋体"/>
          <w:spacing w:val="6"/>
          <w:sz w:val="24"/>
          <w:highlight w:val="none"/>
        </w:rPr>
        <w:t>审核供应商的资格，供应商投标报价超过招标控制价的视为无效投标。磋商小组将不对无效响应文件或废标的供应商进行评审或打分。</w:t>
      </w:r>
    </w:p>
    <w:p>
      <w:pPr>
        <w:wordWrap w:val="0"/>
        <w:spacing w:line="460" w:lineRule="exact"/>
        <w:ind w:firstLine="493" w:firstLineChars="196"/>
        <w:rPr>
          <w:rFonts w:ascii="宋体" w:hAnsi="宋体" w:cs="宋体"/>
          <w:spacing w:val="6"/>
          <w:sz w:val="24"/>
          <w:highlight w:val="none"/>
        </w:rPr>
      </w:pPr>
      <w:r>
        <w:rPr>
          <w:rFonts w:hint="eastAsia" w:ascii="宋体" w:hAnsi="宋体" w:cs="宋体"/>
          <w:spacing w:val="6"/>
          <w:sz w:val="24"/>
          <w:highlight w:val="none"/>
        </w:rPr>
        <w:t>审查供应商的预算，供应商预算有重大偏离的其投标将不被接受。</w:t>
      </w:r>
    </w:p>
    <w:p>
      <w:pPr>
        <w:wordWrap w:val="0"/>
        <w:spacing w:line="500" w:lineRule="exact"/>
        <w:rPr>
          <w:rFonts w:ascii="宋体" w:hAnsi="宋体" w:cs="宋体"/>
          <w:b/>
          <w:spacing w:val="6"/>
          <w:sz w:val="24"/>
          <w:highlight w:val="none"/>
        </w:rPr>
      </w:pPr>
      <w:r>
        <w:rPr>
          <w:rFonts w:hint="eastAsia" w:ascii="宋体" w:hAnsi="宋体" w:cs="宋体"/>
          <w:b/>
          <w:spacing w:val="6"/>
          <w:sz w:val="24"/>
          <w:highlight w:val="none"/>
        </w:rPr>
        <w:t xml:space="preserve">一、响应报价（30分） </w:t>
      </w:r>
    </w:p>
    <w:p>
      <w:pPr>
        <w:wordWrap w:val="0"/>
        <w:autoSpaceDE w:val="0"/>
        <w:autoSpaceDN w:val="0"/>
        <w:adjustRightInd w:val="0"/>
        <w:spacing w:line="440" w:lineRule="exact"/>
        <w:ind w:firstLine="480" w:firstLineChars="200"/>
        <w:rPr>
          <w:rFonts w:ascii="宋体" w:hAnsi="宋体"/>
          <w:sz w:val="24"/>
          <w:highlight w:val="none"/>
        </w:rPr>
      </w:pPr>
      <w:r>
        <w:rPr>
          <w:rFonts w:hint="eastAsia" w:ascii="宋体" w:hAnsi="宋体"/>
          <w:sz w:val="24"/>
          <w:highlight w:val="none"/>
        </w:rPr>
        <w:t>1、价格分采用低价优先法计算，即满足竞争性磋商文件要求且投标价格最低的投标报价为评标基准价，其价格分为满分。</w:t>
      </w:r>
    </w:p>
    <w:p>
      <w:pPr>
        <w:wordWrap w:val="0"/>
        <w:autoSpaceDE w:val="0"/>
        <w:autoSpaceDN w:val="0"/>
        <w:adjustRightInd w:val="0"/>
        <w:spacing w:line="440" w:lineRule="exact"/>
        <w:ind w:firstLine="480" w:firstLineChars="200"/>
        <w:rPr>
          <w:rFonts w:ascii="宋体" w:hAnsi="宋体" w:cs="宋体"/>
          <w:sz w:val="24"/>
          <w:szCs w:val="21"/>
          <w:highlight w:val="none"/>
          <w:lang w:bidi="ar"/>
        </w:rPr>
      </w:pPr>
      <w:r>
        <w:rPr>
          <w:rFonts w:hint="eastAsia" w:ascii="宋体" w:hAnsi="宋体" w:cs="宋体"/>
          <w:sz w:val="24"/>
          <w:szCs w:val="21"/>
          <w:highlight w:val="none"/>
          <w:lang w:bidi="ar"/>
        </w:rPr>
        <w:t>按照《财政部关于加强政府采购货物和服务项目价格评审管理的通知》（财库【2007】2号）规定，综合评分法中的价格分用低价优先法计算，即满足竞争性磋商文件要求且投标价格最低的磋商报价为评标基准价，其价格分为满分30分。</w:t>
      </w:r>
    </w:p>
    <w:p>
      <w:pPr>
        <w:wordWrap w:val="0"/>
        <w:autoSpaceDE w:val="0"/>
        <w:autoSpaceDN w:val="0"/>
        <w:adjustRightInd w:val="0"/>
        <w:spacing w:line="440" w:lineRule="exact"/>
        <w:ind w:firstLine="480" w:firstLineChars="200"/>
        <w:rPr>
          <w:rFonts w:ascii="宋体" w:hAnsi="宋体" w:cs="宋体"/>
          <w:sz w:val="24"/>
          <w:szCs w:val="21"/>
          <w:highlight w:val="none"/>
          <w:lang w:bidi="ar"/>
        </w:rPr>
      </w:pPr>
      <w:r>
        <w:rPr>
          <w:rFonts w:hint="eastAsia" w:ascii="宋体" w:hAnsi="宋体" w:cs="宋体"/>
          <w:sz w:val="24"/>
          <w:szCs w:val="21"/>
          <w:highlight w:val="none"/>
          <w:lang w:bidi="ar"/>
        </w:rPr>
        <w:t>磋商报价得分=(磋商基准价/最后磋商报价)×价格权值×100</w:t>
      </w:r>
    </w:p>
    <w:p>
      <w:pPr>
        <w:wordWrap w:val="0"/>
        <w:spacing w:line="500" w:lineRule="exac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w:t>
      </w:r>
      <w:r>
        <w:rPr>
          <w:rFonts w:ascii="宋体" w:hAnsi="宋体"/>
          <w:sz w:val="24"/>
          <w:highlight w:val="none"/>
        </w:rPr>
        <w:t>价格扣除：</w:t>
      </w:r>
    </w:p>
    <w:p>
      <w:pPr>
        <w:wordWrap w:val="0"/>
        <w:spacing w:line="460" w:lineRule="exact"/>
        <w:ind w:firstLine="493" w:firstLineChars="196"/>
        <w:rPr>
          <w:rFonts w:hint="eastAsia" w:ascii="宋体" w:hAnsi="宋体" w:cs="宋体"/>
          <w:spacing w:val="6"/>
          <w:sz w:val="24"/>
          <w:highlight w:val="none"/>
        </w:rPr>
      </w:pPr>
      <w:r>
        <w:rPr>
          <w:rFonts w:hint="eastAsia" w:ascii="宋体" w:hAnsi="宋体" w:cs="宋体"/>
          <w:spacing w:val="6"/>
          <w:sz w:val="24"/>
          <w:highlight w:val="none"/>
        </w:rPr>
        <w:t>1、本项目专门面向中小企业采购，不再进行价格扣除。</w:t>
      </w:r>
    </w:p>
    <w:p>
      <w:pPr>
        <w:wordWrap w:val="0"/>
        <w:spacing w:line="460" w:lineRule="exact"/>
        <w:ind w:firstLine="493" w:firstLineChars="196"/>
        <w:rPr>
          <w:rFonts w:hint="eastAsia" w:ascii="宋体" w:hAnsi="宋体" w:cs="宋体"/>
          <w:spacing w:val="6"/>
          <w:sz w:val="24"/>
          <w:highlight w:val="none"/>
        </w:rPr>
      </w:pPr>
      <w:r>
        <w:rPr>
          <w:rFonts w:hint="eastAsia" w:ascii="宋体" w:hAnsi="宋体" w:cs="宋体"/>
          <w:spacing w:val="6"/>
          <w:sz w:val="24"/>
          <w:highlight w:val="none"/>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pPr>
        <w:wordWrap w:val="0"/>
        <w:spacing w:line="460" w:lineRule="exact"/>
        <w:ind w:firstLine="493" w:firstLineChars="196"/>
        <w:rPr>
          <w:rFonts w:hint="eastAsia" w:ascii="宋体" w:hAnsi="宋体" w:cs="宋体"/>
          <w:spacing w:val="6"/>
          <w:sz w:val="24"/>
          <w:highlight w:val="none"/>
        </w:rPr>
      </w:pPr>
      <w:r>
        <w:rPr>
          <w:rFonts w:hint="eastAsia" w:ascii="宋体" w:hAnsi="宋体" w:cs="宋体"/>
          <w:spacing w:val="6"/>
          <w:sz w:val="24"/>
          <w:highlight w:val="none"/>
        </w:rPr>
        <w:t>注：上述参与初步审查及详细评审的证明资料，投标单位需在三门峡市公共资源交易平台“市场主体库”上传扫描件本项目为电子化交易项目，响应性文件是供应商、供应商（以下简称“供应商”）通过中心响应性文件制作系统制作，并经过电子签章和加密后生成的电子版响应性文件。供应商投标时，不须提交纸质文件资料。</w:t>
      </w:r>
    </w:p>
    <w:p>
      <w:pPr>
        <w:wordWrap w:val="0"/>
        <w:spacing w:line="460" w:lineRule="exact"/>
        <w:ind w:firstLine="493" w:firstLineChars="196"/>
        <w:rPr>
          <w:rFonts w:ascii="宋体" w:hAnsi="宋体"/>
          <w:sz w:val="24"/>
          <w:highlight w:val="none"/>
        </w:rPr>
      </w:pPr>
      <w:r>
        <w:rPr>
          <w:rFonts w:hint="eastAsia" w:ascii="宋体" w:hAnsi="宋体" w:cs="宋体"/>
          <w:spacing w:val="6"/>
          <w:sz w:val="24"/>
          <w:highlight w:val="none"/>
        </w:rPr>
        <w:t>电子化响应性文件具体制作教材请供应商通过CA证书登录三门峡市公共资源电子化交易系统在 “交易智库”中下载操作流程</w:t>
      </w:r>
      <w:r>
        <w:rPr>
          <w:rFonts w:hint="eastAsia" w:ascii="宋体" w:hAnsi="宋体" w:cs="宋体"/>
          <w:spacing w:val="6"/>
          <w:sz w:val="24"/>
          <w:highlight w:val="none"/>
          <w:lang w:eastAsia="zh-CN"/>
        </w:rPr>
        <w:t>。</w:t>
      </w:r>
      <w:r>
        <w:rPr>
          <w:rFonts w:hint="eastAsia" w:ascii="宋体" w:hAnsi="宋体"/>
          <w:sz w:val="24"/>
          <w:highlight w:val="none"/>
        </w:rPr>
        <w:t xml:space="preserve"> </w:t>
      </w:r>
    </w:p>
    <w:p>
      <w:pPr>
        <w:wordWrap w:val="0"/>
        <w:spacing w:line="500" w:lineRule="exact"/>
        <w:ind w:firstLine="506" w:firstLineChars="200"/>
        <w:rPr>
          <w:rFonts w:ascii="宋体" w:hAnsi="宋体" w:cs="宋体"/>
          <w:b/>
          <w:spacing w:val="6"/>
          <w:sz w:val="24"/>
          <w:highlight w:val="none"/>
        </w:rPr>
      </w:pPr>
      <w:r>
        <w:rPr>
          <w:rFonts w:hint="eastAsia" w:ascii="宋体" w:hAnsi="宋体" w:cs="宋体"/>
          <w:b/>
          <w:spacing w:val="6"/>
          <w:sz w:val="24"/>
          <w:highlight w:val="none"/>
        </w:rPr>
        <w:t>二、技术部分（50分）</w:t>
      </w:r>
    </w:p>
    <w:p>
      <w:pPr>
        <w:wordWrap w:val="0"/>
        <w:spacing w:line="500" w:lineRule="exact"/>
        <w:ind w:firstLine="480" w:firstLineChars="200"/>
        <w:rPr>
          <w:rFonts w:ascii="宋体" w:hAnsi="宋体"/>
          <w:sz w:val="24"/>
          <w:highlight w:val="none"/>
        </w:rPr>
      </w:pPr>
      <w:r>
        <w:rPr>
          <w:rFonts w:hint="eastAsia" w:ascii="宋体" w:hAnsi="宋体"/>
          <w:sz w:val="24"/>
          <w:highlight w:val="none"/>
        </w:rPr>
        <w:t>依据磋商文件招标项目要求，按照供应商技术部分内容的深度和广度进行打分，没有的不得分。</w:t>
      </w:r>
    </w:p>
    <w:p>
      <w:pPr>
        <w:wordWrap w:val="0"/>
        <w:spacing w:line="500" w:lineRule="exact"/>
        <w:ind w:firstLine="482" w:firstLineChars="200"/>
        <w:rPr>
          <w:rFonts w:ascii="宋体" w:hAnsi="宋体"/>
          <w:b/>
          <w:bCs/>
          <w:sz w:val="24"/>
          <w:highlight w:val="none"/>
        </w:rPr>
      </w:pPr>
      <w:r>
        <w:rPr>
          <w:rFonts w:hint="eastAsia" w:ascii="宋体" w:hAnsi="宋体"/>
          <w:b/>
          <w:bCs/>
          <w:sz w:val="24"/>
          <w:highlight w:val="none"/>
        </w:rPr>
        <w:t>2.1施工方案与技术措施50分。</w:t>
      </w:r>
    </w:p>
    <w:tbl>
      <w:tblPr>
        <w:tblStyle w:val="18"/>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845"/>
        <w:gridCol w:w="5925"/>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项     目</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  审   标   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评审计分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1</w:t>
            </w:r>
          </w:p>
          <w:p>
            <w:pPr>
              <w:pStyle w:val="16"/>
              <w:wordWrap w:val="0"/>
              <w:ind w:left="2150" w:hanging="105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施工准备（0-8分）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w:t>
            </w:r>
            <w:r>
              <w:rPr>
                <w:rFonts w:hint="eastAsia" w:ascii="宋体" w:hAnsi="宋体" w:eastAsia="宋体" w:cs="宋体"/>
                <w:spacing w:val="6"/>
                <w:sz w:val="21"/>
                <w:szCs w:val="21"/>
                <w:highlight w:val="none"/>
              </w:rPr>
              <w:t>的得6-8分，较为合理的得1-5分，没有的得0分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主要施工方法（0-8分）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w:t>
            </w:r>
            <w:r>
              <w:rPr>
                <w:rFonts w:hint="eastAsia" w:ascii="宋体" w:hAnsi="宋体" w:eastAsia="宋体" w:cs="宋体"/>
                <w:spacing w:val="6"/>
                <w:sz w:val="21"/>
                <w:szCs w:val="21"/>
                <w:highlight w:val="none"/>
              </w:rPr>
              <w:t>的得6-8分，较为合理的得1-5分，没有的得0分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施工措施（0-8分）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w:t>
            </w:r>
            <w:r>
              <w:rPr>
                <w:rFonts w:hint="eastAsia" w:ascii="宋体" w:hAnsi="宋体" w:eastAsia="宋体" w:cs="宋体"/>
                <w:spacing w:val="6"/>
                <w:sz w:val="21"/>
                <w:szCs w:val="21"/>
                <w:highlight w:val="none"/>
              </w:rPr>
              <w:t>的得6-8分，较为合理的得1-5分，没有的得0分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质量管理体系与管理措施（0-8分）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w:t>
            </w:r>
            <w:r>
              <w:rPr>
                <w:rFonts w:hint="eastAsia" w:ascii="宋体" w:hAnsi="宋体" w:eastAsia="宋体" w:cs="宋体"/>
                <w:spacing w:val="6"/>
                <w:sz w:val="21"/>
                <w:szCs w:val="21"/>
                <w:highlight w:val="none"/>
              </w:rPr>
              <w:t>的得6-8分，较为合理的得1-5分，没有的得0分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安全管理体系及安全文明施工措施和应急事故处理措施（0-8分）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w:t>
            </w:r>
            <w:r>
              <w:rPr>
                <w:rFonts w:hint="eastAsia" w:ascii="宋体" w:hAnsi="宋体" w:eastAsia="宋体" w:cs="宋体"/>
                <w:spacing w:val="6"/>
                <w:sz w:val="21"/>
                <w:szCs w:val="21"/>
                <w:highlight w:val="none"/>
              </w:rPr>
              <w:t>的得6-8分，较为合理的得1-5分，没有的得0分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工程进度计划与措施（0-5分）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合理详细的得3-5分，较为合理的得1-2分，没有的得0分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84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质量保证和物料供应保证计划（0-5分）</w:t>
            </w:r>
          </w:p>
        </w:tc>
        <w:tc>
          <w:tcPr>
            <w:tcW w:w="5925"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合理详细的得3-5分，较为合理的得1-2分，没有的得0分</w:t>
            </w:r>
          </w:p>
        </w:tc>
        <w:tc>
          <w:tcPr>
            <w:tcW w:w="1392"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0＜得分≤5</w:t>
            </w:r>
          </w:p>
        </w:tc>
      </w:tr>
    </w:tbl>
    <w:p>
      <w:pPr>
        <w:wordWrap w:val="0"/>
        <w:spacing w:line="500" w:lineRule="exact"/>
        <w:ind w:firstLine="253" w:firstLineChars="100"/>
        <w:rPr>
          <w:rFonts w:ascii="宋体" w:hAnsi="宋体" w:cs="宋体"/>
          <w:b/>
          <w:bCs/>
          <w:spacing w:val="6"/>
          <w:sz w:val="24"/>
          <w:highlight w:val="none"/>
        </w:rPr>
      </w:pPr>
      <w:r>
        <w:rPr>
          <w:rFonts w:hint="eastAsia" w:ascii="宋体" w:hAnsi="宋体" w:cs="宋体"/>
          <w:b/>
          <w:bCs/>
          <w:spacing w:val="6"/>
          <w:sz w:val="24"/>
          <w:highlight w:val="none"/>
        </w:rPr>
        <w:t>三、业绩及其他（20分）</w:t>
      </w:r>
    </w:p>
    <w:tbl>
      <w:tblPr>
        <w:tblStyle w:val="18"/>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21"/>
        <w:gridCol w:w="6263"/>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rFonts w:ascii="宋体" w:hAnsi="宋体"/>
                <w:szCs w:val="21"/>
                <w:highlight w:val="none"/>
              </w:rPr>
            </w:pPr>
            <w:r>
              <w:rPr>
                <w:rFonts w:hint="eastAsia" w:ascii="宋体" w:hAnsi="宋体"/>
                <w:highlight w:val="none"/>
              </w:rPr>
              <w:t>序号</w:t>
            </w:r>
          </w:p>
        </w:tc>
        <w:tc>
          <w:tcPr>
            <w:tcW w:w="1421"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ascii="宋体" w:hAnsi="宋体"/>
                <w:szCs w:val="21"/>
                <w:highlight w:val="none"/>
              </w:rPr>
            </w:pPr>
            <w:r>
              <w:rPr>
                <w:rFonts w:hint="eastAsia" w:ascii="宋体" w:hAnsi="宋体"/>
                <w:highlight w:val="none"/>
              </w:rPr>
              <w:t>项     目</w:t>
            </w:r>
          </w:p>
        </w:tc>
        <w:tc>
          <w:tcPr>
            <w:tcW w:w="6263" w:type="dxa"/>
            <w:tcBorders>
              <w:top w:val="single" w:color="auto" w:sz="4" w:space="0"/>
              <w:left w:val="nil"/>
              <w:bottom w:val="single" w:color="auto" w:sz="4" w:space="0"/>
              <w:right w:val="single" w:color="auto" w:sz="4" w:space="0"/>
            </w:tcBorders>
            <w:vAlign w:val="center"/>
          </w:tcPr>
          <w:p>
            <w:pPr>
              <w:wordWrap w:val="0"/>
              <w:spacing w:line="400" w:lineRule="exact"/>
              <w:rPr>
                <w:szCs w:val="21"/>
                <w:highlight w:val="none"/>
              </w:rPr>
            </w:pPr>
            <w:r>
              <w:rPr>
                <w:rFonts w:hint="eastAsia"/>
                <w:highlight w:val="none"/>
              </w:rPr>
              <w:t>评  审   标   准</w:t>
            </w:r>
          </w:p>
        </w:tc>
        <w:tc>
          <w:tcPr>
            <w:tcW w:w="1351"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ascii="宋体" w:hAnsi="宋体"/>
                <w:szCs w:val="21"/>
                <w:highlight w:val="none"/>
              </w:rPr>
            </w:pPr>
            <w:r>
              <w:rPr>
                <w:rFonts w:hint="eastAsia" w:ascii="宋体" w:hAnsi="宋体"/>
                <w:highlight w:val="none"/>
              </w:rPr>
              <w:t>评审计分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0"/>
              <w:rPr>
                <w:szCs w:val="21"/>
                <w:highlight w:val="none"/>
              </w:rPr>
            </w:pPr>
            <w:r>
              <w:rPr>
                <w:rFonts w:hint="eastAsia"/>
                <w:highlight w:val="none"/>
              </w:rPr>
              <w:t>1</w:t>
            </w:r>
          </w:p>
          <w:p>
            <w:pPr>
              <w:pStyle w:val="16"/>
              <w:wordWrap w:val="0"/>
              <w:ind w:left="2150" w:hanging="1050"/>
              <w:rPr>
                <w:kern w:val="2"/>
                <w:sz w:val="21"/>
                <w:szCs w:val="21"/>
                <w:highlight w:val="none"/>
              </w:rPr>
            </w:pPr>
            <w:r>
              <w:rPr>
                <w:rFonts w:hint="eastAsia"/>
                <w:kern w:val="2"/>
                <w:sz w:val="21"/>
                <w:szCs w:val="21"/>
                <w:highlight w:val="none"/>
              </w:rPr>
              <w:t>1</w:t>
            </w:r>
          </w:p>
        </w:tc>
        <w:tc>
          <w:tcPr>
            <w:tcW w:w="1421"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ascii="宋体" w:hAnsi="宋体"/>
                <w:szCs w:val="21"/>
                <w:highlight w:val="none"/>
              </w:rPr>
            </w:pPr>
            <w:r>
              <w:rPr>
                <w:rFonts w:hint="eastAsia" w:ascii="宋体" w:hAnsi="宋体"/>
                <w:highlight w:val="none"/>
              </w:rPr>
              <w:t>业绩（0-</w:t>
            </w:r>
            <w:r>
              <w:rPr>
                <w:rFonts w:hint="eastAsia" w:ascii="宋体" w:hAnsi="宋体"/>
                <w:highlight w:val="none"/>
                <w:lang w:val="en-US" w:eastAsia="zh-CN"/>
              </w:rPr>
              <w:t>4</w:t>
            </w:r>
            <w:r>
              <w:rPr>
                <w:rFonts w:hint="eastAsia" w:ascii="宋体" w:hAnsi="宋体"/>
                <w:highlight w:val="none"/>
              </w:rPr>
              <w:t>）</w:t>
            </w:r>
          </w:p>
        </w:tc>
        <w:tc>
          <w:tcPr>
            <w:tcW w:w="6263"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ascii="宋体" w:hAnsi="宋体"/>
                <w:highlight w:val="none"/>
              </w:rPr>
            </w:pPr>
            <w:r>
              <w:rPr>
                <w:rFonts w:hint="eastAsia" w:ascii="宋体" w:hAnsi="宋体"/>
                <w:highlight w:val="none"/>
              </w:rPr>
              <w:t>供应商202</w:t>
            </w:r>
            <w:r>
              <w:rPr>
                <w:rFonts w:hint="eastAsia" w:ascii="宋体" w:hAnsi="宋体"/>
                <w:highlight w:val="none"/>
                <w:lang w:val="en-US" w:eastAsia="zh-CN"/>
              </w:rPr>
              <w:t>2</w:t>
            </w:r>
            <w:r>
              <w:rPr>
                <w:rFonts w:hint="eastAsia" w:ascii="宋体" w:hAnsi="宋体"/>
                <w:highlight w:val="none"/>
              </w:rPr>
              <w:t>年1月1日以来具有类似业绩，每一项得</w:t>
            </w:r>
            <w:r>
              <w:rPr>
                <w:rFonts w:hint="eastAsia" w:ascii="宋体" w:hAnsi="宋体"/>
                <w:highlight w:val="none"/>
                <w:lang w:val="en-US" w:eastAsia="zh-CN"/>
              </w:rPr>
              <w:t>2</w:t>
            </w:r>
            <w:r>
              <w:rPr>
                <w:rFonts w:hint="eastAsia" w:ascii="宋体" w:hAnsi="宋体"/>
                <w:highlight w:val="none"/>
              </w:rPr>
              <w:t>分,最多得</w:t>
            </w:r>
            <w:r>
              <w:rPr>
                <w:rFonts w:hint="eastAsia" w:ascii="宋体" w:hAnsi="宋体"/>
                <w:highlight w:val="none"/>
                <w:lang w:val="en-US" w:eastAsia="zh-CN"/>
              </w:rPr>
              <w:t>4</w:t>
            </w:r>
            <w:r>
              <w:rPr>
                <w:rFonts w:hint="eastAsia" w:ascii="宋体" w:hAnsi="宋体"/>
                <w:highlight w:val="none"/>
              </w:rPr>
              <w:t>分（提供合同、中标通知书在响应文件中提供</w:t>
            </w:r>
            <w:r>
              <w:rPr>
                <w:rFonts w:hint="eastAsia" w:ascii="宋体" w:hAnsi="宋体"/>
                <w:highlight w:val="none"/>
                <w:lang w:val="en-US" w:eastAsia="zh-CN"/>
              </w:rPr>
              <w:t>扫描件</w:t>
            </w:r>
            <w:r>
              <w:rPr>
                <w:rFonts w:hint="eastAsia" w:ascii="宋体" w:hAnsi="宋体"/>
                <w:highlight w:val="none"/>
              </w:rPr>
              <w:t>，否则不得分）</w:t>
            </w:r>
          </w:p>
        </w:tc>
        <w:tc>
          <w:tcPr>
            <w:tcW w:w="1351" w:type="dxa"/>
            <w:tcBorders>
              <w:top w:val="single" w:color="auto" w:sz="4" w:space="0"/>
              <w:left w:val="nil"/>
              <w:bottom w:val="single" w:color="auto" w:sz="4" w:space="0"/>
              <w:right w:val="single" w:color="auto" w:sz="4" w:space="0"/>
            </w:tcBorders>
            <w:vAlign w:val="center"/>
          </w:tcPr>
          <w:p>
            <w:pPr>
              <w:wordWrap w:val="0"/>
              <w:spacing w:line="400" w:lineRule="exact"/>
              <w:ind w:firstLine="0"/>
              <w:rPr>
                <w:rFonts w:hint="eastAsia" w:ascii="宋体" w:hAnsi="宋体" w:eastAsia="宋体"/>
                <w:szCs w:val="21"/>
                <w:highlight w:val="none"/>
                <w:lang w:eastAsia="zh-CN"/>
              </w:rPr>
            </w:pPr>
            <w:r>
              <w:rPr>
                <w:rFonts w:hint="eastAsia" w:ascii="宋体" w:hAnsi="宋体"/>
                <w:highlight w:val="none"/>
              </w:rPr>
              <w:t>0＜得分≤</w:t>
            </w:r>
            <w:r>
              <w:rPr>
                <w:rFonts w:hint="eastAsia" w:ascii="宋体" w:hAnsi="宋体"/>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536" w:type="dxa"/>
            <w:tcBorders>
              <w:top w:val="nil"/>
              <w:left w:val="single" w:color="auto" w:sz="4" w:space="0"/>
              <w:bottom w:val="single" w:color="auto" w:sz="4" w:space="0"/>
              <w:right w:val="single" w:color="auto" w:sz="4" w:space="0"/>
            </w:tcBorders>
            <w:vAlign w:val="center"/>
          </w:tcPr>
          <w:p>
            <w:pPr>
              <w:wordWrap w:val="0"/>
              <w:ind w:firstLine="0"/>
              <w:rPr>
                <w:rFonts w:ascii="宋体" w:hAnsi="宋体"/>
                <w:szCs w:val="21"/>
                <w:highlight w:val="none"/>
              </w:rPr>
            </w:pPr>
            <w:r>
              <w:rPr>
                <w:rFonts w:hint="eastAsia"/>
                <w:highlight w:val="none"/>
              </w:rPr>
              <w:t>2</w:t>
            </w:r>
          </w:p>
        </w:tc>
        <w:tc>
          <w:tcPr>
            <w:tcW w:w="1421" w:type="dxa"/>
            <w:tcBorders>
              <w:top w:val="nil"/>
              <w:left w:val="nil"/>
              <w:bottom w:val="single" w:color="auto" w:sz="4" w:space="0"/>
              <w:right w:val="single" w:color="auto" w:sz="4" w:space="0"/>
            </w:tcBorders>
            <w:vAlign w:val="center"/>
          </w:tcPr>
          <w:p>
            <w:pPr>
              <w:wordWrap w:val="0"/>
              <w:ind w:firstLine="0"/>
              <w:rPr>
                <w:rFonts w:ascii="宋体" w:hAnsi="宋体"/>
                <w:szCs w:val="21"/>
                <w:highlight w:val="none"/>
              </w:rPr>
            </w:pPr>
            <w:r>
              <w:rPr>
                <w:rFonts w:hint="eastAsia"/>
                <w:highlight w:val="none"/>
              </w:rPr>
              <w:t>优惠承诺（0-10</w:t>
            </w:r>
            <w:r>
              <w:rPr>
                <w:rFonts w:hint="eastAsia" w:ascii="宋体" w:hAnsi="宋体"/>
                <w:highlight w:val="none"/>
              </w:rPr>
              <w:t>分</w:t>
            </w:r>
            <w:r>
              <w:rPr>
                <w:rFonts w:hint="eastAsia"/>
                <w:highlight w:val="none"/>
              </w:rPr>
              <w:t>）</w:t>
            </w:r>
          </w:p>
        </w:tc>
        <w:tc>
          <w:tcPr>
            <w:tcW w:w="6263" w:type="dxa"/>
            <w:tcBorders>
              <w:top w:val="single" w:color="auto" w:sz="4" w:space="0"/>
              <w:left w:val="nil"/>
              <w:right w:val="single" w:color="auto" w:sz="4" w:space="0"/>
            </w:tcBorders>
            <w:vAlign w:val="center"/>
          </w:tcPr>
          <w:p>
            <w:pPr>
              <w:wordWrap w:val="0"/>
              <w:spacing w:line="400" w:lineRule="exact"/>
              <w:ind w:firstLine="0"/>
              <w:rPr>
                <w:rFonts w:ascii="宋体" w:hAnsi="宋体"/>
                <w:highlight w:val="none"/>
              </w:rPr>
            </w:pPr>
            <w:r>
              <w:rPr>
                <w:rFonts w:hint="eastAsia" w:ascii="宋体" w:hAnsi="宋体"/>
                <w:highlight w:val="none"/>
              </w:rPr>
              <w:t>优惠承诺应是书面的符合工程实际情况，确保依法依规，优惠合理，详实可行。没有不得分</w:t>
            </w:r>
          </w:p>
        </w:tc>
        <w:tc>
          <w:tcPr>
            <w:tcW w:w="1351" w:type="dxa"/>
            <w:tcBorders>
              <w:top w:val="single" w:color="auto" w:sz="4" w:space="0"/>
              <w:left w:val="nil"/>
              <w:right w:val="single" w:color="auto" w:sz="4" w:space="0"/>
            </w:tcBorders>
            <w:vAlign w:val="center"/>
          </w:tcPr>
          <w:p>
            <w:pPr>
              <w:wordWrap w:val="0"/>
              <w:ind w:firstLine="0"/>
              <w:rPr>
                <w:rFonts w:ascii="宋体" w:hAnsi="宋体"/>
                <w:szCs w:val="21"/>
                <w:highlight w:val="none"/>
              </w:rPr>
            </w:pPr>
            <w:r>
              <w:rPr>
                <w:rFonts w:hint="eastAsia"/>
                <w:highlight w:val="none"/>
              </w:rPr>
              <w:t>0＜得分</w:t>
            </w:r>
            <w:r>
              <w:rPr>
                <w:highlight w:val="none"/>
              </w:rPr>
              <w:t>≤</w:t>
            </w: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536" w:type="dxa"/>
            <w:tcBorders>
              <w:top w:val="nil"/>
              <w:left w:val="single" w:color="auto" w:sz="4" w:space="0"/>
              <w:bottom w:val="single" w:color="auto" w:sz="4" w:space="0"/>
              <w:right w:val="single" w:color="auto" w:sz="4" w:space="0"/>
            </w:tcBorders>
            <w:vAlign w:val="center"/>
          </w:tcPr>
          <w:p>
            <w:pPr>
              <w:wordWrap w:val="0"/>
              <w:ind w:firstLine="0"/>
              <w:rPr>
                <w:rFonts w:ascii="宋体" w:hAnsi="宋体"/>
                <w:szCs w:val="21"/>
                <w:highlight w:val="none"/>
              </w:rPr>
            </w:pPr>
            <w:r>
              <w:rPr>
                <w:rFonts w:hint="eastAsia"/>
                <w:highlight w:val="none"/>
              </w:rPr>
              <w:t>3</w:t>
            </w:r>
          </w:p>
        </w:tc>
        <w:tc>
          <w:tcPr>
            <w:tcW w:w="1421" w:type="dxa"/>
            <w:tcBorders>
              <w:top w:val="nil"/>
              <w:left w:val="nil"/>
              <w:bottom w:val="single" w:color="auto" w:sz="4" w:space="0"/>
              <w:right w:val="single" w:color="auto" w:sz="4" w:space="0"/>
            </w:tcBorders>
            <w:vAlign w:val="center"/>
          </w:tcPr>
          <w:p>
            <w:pPr>
              <w:wordWrap w:val="0"/>
              <w:ind w:firstLine="0"/>
              <w:rPr>
                <w:rFonts w:ascii="宋体" w:hAnsi="宋体"/>
                <w:szCs w:val="21"/>
                <w:highlight w:val="none"/>
              </w:rPr>
            </w:pPr>
            <w:r>
              <w:rPr>
                <w:rFonts w:hint="eastAsia"/>
                <w:highlight w:val="none"/>
              </w:rPr>
              <w:t>履职尽责承诺</w:t>
            </w:r>
            <w:r>
              <w:rPr>
                <w:rFonts w:hint="eastAsia" w:ascii="宋体" w:hAnsi="宋体"/>
                <w:szCs w:val="21"/>
                <w:highlight w:val="none"/>
              </w:rPr>
              <w:t>（0-</w:t>
            </w:r>
            <w:r>
              <w:rPr>
                <w:rFonts w:hint="eastAsia" w:ascii="宋体" w:hAnsi="宋体"/>
                <w:szCs w:val="21"/>
                <w:highlight w:val="none"/>
                <w:lang w:val="en-US" w:eastAsia="zh-CN"/>
              </w:rPr>
              <w:t>6</w:t>
            </w:r>
            <w:r>
              <w:rPr>
                <w:rFonts w:hint="eastAsia" w:ascii="宋体" w:hAnsi="宋体"/>
                <w:szCs w:val="21"/>
                <w:highlight w:val="none"/>
              </w:rPr>
              <w:t>分）</w:t>
            </w:r>
          </w:p>
        </w:tc>
        <w:tc>
          <w:tcPr>
            <w:tcW w:w="6263" w:type="dxa"/>
            <w:tcBorders>
              <w:top w:val="single" w:color="auto" w:sz="4" w:space="0"/>
              <w:left w:val="nil"/>
              <w:right w:val="single" w:color="auto" w:sz="4" w:space="0"/>
            </w:tcBorders>
            <w:vAlign w:val="center"/>
          </w:tcPr>
          <w:p>
            <w:pPr>
              <w:wordWrap w:val="0"/>
              <w:spacing w:line="400" w:lineRule="exact"/>
              <w:ind w:firstLine="0"/>
              <w:rPr>
                <w:rFonts w:ascii="宋体" w:hAnsi="宋体"/>
                <w:highlight w:val="none"/>
              </w:rPr>
            </w:pPr>
            <w:r>
              <w:rPr>
                <w:rFonts w:hint="eastAsia" w:ascii="宋体" w:hAnsi="宋体"/>
                <w:highlight w:val="none"/>
              </w:rPr>
              <w:t>具有全面、详实、可行、合法有效的书面保证技术措施落实到位的承诺和落实不到位的处理承诺，其中包括各关键岗位人员（项目经理、技术负责人及相关技术人员、质量员、施工员、安全员、材料员等）的在岗、更换等履职尽责承诺，提供承包商履约保证。</w:t>
            </w:r>
          </w:p>
        </w:tc>
        <w:tc>
          <w:tcPr>
            <w:tcW w:w="1351" w:type="dxa"/>
            <w:tcBorders>
              <w:top w:val="single" w:color="auto" w:sz="4" w:space="0"/>
              <w:left w:val="nil"/>
              <w:right w:val="single" w:color="auto" w:sz="4" w:space="0"/>
            </w:tcBorders>
            <w:vAlign w:val="center"/>
          </w:tcPr>
          <w:p>
            <w:pPr>
              <w:wordWrap w:val="0"/>
              <w:ind w:firstLine="0"/>
              <w:rPr>
                <w:rFonts w:hint="eastAsia" w:ascii="宋体" w:hAnsi="宋体" w:eastAsia="宋体"/>
                <w:szCs w:val="21"/>
                <w:highlight w:val="none"/>
                <w:lang w:eastAsia="zh-CN"/>
              </w:rPr>
            </w:pPr>
            <w:r>
              <w:rPr>
                <w:rFonts w:hint="eastAsia"/>
                <w:highlight w:val="none"/>
              </w:rPr>
              <w:t>0＜得分</w:t>
            </w:r>
            <w:r>
              <w:rPr>
                <w:highlight w:val="none"/>
              </w:rPr>
              <w:t>≤</w:t>
            </w:r>
            <w:r>
              <w:rPr>
                <w:rFonts w:hint="eastAsia"/>
                <w:highlight w:val="none"/>
                <w:lang w:val="en-US" w:eastAsia="zh-CN"/>
              </w:rPr>
              <w:t>6</w:t>
            </w:r>
          </w:p>
        </w:tc>
      </w:tr>
    </w:tbl>
    <w:p>
      <w:pPr>
        <w:spacing w:line="360" w:lineRule="auto"/>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、综合评分法</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本次采用综合评分法。</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pPr>
        <w:spacing w:line="360" w:lineRule="auto"/>
        <w:ind w:firstLine="520" w:firstLineChars="217"/>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评分分值计算保留小数点后两位，小数点后第三位“四舍五入”。</w:t>
      </w:r>
    </w:p>
    <w:p>
      <w:pPr>
        <w:spacing w:line="360" w:lineRule="auto"/>
        <w:ind w:firstLine="520" w:firstLineChars="217"/>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在评标过程中，凡遇到磋商文件中无界定或界定不清、前后不一致使磋商小组成员意见有分歧且又难以协商一致的问题，均由磋商小组成员投票予以表决，少数服从多数原则确定。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磋商小组完成评审后，向采购人出具评审报告。</w:t>
      </w:r>
    </w:p>
    <w:p>
      <w:pPr>
        <w:spacing w:line="360" w:lineRule="auto"/>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 xml:space="preserve">、磋商程序 </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 xml:space="preserve">.1 初步评审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.1.1 磋商小组应该以供应商</w:t>
      </w:r>
      <w:r>
        <w:rPr>
          <w:rFonts w:hint="eastAsia" w:ascii="宋体" w:hAnsi="宋体" w:eastAsia="宋体" w:cs="宋体"/>
          <w:sz w:val="24"/>
          <w:szCs w:val="24"/>
          <w:highlight w:val="none"/>
          <w:lang w:val="en-US" w:eastAsia="zh-CN"/>
        </w:rPr>
        <w:t>制作在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中的内容</w:t>
      </w:r>
      <w:r>
        <w:rPr>
          <w:rFonts w:hint="eastAsia" w:ascii="宋体" w:hAnsi="宋体" w:eastAsia="宋体" w:cs="宋体"/>
          <w:sz w:val="24"/>
          <w:szCs w:val="24"/>
          <w:highlight w:val="none"/>
        </w:rPr>
        <w:t>为准，进行核验。磋商小组查阅响应文件中相关资料原件的扫描件。</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.1.2磋商小组依据本章附表 1 初步评审表规定的标准对磋商响应文件进行初步评审。有一项不符合评审标准的，作无效标处理。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.1.3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有以下情形之一的，其磋商作无效标处理：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（1）串通磋商或弄虚作假或有其他违法行为的；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（2）不按磋商小组要求澄清、说明或补正的。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.1.4磋商报价有算术错误的，磋商小组按以下原则对磋商报价进行修正，修正的价格经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确认后具有约束力。</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不接受修正价格的，其磋商作废标处理。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（1）磋商文件中的大写金额与小写金额不一致的，以大写金额为准；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（2）总价金额与依据单价计算出的结果不一致的，以单价金额为准修正总价，但单价金额小数点有明显错误的除外。 </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 xml:space="preserve">.2详细评审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.2.1磋商小组按本章评标办法前附表规定的量化因素和分值进行打分，并计算出综合评估得分。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.2.2在评审过程中，磋商小组发现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的磋商报价明显低于其他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 并有可能低于其企业成本的，则磋商小组可以要求该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作出说明并提供相关证明材料。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不能合理说明或不能提供相关证明材料的，经磋商小组</w:t>
      </w:r>
      <w:r>
        <w:rPr>
          <w:rFonts w:hint="eastAsia" w:ascii="宋体" w:hAnsi="宋体" w:eastAsia="宋体" w:cs="宋体"/>
          <w:color w:val="000000"/>
          <w:spacing w:val="6"/>
          <w:sz w:val="24"/>
          <w:highlight w:val="none"/>
        </w:rPr>
        <w:t>小组认定，属于恶性竞标的，可以按废标处理；评标委员会将不对无效响应文件或废标的供应商进行评审或打分。</w:t>
      </w:r>
      <w:r>
        <w:rPr>
          <w:rFonts w:hint="eastAsia" w:ascii="宋体" w:hAnsi="宋体" w:eastAsia="宋体" w:cs="宋体"/>
          <w:sz w:val="24"/>
          <w:szCs w:val="24"/>
          <w:highlight w:val="none"/>
        </w:rPr>
        <w:t xml:space="preserve"> </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 xml:space="preserve">.3磋商文件的澄清和补正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.3.1在磋商过程中，磋商小组可以要求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对所提交磋商响应文件中不明确的内容进行澄清或说明，或者对细微偏差进行补正。磋商小组不接受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主动提出的澄清、说明或补正。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.3.2澄清、说明和补正不得改变磋商文件的实质性内容（算术性错误修正的除外）。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的澄清、说明和补正属于磋商响应文件的组成部分。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.3.3磋商小组对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进一步澄清、说明或补正，直至满足磋商小组的要求。 </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.4、计分办法</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.5  磋商结果</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磋商小组按照得分由高到低的</w:t>
      </w:r>
      <w:r>
        <w:rPr>
          <w:rFonts w:hint="eastAsia" w:ascii="宋体" w:hAnsi="宋体" w:eastAsia="宋体" w:cs="宋体"/>
          <w:color w:val="auto"/>
          <w:sz w:val="24"/>
          <w:szCs w:val="24"/>
          <w:highlight w:val="none"/>
        </w:rPr>
        <w:t>顺序推荐3名中标候选人。磋商小组完成磋商后，应当向采购人提交磋商报告。</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.6 定标办法</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w:t>
      </w:r>
      <w:r>
        <w:rPr>
          <w:rFonts w:hint="eastAsia" w:ascii="宋体" w:hAnsi="宋体" w:eastAsia="宋体" w:cs="宋体"/>
          <w:sz w:val="24"/>
          <w:szCs w:val="24"/>
          <w:highlight w:val="none"/>
        </w:rPr>
        <w:t>出具磋商评审报告。</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最终得分相同的，按照最后报价由低到高的顺序推荐。最终得分和最后报价均相同的，按照技术指标优劣顺序或磋商小组举手表决，少数服从多数的原则推荐。</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（2）采购人按磋商小组写出磋商报告确定排序第一的响应单位为成交人。</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pPr>
        <w:pStyle w:val="3"/>
        <w:spacing w:line="360" w:lineRule="auto"/>
        <w:jc w:val="left"/>
        <w:rPr>
          <w:rFonts w:hint="eastAsia" w:ascii="宋体" w:hAnsi="宋体" w:eastAsia="宋体" w:cs="宋体"/>
          <w:b w:val="0"/>
          <w:bCs/>
          <w:sz w:val="24"/>
          <w:szCs w:val="24"/>
          <w:highlight w:val="none"/>
        </w:rPr>
      </w:pPr>
    </w:p>
    <w:p>
      <w:pPr>
        <w:spacing w:line="360" w:lineRule="auto"/>
        <w:ind w:right="-57" w:rightChars="-27"/>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spacing w:line="360" w:lineRule="auto"/>
        <w:ind w:right="-340" w:rightChars="-162"/>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第七章  响应文件格式</w:t>
      </w:r>
    </w:p>
    <w:p>
      <w:pPr>
        <w:spacing w:line="360" w:lineRule="auto"/>
        <w:ind w:right="-340" w:rightChars="-162"/>
        <w:jc w:val="center"/>
        <w:rPr>
          <w:rFonts w:hint="eastAsia" w:ascii="宋体" w:hAnsi="宋体" w:eastAsia="宋体" w:cs="宋体"/>
          <w:b/>
          <w:kern w:val="0"/>
          <w:sz w:val="44"/>
          <w:szCs w:val="44"/>
          <w:highlight w:val="none"/>
        </w:rPr>
      </w:pPr>
    </w:p>
    <w:p>
      <w:pPr>
        <w:pStyle w:val="9"/>
        <w:spacing w:line="360" w:lineRule="auto"/>
        <w:rPr>
          <w:rFonts w:hint="eastAsia" w:ascii="宋体" w:hAnsi="宋体" w:eastAsia="宋体" w:cs="宋体"/>
          <w:highlight w:val="none"/>
        </w:rPr>
      </w:pPr>
    </w:p>
    <w:p>
      <w:pPr>
        <w:widowControl/>
        <w:snapToGrid w:val="0"/>
        <w:spacing w:line="360" w:lineRule="auto"/>
        <w:ind w:right="-340" w:rightChars="-162"/>
        <w:rPr>
          <w:rFonts w:hint="eastAsia" w:ascii="宋体" w:hAnsi="宋体" w:eastAsia="宋体" w:cs="宋体"/>
          <w:b/>
          <w:kern w:val="0"/>
          <w:sz w:val="44"/>
          <w:szCs w:val="44"/>
          <w:highlight w:val="none"/>
        </w:rPr>
      </w:pPr>
    </w:p>
    <w:p>
      <w:pPr>
        <w:widowControl/>
        <w:snapToGrid w:val="0"/>
        <w:spacing w:line="360" w:lineRule="auto"/>
        <w:ind w:right="-340" w:rightChars="-162"/>
        <w:jc w:val="center"/>
        <w:rPr>
          <w:rFonts w:hint="eastAsia" w:ascii="宋体" w:hAnsi="宋体" w:eastAsia="宋体" w:cs="宋体"/>
          <w:b/>
          <w:kern w:val="0"/>
          <w:sz w:val="52"/>
          <w:szCs w:val="52"/>
          <w:highlight w:val="none"/>
          <w:u w:val="single"/>
        </w:rPr>
      </w:pPr>
      <w:r>
        <w:rPr>
          <w:rFonts w:hint="eastAsia" w:ascii="宋体" w:hAnsi="宋体" w:eastAsia="宋体" w:cs="宋体"/>
          <w:b/>
          <w:kern w:val="0"/>
          <w:sz w:val="52"/>
          <w:szCs w:val="52"/>
          <w:highlight w:val="none"/>
          <w:u w:val="single"/>
        </w:rPr>
        <w:t xml:space="preserve">            （项目名称）</w:t>
      </w:r>
    </w:p>
    <w:p>
      <w:pPr>
        <w:pStyle w:val="9"/>
        <w:spacing w:line="360" w:lineRule="auto"/>
        <w:rPr>
          <w:rFonts w:hint="eastAsia" w:ascii="宋体" w:hAnsi="宋体" w:eastAsia="宋体" w:cs="宋体"/>
          <w:highlight w:val="none"/>
        </w:rPr>
      </w:pPr>
    </w:p>
    <w:p>
      <w:pPr>
        <w:spacing w:line="360" w:lineRule="auto"/>
        <w:ind w:right="-340" w:rightChars="-162" w:firstLine="351" w:firstLineChars="97"/>
        <w:jc w:val="center"/>
        <w:rPr>
          <w:rFonts w:hint="eastAsia" w:ascii="宋体" w:hAnsi="宋体" w:eastAsia="宋体" w:cs="宋体"/>
          <w:b/>
          <w:sz w:val="36"/>
          <w:szCs w:val="36"/>
          <w:highlight w:val="none"/>
        </w:rPr>
      </w:pPr>
    </w:p>
    <w:p>
      <w:pPr>
        <w:pStyle w:val="9"/>
        <w:spacing w:line="360" w:lineRule="auto"/>
        <w:rPr>
          <w:rFonts w:hint="eastAsia" w:ascii="宋体" w:hAnsi="宋体" w:eastAsia="宋体" w:cs="宋体"/>
          <w:highlight w:val="none"/>
        </w:rPr>
      </w:pPr>
    </w:p>
    <w:p>
      <w:pPr>
        <w:pStyle w:val="9"/>
        <w:spacing w:line="360" w:lineRule="auto"/>
        <w:rPr>
          <w:rFonts w:hint="eastAsia" w:ascii="宋体" w:hAnsi="宋体" w:eastAsia="宋体" w:cs="宋体"/>
          <w:highlight w:val="none"/>
        </w:rPr>
      </w:pPr>
    </w:p>
    <w:p>
      <w:pPr>
        <w:spacing w:line="360" w:lineRule="auto"/>
        <w:ind w:right="-340" w:rightChars="-162"/>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响 应 文 件</w:t>
      </w:r>
    </w:p>
    <w:p>
      <w:pPr>
        <w:spacing w:line="360" w:lineRule="auto"/>
        <w:ind w:right="-340" w:rightChars="-162" w:firstLine="2238" w:firstLineChars="796"/>
        <w:rPr>
          <w:rFonts w:hint="eastAsia" w:ascii="宋体" w:hAnsi="宋体" w:eastAsia="宋体" w:cs="宋体"/>
          <w:b/>
          <w:sz w:val="28"/>
          <w:szCs w:val="28"/>
          <w:highlight w:val="none"/>
          <w:shd w:val="clear" w:color="auto" w:fill="FFFFFF"/>
        </w:rPr>
      </w:pPr>
    </w:p>
    <w:p>
      <w:pPr>
        <w:pStyle w:val="9"/>
        <w:spacing w:line="360" w:lineRule="auto"/>
        <w:rPr>
          <w:rFonts w:hint="eastAsia" w:ascii="宋体" w:hAnsi="宋体" w:eastAsia="宋体" w:cs="宋体"/>
          <w:highlight w:val="none"/>
        </w:rPr>
      </w:pPr>
    </w:p>
    <w:p>
      <w:pPr>
        <w:pStyle w:val="9"/>
        <w:spacing w:line="360" w:lineRule="auto"/>
        <w:rPr>
          <w:rFonts w:hint="eastAsia" w:ascii="宋体" w:hAnsi="宋体" w:eastAsia="宋体" w:cs="宋体"/>
          <w:highlight w:val="none"/>
        </w:rPr>
      </w:pPr>
    </w:p>
    <w:p>
      <w:pPr>
        <w:spacing w:line="360" w:lineRule="auto"/>
        <w:ind w:right="-340" w:rightChars="-162" w:firstLine="2891" w:firstLineChars="900"/>
        <w:rPr>
          <w:rFonts w:hint="eastAsia" w:ascii="宋体" w:hAnsi="宋体" w:eastAsia="宋体" w:cs="宋体"/>
          <w:b/>
          <w:sz w:val="32"/>
          <w:szCs w:val="32"/>
          <w:highlight w:val="none"/>
          <w:shd w:val="clear" w:color="auto" w:fill="FFFFFF"/>
        </w:rPr>
      </w:pPr>
    </w:p>
    <w:p>
      <w:pPr>
        <w:spacing w:line="360" w:lineRule="auto"/>
        <w:ind w:right="-340" w:rightChars="-162" w:firstLine="2878" w:firstLineChars="896"/>
        <w:rPr>
          <w:rFonts w:hint="eastAsia" w:ascii="宋体" w:hAnsi="宋体" w:eastAsia="宋体" w:cs="宋体"/>
          <w:b/>
          <w:sz w:val="32"/>
          <w:szCs w:val="32"/>
          <w:highlight w:val="none"/>
          <w:shd w:val="clear" w:color="auto" w:fill="FFFFFF"/>
        </w:rPr>
      </w:pPr>
      <w:r>
        <w:rPr>
          <w:rFonts w:hint="eastAsia" w:ascii="宋体" w:hAnsi="宋体" w:eastAsia="宋体" w:cs="宋体"/>
          <w:b/>
          <w:sz w:val="32"/>
          <w:szCs w:val="32"/>
          <w:highlight w:val="none"/>
          <w:shd w:val="clear" w:color="auto" w:fill="FFFFFF"/>
        </w:rPr>
        <w:t>项目编号：</w:t>
      </w:r>
    </w:p>
    <w:p>
      <w:pPr>
        <w:spacing w:line="360" w:lineRule="auto"/>
        <w:ind w:right="-340" w:rightChars="-162" w:firstLine="2878" w:firstLineChars="896"/>
        <w:rPr>
          <w:rFonts w:hint="eastAsia" w:ascii="宋体" w:hAnsi="宋体" w:eastAsia="宋体" w:cs="宋体"/>
          <w:b/>
          <w:sz w:val="32"/>
          <w:szCs w:val="32"/>
          <w:highlight w:val="none"/>
          <w:shd w:val="clear" w:color="auto" w:fill="FFFFFF"/>
        </w:rPr>
      </w:pPr>
      <w:r>
        <w:rPr>
          <w:rFonts w:hint="eastAsia" w:ascii="宋体" w:hAnsi="宋体" w:eastAsia="宋体" w:cs="宋体"/>
          <w:b/>
          <w:sz w:val="32"/>
          <w:szCs w:val="32"/>
          <w:highlight w:val="none"/>
          <w:shd w:val="clear" w:color="auto" w:fill="FFFFFF"/>
        </w:rPr>
        <w:t>采购编号：</w:t>
      </w:r>
    </w:p>
    <w:p>
      <w:pPr>
        <w:spacing w:line="360" w:lineRule="auto"/>
        <w:ind w:right="-340" w:rightChars="-162"/>
        <w:jc w:val="center"/>
        <w:rPr>
          <w:rFonts w:hint="eastAsia" w:ascii="宋体" w:hAnsi="宋体" w:eastAsia="宋体" w:cs="宋体"/>
          <w:b/>
          <w:sz w:val="30"/>
          <w:szCs w:val="30"/>
          <w:highlight w:val="none"/>
        </w:rPr>
      </w:pPr>
    </w:p>
    <w:p>
      <w:pPr>
        <w:pStyle w:val="9"/>
        <w:spacing w:line="360" w:lineRule="auto"/>
        <w:rPr>
          <w:rFonts w:hint="eastAsia" w:ascii="宋体" w:hAnsi="宋体" w:eastAsia="宋体" w:cs="宋体"/>
          <w:highlight w:val="none"/>
        </w:rPr>
      </w:pPr>
    </w:p>
    <w:p>
      <w:pPr>
        <w:spacing w:line="360" w:lineRule="auto"/>
        <w:ind w:right="-340" w:rightChars="-162" w:firstLine="398" w:firstLineChars="132"/>
        <w:jc w:val="center"/>
        <w:rPr>
          <w:rFonts w:hint="eastAsia" w:ascii="宋体" w:hAnsi="宋体" w:eastAsia="宋体" w:cs="宋体"/>
          <w:b/>
          <w:sz w:val="30"/>
          <w:szCs w:val="30"/>
          <w:highlight w:val="none"/>
        </w:rPr>
      </w:pPr>
    </w:p>
    <w:p>
      <w:pPr>
        <w:spacing w:line="360" w:lineRule="auto"/>
        <w:ind w:right="-340" w:rightChars="-162" w:firstLine="1560" w:firstLineChars="518"/>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rPr>
        <w:t>供  应  商：</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（电子签章）</w:t>
      </w:r>
    </w:p>
    <w:p>
      <w:pPr>
        <w:spacing w:line="360" w:lineRule="auto"/>
        <w:ind w:right="-340" w:rightChars="-162" w:firstLine="1560" w:firstLineChars="518"/>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rPr>
        <w:t>法定代表人：</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（电子签章）</w:t>
      </w:r>
    </w:p>
    <w:p>
      <w:pPr>
        <w:spacing w:line="360" w:lineRule="auto"/>
        <w:ind w:right="-340" w:rightChars="-162" w:firstLine="1560" w:firstLineChars="518"/>
        <w:rPr>
          <w:rFonts w:hint="eastAsia" w:ascii="宋体" w:hAnsi="宋体" w:eastAsia="宋体" w:cs="宋体"/>
          <w:b/>
          <w:sz w:val="30"/>
          <w:szCs w:val="30"/>
          <w:highlight w:val="none"/>
        </w:rPr>
      </w:pPr>
      <w:r>
        <w:rPr>
          <w:rFonts w:hint="eastAsia" w:ascii="宋体" w:hAnsi="宋体" w:eastAsia="宋体" w:cs="宋体"/>
          <w:b/>
          <w:sz w:val="30"/>
          <w:szCs w:val="30"/>
          <w:highlight w:val="none"/>
        </w:rPr>
        <w:t>日    期：</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年</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月</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right="-340" w:rightChars="-162" w:firstLine="0" w:firstLineChars="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pPr>
        <w:spacing w:line="360" w:lineRule="auto"/>
        <w:ind w:right="-340" w:rightChars="-162"/>
        <w:rPr>
          <w:rFonts w:hint="eastAsia" w:ascii="宋体" w:hAnsi="宋体" w:eastAsia="宋体" w:cs="宋体"/>
          <w:highlight w:val="none"/>
        </w:rPr>
      </w:pPr>
    </w:p>
    <w:p>
      <w:pPr>
        <w:spacing w:line="360" w:lineRule="auto"/>
        <w:ind w:right="-340" w:rightChars="-162"/>
        <w:rPr>
          <w:rFonts w:hint="eastAsia" w:ascii="宋体" w:hAnsi="宋体" w:eastAsia="宋体" w:cs="宋体"/>
          <w:highlight w:val="none"/>
        </w:rPr>
      </w:pPr>
    </w:p>
    <w:p>
      <w:pPr>
        <w:spacing w:line="360" w:lineRule="auto"/>
        <w:ind w:right="-340" w:rightChars="-162"/>
        <w:jc w:val="center"/>
        <w:textAlignment w:val="center"/>
        <w:rPr>
          <w:rFonts w:hint="eastAsia" w:ascii="宋体" w:hAnsi="宋体" w:eastAsia="宋体" w:cs="宋体"/>
          <w:sz w:val="30"/>
          <w:szCs w:val="30"/>
          <w:highlight w:val="none"/>
        </w:rPr>
      </w:pPr>
      <w:r>
        <w:rPr>
          <w:rFonts w:hint="eastAsia" w:ascii="宋体" w:hAnsi="宋体" w:eastAsia="宋体" w:cs="宋体"/>
          <w:sz w:val="30"/>
          <w:szCs w:val="30"/>
          <w:highlight w:val="none"/>
        </w:rPr>
        <w:t>自</w:t>
      </w:r>
      <w:r>
        <w:rPr>
          <w:rFonts w:hint="eastAsia" w:ascii="宋体" w:hAnsi="宋体" w:cs="宋体"/>
          <w:sz w:val="30"/>
          <w:szCs w:val="30"/>
          <w:highlight w:val="none"/>
          <w:lang w:val="en-US" w:eastAsia="zh-CN"/>
        </w:rPr>
        <w:t xml:space="preserve"> </w:t>
      </w:r>
      <w:r>
        <w:rPr>
          <w:rFonts w:hint="eastAsia" w:ascii="宋体" w:hAnsi="宋体" w:eastAsia="宋体" w:cs="宋体"/>
          <w:sz w:val="30"/>
          <w:szCs w:val="30"/>
          <w:highlight w:val="none"/>
        </w:rPr>
        <w:t>拟</w:t>
      </w:r>
    </w:p>
    <w:p>
      <w:pPr>
        <w:spacing w:before="240" w:beforeLines="100" w:line="360" w:lineRule="auto"/>
        <w:ind w:right="-340" w:rightChars="-162"/>
        <w:jc w:val="center"/>
        <w:textAlignment w:val="center"/>
        <w:rPr>
          <w:rFonts w:hint="eastAsia" w:ascii="宋体" w:hAnsi="宋体" w:eastAsia="宋体" w:cs="宋体"/>
          <w:sz w:val="30"/>
          <w:szCs w:val="28"/>
          <w:highlight w:val="none"/>
        </w:rPr>
      </w:pPr>
    </w:p>
    <w:p>
      <w:pPr>
        <w:spacing w:line="360" w:lineRule="auto"/>
        <w:ind w:right="-340" w:rightChars="-162"/>
        <w:rPr>
          <w:rFonts w:hint="eastAsia" w:ascii="宋体" w:hAnsi="宋体" w:eastAsia="宋体" w:cs="宋体"/>
          <w:highlight w:val="none"/>
        </w:rPr>
      </w:pPr>
    </w:p>
    <w:p>
      <w:pPr>
        <w:spacing w:line="360" w:lineRule="auto"/>
        <w:ind w:left="3140" w:right="-340" w:rightChars="-162"/>
        <w:rPr>
          <w:rFonts w:hint="eastAsia" w:ascii="宋体" w:hAnsi="宋体" w:eastAsia="宋体" w:cs="宋体"/>
          <w:b/>
          <w:sz w:val="32"/>
          <w:szCs w:val="32"/>
          <w:highlight w:val="none"/>
        </w:rPr>
      </w:pPr>
      <w:bookmarkStart w:id="182" w:name="page56"/>
      <w:bookmarkEnd w:id="182"/>
      <w:r>
        <w:rPr>
          <w:rFonts w:hint="eastAsia" w:ascii="宋体" w:hAnsi="宋体" w:eastAsia="宋体" w:cs="宋体"/>
          <w:b/>
          <w:sz w:val="30"/>
          <w:highlight w:val="none"/>
        </w:rPr>
        <w:br w:type="page"/>
      </w:r>
      <w:r>
        <w:rPr>
          <w:rFonts w:hint="eastAsia" w:ascii="宋体" w:hAnsi="宋体" w:eastAsia="宋体" w:cs="宋体"/>
          <w:b/>
          <w:sz w:val="32"/>
          <w:szCs w:val="32"/>
          <w:highlight w:val="none"/>
        </w:rPr>
        <w:t>一、磋商函及磋商函附录</w:t>
      </w:r>
    </w:p>
    <w:p>
      <w:pPr>
        <w:spacing w:line="360" w:lineRule="auto"/>
        <w:ind w:left="3680" w:right="-340" w:rightChars="-162" w:firstLine="281" w:firstLineChars="100"/>
        <w:rPr>
          <w:rFonts w:hint="eastAsia" w:ascii="宋体" w:hAnsi="宋体" w:eastAsia="宋体" w:cs="宋体"/>
          <w:b/>
          <w:sz w:val="28"/>
          <w:szCs w:val="28"/>
          <w:highlight w:val="none"/>
        </w:rPr>
      </w:pPr>
    </w:p>
    <w:p>
      <w:pPr>
        <w:spacing w:line="360" w:lineRule="auto"/>
        <w:ind w:left="3680" w:right="-340" w:rightChars="-162" w:firstLine="281" w:firstLineChars="100"/>
        <w:rPr>
          <w:rFonts w:hint="eastAsia" w:ascii="宋体" w:hAnsi="宋体" w:eastAsia="宋体" w:cs="宋体"/>
          <w:b/>
          <w:sz w:val="28"/>
          <w:szCs w:val="28"/>
          <w:highlight w:val="none"/>
        </w:rPr>
      </w:pPr>
      <w:r>
        <w:rPr>
          <w:rFonts w:hint="eastAsia" w:ascii="宋体" w:hAnsi="宋体" w:eastAsia="宋体" w:cs="宋体"/>
          <w:b/>
          <w:sz w:val="28"/>
          <w:szCs w:val="28"/>
          <w:highlight w:val="none"/>
        </w:rPr>
        <w:t>(一）磋商函</w:t>
      </w:r>
    </w:p>
    <w:p>
      <w:pPr>
        <w:spacing w:line="360" w:lineRule="auto"/>
        <w:ind w:right="-340" w:rightChars="-162"/>
        <w:jc w:val="left"/>
        <w:rPr>
          <w:rFonts w:hint="eastAsia" w:ascii="宋体" w:hAnsi="宋体" w:eastAsia="宋体" w:cs="宋体"/>
          <w:sz w:val="32"/>
          <w:szCs w:val="32"/>
          <w:highlight w:val="none"/>
          <w:lang w:bidi="zh-CN"/>
        </w:rPr>
      </w:pP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（采购人名称）</w:t>
      </w:r>
    </w:p>
    <w:p>
      <w:pPr>
        <w:numPr>
          <w:ilvl w:val="0"/>
          <w:numId w:val="6"/>
        </w:numPr>
        <w:tabs>
          <w:tab w:val="left" w:pos="756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我方已仔细研究了</w:t>
      </w:r>
      <w:r>
        <w:rPr>
          <w:rFonts w:hint="eastAsia" w:ascii="宋体" w:hAnsi="宋体" w:eastAsia="宋体" w:cs="宋体"/>
          <w:sz w:val="24"/>
          <w:highlight w:val="none"/>
          <w:u w:val="single"/>
        </w:rPr>
        <w:t xml:space="preserve">            （项目名称）</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rPr>
        <w:t>竞争性磋商文件的全部内容，愿以人民币</w:t>
      </w:r>
      <w:r>
        <w:rPr>
          <w:rFonts w:hint="eastAsia" w:ascii="宋体" w:hAnsi="宋体" w:eastAsia="宋体" w:cs="宋体"/>
          <w:sz w:val="24"/>
          <w:highlight w:val="none"/>
          <w:u w:val="single"/>
        </w:rPr>
        <w:t>（大写）            （¥      元）</w:t>
      </w:r>
      <w:r>
        <w:rPr>
          <w:rFonts w:hint="eastAsia" w:ascii="宋体" w:hAnsi="宋体" w:eastAsia="宋体" w:cs="宋体"/>
          <w:sz w:val="24"/>
          <w:highlight w:val="none"/>
        </w:rPr>
        <w:t>的投标总报价。计划工期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日历天，按合同约定实施和完成承包工程，修补工程中的任何缺陷，质量要求达到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numPr>
          <w:ilvl w:val="0"/>
          <w:numId w:val="6"/>
        </w:numPr>
        <w:tabs>
          <w:tab w:val="left" w:pos="756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我方承诺在投标有效期60日历天内不修改、撤销响应文件。</w:t>
      </w:r>
    </w:p>
    <w:p>
      <w:pPr>
        <w:numPr>
          <w:ilvl w:val="0"/>
          <w:numId w:val="6"/>
        </w:numPr>
        <w:tabs>
          <w:tab w:val="left" w:pos="756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随同本磋商函提交磋商承诺函。</w:t>
      </w:r>
    </w:p>
    <w:p>
      <w:pPr>
        <w:numPr>
          <w:ilvl w:val="0"/>
          <w:numId w:val="6"/>
        </w:numPr>
        <w:tabs>
          <w:tab w:val="left" w:pos="756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如我方中标：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（1）我方承诺在收到通知后领取成交通知书，并在成交通知书规定的期限内与你方签订合同，逾期可视为放弃中标。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rPr>
        <w:t>2</w:t>
      </w:r>
      <w:r>
        <w:rPr>
          <w:rFonts w:hint="eastAsia" w:ascii="宋体" w:hAnsi="宋体" w:eastAsia="宋体" w:cs="宋体"/>
          <w:sz w:val="24"/>
          <w:highlight w:val="none"/>
        </w:rPr>
        <w:t>）我方承诺在合同约定的期限内完成并移交全部合同工程。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rPr>
        <w:t>3</w:t>
      </w:r>
      <w:r>
        <w:rPr>
          <w:rFonts w:hint="eastAsia" w:ascii="宋体" w:hAnsi="宋体" w:eastAsia="宋体" w:cs="宋体"/>
          <w:sz w:val="24"/>
          <w:highlight w:val="none"/>
        </w:rPr>
        <w:t>）我方承诺满足合同专用条款中补充条款的内容。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rPr>
        <w:t>4</w:t>
      </w:r>
      <w:r>
        <w:rPr>
          <w:rFonts w:hint="eastAsia" w:ascii="宋体" w:hAnsi="宋体" w:eastAsia="宋体" w:cs="宋体"/>
          <w:sz w:val="24"/>
          <w:highlight w:val="none"/>
        </w:rPr>
        <w:t>）我方承诺并理解采购人不以最低投标价为成交价的唯一选择。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我方承诺按昭国家相关规定向代理机构缴纳招标代理服务费。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5．我方在此声明，所递交的响应文件及有关资料内容完整、真实和准确。</w:t>
      </w:r>
    </w:p>
    <w:p>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6、其他补充说明：</w:t>
      </w:r>
      <w:r>
        <w:rPr>
          <w:rFonts w:hint="eastAsia" w:ascii="宋体" w:hAnsi="宋体" w:eastAsia="宋体" w:cs="宋体"/>
          <w:sz w:val="24"/>
          <w:highlight w:val="none"/>
          <w:u w:val="single"/>
        </w:rPr>
        <w:t xml:space="preserve">                   （补充说明事项）</w:t>
      </w:r>
    </w:p>
    <w:p>
      <w:pPr>
        <w:spacing w:line="360" w:lineRule="auto"/>
        <w:ind w:right="-57" w:rightChars="-27" w:firstLine="3840" w:firstLineChars="1600"/>
        <w:jc w:val="left"/>
        <w:rPr>
          <w:rFonts w:hint="eastAsia" w:ascii="宋体" w:hAnsi="宋体" w:eastAsia="宋体" w:cs="宋体"/>
          <w:sz w:val="24"/>
          <w:highlight w:val="none"/>
          <w:lang w:bidi="zh-CN"/>
        </w:rPr>
      </w:pPr>
    </w:p>
    <w:p>
      <w:pPr>
        <w:spacing w:line="360" w:lineRule="auto"/>
        <w:ind w:right="-57" w:rightChars="-27" w:firstLine="3840" w:firstLineChars="1600"/>
        <w:jc w:val="left"/>
        <w:rPr>
          <w:rFonts w:hint="eastAsia" w:ascii="宋体" w:hAnsi="宋体" w:eastAsia="宋体" w:cs="宋体"/>
          <w:sz w:val="24"/>
          <w:highlight w:val="none"/>
          <w:lang w:bidi="zh-CN"/>
        </w:rPr>
      </w:pPr>
    </w:p>
    <w:p>
      <w:pPr>
        <w:spacing w:line="360" w:lineRule="auto"/>
        <w:ind w:right="-57" w:rightChars="-27" w:firstLine="2976" w:firstLineChars="1240"/>
        <w:jc w:val="left"/>
        <w:rPr>
          <w:rFonts w:hint="eastAsia" w:ascii="宋体" w:hAnsi="宋体" w:eastAsia="宋体" w:cs="宋体"/>
          <w:sz w:val="24"/>
          <w:highlight w:val="none"/>
          <w:lang w:bidi="zh-CN"/>
        </w:rPr>
      </w:pPr>
      <w:r>
        <w:rPr>
          <w:rFonts w:hint="eastAsia" w:ascii="宋体" w:hAnsi="宋体" w:eastAsia="宋体" w:cs="宋体"/>
          <w:sz w:val="24"/>
          <w:highlight w:val="none"/>
          <w:lang w:bidi="zh-CN"/>
        </w:rPr>
        <w:t>供  应  商：</w:t>
      </w:r>
      <w:r>
        <w:rPr>
          <w:rFonts w:hint="eastAsia" w:ascii="宋体" w:hAnsi="宋体" w:eastAsia="宋体" w:cs="宋体"/>
          <w:sz w:val="24"/>
          <w:highlight w:val="none"/>
          <w:u w:val="single"/>
          <w:lang w:bidi="zh-CN"/>
        </w:rPr>
        <w:t xml:space="preserve">                          </w:t>
      </w:r>
      <w:r>
        <w:rPr>
          <w:rFonts w:hint="eastAsia" w:ascii="宋体" w:hAnsi="宋体" w:eastAsia="宋体" w:cs="宋体"/>
          <w:sz w:val="24"/>
          <w:highlight w:val="none"/>
          <w:lang w:bidi="zh-CN"/>
        </w:rPr>
        <w:t>（</w:t>
      </w:r>
      <w:r>
        <w:rPr>
          <w:rFonts w:hint="eastAsia" w:ascii="宋体" w:hAnsi="宋体" w:eastAsia="宋体" w:cs="宋体"/>
          <w:sz w:val="24"/>
          <w:highlight w:val="none"/>
        </w:rPr>
        <w:t>电子签章</w:t>
      </w:r>
      <w:r>
        <w:rPr>
          <w:rFonts w:hint="eastAsia" w:ascii="宋体" w:hAnsi="宋体" w:eastAsia="宋体" w:cs="宋体"/>
          <w:sz w:val="24"/>
          <w:highlight w:val="none"/>
          <w:lang w:bidi="zh-CN"/>
        </w:rPr>
        <w:t>）</w:t>
      </w:r>
    </w:p>
    <w:p>
      <w:pPr>
        <w:spacing w:line="360" w:lineRule="auto"/>
        <w:ind w:right="-57" w:rightChars="-27" w:firstLine="2976" w:firstLineChars="1240"/>
        <w:jc w:val="left"/>
        <w:rPr>
          <w:rFonts w:hint="eastAsia" w:ascii="宋体" w:hAnsi="宋体" w:eastAsia="宋体" w:cs="宋体"/>
          <w:sz w:val="24"/>
          <w:highlight w:val="none"/>
          <w:lang w:bidi="zh-CN"/>
        </w:rPr>
      </w:pPr>
      <w:r>
        <w:rPr>
          <w:rFonts w:hint="eastAsia" w:ascii="宋体" w:hAnsi="宋体" w:eastAsia="宋体" w:cs="宋体"/>
          <w:sz w:val="24"/>
          <w:highlight w:val="none"/>
          <w:lang w:bidi="zh-CN"/>
        </w:rPr>
        <w:t>法定代表人或其委托代理人：</w:t>
      </w:r>
      <w:r>
        <w:rPr>
          <w:rFonts w:hint="eastAsia" w:ascii="宋体" w:hAnsi="宋体" w:eastAsia="宋体" w:cs="宋体"/>
          <w:sz w:val="24"/>
          <w:highlight w:val="none"/>
          <w:u w:val="single"/>
          <w:lang w:bidi="zh-CN"/>
        </w:rPr>
        <w:t xml:space="preserve">           </w:t>
      </w:r>
      <w:r>
        <w:rPr>
          <w:rFonts w:hint="eastAsia" w:ascii="宋体" w:hAnsi="宋体" w:eastAsia="宋体" w:cs="宋体"/>
          <w:sz w:val="24"/>
          <w:highlight w:val="none"/>
          <w:lang w:bidi="zh-CN"/>
        </w:rPr>
        <w:t>（</w:t>
      </w:r>
      <w:r>
        <w:rPr>
          <w:rFonts w:hint="eastAsia" w:ascii="宋体" w:hAnsi="宋体" w:eastAsia="宋体" w:cs="宋体"/>
          <w:sz w:val="24"/>
          <w:highlight w:val="none"/>
        </w:rPr>
        <w:t>电子签章或签字</w:t>
      </w:r>
      <w:r>
        <w:rPr>
          <w:rFonts w:hint="eastAsia" w:ascii="宋体" w:hAnsi="宋体" w:eastAsia="宋体" w:cs="宋体"/>
          <w:sz w:val="24"/>
          <w:highlight w:val="none"/>
          <w:lang w:bidi="zh-CN"/>
        </w:rPr>
        <w:t>）</w:t>
      </w:r>
    </w:p>
    <w:p>
      <w:pPr>
        <w:spacing w:line="360" w:lineRule="auto"/>
        <w:ind w:right="-57" w:rightChars="-27" w:firstLine="2976" w:firstLineChars="1240"/>
        <w:jc w:val="left"/>
        <w:rPr>
          <w:rFonts w:hint="eastAsia" w:ascii="宋体" w:hAnsi="宋体" w:eastAsia="宋体" w:cs="宋体"/>
          <w:sz w:val="24"/>
          <w:highlight w:val="none"/>
          <w:u w:val="single"/>
          <w:lang w:bidi="zh-CN"/>
        </w:rPr>
      </w:pPr>
      <w:r>
        <w:rPr>
          <w:rFonts w:hint="eastAsia" w:ascii="宋体" w:hAnsi="宋体" w:eastAsia="宋体" w:cs="宋体"/>
          <w:sz w:val="24"/>
          <w:highlight w:val="none"/>
          <w:lang w:bidi="zh-CN"/>
        </w:rPr>
        <w:t>地     址：</w:t>
      </w:r>
      <w:r>
        <w:rPr>
          <w:rFonts w:hint="eastAsia" w:ascii="宋体" w:hAnsi="宋体" w:eastAsia="宋体" w:cs="宋体"/>
          <w:sz w:val="24"/>
          <w:highlight w:val="none"/>
          <w:u w:val="single"/>
          <w:lang w:bidi="zh-CN"/>
        </w:rPr>
        <w:t xml:space="preserve">                             </w:t>
      </w:r>
    </w:p>
    <w:p>
      <w:pPr>
        <w:spacing w:line="360" w:lineRule="auto"/>
        <w:ind w:right="-57" w:rightChars="-27" w:firstLine="2976" w:firstLineChars="1240"/>
        <w:jc w:val="left"/>
        <w:rPr>
          <w:rFonts w:hint="eastAsia" w:ascii="宋体" w:hAnsi="宋体" w:eastAsia="宋体" w:cs="宋体"/>
          <w:sz w:val="24"/>
          <w:highlight w:val="none"/>
          <w:u w:val="single"/>
          <w:lang w:bidi="zh-CN"/>
        </w:rPr>
      </w:pPr>
      <w:r>
        <w:rPr>
          <w:rFonts w:hint="eastAsia" w:ascii="宋体" w:hAnsi="宋体" w:eastAsia="宋体" w:cs="宋体"/>
          <w:sz w:val="24"/>
          <w:highlight w:val="none"/>
          <w:lang w:bidi="zh-CN"/>
        </w:rPr>
        <w:t>电     话：</w:t>
      </w:r>
      <w:r>
        <w:rPr>
          <w:rFonts w:hint="eastAsia" w:ascii="宋体" w:hAnsi="宋体" w:eastAsia="宋体" w:cs="宋体"/>
          <w:sz w:val="24"/>
          <w:highlight w:val="none"/>
          <w:u w:val="single"/>
          <w:lang w:bidi="zh-CN"/>
        </w:rPr>
        <w:t xml:space="preserve">                             </w:t>
      </w:r>
    </w:p>
    <w:p>
      <w:pPr>
        <w:spacing w:line="360" w:lineRule="auto"/>
        <w:ind w:right="-57" w:rightChars="-27" w:firstLine="2976" w:firstLineChars="1240"/>
        <w:jc w:val="left"/>
        <w:rPr>
          <w:rFonts w:hint="eastAsia" w:ascii="宋体" w:hAnsi="宋体" w:eastAsia="宋体" w:cs="宋体"/>
          <w:b/>
          <w:sz w:val="32"/>
          <w:szCs w:val="32"/>
          <w:highlight w:val="none"/>
        </w:rPr>
      </w:pPr>
      <w:r>
        <w:rPr>
          <w:rFonts w:hint="eastAsia" w:ascii="宋体" w:hAnsi="宋体" w:eastAsia="宋体" w:cs="宋体"/>
          <w:sz w:val="24"/>
          <w:highlight w:val="none"/>
          <w:lang w:bidi="zh-CN"/>
        </w:rPr>
        <w:t>日     期：</w:t>
      </w:r>
      <w:r>
        <w:rPr>
          <w:rFonts w:hint="eastAsia" w:ascii="宋体" w:hAnsi="宋体" w:eastAsia="宋体" w:cs="宋体"/>
          <w:sz w:val="24"/>
          <w:highlight w:val="none"/>
          <w:u w:val="single"/>
          <w:lang w:bidi="zh-CN"/>
        </w:rPr>
        <w:t xml:space="preserve">    年     月     日</w:t>
      </w:r>
    </w:p>
    <w:p>
      <w:pPr>
        <w:spacing w:line="360" w:lineRule="auto"/>
        <w:ind w:right="-57" w:rightChars="-27"/>
        <w:rPr>
          <w:rFonts w:hint="eastAsia" w:ascii="宋体" w:hAnsi="宋体" w:eastAsia="宋体" w:cs="宋体"/>
          <w:b/>
          <w:sz w:val="32"/>
          <w:highlight w:val="none"/>
        </w:rPr>
      </w:pPr>
    </w:p>
    <w:p>
      <w:pPr>
        <w:spacing w:line="360" w:lineRule="auto"/>
        <w:ind w:right="-57" w:rightChars="-27"/>
        <w:rPr>
          <w:rFonts w:hint="eastAsia" w:ascii="宋体" w:hAnsi="宋体" w:eastAsia="宋体" w:cs="宋体"/>
          <w:highlight w:val="none"/>
        </w:rPr>
      </w:pPr>
    </w:p>
    <w:p>
      <w:pPr>
        <w:spacing w:line="360" w:lineRule="auto"/>
        <w:ind w:right="-340" w:rightChars="-162"/>
        <w:rPr>
          <w:rFonts w:hint="eastAsia" w:ascii="宋体" w:hAnsi="宋体" w:eastAsia="宋体" w:cs="宋体"/>
          <w:sz w:val="24"/>
          <w:highlight w:val="none"/>
        </w:rPr>
        <w:sectPr>
          <w:footerReference r:id="rId5" w:type="default"/>
          <w:pgSz w:w="11900" w:h="16840"/>
          <w:pgMar w:top="1361" w:right="1361" w:bottom="1361" w:left="1361" w:header="0" w:footer="0" w:gutter="0"/>
          <w:pgNumType w:fmt="numberInDash" w:start="1"/>
          <w:cols w:space="720" w:num="1"/>
          <w:docGrid w:linePitch="360" w:charSpace="0"/>
        </w:sectPr>
      </w:pPr>
    </w:p>
    <w:p>
      <w:pPr>
        <w:spacing w:before="240" w:beforeLines="100" w:after="120" w:afterLines="50" w:line="360" w:lineRule="auto"/>
        <w:ind w:right="-340" w:rightChars="-162"/>
        <w:jc w:val="center"/>
        <w:textAlignment w:val="center"/>
        <w:rPr>
          <w:rFonts w:hint="eastAsia" w:ascii="宋体" w:hAnsi="宋体" w:eastAsia="宋体" w:cs="宋体"/>
          <w:b/>
          <w:sz w:val="28"/>
          <w:szCs w:val="28"/>
          <w:highlight w:val="none"/>
        </w:rPr>
      </w:pPr>
      <w:bookmarkStart w:id="183" w:name="page58"/>
      <w:bookmarkEnd w:id="183"/>
      <w:r>
        <w:rPr>
          <w:rFonts w:hint="eastAsia" w:ascii="宋体" w:hAnsi="宋体" w:eastAsia="宋体" w:cs="宋体"/>
          <w:b/>
          <w:sz w:val="28"/>
          <w:szCs w:val="28"/>
          <w:highlight w:val="none"/>
        </w:rPr>
        <w:t>（二）磋商函附录</w:t>
      </w:r>
    </w:p>
    <w:p>
      <w:pPr>
        <w:pStyle w:val="9"/>
        <w:spacing w:line="360" w:lineRule="auto"/>
        <w:rPr>
          <w:rFonts w:hint="eastAsia" w:ascii="宋体" w:hAnsi="宋体" w:eastAsia="宋体" w:cs="宋体"/>
          <w:highlight w:val="none"/>
        </w:rPr>
      </w:pPr>
    </w:p>
    <w:tbl>
      <w:tblPr>
        <w:tblStyle w:val="18"/>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644"/>
        <w:gridCol w:w="1134"/>
        <w:gridCol w:w="1418"/>
        <w:gridCol w:w="1445"/>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948" w:type="dxa"/>
            <w:tcBorders>
              <w:right w:val="nil"/>
            </w:tcBorders>
            <w:noWrap w:val="0"/>
            <w:vAlign w:val="center"/>
          </w:tcPr>
          <w:p>
            <w:pPr>
              <w:spacing w:line="360" w:lineRule="auto"/>
              <w:ind w:left="0" w:leftChars="-67" w:hanging="141" w:hangingChars="5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331" w:type="dxa"/>
            <w:gridSpan w:val="5"/>
            <w:tcBorders>
              <w:right w:val="single" w:color="auto" w:sz="4" w:space="0"/>
            </w:tcBorders>
            <w:noWrap w:val="0"/>
            <w:vAlign w:val="center"/>
          </w:tcPr>
          <w:p>
            <w:pPr>
              <w:spacing w:line="360" w:lineRule="auto"/>
              <w:ind w:right="-340" w:rightChars="-162"/>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948" w:type="dxa"/>
            <w:tcBorders>
              <w:right w:val="nil"/>
            </w:tcBorders>
            <w:noWrap w:val="0"/>
            <w:vAlign w:val="center"/>
          </w:tcPr>
          <w:p>
            <w:pPr>
              <w:spacing w:line="360" w:lineRule="auto"/>
              <w:ind w:left="0" w:leftChars="-67" w:hanging="141" w:hangingChars="5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7331" w:type="dxa"/>
            <w:gridSpan w:val="5"/>
            <w:tcBorders>
              <w:right w:val="single" w:color="auto" w:sz="4" w:space="0"/>
            </w:tcBorders>
            <w:noWrap w:val="0"/>
            <w:vAlign w:val="center"/>
          </w:tcPr>
          <w:p>
            <w:pPr>
              <w:spacing w:line="360" w:lineRule="auto"/>
              <w:ind w:right="-340" w:rightChars="-162"/>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948" w:type="dxa"/>
            <w:tcBorders>
              <w:right w:val="nil"/>
            </w:tcBorders>
            <w:noWrap w:val="0"/>
            <w:vAlign w:val="center"/>
          </w:tcPr>
          <w:p>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投标内容</w:t>
            </w:r>
          </w:p>
        </w:tc>
        <w:tc>
          <w:tcPr>
            <w:tcW w:w="7331" w:type="dxa"/>
            <w:gridSpan w:val="5"/>
            <w:tcBorders>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948" w:type="dxa"/>
            <w:tcBorders>
              <w:right w:val="nil"/>
            </w:tcBorders>
            <w:noWrap w:val="0"/>
            <w:vAlign w:val="center"/>
          </w:tcPr>
          <w:p>
            <w:pPr>
              <w:spacing w:line="360" w:lineRule="auto"/>
              <w:ind w:left="0" w:leftChars="-67" w:hanging="141" w:hangingChars="5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1644" w:type="dxa"/>
            <w:tcBorders>
              <w:right w:val="single" w:color="auto" w:sz="4" w:space="0"/>
            </w:tcBorders>
            <w:noWrap w:val="0"/>
            <w:vAlign w:val="center"/>
          </w:tcPr>
          <w:p>
            <w:pPr>
              <w:spacing w:line="360" w:lineRule="auto"/>
              <w:ind w:right="-340" w:rightChars="-162" w:firstLine="240" w:firstLineChars="100"/>
              <w:rPr>
                <w:rFonts w:hint="eastAsia" w:ascii="宋体" w:hAnsi="宋体" w:eastAsia="宋体" w:cs="宋体"/>
                <w:sz w:val="24"/>
                <w:szCs w:val="24"/>
                <w:highlight w:val="none"/>
              </w:rPr>
            </w:pPr>
          </w:p>
        </w:tc>
        <w:tc>
          <w:tcPr>
            <w:tcW w:w="1134" w:type="dxa"/>
            <w:tcBorders>
              <w:right w:val="single" w:color="auto" w:sz="4" w:space="0"/>
            </w:tcBorders>
            <w:noWrap w:val="0"/>
            <w:vAlign w:val="center"/>
          </w:tcPr>
          <w:p>
            <w:pPr>
              <w:spacing w:line="360" w:lineRule="auto"/>
              <w:ind w:right="-340" w:rightChars="-16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级别</w:t>
            </w:r>
          </w:p>
        </w:tc>
        <w:tc>
          <w:tcPr>
            <w:tcW w:w="1418" w:type="dxa"/>
            <w:tcBorders>
              <w:right w:val="single" w:color="auto" w:sz="4" w:space="0"/>
            </w:tcBorders>
            <w:noWrap w:val="0"/>
            <w:vAlign w:val="center"/>
          </w:tcPr>
          <w:p>
            <w:pPr>
              <w:spacing w:line="360" w:lineRule="auto"/>
              <w:ind w:right="-340" w:rightChars="-162" w:firstLine="240" w:firstLineChars="100"/>
              <w:rPr>
                <w:rFonts w:hint="eastAsia" w:ascii="宋体" w:hAnsi="宋体" w:eastAsia="宋体" w:cs="宋体"/>
                <w:sz w:val="24"/>
                <w:szCs w:val="24"/>
                <w:highlight w:val="none"/>
              </w:rPr>
            </w:pPr>
          </w:p>
        </w:tc>
        <w:tc>
          <w:tcPr>
            <w:tcW w:w="1445" w:type="dxa"/>
            <w:tcBorders>
              <w:right w:val="single" w:color="auto" w:sz="4" w:space="0"/>
            </w:tcBorders>
            <w:noWrap w:val="0"/>
            <w:vAlign w:val="center"/>
          </w:tcPr>
          <w:p>
            <w:pPr>
              <w:spacing w:line="360" w:lineRule="auto"/>
              <w:ind w:right="-340" w:rightChars="-162"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1690" w:type="dxa"/>
            <w:tcBorders>
              <w:right w:val="single" w:color="auto" w:sz="4" w:space="0"/>
            </w:tcBorders>
            <w:noWrap w:val="0"/>
            <w:vAlign w:val="center"/>
          </w:tcPr>
          <w:p>
            <w:pPr>
              <w:spacing w:line="360" w:lineRule="auto"/>
              <w:ind w:right="-340" w:rightChars="-162" w:firstLine="240" w:firstLineChars="1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1948" w:type="dxa"/>
            <w:tcBorders>
              <w:bottom w:val="single" w:color="auto" w:sz="4" w:space="0"/>
            </w:tcBorders>
            <w:noWrap w:val="0"/>
            <w:vAlign w:val="center"/>
          </w:tcPr>
          <w:p>
            <w:pPr>
              <w:spacing w:line="360" w:lineRule="auto"/>
              <w:ind w:right="-6" w:rightChars="-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磋商报价</w:t>
            </w:r>
          </w:p>
        </w:tc>
        <w:tc>
          <w:tcPr>
            <w:tcW w:w="7331" w:type="dxa"/>
            <w:gridSpan w:val="5"/>
            <w:tcBorders>
              <w:bottom w:val="single" w:color="auto" w:sz="4" w:space="0"/>
            </w:tcBorders>
            <w:noWrap w:val="0"/>
            <w:vAlign w:val="center"/>
          </w:tcPr>
          <w:p>
            <w:pPr>
              <w:widowControl/>
              <w:spacing w:line="360" w:lineRule="auto"/>
              <w:ind w:right="-340" w:rightChars="-162"/>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pPr>
              <w:spacing w:line="360" w:lineRule="auto"/>
              <w:ind w:right="-340" w:rightChars="-162"/>
              <w:rPr>
                <w:rFonts w:hint="eastAsia" w:ascii="宋体" w:hAnsi="宋体" w:eastAsia="宋体" w:cs="宋体"/>
                <w:sz w:val="24"/>
                <w:szCs w:val="24"/>
                <w:highlight w:val="none"/>
              </w:rPr>
            </w:pPr>
          </w:p>
          <w:p>
            <w:pPr>
              <w:spacing w:line="360" w:lineRule="auto"/>
              <w:ind w:right="-340" w:rightChars="-162"/>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pPr>
              <w:spacing w:line="360" w:lineRule="auto"/>
              <w:ind w:right="-340" w:rightChars="-162"/>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948" w:type="dxa"/>
            <w:tcBorders>
              <w:bottom w:val="single" w:color="auto" w:sz="4" w:space="0"/>
            </w:tcBorders>
            <w:noWrap w:val="0"/>
            <w:vAlign w:val="center"/>
          </w:tcPr>
          <w:p>
            <w:pPr>
              <w:spacing w:line="360" w:lineRule="auto"/>
              <w:ind w:right="-6" w:rightChars="-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7331" w:type="dxa"/>
            <w:gridSpan w:val="5"/>
            <w:tcBorders>
              <w:bottom w:val="single" w:color="auto" w:sz="4" w:space="0"/>
            </w:tcBorders>
            <w:noWrap w:val="0"/>
            <w:vAlign w:val="center"/>
          </w:tcPr>
          <w:p>
            <w:pPr>
              <w:spacing w:line="360" w:lineRule="auto"/>
              <w:ind w:right="-340" w:rightChars="-162" w:firstLine="2640" w:firstLineChars="11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948" w:type="dxa"/>
            <w:tcBorders>
              <w:bottom w:val="single" w:color="auto" w:sz="4" w:space="0"/>
            </w:tcBorders>
            <w:noWrap w:val="0"/>
            <w:vAlign w:val="center"/>
          </w:tcPr>
          <w:p>
            <w:pPr>
              <w:spacing w:line="360" w:lineRule="auto"/>
              <w:ind w:right="-6" w:rightChars="-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331" w:type="dxa"/>
            <w:gridSpan w:val="5"/>
            <w:tcBorders>
              <w:bottom w:val="single" w:color="auto" w:sz="4" w:space="0"/>
            </w:tcBorders>
            <w:noWrap w:val="0"/>
            <w:vAlign w:val="center"/>
          </w:tcPr>
          <w:p>
            <w:pPr>
              <w:spacing w:line="360" w:lineRule="auto"/>
              <w:ind w:right="-340" w:rightChars="-162"/>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948" w:type="dxa"/>
            <w:tcBorders>
              <w:bottom w:val="single" w:color="auto" w:sz="4" w:space="0"/>
            </w:tcBorders>
            <w:noWrap w:val="0"/>
            <w:vAlign w:val="center"/>
          </w:tcPr>
          <w:p>
            <w:pPr>
              <w:spacing w:line="360" w:lineRule="auto"/>
              <w:ind w:right="-6" w:rightChars="-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7331" w:type="dxa"/>
            <w:gridSpan w:val="5"/>
            <w:tcBorders>
              <w:bottom w:val="single" w:color="auto" w:sz="4" w:space="0"/>
            </w:tcBorders>
            <w:noWrap w:val="0"/>
            <w:vAlign w:val="center"/>
          </w:tcPr>
          <w:p>
            <w:pPr>
              <w:spacing w:line="360" w:lineRule="auto"/>
              <w:ind w:right="-340" w:rightChars="-16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60日历天(从磋商截止之日算起)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948" w:type="dxa"/>
            <w:tcBorders>
              <w:right w:val="single" w:color="auto" w:sz="4" w:space="0"/>
            </w:tcBorders>
            <w:noWrap w:val="0"/>
            <w:vAlign w:val="center"/>
          </w:tcPr>
          <w:p>
            <w:pPr>
              <w:spacing w:line="360" w:lineRule="auto"/>
              <w:ind w:right="-6" w:rightChars="-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331" w:type="dxa"/>
            <w:gridSpan w:val="5"/>
            <w:tcBorders>
              <w:right w:val="single" w:color="auto" w:sz="4" w:space="0"/>
            </w:tcBorders>
            <w:noWrap w:val="0"/>
            <w:vAlign w:val="center"/>
          </w:tcPr>
          <w:p>
            <w:pPr>
              <w:spacing w:line="360" w:lineRule="auto"/>
              <w:ind w:right="-340" w:rightChars="-162"/>
              <w:rPr>
                <w:rFonts w:hint="eastAsia" w:ascii="宋体" w:hAnsi="宋体" w:eastAsia="宋体" w:cs="宋体"/>
                <w:sz w:val="24"/>
                <w:szCs w:val="24"/>
                <w:highlight w:val="none"/>
              </w:rPr>
            </w:pPr>
            <w:r>
              <w:rPr>
                <w:rFonts w:hint="eastAsia" w:ascii="宋体" w:hAnsi="宋体" w:eastAsia="宋体" w:cs="宋体"/>
                <w:sz w:val="24"/>
                <w:szCs w:val="24"/>
                <w:highlight w:val="none"/>
              </w:rPr>
              <w:t>可另行附页</w:t>
            </w:r>
          </w:p>
        </w:tc>
      </w:tr>
    </w:tbl>
    <w:p>
      <w:pPr>
        <w:spacing w:line="360" w:lineRule="auto"/>
        <w:ind w:right="-340" w:rightChars="-162"/>
        <w:rPr>
          <w:rFonts w:hint="eastAsia" w:ascii="宋体" w:hAnsi="宋体" w:eastAsia="宋体" w:cs="宋体"/>
          <w:sz w:val="24"/>
          <w:highlight w:val="none"/>
        </w:rPr>
      </w:pPr>
    </w:p>
    <w:p>
      <w:pPr>
        <w:pStyle w:val="12"/>
        <w:spacing w:line="360" w:lineRule="auto"/>
        <w:ind w:left="1" w:leftChars="0" w:right="-340" w:rightChars="-162" w:firstLine="2880" w:firstLineChars="1200"/>
        <w:rPr>
          <w:rFonts w:hint="eastAsia" w:ascii="宋体" w:hAnsi="宋体" w:eastAsia="宋体" w:cs="宋体"/>
          <w:sz w:val="24"/>
          <w:highlight w:val="none"/>
          <w:u w:val="single"/>
        </w:rPr>
      </w:pPr>
      <w:r>
        <w:rPr>
          <w:rFonts w:hint="eastAsia" w:ascii="宋体" w:hAnsi="宋体" w:eastAsia="宋体" w:cs="宋体"/>
          <w:sz w:val="24"/>
          <w:highlight w:val="none"/>
        </w:rPr>
        <w:t>供  应  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pPr>
        <w:pStyle w:val="12"/>
        <w:spacing w:line="360" w:lineRule="auto"/>
        <w:ind w:left="1" w:leftChars="0" w:right="-340" w:rightChars="-162" w:firstLine="2880" w:firstLineChars="1200"/>
        <w:rPr>
          <w:rFonts w:hint="eastAsia" w:ascii="宋体" w:hAnsi="宋体" w:eastAsia="宋体" w:cs="宋体"/>
          <w:sz w:val="24"/>
          <w:highlight w:val="none"/>
          <w:u w:val="single"/>
        </w:rPr>
      </w:pPr>
    </w:p>
    <w:p>
      <w:pPr>
        <w:spacing w:line="360" w:lineRule="auto"/>
        <w:ind w:right="-57" w:rightChars="-27" w:firstLine="2976" w:firstLineChars="1240"/>
        <w:jc w:val="left"/>
        <w:rPr>
          <w:rFonts w:hint="eastAsia" w:ascii="宋体" w:hAnsi="宋体" w:eastAsia="宋体" w:cs="宋体"/>
          <w:sz w:val="24"/>
          <w:highlight w:val="none"/>
          <w:lang w:bidi="zh-CN"/>
        </w:rPr>
      </w:pPr>
      <w:r>
        <w:rPr>
          <w:rFonts w:hint="eastAsia" w:ascii="宋体" w:hAnsi="宋体" w:eastAsia="宋体" w:cs="宋体"/>
          <w:sz w:val="24"/>
          <w:highlight w:val="none"/>
          <w:lang w:bidi="zh-CN"/>
        </w:rPr>
        <w:t>法定代表人或其委托代理人：</w:t>
      </w:r>
      <w:r>
        <w:rPr>
          <w:rFonts w:hint="eastAsia" w:ascii="宋体" w:hAnsi="宋体" w:eastAsia="宋体" w:cs="宋体"/>
          <w:sz w:val="24"/>
          <w:highlight w:val="none"/>
          <w:u w:val="single"/>
          <w:lang w:bidi="zh-CN"/>
        </w:rPr>
        <w:t xml:space="preserve">         </w:t>
      </w:r>
      <w:r>
        <w:rPr>
          <w:rFonts w:hint="eastAsia" w:ascii="宋体" w:hAnsi="宋体" w:eastAsia="宋体" w:cs="宋体"/>
          <w:sz w:val="24"/>
          <w:highlight w:val="none"/>
          <w:lang w:bidi="zh-CN"/>
        </w:rPr>
        <w:t>（</w:t>
      </w:r>
      <w:r>
        <w:rPr>
          <w:rFonts w:hint="eastAsia" w:ascii="宋体" w:hAnsi="宋体" w:eastAsia="宋体" w:cs="宋体"/>
          <w:sz w:val="24"/>
          <w:highlight w:val="none"/>
        </w:rPr>
        <w:t>电子签章或签字</w:t>
      </w:r>
      <w:r>
        <w:rPr>
          <w:rFonts w:hint="eastAsia" w:ascii="宋体" w:hAnsi="宋体" w:eastAsia="宋体" w:cs="宋体"/>
          <w:sz w:val="24"/>
          <w:highlight w:val="none"/>
          <w:lang w:bidi="zh-CN"/>
        </w:rPr>
        <w:t>）</w:t>
      </w:r>
    </w:p>
    <w:p>
      <w:pPr>
        <w:pStyle w:val="12"/>
        <w:spacing w:line="360" w:lineRule="auto"/>
        <w:ind w:left="1" w:leftChars="0" w:right="-340" w:rightChars="-162" w:firstLine="480" w:firstLineChars="200"/>
        <w:rPr>
          <w:rFonts w:hint="eastAsia" w:ascii="宋体" w:hAnsi="宋体" w:eastAsia="宋体" w:cs="宋体"/>
          <w:sz w:val="24"/>
          <w:highlight w:val="none"/>
        </w:rPr>
      </w:pPr>
    </w:p>
    <w:p>
      <w:pPr>
        <w:pStyle w:val="12"/>
        <w:spacing w:line="360" w:lineRule="auto"/>
        <w:ind w:left="99" w:leftChars="47" w:right="-340" w:rightChars="-162" w:firstLine="2760" w:firstLineChars="1150"/>
        <w:rPr>
          <w:rFonts w:hint="eastAsia" w:ascii="宋体" w:hAnsi="宋体" w:eastAsia="宋体" w:cs="宋体"/>
          <w:b/>
          <w:bCs/>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360" w:lineRule="auto"/>
        <w:ind w:right="-340" w:rightChars="-162"/>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二、法定代表人身份证明</w:t>
      </w:r>
    </w:p>
    <w:p>
      <w:pPr>
        <w:spacing w:line="360" w:lineRule="auto"/>
        <w:ind w:right="-340" w:rightChars="-162"/>
        <w:textAlignment w:val="center"/>
        <w:rPr>
          <w:rFonts w:hint="eastAsia" w:ascii="宋体" w:hAnsi="宋体" w:eastAsia="宋体" w:cs="宋体"/>
          <w:sz w:val="24"/>
          <w:szCs w:val="21"/>
          <w:highlight w:val="none"/>
        </w:rPr>
      </w:pPr>
    </w:p>
    <w:p>
      <w:pPr>
        <w:autoSpaceDE w:val="0"/>
        <w:autoSpaceDN w:val="0"/>
        <w:adjustRightInd w:val="0"/>
        <w:spacing w:line="360" w:lineRule="auto"/>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单位性质：</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性别：</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年龄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职务：</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身份证号码：</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（供应商名称）的法定代表人。</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附：法定代表人身份证扫描件，</w:t>
      </w:r>
      <w:r>
        <w:rPr>
          <w:rFonts w:hint="eastAsia" w:ascii="宋体" w:hAnsi="宋体" w:eastAsia="宋体" w:cs="宋体"/>
          <w:sz w:val="24"/>
          <w:szCs w:val="21"/>
          <w:highlight w:val="none"/>
        </w:rPr>
        <w:t>加盖公章</w:t>
      </w:r>
    </w:p>
    <w:p>
      <w:pPr>
        <w:autoSpaceDE w:val="0"/>
        <w:autoSpaceDN w:val="0"/>
        <w:adjustRightInd w:val="0"/>
        <w:spacing w:line="360" w:lineRule="auto"/>
        <w:ind w:firstLine="3084" w:firstLineChars="1285"/>
        <w:jc w:val="right"/>
        <w:rPr>
          <w:rFonts w:hint="eastAsia" w:ascii="宋体" w:hAnsi="宋体" w:eastAsia="宋体" w:cs="宋体"/>
          <w:kern w:val="0"/>
          <w:sz w:val="24"/>
          <w:highlight w:val="none"/>
        </w:rPr>
      </w:pPr>
    </w:p>
    <w:p>
      <w:pPr>
        <w:autoSpaceDE w:val="0"/>
        <w:autoSpaceDN w:val="0"/>
        <w:adjustRightInd w:val="0"/>
        <w:spacing w:line="360" w:lineRule="auto"/>
        <w:ind w:firstLine="3084" w:firstLineChars="1285"/>
        <w:jc w:val="right"/>
        <w:rPr>
          <w:rFonts w:hint="eastAsia" w:ascii="宋体" w:hAnsi="宋体" w:eastAsia="宋体" w:cs="宋体"/>
          <w:kern w:val="0"/>
          <w:sz w:val="24"/>
          <w:highlight w:val="none"/>
        </w:rPr>
      </w:pPr>
    </w:p>
    <w:p>
      <w:pPr>
        <w:autoSpaceDE w:val="0"/>
        <w:autoSpaceDN w:val="0"/>
        <w:adjustRightInd w:val="0"/>
        <w:spacing w:line="360" w:lineRule="auto"/>
        <w:ind w:firstLine="3084" w:firstLineChars="1285"/>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（电子签章）</w:t>
      </w:r>
    </w:p>
    <w:p>
      <w:pPr>
        <w:autoSpaceDE w:val="0"/>
        <w:autoSpaceDN w:val="0"/>
        <w:adjustRightInd w:val="0"/>
        <w:spacing w:line="360" w:lineRule="auto"/>
        <w:ind w:right="420" w:firstLine="48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日  期：</w:t>
      </w:r>
      <w:r>
        <w:rPr>
          <w:rFonts w:hint="eastAsia" w:ascii="宋体" w:hAnsi="宋体" w:eastAsia="宋体" w:cs="宋体"/>
          <w:kern w:val="0"/>
          <w:sz w:val="24"/>
          <w:highlight w:val="none"/>
          <w:u w:val="single"/>
        </w:rPr>
        <w:t xml:space="preserve">      年      月       日 </w:t>
      </w:r>
      <w:r>
        <w:rPr>
          <w:rFonts w:hint="eastAsia" w:ascii="宋体" w:hAnsi="宋体" w:eastAsia="宋体" w:cs="宋体"/>
          <w:kern w:val="0"/>
          <w:sz w:val="24"/>
          <w:highlight w:val="none"/>
        </w:rPr>
        <w:t xml:space="preserve">   </w:t>
      </w:r>
    </w:p>
    <w:p>
      <w:pPr>
        <w:spacing w:line="360" w:lineRule="auto"/>
        <w:ind w:right="-340" w:rightChars="-162"/>
        <w:jc w:val="right"/>
        <w:textAlignment w:val="center"/>
        <w:rPr>
          <w:rFonts w:hint="eastAsia" w:ascii="宋体" w:hAnsi="宋体" w:eastAsia="宋体" w:cs="宋体"/>
          <w:sz w:val="24"/>
          <w:szCs w:val="21"/>
          <w:highlight w:val="none"/>
        </w:rPr>
      </w:pPr>
    </w:p>
    <w:p>
      <w:pPr>
        <w:spacing w:line="360" w:lineRule="auto"/>
        <w:ind w:left="3740" w:right="-340" w:rightChars="-162"/>
        <w:rPr>
          <w:rFonts w:hint="eastAsia" w:ascii="宋体" w:hAnsi="宋体" w:eastAsia="宋体" w:cs="宋体"/>
          <w:b/>
          <w:bCs/>
          <w:sz w:val="32"/>
          <w:szCs w:val="32"/>
          <w:highlight w:val="none"/>
        </w:rPr>
      </w:pPr>
      <w:r>
        <w:rPr>
          <w:rFonts w:hint="eastAsia" w:ascii="宋体" w:hAnsi="宋体" w:eastAsia="宋体" w:cs="宋体"/>
          <w:sz w:val="24"/>
          <w:szCs w:val="21"/>
          <w:highlight w:val="none"/>
        </w:rPr>
        <w:br w:type="page"/>
      </w:r>
      <w:r>
        <w:rPr>
          <w:rFonts w:hint="eastAsia" w:ascii="宋体" w:hAnsi="宋体" w:eastAsia="宋体" w:cs="宋体"/>
          <w:b/>
          <w:bCs/>
          <w:sz w:val="32"/>
          <w:szCs w:val="32"/>
          <w:highlight w:val="none"/>
        </w:rPr>
        <w:t>三、授权委托书</w:t>
      </w:r>
    </w:p>
    <w:p>
      <w:pPr>
        <w:spacing w:line="360" w:lineRule="auto"/>
        <w:ind w:right="-334" w:rightChars="-159" w:firstLine="480" w:firstLineChars="200"/>
        <w:jc w:val="left"/>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本人</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（姓名）系</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（供应商名称）的法定代表人，现委托</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（姓名）为我方代理人。代理人根据授权，以我方名义签署、澄清、说明、补正、递交、撤回、修改</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u w:val="single"/>
          <w:lang w:eastAsia="zh-CN"/>
        </w:rPr>
        <w:t>（项目名称）</w:t>
      </w:r>
      <w:r>
        <w:rPr>
          <w:rFonts w:hint="eastAsia" w:ascii="宋体" w:hAnsi="宋体" w:eastAsia="宋体" w:cs="宋体"/>
          <w:sz w:val="24"/>
          <w:szCs w:val="21"/>
          <w:highlight w:val="none"/>
        </w:rPr>
        <w:t>项目响应文件、签订合同和处理有关事宜，其法律后果由我方承担。</w:t>
      </w:r>
    </w:p>
    <w:p>
      <w:pPr>
        <w:spacing w:before="240" w:beforeLines="100" w:after="240" w:afterLines="100" w:line="360" w:lineRule="auto"/>
        <w:ind w:right="-340" w:rightChars="-162" w:firstLine="480" w:firstLineChars="200"/>
        <w:jc w:val="left"/>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委托期限至：</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lang w:val="en-US" w:eastAsia="zh-CN"/>
        </w:rPr>
        <w:t>，</w:t>
      </w:r>
      <w:r>
        <w:rPr>
          <w:rFonts w:hint="eastAsia" w:ascii="宋体" w:hAnsi="宋体" w:eastAsia="宋体" w:cs="宋体"/>
          <w:sz w:val="24"/>
          <w:szCs w:val="21"/>
          <w:highlight w:val="none"/>
        </w:rPr>
        <w:t>代理人无转委托权。</w:t>
      </w:r>
    </w:p>
    <w:p>
      <w:pPr>
        <w:spacing w:after="240" w:afterLines="100" w:line="360" w:lineRule="auto"/>
        <w:ind w:right="-340" w:rightChars="-162" w:firstLine="480" w:firstLineChars="200"/>
        <w:jc w:val="left"/>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附：委托代理人身份证扫描件，加盖公章</w:t>
      </w:r>
    </w:p>
    <w:p>
      <w:pPr>
        <w:spacing w:line="360" w:lineRule="auto"/>
        <w:ind w:right="-340" w:rightChars="-162"/>
        <w:textAlignment w:val="center"/>
        <w:rPr>
          <w:rFonts w:hint="eastAsia" w:ascii="宋体" w:hAnsi="宋体" w:eastAsia="宋体" w:cs="宋体"/>
          <w:sz w:val="24"/>
          <w:highlight w:val="none"/>
        </w:rPr>
      </w:pPr>
    </w:p>
    <w:p>
      <w:pPr>
        <w:spacing w:line="360" w:lineRule="auto"/>
        <w:ind w:right="-340" w:rightChars="-162" w:firstLine="3360" w:firstLineChars="1400"/>
        <w:textAlignment w:val="center"/>
        <w:rPr>
          <w:rFonts w:hint="eastAsia" w:ascii="宋体" w:hAnsi="宋体" w:eastAsia="宋体" w:cs="宋体"/>
          <w:sz w:val="24"/>
          <w:highlight w:val="none"/>
        </w:rPr>
      </w:pPr>
      <w:r>
        <w:rPr>
          <w:rFonts w:hint="eastAsia" w:ascii="宋体" w:hAnsi="宋体" w:eastAsia="宋体" w:cs="宋体"/>
          <w:sz w:val="24"/>
          <w:highlight w:val="none"/>
        </w:rPr>
        <w:t>供 应 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pPr>
        <w:spacing w:line="360" w:lineRule="auto"/>
        <w:ind w:right="-340" w:rightChars="-162" w:firstLine="4080" w:firstLineChars="1700"/>
        <w:textAlignment w:val="center"/>
        <w:rPr>
          <w:rFonts w:hint="eastAsia" w:ascii="宋体" w:hAnsi="宋体" w:eastAsia="宋体" w:cs="宋体"/>
          <w:sz w:val="24"/>
          <w:highlight w:val="none"/>
        </w:rPr>
      </w:pPr>
    </w:p>
    <w:p>
      <w:pPr>
        <w:spacing w:line="360" w:lineRule="auto"/>
        <w:ind w:right="-340" w:rightChars="-162" w:firstLine="3360" w:firstLineChars="1400"/>
        <w:textAlignment w:val="center"/>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pPr>
        <w:spacing w:line="360" w:lineRule="auto"/>
        <w:ind w:right="-340" w:rightChars="-162" w:firstLine="4080" w:firstLineChars="1700"/>
        <w:textAlignment w:val="center"/>
        <w:rPr>
          <w:rFonts w:hint="eastAsia" w:ascii="宋体" w:hAnsi="宋体" w:eastAsia="宋体" w:cs="宋体"/>
          <w:sz w:val="24"/>
          <w:highlight w:val="none"/>
        </w:rPr>
      </w:pPr>
    </w:p>
    <w:p>
      <w:pPr>
        <w:spacing w:line="360" w:lineRule="auto"/>
        <w:ind w:right="-340" w:rightChars="-162" w:firstLine="3360" w:firstLineChars="1400"/>
        <w:textAlignment w:val="center"/>
        <w:rPr>
          <w:rFonts w:hint="eastAsia" w:ascii="宋体" w:hAnsi="宋体" w:eastAsia="宋体" w:cs="宋体"/>
          <w:sz w:val="24"/>
          <w:highlight w:val="none"/>
        </w:rPr>
      </w:pPr>
      <w:r>
        <w:rPr>
          <w:rFonts w:hint="eastAsia" w:ascii="宋体" w:hAnsi="宋体" w:eastAsia="宋体" w:cs="宋体"/>
          <w:sz w:val="24"/>
          <w:highlight w:val="none"/>
        </w:rPr>
        <w:t>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w:t>
      </w:r>
    </w:p>
    <w:p>
      <w:pPr>
        <w:spacing w:line="360" w:lineRule="auto"/>
        <w:ind w:right="-340" w:rightChars="-162" w:firstLine="4080" w:firstLineChars="1700"/>
        <w:textAlignment w:val="center"/>
        <w:rPr>
          <w:rFonts w:hint="eastAsia" w:ascii="宋体" w:hAnsi="宋体" w:eastAsia="宋体" w:cs="宋体"/>
          <w:sz w:val="24"/>
          <w:highlight w:val="none"/>
        </w:rPr>
      </w:pPr>
    </w:p>
    <w:p>
      <w:pPr>
        <w:spacing w:line="360" w:lineRule="auto"/>
        <w:ind w:right="-340" w:rightChars="-162" w:firstLine="4800" w:firstLineChars="2000"/>
        <w:textAlignment w:val="center"/>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before="240" w:beforeLines="100" w:after="120" w:afterLines="50" w:line="360" w:lineRule="auto"/>
        <w:ind w:right="-340" w:rightChars="-162"/>
        <w:textAlignment w:val="center"/>
        <w:rPr>
          <w:rFonts w:hint="eastAsia" w:ascii="宋体" w:hAnsi="宋体" w:eastAsia="宋体" w:cs="宋体"/>
          <w:b/>
          <w:bCs/>
          <w:sz w:val="24"/>
          <w:szCs w:val="21"/>
          <w:highlight w:val="none"/>
        </w:rPr>
      </w:pPr>
    </w:p>
    <w:p>
      <w:pPr>
        <w:spacing w:before="240" w:beforeLines="100" w:after="120" w:afterLines="50" w:line="360" w:lineRule="auto"/>
        <w:ind w:right="-340" w:rightChars="-162"/>
        <w:textAlignment w:val="center"/>
        <w:rPr>
          <w:rFonts w:hint="eastAsia" w:ascii="宋体" w:hAnsi="宋体" w:eastAsia="宋体" w:cs="宋体"/>
          <w:b/>
          <w:bCs/>
          <w:sz w:val="24"/>
          <w:szCs w:val="21"/>
          <w:highlight w:val="none"/>
        </w:rPr>
      </w:pPr>
      <w:r>
        <w:rPr>
          <w:rFonts w:hint="eastAsia" w:ascii="宋体" w:hAnsi="宋体" w:eastAsia="宋体" w:cs="宋体"/>
          <w:b/>
          <w:bCs/>
          <w:sz w:val="24"/>
          <w:szCs w:val="21"/>
          <w:highlight w:val="none"/>
        </w:rPr>
        <w:t>注：因响应文件中授权委托书授权代理人无法手写签字，可以以印刷体代替（印刷体为电脑打出的字体）。委托代理人签字为手写签字</w:t>
      </w:r>
      <w:r>
        <w:rPr>
          <w:rFonts w:hint="eastAsia" w:ascii="宋体" w:hAnsi="宋体" w:eastAsia="宋体" w:cs="宋体"/>
          <w:b/>
          <w:bCs/>
          <w:sz w:val="24"/>
          <w:szCs w:val="21"/>
          <w:highlight w:val="none"/>
          <w:lang w:val="en-US" w:eastAsia="zh-CN"/>
        </w:rPr>
        <w:t>的</w:t>
      </w:r>
      <w:r>
        <w:rPr>
          <w:rFonts w:hint="eastAsia" w:ascii="宋体" w:hAnsi="宋体" w:eastAsia="宋体" w:cs="宋体"/>
          <w:b/>
          <w:bCs/>
          <w:sz w:val="24"/>
          <w:szCs w:val="21"/>
          <w:highlight w:val="none"/>
        </w:rPr>
        <w:t>，以扫描件的形式上传。</w:t>
      </w:r>
    </w:p>
    <w:p>
      <w:pPr>
        <w:spacing w:before="240" w:beforeLines="100" w:after="120" w:afterLines="50" w:line="360" w:lineRule="auto"/>
        <w:ind w:right="-340" w:rightChars="-162"/>
        <w:textAlignment w:val="center"/>
        <w:rPr>
          <w:rFonts w:hint="eastAsia" w:ascii="宋体" w:hAnsi="宋体" w:eastAsia="宋体" w:cs="宋体"/>
          <w:b/>
          <w:bCs/>
          <w:sz w:val="24"/>
          <w:szCs w:val="21"/>
          <w:highlight w:val="none"/>
        </w:rPr>
      </w:pPr>
      <w:r>
        <w:rPr>
          <w:rFonts w:hint="eastAsia" w:ascii="宋体" w:hAnsi="宋体" w:eastAsia="宋体" w:cs="宋体"/>
          <w:b/>
          <w:bCs/>
          <w:sz w:val="24"/>
          <w:szCs w:val="21"/>
          <w:highlight w:val="none"/>
        </w:rPr>
        <w:t xml:space="preserve">   </w:t>
      </w:r>
    </w:p>
    <w:p>
      <w:pPr>
        <w:pStyle w:val="3"/>
        <w:spacing w:line="360" w:lineRule="auto"/>
        <w:ind w:right="-340" w:rightChars="-162" w:firstLine="0"/>
        <w:rPr>
          <w:rFonts w:hint="eastAsia" w:ascii="宋体" w:hAnsi="宋体" w:eastAsia="宋体" w:cs="宋体"/>
          <w:bCs/>
          <w:color w:val="auto"/>
          <w:kern w:val="2"/>
          <w:sz w:val="24"/>
          <w:szCs w:val="21"/>
          <w:highlight w:val="none"/>
          <w:lang w:eastAsia="zh-CN"/>
        </w:rPr>
      </w:pPr>
      <w:bookmarkStart w:id="184" w:name="_Toc466566720"/>
      <w:bookmarkStart w:id="185" w:name="_Toc466566810"/>
      <w:r>
        <w:rPr>
          <w:rFonts w:hint="eastAsia" w:ascii="宋体" w:hAnsi="宋体" w:eastAsia="宋体" w:cs="宋体"/>
          <w:bCs/>
          <w:color w:val="auto"/>
          <w:kern w:val="2"/>
          <w:sz w:val="24"/>
          <w:szCs w:val="21"/>
          <w:highlight w:val="none"/>
        </w:rPr>
        <w:br w:type="page"/>
      </w:r>
    </w:p>
    <w:p>
      <w:pPr>
        <w:pStyle w:val="3"/>
        <w:spacing w:line="360" w:lineRule="auto"/>
        <w:ind w:right="-340" w:rightChars="-162" w:firstLine="0"/>
        <w:rPr>
          <w:rFonts w:hint="eastAsia" w:ascii="宋体" w:hAnsi="宋体" w:eastAsia="宋体" w:cs="宋体"/>
          <w:bCs/>
          <w:color w:val="auto"/>
          <w:kern w:val="2"/>
          <w:sz w:val="32"/>
          <w:szCs w:val="32"/>
          <w:highlight w:val="none"/>
          <w:lang w:eastAsia="zh-CN"/>
        </w:rPr>
      </w:pPr>
      <w:r>
        <w:rPr>
          <w:rFonts w:hint="eastAsia" w:ascii="宋体" w:hAnsi="宋体" w:eastAsia="宋体" w:cs="宋体"/>
          <w:bCs/>
          <w:color w:val="auto"/>
          <w:kern w:val="2"/>
          <w:sz w:val="32"/>
          <w:szCs w:val="32"/>
          <w:highlight w:val="none"/>
        </w:rPr>
        <w:t>四、</w:t>
      </w:r>
      <w:bookmarkEnd w:id="184"/>
      <w:bookmarkEnd w:id="185"/>
      <w:r>
        <w:rPr>
          <w:rFonts w:hint="eastAsia" w:ascii="宋体" w:hAnsi="宋体" w:eastAsia="宋体" w:cs="宋体"/>
          <w:bCs/>
          <w:color w:val="auto"/>
          <w:kern w:val="2"/>
          <w:sz w:val="32"/>
          <w:szCs w:val="32"/>
          <w:highlight w:val="none"/>
          <w:lang w:eastAsia="zh-CN"/>
        </w:rPr>
        <w:t>磋商</w:t>
      </w:r>
      <w:r>
        <w:rPr>
          <w:rFonts w:hint="eastAsia" w:ascii="宋体" w:hAnsi="宋体" w:eastAsia="宋体" w:cs="宋体"/>
          <w:bCs/>
          <w:color w:val="auto"/>
          <w:kern w:val="2"/>
          <w:sz w:val="32"/>
          <w:szCs w:val="32"/>
          <w:highlight w:val="none"/>
        </w:rPr>
        <w:t>承诺函</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致（采购人）：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我公司作为本次采购项目的供应商，根据磋商文件要求，现郑重承诺如下：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一、具备《中华人民共和国政府采购法》第二十二条第一款和本项目规定的条件：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（一）具有独立承担民事责任的能力；</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（二）具有良好的商业信誉和健全的财务会计制度；</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（三）具有履行合同所必需的设备和专业技术能力；</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（四）有依法缴纳税收和社会保障资金的良好记录；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（五）参加政府采购活动前三年内，在经营活动中没有重大违法记录；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（六）法律、行政法规规定的其他条件；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（七）根据采购项目提出的特殊条件。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三、参加本次招标采购活动，不存在与单位负责人为同一人或者存在直接控股、管理关系的其他供应商参与同一合同项下的政府采购活动的行为。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四、参加本次招标采购活动，不存在为采购项目提供整体设计、规范编制或者项目管理、监理、检测等服务的行为。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五、参加本次招标采购活动，不存在和其他供应商在同一合同项下的采购项目中，同时委托同一个自然人、同一家庭的人员、同一单位的人员作为代理人的行为。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六、参加本次政府采购活动在近三年内供应商和其法定代表人没有行贿犯罪行为。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七、参加本次招标采购活动，不存在联合体投标。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八、投标文件中提供的能够带来优惠、好处的任何材料资料和技术、服务、商务等响应承诺情况都是真实的、有效的、合法的。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九</w:t>
      </w:r>
      <w:r>
        <w:rPr>
          <w:rFonts w:hint="eastAsia" w:ascii="宋体" w:hAnsi="宋体" w:eastAsia="宋体" w:cs="宋体"/>
          <w:sz w:val="24"/>
          <w:highlight w:val="none"/>
        </w:rPr>
        <w:t>、存在以下行为之一的愿意接受相关部门的处理：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（一）投标有效期内撤销投标文件的；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（二）在采购人确定中标人以前放弃中标候选资格的；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（三）由于中标人的原因未能按照磋商文件的规定与采购人签订合同；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（四）由于中标人的原因未能按照磋商文件的规定交纳履约保证金；</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（五）在投标文件中提供虚假材料谋取中标；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（六）与采购人、其他供应商或者采购代理机构恶意串通的；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（七）投标有效期内，供应商在政府采购活动中有违法、违规、违纪行为。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由此产生的一切法律后果和责任由我公司承担。我公司声明放弃对此提出任何异议和追索的权利。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本公司对上述承诺的内容事项真实性负责。如经查实上述承诺的内容事项存在虚假，我公司愿意接受以提供虚假材料谋取中标追究法律责任。</w:t>
      </w:r>
    </w:p>
    <w:p>
      <w:pPr>
        <w:pStyle w:val="5"/>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pStyle w:val="5"/>
        <w:spacing w:line="360" w:lineRule="auto"/>
        <w:rPr>
          <w:rFonts w:hint="eastAsia" w:ascii="宋体" w:hAnsi="宋体" w:eastAsia="宋体" w:cs="宋体"/>
          <w:sz w:val="24"/>
          <w:highlight w:val="none"/>
        </w:rPr>
      </w:pPr>
    </w:p>
    <w:p>
      <w:pPr>
        <w:spacing w:line="360" w:lineRule="auto"/>
        <w:rPr>
          <w:rFonts w:hint="eastAsia" w:ascii="宋体" w:hAnsi="宋体" w:eastAsia="宋体" w:cs="宋体"/>
          <w:highlight w:val="none"/>
        </w:rPr>
      </w:pPr>
    </w:p>
    <w:p>
      <w:pPr>
        <w:spacing w:line="360" w:lineRule="auto"/>
        <w:ind w:right="-340" w:rightChars="-162"/>
        <w:jc w:val="both"/>
        <w:rPr>
          <w:rFonts w:hint="eastAsia" w:ascii="宋体" w:hAnsi="宋体" w:eastAsia="宋体" w:cs="宋体"/>
          <w:b/>
          <w:sz w:val="24"/>
          <w:highlight w:val="none"/>
        </w:rPr>
      </w:pPr>
    </w:p>
    <w:p>
      <w:pPr>
        <w:pStyle w:val="12"/>
        <w:spacing w:line="360" w:lineRule="auto"/>
        <w:ind w:left="1" w:leftChars="0" w:right="-340" w:rightChars="-162" w:firstLine="2880" w:firstLineChars="1200"/>
        <w:rPr>
          <w:rFonts w:hint="eastAsia" w:ascii="宋体" w:hAnsi="宋体" w:eastAsia="宋体" w:cs="宋体"/>
          <w:sz w:val="24"/>
          <w:highlight w:val="none"/>
        </w:rPr>
      </w:pPr>
    </w:p>
    <w:p>
      <w:pPr>
        <w:pStyle w:val="12"/>
        <w:spacing w:line="360" w:lineRule="auto"/>
        <w:ind w:left="1" w:leftChars="0" w:right="-340" w:rightChars="-162" w:firstLine="2880" w:firstLineChars="1200"/>
        <w:rPr>
          <w:rFonts w:hint="eastAsia" w:ascii="宋体" w:hAnsi="宋体" w:eastAsia="宋体" w:cs="宋体"/>
          <w:sz w:val="24"/>
          <w:highlight w:val="none"/>
        </w:rPr>
      </w:pPr>
    </w:p>
    <w:p>
      <w:pPr>
        <w:pStyle w:val="12"/>
        <w:spacing w:line="360" w:lineRule="auto"/>
        <w:ind w:left="1" w:leftChars="0" w:right="-340" w:rightChars="-162" w:firstLine="2880" w:firstLineChars="1200"/>
        <w:rPr>
          <w:rFonts w:hint="eastAsia" w:ascii="宋体" w:hAnsi="宋体" w:eastAsia="宋体" w:cs="宋体"/>
          <w:sz w:val="24"/>
          <w:highlight w:val="none"/>
          <w:u w:val="single"/>
        </w:rPr>
      </w:pPr>
      <w:r>
        <w:rPr>
          <w:rFonts w:hint="eastAsia" w:ascii="宋体" w:hAnsi="宋体" w:eastAsia="宋体" w:cs="宋体"/>
          <w:sz w:val="24"/>
          <w:highlight w:val="none"/>
        </w:rPr>
        <w:t>供  应  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pPr>
        <w:pStyle w:val="12"/>
        <w:spacing w:line="360" w:lineRule="auto"/>
        <w:ind w:left="1" w:leftChars="0" w:right="-340" w:rightChars="-162" w:firstLine="2880" w:firstLineChars="1200"/>
        <w:rPr>
          <w:rFonts w:hint="eastAsia" w:ascii="宋体" w:hAnsi="宋体" w:eastAsia="宋体" w:cs="宋体"/>
          <w:sz w:val="24"/>
          <w:highlight w:val="none"/>
          <w:u w:val="single"/>
        </w:rPr>
      </w:pPr>
    </w:p>
    <w:p>
      <w:pPr>
        <w:spacing w:line="360" w:lineRule="auto"/>
        <w:ind w:right="-57" w:rightChars="-27" w:firstLine="2880" w:firstLineChars="1200"/>
        <w:jc w:val="left"/>
        <w:rPr>
          <w:rFonts w:hint="eastAsia" w:ascii="宋体" w:hAnsi="宋体" w:eastAsia="宋体" w:cs="宋体"/>
          <w:sz w:val="24"/>
          <w:highlight w:val="none"/>
          <w:lang w:bidi="zh-CN"/>
        </w:rPr>
      </w:pPr>
      <w:r>
        <w:rPr>
          <w:rFonts w:hint="eastAsia" w:ascii="宋体" w:hAnsi="宋体" w:eastAsia="宋体" w:cs="宋体"/>
          <w:sz w:val="24"/>
          <w:highlight w:val="none"/>
          <w:lang w:bidi="zh-CN"/>
        </w:rPr>
        <w:t>法定代表人或其委托代理人：</w:t>
      </w:r>
      <w:r>
        <w:rPr>
          <w:rFonts w:hint="eastAsia" w:ascii="宋体" w:hAnsi="宋体" w:eastAsia="宋体" w:cs="宋体"/>
          <w:sz w:val="24"/>
          <w:highlight w:val="none"/>
          <w:u w:val="single"/>
          <w:lang w:bidi="zh-CN"/>
        </w:rPr>
        <w:t xml:space="preserve">          </w:t>
      </w:r>
      <w:r>
        <w:rPr>
          <w:rFonts w:hint="eastAsia" w:ascii="宋体" w:hAnsi="宋体" w:eastAsia="宋体" w:cs="宋体"/>
          <w:sz w:val="24"/>
          <w:highlight w:val="none"/>
          <w:lang w:bidi="zh-CN"/>
        </w:rPr>
        <w:t>（</w:t>
      </w:r>
      <w:r>
        <w:rPr>
          <w:rFonts w:hint="eastAsia" w:ascii="宋体" w:hAnsi="宋体" w:eastAsia="宋体" w:cs="宋体"/>
          <w:sz w:val="24"/>
          <w:highlight w:val="none"/>
        </w:rPr>
        <w:t>电子签章或签字</w:t>
      </w:r>
      <w:r>
        <w:rPr>
          <w:rFonts w:hint="eastAsia" w:ascii="宋体" w:hAnsi="宋体" w:eastAsia="宋体" w:cs="宋体"/>
          <w:sz w:val="24"/>
          <w:highlight w:val="none"/>
          <w:lang w:bidi="zh-CN"/>
        </w:rPr>
        <w:t>）</w:t>
      </w:r>
    </w:p>
    <w:p>
      <w:pPr>
        <w:pStyle w:val="12"/>
        <w:spacing w:line="360" w:lineRule="auto"/>
        <w:ind w:left="1" w:leftChars="0" w:right="-340" w:rightChars="-162" w:firstLine="480" w:firstLineChars="200"/>
        <w:rPr>
          <w:rFonts w:hint="eastAsia" w:ascii="宋体" w:hAnsi="宋体" w:eastAsia="宋体" w:cs="宋体"/>
          <w:sz w:val="24"/>
          <w:highlight w:val="none"/>
        </w:rPr>
      </w:pPr>
    </w:p>
    <w:p>
      <w:pPr>
        <w:pStyle w:val="12"/>
        <w:spacing w:line="360" w:lineRule="auto"/>
        <w:ind w:left="99" w:leftChars="47" w:right="-340" w:rightChars="-162" w:firstLine="2760" w:firstLineChars="1150"/>
        <w:rPr>
          <w:rFonts w:hint="eastAsia" w:ascii="宋体" w:hAnsi="宋体" w:eastAsia="宋体" w:cs="宋体"/>
          <w:b/>
          <w:bCs/>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年     月    日</w:t>
      </w:r>
    </w:p>
    <w:p>
      <w:pPr>
        <w:pStyle w:val="7"/>
        <w:spacing w:line="360" w:lineRule="auto"/>
        <w:ind w:left="63" w:right="-340" w:rightChars="-162"/>
        <w:rPr>
          <w:rFonts w:hint="eastAsia" w:ascii="宋体" w:hAnsi="宋体" w:eastAsia="宋体" w:cs="宋体"/>
          <w:highlight w:val="none"/>
        </w:rPr>
      </w:pPr>
    </w:p>
    <w:p>
      <w:pPr>
        <w:spacing w:line="360" w:lineRule="auto"/>
        <w:ind w:right="-340" w:rightChars="-162"/>
        <w:jc w:val="center"/>
        <w:rPr>
          <w:rFonts w:hint="eastAsia" w:ascii="宋体" w:hAnsi="宋体" w:eastAsia="宋体" w:cs="宋体"/>
          <w:b/>
          <w:bCs/>
          <w:sz w:val="32"/>
          <w:szCs w:val="32"/>
          <w:highlight w:val="none"/>
        </w:rPr>
      </w:pPr>
      <w:r>
        <w:rPr>
          <w:rFonts w:hint="eastAsia" w:ascii="宋体" w:hAnsi="宋体" w:eastAsia="宋体" w:cs="宋体"/>
          <w:sz w:val="24"/>
          <w:highlight w:val="none"/>
        </w:rPr>
        <w:br w:type="page"/>
      </w:r>
      <w:r>
        <w:rPr>
          <w:rFonts w:hint="eastAsia" w:ascii="宋体" w:hAnsi="宋体" w:eastAsia="宋体" w:cs="宋体"/>
          <w:b/>
          <w:bCs/>
          <w:sz w:val="32"/>
          <w:szCs w:val="32"/>
          <w:highlight w:val="none"/>
        </w:rPr>
        <w:t>五、已标价工程量清单</w:t>
      </w:r>
    </w:p>
    <w:p>
      <w:pPr>
        <w:pStyle w:val="12"/>
        <w:spacing w:line="360" w:lineRule="auto"/>
        <w:ind w:left="0" w:leftChars="0" w:right="-340" w:rightChars="-162" w:firstLine="480" w:firstLineChars="200"/>
        <w:rPr>
          <w:rFonts w:hint="eastAsia" w:ascii="宋体" w:hAnsi="宋体" w:eastAsia="宋体" w:cs="宋体"/>
          <w:bCs/>
          <w:sz w:val="24"/>
          <w:highlight w:val="none"/>
        </w:rPr>
      </w:pPr>
    </w:p>
    <w:p>
      <w:pPr>
        <w:pStyle w:val="12"/>
        <w:spacing w:line="360" w:lineRule="auto"/>
        <w:ind w:left="0" w:leftChars="0" w:right="-340" w:rightChars="-162" w:firstLine="480" w:firstLineChars="200"/>
        <w:rPr>
          <w:rFonts w:hint="eastAsia" w:ascii="宋体" w:hAnsi="宋体" w:eastAsia="宋体" w:cs="宋体"/>
          <w:bCs/>
          <w:sz w:val="24"/>
          <w:highlight w:val="none"/>
        </w:rPr>
      </w:pPr>
    </w:p>
    <w:p>
      <w:pPr>
        <w:spacing w:line="360" w:lineRule="auto"/>
        <w:ind w:right="-340" w:rightChars="-162"/>
        <w:jc w:val="center"/>
        <w:rPr>
          <w:rFonts w:hint="eastAsia" w:ascii="宋体" w:hAnsi="宋体" w:eastAsia="宋体" w:cs="宋体"/>
          <w:highlight w:val="none"/>
        </w:rPr>
      </w:pPr>
    </w:p>
    <w:p>
      <w:pPr>
        <w:pStyle w:val="9"/>
        <w:spacing w:line="360" w:lineRule="auto"/>
        <w:rPr>
          <w:rFonts w:hint="eastAsia" w:ascii="宋体" w:hAnsi="宋体" w:eastAsia="宋体" w:cs="宋体"/>
          <w:highlight w:val="none"/>
        </w:rPr>
      </w:pPr>
      <w:r>
        <w:rPr>
          <w:rFonts w:hint="eastAsia" w:ascii="宋体" w:hAnsi="宋体" w:eastAsia="宋体" w:cs="宋体"/>
          <w:szCs w:val="28"/>
          <w:highlight w:val="none"/>
        </w:rPr>
        <w:t xml:space="preserve">                          </w:t>
      </w:r>
      <w:r>
        <w:rPr>
          <w:rFonts w:hint="eastAsia" w:ascii="宋体" w:hAnsi="宋体" w:eastAsia="宋体" w:cs="宋体"/>
          <w:highlight w:val="none"/>
        </w:rPr>
        <w:t xml:space="preserve"> </w:t>
      </w:r>
    </w:p>
    <w:p>
      <w:pPr>
        <w:pStyle w:val="9"/>
        <w:spacing w:line="360" w:lineRule="auto"/>
        <w:rPr>
          <w:rFonts w:hint="eastAsia" w:ascii="宋体" w:hAnsi="宋体" w:eastAsia="宋体" w:cs="宋体"/>
          <w:highlight w:val="none"/>
        </w:rPr>
      </w:pPr>
    </w:p>
    <w:p>
      <w:pPr>
        <w:pStyle w:val="9"/>
        <w:spacing w:line="360" w:lineRule="auto"/>
        <w:rPr>
          <w:rFonts w:hint="eastAsia" w:ascii="宋体" w:hAnsi="宋体" w:eastAsia="宋体" w:cs="宋体"/>
          <w:highlight w:val="none"/>
        </w:rPr>
      </w:pPr>
    </w:p>
    <w:p>
      <w:pPr>
        <w:pStyle w:val="9"/>
        <w:spacing w:line="360" w:lineRule="auto"/>
        <w:rPr>
          <w:rFonts w:hint="eastAsia" w:ascii="宋体" w:hAnsi="宋体" w:eastAsia="宋体" w:cs="宋体"/>
          <w:highlight w:val="none"/>
        </w:rPr>
      </w:pPr>
    </w:p>
    <w:p>
      <w:pPr>
        <w:spacing w:before="240" w:beforeLines="100" w:after="120" w:afterLines="50" w:line="360" w:lineRule="auto"/>
        <w:ind w:right="-340" w:rightChars="-162"/>
        <w:jc w:val="center"/>
        <w:textAlignment w:val="center"/>
        <w:rPr>
          <w:rFonts w:hint="eastAsia" w:ascii="宋体" w:hAnsi="宋体" w:eastAsia="宋体" w:cs="宋体"/>
          <w:b/>
          <w:bCs/>
          <w:sz w:val="32"/>
          <w:szCs w:val="32"/>
          <w:highlight w:val="none"/>
        </w:rPr>
      </w:pPr>
      <w:r>
        <w:rPr>
          <w:rFonts w:hint="eastAsia" w:ascii="宋体" w:hAnsi="宋体" w:eastAsia="宋体" w:cs="宋体"/>
          <w:sz w:val="24"/>
          <w:highlight w:val="none"/>
        </w:rPr>
        <w:br w:type="page"/>
      </w:r>
      <w:bookmarkStart w:id="186" w:name="_Toc152042592"/>
      <w:bookmarkStart w:id="187" w:name="_Toc179632823"/>
      <w:bookmarkStart w:id="188" w:name="_Toc438548427"/>
      <w:bookmarkStart w:id="189" w:name="_Toc450119728"/>
      <w:bookmarkStart w:id="190" w:name="_Toc375041332"/>
      <w:bookmarkStart w:id="191" w:name="_Toc375041769"/>
      <w:bookmarkStart w:id="192" w:name="_Toc375040629"/>
      <w:bookmarkStart w:id="193" w:name="_Toc451761853"/>
      <w:bookmarkStart w:id="194" w:name="_Toc375041581"/>
      <w:bookmarkStart w:id="195" w:name="_Toc144974871"/>
      <w:bookmarkStart w:id="196" w:name="_Toc375040693"/>
      <w:bookmarkStart w:id="197" w:name="_Toc374947253"/>
      <w:bookmarkStart w:id="198" w:name="_Toc152045803"/>
      <w:r>
        <w:rPr>
          <w:rFonts w:hint="eastAsia" w:ascii="宋体" w:hAnsi="宋体" w:eastAsia="宋体" w:cs="宋体"/>
          <w:b/>
          <w:sz w:val="28"/>
          <w:highlight w:val="none"/>
        </w:rPr>
        <w:t>六、</w:t>
      </w:r>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宋体" w:hAnsi="宋体" w:eastAsia="宋体" w:cs="宋体"/>
          <w:b/>
          <w:bCs/>
          <w:sz w:val="32"/>
          <w:szCs w:val="32"/>
          <w:highlight w:val="none"/>
        </w:rPr>
        <w:t>施工组织设计</w:t>
      </w:r>
    </w:p>
    <w:p>
      <w:pPr>
        <w:spacing w:line="360" w:lineRule="auto"/>
        <w:ind w:right="-340" w:rightChars="-162" w:firstLine="480" w:firstLineChars="200"/>
        <w:textAlignment w:val="center"/>
        <w:rPr>
          <w:rFonts w:hint="eastAsia" w:ascii="宋体" w:hAnsi="宋体" w:eastAsia="宋体" w:cs="宋体"/>
          <w:sz w:val="24"/>
          <w:szCs w:val="21"/>
          <w:highlight w:val="none"/>
        </w:rPr>
      </w:pPr>
    </w:p>
    <w:p>
      <w:pPr>
        <w:spacing w:line="360" w:lineRule="auto"/>
        <w:ind w:firstLine="560" w:firstLineChars="200"/>
        <w:rPr>
          <w:rFonts w:ascii="宋体" w:hAnsi="宋体" w:eastAsia="宋体" w:cs="Times New Roman"/>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Times New Roman"/>
          <w:color w:val="auto"/>
          <w:sz w:val="28"/>
          <w:szCs w:val="28"/>
          <w:highlight w:val="none"/>
        </w:rPr>
        <w:t>应根据竞争性磋商文件和对现场的勘察情况，参考本竞争性磋商文件评分标准编制本工程的施工组织设计。</w:t>
      </w:r>
    </w:p>
    <w:p>
      <w:pPr>
        <w:spacing w:before="120" w:beforeLines="50" w:after="120" w:afterLines="50" w:line="360" w:lineRule="auto"/>
        <w:ind w:right="-340" w:rightChars="-162"/>
        <w:textAlignment w:val="center"/>
        <w:rPr>
          <w:rFonts w:hint="eastAsia" w:ascii="宋体" w:hAnsi="宋体" w:eastAsia="宋体" w:cs="宋体"/>
          <w:sz w:val="24"/>
          <w:szCs w:val="28"/>
          <w:highlight w:val="none"/>
        </w:rPr>
      </w:pPr>
    </w:p>
    <w:p>
      <w:pPr>
        <w:spacing w:before="120" w:beforeLines="50" w:after="120" w:afterLines="50" w:line="360" w:lineRule="auto"/>
        <w:ind w:right="-340" w:rightChars="-162"/>
        <w:textAlignment w:val="center"/>
        <w:rPr>
          <w:rFonts w:hint="eastAsia" w:ascii="宋体" w:hAnsi="宋体" w:eastAsia="宋体" w:cs="宋体"/>
          <w:sz w:val="24"/>
          <w:highlight w:val="none"/>
        </w:rPr>
      </w:pPr>
      <w:r>
        <w:rPr>
          <w:rFonts w:hint="eastAsia" w:ascii="宋体" w:hAnsi="宋体" w:eastAsia="宋体" w:cs="宋体"/>
          <w:sz w:val="24"/>
          <w:szCs w:val="28"/>
          <w:highlight w:val="none"/>
        </w:rPr>
        <w:t xml:space="preserve">                          </w:t>
      </w:r>
      <w:r>
        <w:rPr>
          <w:rFonts w:hint="eastAsia" w:ascii="宋体" w:hAnsi="宋体" w:eastAsia="宋体" w:cs="宋体"/>
          <w:sz w:val="24"/>
          <w:highlight w:val="none"/>
        </w:rPr>
        <w:t xml:space="preserve"> </w:t>
      </w:r>
    </w:p>
    <w:p>
      <w:pPr>
        <w:spacing w:line="360" w:lineRule="auto"/>
        <w:jc w:val="center"/>
        <w:rPr>
          <w:rFonts w:hint="eastAsia" w:ascii="宋体" w:hAnsi="宋体" w:eastAsia="宋体" w:cs="宋体"/>
          <w:b/>
          <w:highlight w:val="none"/>
        </w:rPr>
      </w:pPr>
      <w:r>
        <w:rPr>
          <w:rFonts w:hint="eastAsia" w:ascii="宋体" w:hAnsi="宋体" w:eastAsia="宋体" w:cs="宋体"/>
          <w:sz w:val="24"/>
          <w:highlight w:val="none"/>
        </w:rPr>
        <w:br w:type="page"/>
      </w:r>
      <w:r>
        <w:rPr>
          <w:rFonts w:hint="eastAsia" w:ascii="宋体" w:hAnsi="宋体" w:eastAsia="宋体" w:cs="宋体"/>
          <w:b/>
          <w:sz w:val="32"/>
          <w:szCs w:val="21"/>
          <w:highlight w:val="none"/>
        </w:rPr>
        <w:t>七、项目管理机构</w:t>
      </w:r>
    </w:p>
    <w:p>
      <w:pPr>
        <w:spacing w:line="360" w:lineRule="auto"/>
        <w:ind w:firstLine="480"/>
        <w:jc w:val="center"/>
        <w:rPr>
          <w:rFonts w:hint="eastAsia" w:ascii="宋体" w:hAnsi="宋体" w:eastAsia="宋体" w:cs="宋体"/>
          <w:sz w:val="28"/>
          <w:szCs w:val="28"/>
          <w:highlight w:val="none"/>
        </w:rPr>
      </w:pPr>
      <w:bookmarkStart w:id="199" w:name="_Toc144974872"/>
      <w:bookmarkStart w:id="200" w:name="_Toc179632824"/>
      <w:bookmarkStart w:id="201" w:name="_Toc375041582"/>
      <w:bookmarkStart w:id="202" w:name="_Toc152045804"/>
      <w:bookmarkStart w:id="203" w:name="_Toc152042593"/>
      <w:bookmarkStart w:id="204" w:name="_Toc375041333"/>
      <w:r>
        <w:rPr>
          <w:rFonts w:hint="eastAsia" w:ascii="宋体" w:hAnsi="宋体" w:eastAsia="宋体" w:cs="宋体"/>
          <w:sz w:val="28"/>
          <w:szCs w:val="28"/>
          <w:highlight w:val="none"/>
        </w:rPr>
        <w:t>（一）项目管理机构组成表</w:t>
      </w:r>
      <w:bookmarkEnd w:id="199"/>
      <w:bookmarkEnd w:id="200"/>
      <w:bookmarkEnd w:id="201"/>
      <w:bookmarkEnd w:id="202"/>
      <w:bookmarkEnd w:id="203"/>
      <w:bookmarkEnd w:id="204"/>
    </w:p>
    <w:tbl>
      <w:tblPr>
        <w:tblStyle w:val="18"/>
        <w:tblpPr w:leftFromText="180" w:rightFromText="180" w:vertAnchor="text" w:horzAnchor="page" w:tblpXSpec="center" w:tblpY="4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33"/>
        <w:gridCol w:w="833"/>
        <w:gridCol w:w="1408"/>
        <w:gridCol w:w="833"/>
        <w:gridCol w:w="897"/>
        <w:gridCol w:w="992"/>
        <w:gridCol w:w="1187"/>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职务</w:t>
            </w:r>
          </w:p>
        </w:tc>
        <w:tc>
          <w:tcPr>
            <w:tcW w:w="83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姓名</w:t>
            </w:r>
          </w:p>
        </w:tc>
        <w:tc>
          <w:tcPr>
            <w:tcW w:w="83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职称</w:t>
            </w:r>
          </w:p>
        </w:tc>
        <w:tc>
          <w:tcPr>
            <w:tcW w:w="531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r>
              <w:rPr>
                <w:rFonts w:hint="eastAsia" w:ascii="宋体" w:hAnsi="宋体" w:eastAsia="宋体" w:cs="宋体"/>
                <w:highlight w:val="none"/>
              </w:rPr>
              <w:t>执业或职业资格证明</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highlight w:val="none"/>
              </w:rPr>
            </w:pPr>
          </w:p>
        </w:tc>
        <w:tc>
          <w:tcPr>
            <w:tcW w:w="83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highlight w:val="none"/>
              </w:rPr>
            </w:pPr>
          </w:p>
        </w:tc>
        <w:tc>
          <w:tcPr>
            <w:tcW w:w="83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证书名称</w:t>
            </w: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级别</w:t>
            </w:r>
          </w:p>
        </w:tc>
        <w:tc>
          <w:tcPr>
            <w:tcW w:w="8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证号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t>专业</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textAlignment w:val="baseline"/>
              <w:rPr>
                <w:rFonts w:hint="eastAsia" w:ascii="宋体" w:hAnsi="宋体" w:eastAsia="宋体" w:cs="宋体"/>
                <w:highlight w:val="none"/>
              </w:rPr>
            </w:pPr>
            <w:r>
              <w:rPr>
                <w:rFonts w:hint="eastAsia" w:ascii="宋体" w:hAnsi="宋体" w:eastAsia="宋体" w:cs="宋体"/>
                <w:highlight w:val="none"/>
              </w:rPr>
              <w:t>养老保险</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ind w:firstLine="480"/>
              <w:jc w:val="center"/>
              <w:textAlignment w:val="baseline"/>
              <w:rPr>
                <w:rFonts w:hint="eastAsia" w:ascii="宋体" w:hAnsi="宋体" w:eastAsia="宋体" w:cs="宋体"/>
                <w:highlight w:val="none"/>
              </w:rPr>
            </w:pPr>
          </w:p>
        </w:tc>
      </w:tr>
    </w:tbl>
    <w:p>
      <w:pPr>
        <w:spacing w:line="360" w:lineRule="auto"/>
        <w:rPr>
          <w:rFonts w:hint="eastAsia" w:ascii="宋体" w:hAnsi="宋体" w:eastAsia="宋体" w:cs="宋体"/>
          <w:highlight w:val="none"/>
        </w:rPr>
      </w:pPr>
      <w:bookmarkStart w:id="205" w:name="_Toc375041334"/>
      <w:bookmarkStart w:id="206" w:name="_Toc179632825"/>
      <w:bookmarkStart w:id="207" w:name="_Toc375041583"/>
      <w:bookmarkStart w:id="208" w:name="_Toc152045805"/>
      <w:bookmarkStart w:id="209" w:name="_Toc144974873"/>
      <w:bookmarkStart w:id="210" w:name="_Toc152042594"/>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r>
        <w:rPr>
          <w:rFonts w:hint="eastAsia" w:ascii="宋体" w:hAnsi="宋体" w:eastAsia="宋体" w:cs="宋体"/>
          <w:highlight w:val="none"/>
        </w:rPr>
        <w:br w:type="page"/>
      </w:r>
    </w:p>
    <w:p>
      <w:pPr>
        <w:spacing w:line="360" w:lineRule="auto"/>
        <w:rPr>
          <w:rFonts w:hint="eastAsia" w:ascii="宋体" w:hAnsi="宋体" w:eastAsia="宋体" w:cs="宋体"/>
          <w:sz w:val="24"/>
          <w:szCs w:val="24"/>
          <w:highlight w:val="none"/>
        </w:rPr>
      </w:pPr>
      <w:r>
        <w:rPr>
          <w:rFonts w:hint="eastAsia" w:ascii="宋体" w:hAnsi="宋体" w:eastAsia="宋体" w:cs="宋体"/>
          <w:sz w:val="28"/>
          <w:szCs w:val="24"/>
          <w:highlight w:val="none"/>
        </w:rPr>
        <w:t>（二）主要人员简历表</w:t>
      </w:r>
      <w:bookmarkEnd w:id="205"/>
      <w:bookmarkEnd w:id="206"/>
      <w:bookmarkEnd w:id="207"/>
      <w:bookmarkEnd w:id="208"/>
      <w:bookmarkEnd w:id="209"/>
      <w:bookmarkEnd w:id="210"/>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“主要人员简历表”中的项目经理应提供</w:t>
      </w:r>
      <w:r>
        <w:rPr>
          <w:rFonts w:hint="eastAsia" w:ascii="宋体" w:hAnsi="宋体" w:eastAsia="宋体" w:cs="宋体"/>
          <w:bCs/>
          <w:sz w:val="24"/>
          <w:szCs w:val="24"/>
          <w:highlight w:val="none"/>
        </w:rPr>
        <w:t>相关专业注册建造师执业资格</w:t>
      </w:r>
      <w:r>
        <w:rPr>
          <w:rFonts w:hint="eastAsia" w:ascii="宋体" w:hAnsi="宋体" w:eastAsia="宋体" w:cs="宋体"/>
          <w:sz w:val="24"/>
          <w:szCs w:val="24"/>
          <w:highlight w:val="none"/>
        </w:rPr>
        <w:t>证书、安全生产考核合格证、单位养老保险缴费证明；管理过的项目业绩附合同协议复印件；</w:t>
      </w:r>
      <w:r>
        <w:rPr>
          <w:rFonts w:hint="eastAsia" w:ascii="宋体" w:hAnsi="宋体" w:eastAsia="宋体" w:cs="宋体"/>
          <w:color w:val="FF0000"/>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技术负责人应附职称证；其他主要人员应附职称证（执业证或上岗证书）。</w:t>
      </w:r>
    </w:p>
    <w:p>
      <w:pPr>
        <w:pStyle w:val="9"/>
        <w:spacing w:line="360" w:lineRule="auto"/>
        <w:rPr>
          <w:rFonts w:hint="eastAsia" w:ascii="宋体" w:hAnsi="宋体" w:eastAsia="宋体" w:cs="宋体"/>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62"/>
        <w:gridCol w:w="725"/>
        <w:gridCol w:w="1162"/>
        <w:gridCol w:w="1134"/>
        <w:gridCol w:w="423"/>
        <w:gridCol w:w="935"/>
        <w:gridCol w:w="335"/>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宋体" w:hAnsi="宋体" w:eastAsia="宋体" w:cs="宋体"/>
                <w:sz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宋体" w:hAnsi="宋体" w:eastAsia="宋体" w:cs="宋体"/>
                <w:sz w:val="24"/>
                <w:highlight w:val="none"/>
              </w:rPr>
            </w:pPr>
          </w:p>
        </w:tc>
        <w:tc>
          <w:tcPr>
            <w:tcW w:w="135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职称</w:t>
            </w:r>
          </w:p>
        </w:tc>
        <w:tc>
          <w:tcPr>
            <w:tcW w:w="224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p>
        </w:tc>
        <w:tc>
          <w:tcPr>
            <w:tcW w:w="249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拟在本合同任职</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毕业学校</w:t>
            </w:r>
          </w:p>
        </w:tc>
        <w:tc>
          <w:tcPr>
            <w:tcW w:w="7389"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583"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时  间</w:t>
            </w:r>
          </w:p>
        </w:tc>
        <w:tc>
          <w:tcPr>
            <w:tcW w:w="344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参加过的类似项目</w:t>
            </w:r>
          </w:p>
        </w:tc>
        <w:tc>
          <w:tcPr>
            <w:tcW w:w="12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担任职务</w:t>
            </w:r>
          </w:p>
        </w:tc>
        <w:tc>
          <w:tcPr>
            <w:tcW w:w="23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12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12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12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12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12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rPr>
                <w:rFonts w:hint="eastAsia" w:ascii="宋体" w:hAnsi="宋体" w:eastAsia="宋体" w:cs="宋体"/>
                <w:sz w:val="24"/>
                <w:highlight w:val="none"/>
              </w:rPr>
            </w:pPr>
          </w:p>
        </w:tc>
      </w:tr>
    </w:tbl>
    <w:p>
      <w:pPr>
        <w:spacing w:line="360" w:lineRule="auto"/>
        <w:ind w:firstLine="480"/>
        <w:rPr>
          <w:rFonts w:hint="eastAsia" w:ascii="宋体" w:hAnsi="宋体" w:eastAsia="宋体" w:cs="宋体"/>
          <w:highlight w:val="none"/>
        </w:rPr>
      </w:pPr>
    </w:p>
    <w:p>
      <w:pPr>
        <w:spacing w:line="360" w:lineRule="auto"/>
        <w:ind w:firstLine="480"/>
        <w:rPr>
          <w:rFonts w:hint="eastAsia" w:ascii="宋体" w:hAnsi="宋体" w:eastAsia="宋体" w:cs="宋体"/>
          <w:highlight w:val="none"/>
        </w:rPr>
      </w:pPr>
    </w:p>
    <w:p>
      <w:pPr>
        <w:spacing w:before="120" w:beforeLines="50" w:after="120" w:afterLines="50" w:line="360" w:lineRule="auto"/>
        <w:ind w:right="-340" w:rightChars="-162"/>
        <w:jc w:val="center"/>
        <w:textAlignment w:val="center"/>
        <w:rPr>
          <w:rFonts w:hint="eastAsia" w:ascii="宋体" w:hAnsi="宋体" w:eastAsia="宋体" w:cs="宋体"/>
          <w:sz w:val="24"/>
          <w:highlight w:val="none"/>
        </w:rPr>
      </w:pPr>
    </w:p>
    <w:p>
      <w:pPr>
        <w:spacing w:line="360" w:lineRule="auto"/>
        <w:ind w:right="-340" w:rightChars="-162"/>
        <w:jc w:val="center"/>
        <w:textAlignment w:val="center"/>
        <w:rPr>
          <w:rFonts w:hint="eastAsia" w:ascii="宋体" w:hAnsi="宋体" w:eastAsia="宋体" w:cs="宋体"/>
          <w:b/>
          <w:sz w:val="28"/>
          <w:szCs w:val="28"/>
          <w:highlight w:val="none"/>
        </w:rPr>
      </w:pPr>
      <w:r>
        <w:rPr>
          <w:rFonts w:hint="eastAsia" w:ascii="宋体" w:hAnsi="宋体" w:eastAsia="宋体" w:cs="宋体"/>
          <w:sz w:val="24"/>
          <w:szCs w:val="21"/>
          <w:highlight w:val="none"/>
        </w:rPr>
        <w:br w:type="page"/>
      </w:r>
      <w:r>
        <w:rPr>
          <w:rFonts w:hint="eastAsia" w:ascii="宋体" w:hAnsi="宋体" w:eastAsia="宋体" w:cs="宋体"/>
          <w:b/>
          <w:sz w:val="32"/>
          <w:szCs w:val="32"/>
          <w:highlight w:val="none"/>
        </w:rPr>
        <w:t>八、企业基本情况资料</w:t>
      </w:r>
    </w:p>
    <w:p>
      <w:pPr>
        <w:pStyle w:val="4"/>
        <w:spacing w:line="360" w:lineRule="auto"/>
        <w:ind w:firstLine="560" w:firstLineChars="200"/>
        <w:jc w:val="center"/>
        <w:rPr>
          <w:rFonts w:hint="eastAsia" w:ascii="宋体" w:hAnsi="宋体" w:eastAsia="宋体" w:cs="宋体"/>
          <w:b w:val="0"/>
          <w:bCs w:val="0"/>
          <w:sz w:val="28"/>
          <w:szCs w:val="32"/>
          <w:highlight w:val="none"/>
        </w:rPr>
      </w:pPr>
      <w:r>
        <w:rPr>
          <w:rFonts w:hint="eastAsia" w:ascii="宋体" w:hAnsi="宋体" w:eastAsia="宋体" w:cs="宋体"/>
          <w:b w:val="0"/>
          <w:bCs w:val="0"/>
          <w:sz w:val="28"/>
          <w:szCs w:val="32"/>
          <w:highlight w:val="none"/>
        </w:rPr>
        <w:t>（一）供应商基本情况表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1224"/>
        <w:gridCol w:w="992"/>
        <w:gridCol w:w="851"/>
        <w:gridCol w:w="425"/>
        <w:gridCol w:w="1110"/>
        <w:gridCol w:w="260"/>
        <w:gridCol w:w="837"/>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6987" w:type="dxa"/>
            <w:gridSpan w:val="8"/>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492" w:type="dxa"/>
            <w:gridSpan w:val="4"/>
            <w:noWrap w:val="0"/>
            <w:vAlign w:val="center"/>
          </w:tcPr>
          <w:p>
            <w:pPr>
              <w:spacing w:line="360" w:lineRule="auto"/>
              <w:jc w:val="center"/>
              <w:rPr>
                <w:rFonts w:hint="eastAsia" w:ascii="宋体" w:hAnsi="宋体" w:eastAsia="宋体" w:cs="宋体"/>
                <w:sz w:val="24"/>
                <w:szCs w:val="24"/>
                <w:highlight w:val="none"/>
              </w:rPr>
            </w:pPr>
          </w:p>
        </w:tc>
        <w:tc>
          <w:tcPr>
            <w:tcW w:w="1110"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385" w:type="dxa"/>
            <w:gridSpan w:val="3"/>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vMerge w:val="restar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22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268" w:type="dxa"/>
            <w:gridSpan w:val="3"/>
            <w:noWrap w:val="0"/>
            <w:vAlign w:val="center"/>
          </w:tcPr>
          <w:p>
            <w:pPr>
              <w:spacing w:line="360" w:lineRule="auto"/>
              <w:jc w:val="center"/>
              <w:rPr>
                <w:rFonts w:hint="eastAsia" w:ascii="宋体" w:hAnsi="宋体" w:eastAsia="宋体" w:cs="宋体"/>
                <w:sz w:val="24"/>
                <w:szCs w:val="24"/>
                <w:highlight w:val="none"/>
              </w:rPr>
            </w:pPr>
          </w:p>
        </w:tc>
        <w:tc>
          <w:tcPr>
            <w:tcW w:w="1110"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2385" w:type="dxa"/>
            <w:gridSpan w:val="3"/>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vMerge w:val="continue"/>
            <w:noWrap w:val="0"/>
            <w:vAlign w:val="center"/>
          </w:tcPr>
          <w:p>
            <w:pPr>
              <w:spacing w:line="360" w:lineRule="auto"/>
              <w:jc w:val="center"/>
              <w:rPr>
                <w:rFonts w:hint="eastAsia" w:ascii="宋体" w:hAnsi="宋体" w:eastAsia="宋体" w:cs="宋体"/>
                <w:sz w:val="24"/>
                <w:szCs w:val="24"/>
                <w:highlight w:val="none"/>
              </w:rPr>
            </w:pPr>
          </w:p>
        </w:tc>
        <w:tc>
          <w:tcPr>
            <w:tcW w:w="122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2268" w:type="dxa"/>
            <w:gridSpan w:val="3"/>
            <w:noWrap w:val="0"/>
            <w:vAlign w:val="center"/>
          </w:tcPr>
          <w:p>
            <w:pPr>
              <w:spacing w:line="360" w:lineRule="auto"/>
              <w:jc w:val="center"/>
              <w:rPr>
                <w:rFonts w:hint="eastAsia" w:ascii="宋体" w:hAnsi="宋体" w:eastAsia="宋体" w:cs="宋体"/>
                <w:sz w:val="24"/>
                <w:szCs w:val="24"/>
                <w:highlight w:val="none"/>
              </w:rPr>
            </w:pPr>
          </w:p>
        </w:tc>
        <w:tc>
          <w:tcPr>
            <w:tcW w:w="1110"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网  址</w:t>
            </w:r>
          </w:p>
        </w:tc>
        <w:tc>
          <w:tcPr>
            <w:tcW w:w="2385" w:type="dxa"/>
            <w:gridSpan w:val="3"/>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组织结构</w:t>
            </w:r>
          </w:p>
        </w:tc>
        <w:tc>
          <w:tcPr>
            <w:tcW w:w="6987" w:type="dxa"/>
            <w:gridSpan w:val="8"/>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22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92" w:type="dxa"/>
            <w:noWrap w:val="0"/>
            <w:vAlign w:val="center"/>
          </w:tcPr>
          <w:p>
            <w:pPr>
              <w:spacing w:line="360" w:lineRule="auto"/>
              <w:jc w:val="center"/>
              <w:rPr>
                <w:rFonts w:hint="eastAsia" w:ascii="宋体" w:hAnsi="宋体" w:eastAsia="宋体" w:cs="宋体"/>
                <w:sz w:val="24"/>
                <w:szCs w:val="24"/>
                <w:highlight w:val="none"/>
              </w:rPr>
            </w:pPr>
          </w:p>
        </w:tc>
        <w:tc>
          <w:tcPr>
            <w:tcW w:w="1276" w:type="dxa"/>
            <w:gridSpan w:val="2"/>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370" w:type="dxa"/>
            <w:gridSpan w:val="2"/>
            <w:noWrap w:val="0"/>
            <w:vAlign w:val="center"/>
          </w:tcPr>
          <w:p>
            <w:pPr>
              <w:spacing w:line="360" w:lineRule="auto"/>
              <w:jc w:val="center"/>
              <w:rPr>
                <w:rFonts w:hint="eastAsia" w:ascii="宋体" w:hAnsi="宋体" w:eastAsia="宋体" w:cs="宋体"/>
                <w:sz w:val="24"/>
                <w:szCs w:val="24"/>
                <w:highlight w:val="none"/>
              </w:rPr>
            </w:pPr>
          </w:p>
        </w:tc>
        <w:tc>
          <w:tcPr>
            <w:tcW w:w="837"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288"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122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92" w:type="dxa"/>
            <w:noWrap w:val="0"/>
            <w:vAlign w:val="center"/>
          </w:tcPr>
          <w:p>
            <w:pPr>
              <w:spacing w:line="360" w:lineRule="auto"/>
              <w:jc w:val="center"/>
              <w:rPr>
                <w:rFonts w:hint="eastAsia" w:ascii="宋体" w:hAnsi="宋体" w:eastAsia="宋体" w:cs="宋体"/>
                <w:sz w:val="24"/>
                <w:szCs w:val="24"/>
                <w:highlight w:val="none"/>
              </w:rPr>
            </w:pPr>
          </w:p>
        </w:tc>
        <w:tc>
          <w:tcPr>
            <w:tcW w:w="1276" w:type="dxa"/>
            <w:gridSpan w:val="2"/>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370" w:type="dxa"/>
            <w:gridSpan w:val="2"/>
            <w:noWrap w:val="0"/>
            <w:vAlign w:val="center"/>
          </w:tcPr>
          <w:p>
            <w:pPr>
              <w:spacing w:line="360" w:lineRule="auto"/>
              <w:jc w:val="center"/>
              <w:rPr>
                <w:rFonts w:hint="eastAsia" w:ascii="宋体" w:hAnsi="宋体" w:eastAsia="宋体" w:cs="宋体"/>
                <w:sz w:val="24"/>
                <w:szCs w:val="24"/>
                <w:highlight w:val="none"/>
              </w:rPr>
            </w:pPr>
          </w:p>
        </w:tc>
        <w:tc>
          <w:tcPr>
            <w:tcW w:w="837"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288"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4771" w:type="dxa"/>
            <w:gridSpan w:val="6"/>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企业资质等级</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851" w:type="dxa"/>
            <w:vMerge w:val="restar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tc>
        <w:tc>
          <w:tcPr>
            <w:tcW w:w="1795" w:type="dxa"/>
            <w:gridSpan w:val="3"/>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2125" w:type="dxa"/>
            <w:gridSpan w:val="2"/>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851" w:type="dxa"/>
            <w:vMerge w:val="continue"/>
            <w:noWrap w:val="0"/>
            <w:vAlign w:val="center"/>
          </w:tcPr>
          <w:p>
            <w:pPr>
              <w:spacing w:line="360" w:lineRule="auto"/>
              <w:jc w:val="center"/>
              <w:rPr>
                <w:rFonts w:hint="eastAsia" w:ascii="宋体" w:hAnsi="宋体" w:eastAsia="宋体" w:cs="宋体"/>
                <w:sz w:val="24"/>
                <w:szCs w:val="24"/>
                <w:highlight w:val="none"/>
              </w:rPr>
            </w:pPr>
          </w:p>
        </w:tc>
        <w:tc>
          <w:tcPr>
            <w:tcW w:w="1795" w:type="dxa"/>
            <w:gridSpan w:val="3"/>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高级职称人员</w:t>
            </w:r>
          </w:p>
        </w:tc>
        <w:tc>
          <w:tcPr>
            <w:tcW w:w="2125" w:type="dxa"/>
            <w:gridSpan w:val="2"/>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851" w:type="dxa"/>
            <w:vMerge w:val="continue"/>
            <w:noWrap w:val="0"/>
            <w:vAlign w:val="center"/>
          </w:tcPr>
          <w:p>
            <w:pPr>
              <w:spacing w:line="360" w:lineRule="auto"/>
              <w:jc w:val="center"/>
              <w:rPr>
                <w:rFonts w:hint="eastAsia" w:ascii="宋体" w:hAnsi="宋体" w:eastAsia="宋体" w:cs="宋体"/>
                <w:sz w:val="24"/>
                <w:szCs w:val="24"/>
                <w:highlight w:val="none"/>
              </w:rPr>
            </w:pPr>
          </w:p>
        </w:tc>
        <w:tc>
          <w:tcPr>
            <w:tcW w:w="1795" w:type="dxa"/>
            <w:gridSpan w:val="3"/>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中级职称人员</w:t>
            </w:r>
          </w:p>
        </w:tc>
        <w:tc>
          <w:tcPr>
            <w:tcW w:w="2125" w:type="dxa"/>
            <w:gridSpan w:val="2"/>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851" w:type="dxa"/>
            <w:vMerge w:val="continue"/>
            <w:noWrap w:val="0"/>
            <w:vAlign w:val="center"/>
          </w:tcPr>
          <w:p>
            <w:pPr>
              <w:spacing w:line="360" w:lineRule="auto"/>
              <w:jc w:val="center"/>
              <w:rPr>
                <w:rFonts w:hint="eastAsia" w:ascii="宋体" w:hAnsi="宋体" w:eastAsia="宋体" w:cs="宋体"/>
                <w:sz w:val="24"/>
                <w:szCs w:val="24"/>
                <w:highlight w:val="none"/>
              </w:rPr>
            </w:pPr>
          </w:p>
        </w:tc>
        <w:tc>
          <w:tcPr>
            <w:tcW w:w="1795" w:type="dxa"/>
            <w:gridSpan w:val="3"/>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初级职称人员</w:t>
            </w:r>
          </w:p>
        </w:tc>
        <w:tc>
          <w:tcPr>
            <w:tcW w:w="2125" w:type="dxa"/>
            <w:gridSpan w:val="2"/>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2216" w:type="dxa"/>
            <w:gridSpan w:val="2"/>
            <w:noWrap w:val="0"/>
            <w:vAlign w:val="center"/>
          </w:tcPr>
          <w:p>
            <w:pPr>
              <w:spacing w:line="360" w:lineRule="auto"/>
              <w:jc w:val="center"/>
              <w:rPr>
                <w:rFonts w:hint="eastAsia" w:ascii="宋体" w:hAnsi="宋体" w:eastAsia="宋体" w:cs="宋体"/>
                <w:sz w:val="24"/>
                <w:szCs w:val="24"/>
                <w:highlight w:val="none"/>
              </w:rPr>
            </w:pPr>
          </w:p>
        </w:tc>
        <w:tc>
          <w:tcPr>
            <w:tcW w:w="851" w:type="dxa"/>
            <w:vMerge w:val="continue"/>
            <w:noWrap w:val="0"/>
            <w:vAlign w:val="center"/>
          </w:tcPr>
          <w:p>
            <w:pPr>
              <w:spacing w:line="360" w:lineRule="auto"/>
              <w:jc w:val="center"/>
              <w:rPr>
                <w:rFonts w:hint="eastAsia" w:ascii="宋体" w:hAnsi="宋体" w:eastAsia="宋体" w:cs="宋体"/>
                <w:sz w:val="24"/>
                <w:szCs w:val="24"/>
                <w:highlight w:val="none"/>
              </w:rPr>
            </w:pPr>
          </w:p>
        </w:tc>
        <w:tc>
          <w:tcPr>
            <w:tcW w:w="1795" w:type="dxa"/>
            <w:gridSpan w:val="3"/>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  工</w:t>
            </w:r>
          </w:p>
        </w:tc>
        <w:tc>
          <w:tcPr>
            <w:tcW w:w="2125" w:type="dxa"/>
            <w:gridSpan w:val="2"/>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6987" w:type="dxa"/>
            <w:gridSpan w:val="8"/>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6987" w:type="dxa"/>
            <w:gridSpan w:val="8"/>
            <w:noWrap w:val="0"/>
            <w:vAlign w:val="center"/>
          </w:tcPr>
          <w:p>
            <w:pPr>
              <w:spacing w:line="360" w:lineRule="auto"/>
              <w:jc w:val="center"/>
              <w:rPr>
                <w:rFonts w:hint="eastAsia" w:ascii="宋体" w:hAnsi="宋体" w:eastAsia="宋体" w:cs="宋体"/>
                <w:sz w:val="24"/>
                <w:szCs w:val="24"/>
                <w:highlight w:val="none"/>
              </w:rPr>
            </w:pPr>
          </w:p>
        </w:tc>
      </w:tr>
    </w:tbl>
    <w:p>
      <w:pPr>
        <w:tabs>
          <w:tab w:val="left" w:pos="709"/>
          <w:tab w:val="left" w:pos="851"/>
        </w:tabs>
        <w:spacing w:line="360" w:lineRule="auto"/>
        <w:ind w:firstLine="422" w:firstLineChars="200"/>
        <w:rPr>
          <w:rFonts w:hint="eastAsia" w:ascii="宋体" w:hAnsi="宋体" w:eastAsia="宋体" w:cs="宋体"/>
          <w:b/>
          <w:sz w:val="21"/>
          <w:szCs w:val="21"/>
          <w:highlight w:val="none"/>
        </w:rPr>
      </w:pPr>
    </w:p>
    <w:p>
      <w:pPr>
        <w:tabs>
          <w:tab w:val="left" w:pos="709"/>
          <w:tab w:val="left" w:pos="851"/>
        </w:tabs>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备注：供应商基本情况表后附供应商资格证明材料规定所有证件的原件扫描件（扫描件须清晰可辨）。</w:t>
      </w:r>
    </w:p>
    <w:p>
      <w:pPr>
        <w:pStyle w:val="4"/>
        <w:tabs>
          <w:tab w:val="left" w:pos="1134"/>
        </w:tabs>
        <w:spacing w:line="360" w:lineRule="auto"/>
        <w:ind w:firstLine="56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Cs w:val="21"/>
          <w:highlight w:val="none"/>
        </w:rPr>
        <w:br w:type="page"/>
      </w:r>
      <w:bookmarkStart w:id="211" w:name="_Hlk86328926"/>
      <w:r>
        <w:rPr>
          <w:rFonts w:hint="eastAsia" w:ascii="宋体" w:hAnsi="宋体" w:eastAsia="宋体" w:cs="宋体"/>
          <w:b w:val="0"/>
          <w:bCs w:val="0"/>
          <w:sz w:val="28"/>
          <w:szCs w:val="28"/>
          <w:highlight w:val="none"/>
        </w:rPr>
        <w:t>（二）</w:t>
      </w:r>
      <w:bookmarkEnd w:id="211"/>
      <w:r>
        <w:rPr>
          <w:rFonts w:hint="eastAsia" w:ascii="宋体" w:hAnsi="宋体" w:eastAsia="宋体" w:cs="宋体"/>
          <w:b w:val="0"/>
          <w:bCs w:val="0"/>
          <w:sz w:val="28"/>
          <w:szCs w:val="28"/>
          <w:highlight w:val="none"/>
        </w:rPr>
        <w:t>近年完成的类似项目情况表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项目所在地</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发包人名称</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发包人地址</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发包人联系人及电话</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合同价格</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开工日期</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竣工日期</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承担的工作</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建造师</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总监理工程师及电话</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项目描述</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6374" w:type="dxa"/>
            <w:noWrap w:val="0"/>
            <w:vAlign w:val="center"/>
          </w:tcPr>
          <w:p>
            <w:pPr>
              <w:spacing w:line="360" w:lineRule="auto"/>
              <w:jc w:val="center"/>
              <w:rPr>
                <w:rFonts w:hint="eastAsia" w:ascii="宋体" w:hAnsi="宋体" w:eastAsia="宋体" w:cs="宋体"/>
                <w:sz w:val="24"/>
                <w:szCs w:val="24"/>
                <w:highlight w:val="none"/>
              </w:rPr>
            </w:pPr>
          </w:p>
        </w:tc>
      </w:tr>
    </w:tbl>
    <w:p>
      <w:pPr>
        <w:spacing w:line="360" w:lineRule="auto"/>
        <w:ind w:left="63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t>备注：1、类似项目指</w:t>
      </w:r>
      <w:r>
        <w:rPr>
          <w:rFonts w:hint="eastAsia" w:ascii="宋体" w:hAnsi="宋体" w:eastAsia="宋体" w:cs="宋体"/>
          <w:sz w:val="24"/>
          <w:szCs w:val="24"/>
          <w:highlight w:val="none"/>
          <w:u w:val="single"/>
        </w:rPr>
        <w:t xml:space="preserve">    类似本项目   </w:t>
      </w:r>
      <w:r>
        <w:rPr>
          <w:rFonts w:hint="eastAsia" w:ascii="宋体" w:hAnsi="宋体" w:eastAsia="宋体" w:cs="宋体"/>
          <w:sz w:val="24"/>
          <w:szCs w:val="24"/>
          <w:highlight w:val="none"/>
        </w:rPr>
        <w:t>的工程。</w:t>
      </w:r>
    </w:p>
    <w:p>
      <w:pPr>
        <w:spacing w:line="360" w:lineRule="auto"/>
        <w:ind w:left="630" w:leftChars="300"/>
        <w:rPr>
          <w:rFonts w:hint="eastAsia" w:ascii="宋体" w:hAnsi="宋体" w:eastAsia="宋体" w:cs="宋体"/>
          <w:sz w:val="24"/>
          <w:szCs w:val="24"/>
          <w:highlight w:val="none"/>
        </w:rPr>
      </w:pPr>
      <w:r>
        <w:rPr>
          <w:rFonts w:hint="eastAsia" w:ascii="宋体" w:hAnsi="宋体" w:eastAsia="宋体" w:cs="宋体"/>
          <w:sz w:val="24"/>
          <w:szCs w:val="24"/>
          <w:highlight w:val="none"/>
        </w:rPr>
        <w:t>2、本表后附成交通知书、合同协议书的扫描件，年份要求</w:t>
      </w:r>
      <w:r>
        <w:rPr>
          <w:rFonts w:hint="eastAsia" w:ascii="宋体" w:hAnsi="宋体" w:eastAsia="宋体" w:cs="宋体"/>
          <w:sz w:val="24"/>
          <w:szCs w:val="24"/>
          <w:highlight w:val="none"/>
          <w:lang w:val="en-US" w:eastAsia="zh-CN"/>
        </w:rPr>
        <w:t>为近三年</w:t>
      </w:r>
      <w:r>
        <w:rPr>
          <w:rFonts w:hint="eastAsia" w:ascii="宋体" w:hAnsi="宋体" w:eastAsia="宋体" w:cs="宋体"/>
          <w:sz w:val="24"/>
          <w:szCs w:val="24"/>
          <w:highlight w:val="none"/>
        </w:rPr>
        <w:t>。每张表格只填写一个项目，并标明序号。</w:t>
      </w:r>
    </w:p>
    <w:p>
      <w:pPr>
        <w:pStyle w:val="9"/>
        <w:spacing w:line="360" w:lineRule="auto"/>
        <w:rPr>
          <w:rFonts w:hint="eastAsia" w:ascii="宋体" w:hAnsi="宋体" w:eastAsia="宋体" w:cs="宋体"/>
          <w:highlight w:val="none"/>
        </w:rPr>
      </w:pPr>
    </w:p>
    <w:p>
      <w:pPr>
        <w:pStyle w:val="9"/>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br w:type="page"/>
      </w:r>
    </w:p>
    <w:p>
      <w:pPr>
        <w:keepNext/>
        <w:keepLines/>
        <w:spacing w:before="280" w:after="290" w:line="360" w:lineRule="auto"/>
        <w:jc w:val="center"/>
        <w:outlineLvl w:val="3"/>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（三）正在施工的和新承接的项目情况表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项目所在地</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发包人名称</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发包人地址</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发包人电话</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签约合同价</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开工日期</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计划竣工日期</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承担的工作</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工程质量</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项目经理</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技术负责人</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总监理工程师及电话</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项目描述</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w:t>
            </w:r>
          </w:p>
        </w:tc>
        <w:tc>
          <w:tcPr>
            <w:tcW w:w="60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val="0"/>
                <w:bCs w:val="0"/>
                <w:color w:val="auto"/>
                <w:sz w:val="24"/>
                <w:szCs w:val="24"/>
                <w:highlight w:val="none"/>
              </w:rPr>
            </w:pPr>
          </w:p>
        </w:tc>
      </w:tr>
    </w:tbl>
    <w:p>
      <w:pPr>
        <w:pStyle w:val="9"/>
        <w:spacing w:line="360" w:lineRule="auto"/>
        <w:ind w:firstLine="48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4"/>
          <w:szCs w:val="24"/>
          <w:highlight w:val="none"/>
        </w:rPr>
        <w:t>备注：每张表格只填写一个项目，并标明序号。</w:t>
      </w:r>
    </w:p>
    <w:p>
      <w:pPr>
        <w:spacing w:line="360" w:lineRule="auto"/>
        <w:rPr>
          <w:rFonts w:hint="eastAsia"/>
          <w:highlight w:val="none"/>
        </w:rPr>
      </w:pPr>
      <w:r>
        <w:rPr>
          <w:rFonts w:hint="eastAsia" w:ascii="宋体" w:hAnsi="宋体" w:eastAsia="宋体" w:cs="宋体"/>
          <w:color w:val="auto"/>
          <w:sz w:val="28"/>
          <w:szCs w:val="28"/>
          <w:highlight w:val="none"/>
        </w:rPr>
        <w:br w:type="page"/>
      </w:r>
    </w:p>
    <w:p>
      <w:pPr>
        <w:spacing w:line="360" w:lineRule="auto"/>
        <w:ind w:right="-340" w:rightChars="-162"/>
        <w:jc w:val="center"/>
        <w:textAlignment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九、供应商认为需要提供的其他材料</w:t>
      </w:r>
    </w:p>
    <w:p>
      <w:pPr>
        <w:spacing w:line="360" w:lineRule="auto"/>
        <w:ind w:right="-340" w:rightChars="-162"/>
        <w:jc w:val="center"/>
        <w:textAlignment w:val="center"/>
        <w:rPr>
          <w:rFonts w:hint="eastAsia" w:ascii="宋体" w:hAnsi="宋体" w:eastAsia="宋体" w:cs="宋体"/>
          <w:sz w:val="24"/>
          <w:szCs w:val="21"/>
          <w:highlight w:val="none"/>
        </w:rPr>
      </w:pPr>
      <w:r>
        <w:rPr>
          <w:rFonts w:hint="eastAsia" w:ascii="宋体" w:hAnsi="宋体" w:eastAsia="宋体" w:cs="宋体"/>
          <w:sz w:val="24"/>
          <w:szCs w:val="21"/>
          <w:highlight w:val="none"/>
        </w:rPr>
        <w:t>（根据项目需求附证明材料）</w:t>
      </w:r>
    </w:p>
    <w:p>
      <w:pPr>
        <w:spacing w:line="360" w:lineRule="auto"/>
        <w:rPr>
          <w:rFonts w:hint="eastAsia" w:ascii="宋体" w:hAnsi="宋体" w:eastAsia="宋体" w:cs="宋体"/>
          <w:sz w:val="22"/>
          <w:szCs w:val="22"/>
          <w:highlight w:val="none"/>
        </w:rPr>
      </w:pPr>
    </w:p>
    <w:p>
      <w:pPr>
        <w:spacing w:line="360" w:lineRule="auto"/>
        <w:ind w:right="-340" w:rightChars="-162"/>
        <w:textAlignment w:val="center"/>
        <w:rPr>
          <w:rFonts w:hint="eastAsia" w:ascii="宋体" w:hAnsi="宋体" w:eastAsia="宋体" w:cs="宋体"/>
          <w:b/>
          <w:sz w:val="32"/>
          <w:szCs w:val="32"/>
          <w:highlight w:val="none"/>
        </w:rPr>
      </w:pPr>
    </w:p>
    <w:p>
      <w:pPr>
        <w:widowControl/>
        <w:spacing w:line="360" w:lineRule="auto"/>
        <w:jc w:val="left"/>
        <w:rPr>
          <w:rFonts w:hint="eastAsia" w:ascii="宋体" w:hAnsi="宋体" w:eastAsia="宋体" w:cs="宋体"/>
          <w:spacing w:val="6"/>
          <w:sz w:val="30"/>
          <w:szCs w:val="30"/>
          <w:highlight w:val="none"/>
        </w:rPr>
      </w:pPr>
      <w:r>
        <w:rPr>
          <w:rFonts w:hint="eastAsia" w:ascii="宋体" w:hAnsi="宋体" w:eastAsia="宋体" w:cs="宋体"/>
          <w:b/>
          <w:sz w:val="32"/>
          <w:szCs w:val="32"/>
          <w:highlight w:val="none"/>
        </w:rPr>
        <w:br w:type="page"/>
      </w:r>
      <w:r>
        <w:rPr>
          <w:rFonts w:hint="eastAsia" w:ascii="宋体" w:hAnsi="宋体" w:eastAsia="宋体" w:cs="宋体"/>
          <w:spacing w:val="6"/>
          <w:sz w:val="30"/>
          <w:szCs w:val="30"/>
          <w:highlight w:val="none"/>
        </w:rPr>
        <w:t>附件一</w:t>
      </w:r>
    </w:p>
    <w:p>
      <w:pPr>
        <w:widowControl/>
        <w:spacing w:before="100" w:beforeAutospacing="1" w:after="100" w:afterAutospacing="1" w:line="360" w:lineRule="auto"/>
        <w:jc w:val="center"/>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中小企业声明函</w:t>
      </w:r>
    </w:p>
    <w:p>
      <w:pPr>
        <w:spacing w:before="312" w:beforeLines="100"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本公司（联合体）郑重声明，根据《政府采购促进中小企业发展管理办法》（财库﹝2020﹞46 号）的规定，本公司参加</w:t>
      </w:r>
      <w:r>
        <w:rPr>
          <w:rFonts w:hint="eastAsia" w:ascii="宋体" w:hAnsi="宋体" w:eastAsia="宋体" w:cs="宋体"/>
          <w:sz w:val="24"/>
          <w:szCs w:val="20"/>
          <w:highlight w:val="none"/>
          <w:u w:val="single"/>
        </w:rPr>
        <w:t>（单位名称）</w:t>
      </w:r>
      <w:r>
        <w:rPr>
          <w:rFonts w:hint="eastAsia" w:ascii="宋体" w:hAnsi="宋体" w:eastAsia="宋体" w:cs="宋体"/>
          <w:sz w:val="24"/>
          <w:szCs w:val="20"/>
          <w:highlight w:val="none"/>
        </w:rPr>
        <w:t>的</w:t>
      </w:r>
      <w:r>
        <w:rPr>
          <w:rFonts w:hint="eastAsia" w:ascii="宋体" w:hAnsi="宋体" w:eastAsia="宋体" w:cs="宋体"/>
          <w:sz w:val="24"/>
          <w:szCs w:val="20"/>
          <w:highlight w:val="none"/>
          <w:u w:val="single"/>
        </w:rPr>
        <w:t>（项目名称）</w:t>
      </w:r>
      <w:r>
        <w:rPr>
          <w:rFonts w:hint="eastAsia" w:ascii="宋体" w:hAnsi="宋体" w:eastAsia="宋体" w:cs="宋体"/>
          <w:sz w:val="24"/>
          <w:szCs w:val="20"/>
          <w:highlight w:val="none"/>
        </w:rPr>
        <w:t>采购活动，工程的施工单位全部为符合政策要求的中小企业（或者：服务全部由符合政策要求的中小企业承接）。相关企业的具体情况如下：</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1. </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u w:val="single"/>
        </w:rPr>
        <w:t xml:space="preserve">（标的名称） </w:t>
      </w:r>
      <w:r>
        <w:rPr>
          <w:rFonts w:hint="eastAsia" w:ascii="宋体" w:hAnsi="宋体" w:eastAsia="宋体" w:cs="宋体"/>
          <w:sz w:val="24"/>
          <w:szCs w:val="20"/>
          <w:highlight w:val="none"/>
        </w:rPr>
        <w:t>，属于</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u w:val="single"/>
        </w:rPr>
        <w:t>（采购文件中明确的所属行业）</w:t>
      </w:r>
      <w:r>
        <w:rPr>
          <w:rFonts w:hint="eastAsia" w:ascii="宋体" w:hAnsi="宋体" w:eastAsia="宋体" w:cs="宋体"/>
          <w:sz w:val="24"/>
          <w:szCs w:val="20"/>
          <w:highlight w:val="none"/>
        </w:rPr>
        <w:t>；承建（承接）企业为</w:t>
      </w:r>
      <w:r>
        <w:rPr>
          <w:rFonts w:hint="eastAsia" w:ascii="宋体" w:hAnsi="宋体" w:eastAsia="宋体" w:cs="宋体"/>
          <w:sz w:val="24"/>
          <w:szCs w:val="20"/>
          <w:highlight w:val="none"/>
          <w:u w:val="single"/>
        </w:rPr>
        <w:t>（企业名称）</w:t>
      </w:r>
      <w:r>
        <w:rPr>
          <w:rFonts w:hint="eastAsia" w:ascii="宋体" w:hAnsi="宋体" w:eastAsia="宋体" w:cs="宋体"/>
          <w:sz w:val="24"/>
          <w:szCs w:val="20"/>
          <w:highlight w:val="none"/>
        </w:rPr>
        <w:t>，从业人员</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人，营业收入为</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万元，资产总额为</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万元，属于</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（中型企业/小型企业/微型企业）；</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2. </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u w:val="single"/>
        </w:rPr>
        <w:t xml:space="preserve">（标的名称） </w:t>
      </w:r>
      <w:r>
        <w:rPr>
          <w:rFonts w:hint="eastAsia" w:ascii="宋体" w:hAnsi="宋体" w:eastAsia="宋体" w:cs="宋体"/>
          <w:sz w:val="24"/>
          <w:szCs w:val="20"/>
          <w:highlight w:val="none"/>
        </w:rPr>
        <w:t>，属于</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u w:val="single"/>
        </w:rPr>
        <w:t>（采购文件中明确的所属行业）</w:t>
      </w:r>
      <w:r>
        <w:rPr>
          <w:rFonts w:hint="eastAsia" w:ascii="宋体" w:hAnsi="宋体" w:eastAsia="宋体" w:cs="宋体"/>
          <w:sz w:val="24"/>
          <w:szCs w:val="20"/>
          <w:highlight w:val="none"/>
        </w:rPr>
        <w:t>；承建（承接）企业为</w:t>
      </w:r>
      <w:r>
        <w:rPr>
          <w:rFonts w:hint="eastAsia" w:ascii="宋体" w:hAnsi="宋体" w:eastAsia="宋体" w:cs="宋体"/>
          <w:sz w:val="24"/>
          <w:szCs w:val="20"/>
          <w:highlight w:val="none"/>
          <w:u w:val="single"/>
        </w:rPr>
        <w:t>（企业名称）</w:t>
      </w:r>
      <w:r>
        <w:rPr>
          <w:rFonts w:hint="eastAsia" w:ascii="宋体" w:hAnsi="宋体" w:eastAsia="宋体" w:cs="宋体"/>
          <w:sz w:val="24"/>
          <w:szCs w:val="20"/>
          <w:highlight w:val="none"/>
        </w:rPr>
        <w:t>，从业人员</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人，营业收入为</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万元，资产总额为</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万元，属于</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（中型企业/小型企业/微型企业）；</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以上企业，不属于大企业的分支机构，不存在控股股东为大企业的情形，也不存在与大企业的负责人为同一人的情形。</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本企业对上述声明内容的真实性负责。如有虚假，将依法承担相应责任。</w:t>
      </w:r>
    </w:p>
    <w:p>
      <w:pPr>
        <w:spacing w:line="360" w:lineRule="auto"/>
        <w:ind w:firstLine="638" w:firstLineChars="266"/>
        <w:jc w:val="left"/>
        <w:rPr>
          <w:rFonts w:hint="eastAsia" w:ascii="宋体" w:hAnsi="宋体" w:eastAsia="宋体" w:cs="宋体"/>
          <w:sz w:val="24"/>
          <w:szCs w:val="20"/>
          <w:highlight w:val="none"/>
        </w:rPr>
      </w:pP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企业名称（盖公章）：</w:t>
      </w:r>
    </w:p>
    <w:p>
      <w:pPr>
        <w:spacing w:line="360" w:lineRule="auto"/>
        <w:ind w:firstLine="638" w:firstLineChars="266"/>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日期：</w:t>
      </w:r>
    </w:p>
    <w:p>
      <w:pPr>
        <w:pStyle w:val="11"/>
        <w:spacing w:line="360" w:lineRule="auto"/>
        <w:ind w:left="420"/>
        <w:rPr>
          <w:rFonts w:hint="eastAsia" w:ascii="宋体" w:hAnsi="宋体" w:eastAsia="宋体" w:cs="宋体"/>
          <w:highlight w:val="none"/>
        </w:rPr>
      </w:pPr>
    </w:p>
    <w:p>
      <w:pPr>
        <w:spacing w:line="360" w:lineRule="auto"/>
        <w:ind w:firstLine="641" w:firstLineChars="266"/>
        <w:jc w:val="left"/>
        <w:rPr>
          <w:rFonts w:hint="eastAsia" w:ascii="宋体" w:hAnsi="宋体" w:eastAsia="宋体" w:cs="宋体"/>
          <w:b/>
          <w:bCs/>
          <w:sz w:val="24"/>
          <w:szCs w:val="20"/>
          <w:highlight w:val="none"/>
        </w:rPr>
      </w:pPr>
    </w:p>
    <w:p>
      <w:pPr>
        <w:spacing w:line="360" w:lineRule="auto"/>
        <w:ind w:firstLine="641" w:firstLineChars="266"/>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注：1、从业人员、营业收入、资产总额填报上一年度数据，无上一年度数据的新成立企业可不填报。</w:t>
      </w:r>
    </w:p>
    <w:p>
      <w:pPr>
        <w:spacing w:line="360" w:lineRule="auto"/>
        <w:ind w:firstLine="641" w:firstLineChars="266"/>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lang w:val="en-US" w:eastAsia="zh-CN"/>
        </w:rPr>
        <w:t>2、</w:t>
      </w:r>
      <w:r>
        <w:rPr>
          <w:rFonts w:hint="eastAsia" w:ascii="宋体" w:hAnsi="宋体" w:eastAsia="宋体" w:cs="宋体"/>
          <w:b/>
          <w:bCs/>
          <w:sz w:val="24"/>
          <w:szCs w:val="20"/>
          <w:highlight w:val="none"/>
        </w:rPr>
        <w:t>中小企业划分标准见工业和信息化部国家统计局国家发展和改革委员财政部《关于印发中小企业划型标准规定的通知》（工信部联企业【2011】300号）。</w:t>
      </w:r>
    </w:p>
    <w:p>
      <w:pPr>
        <w:spacing w:line="360" w:lineRule="auto"/>
        <w:ind w:firstLine="480" w:firstLineChars="200"/>
        <w:jc w:val="right"/>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 </w:t>
      </w:r>
    </w:p>
    <w:p>
      <w:pPr>
        <w:spacing w:line="360" w:lineRule="auto"/>
        <w:rPr>
          <w:rFonts w:hint="eastAsia" w:ascii="宋体" w:hAnsi="宋体" w:eastAsia="宋体" w:cs="宋体"/>
          <w:highlight w:val="none"/>
        </w:rPr>
      </w:pPr>
    </w:p>
    <w:p>
      <w:pPr>
        <w:rPr>
          <w:highlight w:val="none"/>
        </w:rPr>
      </w:pPr>
    </w:p>
    <w:sectPr>
      <w:headerReference r:id="rId6" w:type="default"/>
      <w:footerReference r:id="rId7" w:type="default"/>
      <w:footerReference r:id="rId8" w:type="even"/>
      <w:pgSz w:w="11906" w:h="16838"/>
      <w:pgMar w:top="1134" w:right="1418" w:bottom="1134" w:left="1418" w:header="567"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sz w:val="18"/>
      </w:rPr>
      <mc:AlternateContent>
        <mc:Choice Requires="wps">
          <w:drawing>
            <wp:anchor distT="0" distB="0" distL="114300" distR="114300" simplePos="0" relativeHeight="251659264" behindDoc="0" locked="0" layoutInCell="1" allowOverlap="1">
              <wp:simplePos x="0" y="0"/>
              <wp:positionH relativeFrom="margin">
                <wp:posOffset>2818765</wp:posOffset>
              </wp:positionH>
              <wp:positionV relativeFrom="paragraph">
                <wp:posOffset>-323215</wp:posOffset>
              </wp:positionV>
              <wp:extent cx="294640" cy="2451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94640" cy="24511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21.95pt;margin-top:-25.45pt;height:19.3pt;width:23.2pt;mso-position-horizontal-relative:margin;z-index:251659264;mso-width-relative:page;mso-height-relative:page;" filled="f" stroked="f" coordsize="21600,21600" o:gfxdata="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UbHa3ZAAAACwEAAA8AAAAAAAAAAQAgAAAAIgAAAGRycy9kb3ducmV2LnhtbFBLAQIU&#10;ABQAAAAIAIdO4kA78yP4uQEAAHEDAAAOAAAAAAAAAAEAIAAAACgBAABkcnMvZTJvRG9jLnhtbFBL&#10;BQYAAAAABgAGAFkBAABTBQAAAAA=&#10;">
              <v:fill on="f" focussize="0,0"/>
              <v:stroke on="f"/>
              <v:imagedata o:title=""/>
              <o:lock v:ext="edit" aspectratio="f"/>
              <v:textbox inset="0mm,0mm,0mm,0mm">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56</w:t>
    </w:r>
    <w: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仿宋_GB2312" w:hAnsi="仿宋_GB2312" w:eastAsia="仿宋_GB2312"/>
        <w:i/>
        <w:color w:val="525552"/>
        <w:spacing w:val="-20"/>
        <w:szCs w:val="21"/>
        <w:u w:val="single"/>
      </w:rPr>
    </w:pPr>
  </w:p>
  <w:p>
    <w:pPr>
      <w:tabs>
        <w:tab w:val="right" w:pos="8306"/>
      </w:tabs>
      <w:jc w:val="center"/>
      <w:rPr>
        <w:rFonts w:hint="eastAsia" w:ascii="仿宋_GB2312" w:eastAsia="仿宋_GB231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16E14"/>
    <w:multiLevelType w:val="singleLevel"/>
    <w:tmpl w:val="F1116E14"/>
    <w:lvl w:ilvl="0" w:tentative="0">
      <w:start w:val="3"/>
      <w:numFmt w:val="decimal"/>
      <w:suff w:val="nothing"/>
      <w:lvlText w:val="%1、"/>
      <w:lvlJc w:val="left"/>
    </w:lvl>
  </w:abstractNum>
  <w:abstractNum w:abstractNumId="1">
    <w:nsid w:val="FDEDDFE7"/>
    <w:multiLevelType w:val="singleLevel"/>
    <w:tmpl w:val="FDEDDFE7"/>
    <w:lvl w:ilvl="0" w:tentative="0">
      <w:start w:val="8"/>
      <w:numFmt w:val="decimal"/>
      <w:suff w:val="nothing"/>
      <w:lvlText w:val="（%1）"/>
      <w:lvlJc w:val="left"/>
    </w:lvl>
  </w:abstractNum>
  <w:abstractNum w:abstractNumId="2">
    <w:nsid w:val="0358F5C8"/>
    <w:multiLevelType w:val="singleLevel"/>
    <w:tmpl w:val="0358F5C8"/>
    <w:lvl w:ilvl="0" w:tentative="0">
      <w:start w:val="1"/>
      <w:numFmt w:val="decimal"/>
      <w:suff w:val="nothing"/>
      <w:lvlText w:val="%1、"/>
      <w:lvlJc w:val="left"/>
    </w:lvl>
  </w:abstractNum>
  <w:abstractNum w:abstractNumId="3">
    <w:nsid w:val="1F6B0F53"/>
    <w:multiLevelType w:val="multilevel"/>
    <w:tmpl w:val="1F6B0F53"/>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485D46"/>
    <w:multiLevelType w:val="multilevel"/>
    <w:tmpl w:val="3F485D4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0AA92E"/>
    <w:multiLevelType w:val="singleLevel"/>
    <w:tmpl w:val="5A0AA92E"/>
    <w:lvl w:ilvl="0" w:tentative="0">
      <w:start w:val="2"/>
      <w:numFmt w:val="chineseCounting"/>
      <w:suff w:val="space"/>
      <w:lvlText w:val="第%1章"/>
      <w:lvlJc w:val="left"/>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YTc3Y2JhOTBiOGVjNzA3YWU0NTQ4OWE0Y2NiMDcifQ=="/>
    <w:docVar w:name="KSO_WPS_MARK_KEY" w:val="233c75f6-b256-4347-bc60-b8850ca83ed2"/>
  </w:docVars>
  <w:rsids>
    <w:rsidRoot w:val="7A4C5181"/>
    <w:rsid w:val="005F481F"/>
    <w:rsid w:val="022B4B9C"/>
    <w:rsid w:val="0DDD75B7"/>
    <w:rsid w:val="13D34EB0"/>
    <w:rsid w:val="147E12BF"/>
    <w:rsid w:val="1A930EF5"/>
    <w:rsid w:val="1AEB2F3E"/>
    <w:rsid w:val="1BF17FFE"/>
    <w:rsid w:val="22873A35"/>
    <w:rsid w:val="2959710F"/>
    <w:rsid w:val="29DA269C"/>
    <w:rsid w:val="2A5561C7"/>
    <w:rsid w:val="2AF7727E"/>
    <w:rsid w:val="2CED64E2"/>
    <w:rsid w:val="2F3E0150"/>
    <w:rsid w:val="303620D0"/>
    <w:rsid w:val="329078EA"/>
    <w:rsid w:val="378556B5"/>
    <w:rsid w:val="388760E5"/>
    <w:rsid w:val="407E7726"/>
    <w:rsid w:val="40E13EB9"/>
    <w:rsid w:val="48E924A4"/>
    <w:rsid w:val="4ED757F4"/>
    <w:rsid w:val="55630EE8"/>
    <w:rsid w:val="56802347"/>
    <w:rsid w:val="57660F2C"/>
    <w:rsid w:val="58726012"/>
    <w:rsid w:val="5BF747CE"/>
    <w:rsid w:val="5C2C02F2"/>
    <w:rsid w:val="606C5598"/>
    <w:rsid w:val="641507F7"/>
    <w:rsid w:val="655B2009"/>
    <w:rsid w:val="69584DB0"/>
    <w:rsid w:val="6FBD596D"/>
    <w:rsid w:val="7115579D"/>
    <w:rsid w:val="72AB765B"/>
    <w:rsid w:val="7346211D"/>
    <w:rsid w:val="74363F40"/>
    <w:rsid w:val="78231F8C"/>
    <w:rsid w:val="795A247F"/>
    <w:rsid w:val="7A4C5181"/>
    <w:rsid w:val="7CEA3BD6"/>
    <w:rsid w:val="7E2D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4"/>
    </w:rPr>
  </w:style>
  <w:style w:type="paragraph" w:styleId="3">
    <w:name w:val="heading 2"/>
    <w:basedOn w:val="1"/>
    <w:next w:val="1"/>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oa heading"/>
    <w:basedOn w:val="1"/>
    <w:next w:val="1"/>
    <w:unhideWhenUsed/>
    <w:qFormat/>
    <w:uiPriority w:val="99"/>
    <w:rPr>
      <w:rFonts w:ascii="Cambria" w:hAnsi="Cambria" w:eastAsia="微软雅黑"/>
    </w:rPr>
  </w:style>
  <w:style w:type="paragraph" w:styleId="6">
    <w:name w:val="annotation text"/>
    <w:basedOn w:val="1"/>
    <w:qFormat/>
    <w:uiPriority w:val="0"/>
    <w:pPr>
      <w:jc w:val="left"/>
    </w:pPr>
    <w:rPr>
      <w:kern w:val="0"/>
      <w:sz w:val="20"/>
      <w:szCs w:val="24"/>
    </w:rPr>
  </w:style>
  <w:style w:type="paragraph" w:styleId="7">
    <w:name w:val="Body Text"/>
    <w:basedOn w:val="1"/>
    <w:next w:val="1"/>
    <w:qFormat/>
    <w:uiPriority w:val="0"/>
    <w:pPr>
      <w:adjustRightInd w:val="0"/>
      <w:spacing w:after="60" w:line="360" w:lineRule="atLeast"/>
      <w:ind w:left="72" w:leftChars="30" w:right="30" w:rightChars="30"/>
      <w:jc w:val="center"/>
      <w:textAlignment w:val="baseline"/>
    </w:pPr>
    <w:rPr>
      <w:kern w:val="0"/>
      <w:sz w:val="20"/>
    </w:rPr>
  </w:style>
  <w:style w:type="paragraph" w:styleId="8">
    <w:name w:val="Body Text Indent"/>
    <w:basedOn w:val="1"/>
    <w:next w:val="9"/>
    <w:qFormat/>
    <w:uiPriority w:val="0"/>
    <w:pPr>
      <w:spacing w:after="120"/>
      <w:ind w:left="420" w:leftChars="200"/>
    </w:pPr>
    <w:rPr>
      <w:rFonts w:ascii="宋体" w:hAnsi="Calibri"/>
      <w:kern w:val="0"/>
      <w:sz w:val="34"/>
    </w:rPr>
  </w:style>
  <w:style w:type="paragraph" w:customStyle="1" w:styleId="9">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大标题"/>
    <w:basedOn w:val="1"/>
    <w:next w:val="11"/>
    <w:qFormat/>
    <w:uiPriority w:val="0"/>
    <w:pPr>
      <w:jc w:val="center"/>
    </w:pPr>
    <w:rPr>
      <w:rFonts w:ascii="Arial" w:hAnsi="Arial"/>
      <w:b/>
      <w:sz w:val="28"/>
    </w:rPr>
  </w:style>
  <w:style w:type="paragraph" w:styleId="11">
    <w:name w:val="Body Text First Indent 2"/>
    <w:basedOn w:val="8"/>
    <w:next w:val="1"/>
    <w:qFormat/>
    <w:uiPriority w:val="0"/>
    <w:pPr>
      <w:ind w:firstLine="420" w:firstLineChars="200"/>
    </w:pPr>
  </w:style>
  <w:style w:type="paragraph" w:styleId="12">
    <w:name w:val="List 2"/>
    <w:basedOn w:val="1"/>
    <w:qFormat/>
    <w:uiPriority w:val="0"/>
    <w:pPr>
      <w:ind w:left="100" w:leftChars="200" w:hanging="200" w:hangingChars="200"/>
    </w:pPr>
    <w:rPr>
      <w:rFonts w:ascii="Times New Roman" w:hAnsi="Times New Roman"/>
      <w:szCs w:val="24"/>
    </w:rPr>
  </w:style>
  <w:style w:type="paragraph" w:styleId="13">
    <w:name w:val="footer"/>
    <w:basedOn w:val="1"/>
    <w:qFormat/>
    <w:uiPriority w:val="0"/>
    <w:pPr>
      <w:tabs>
        <w:tab w:val="center" w:pos="4153"/>
        <w:tab w:val="right" w:pos="8306"/>
      </w:tabs>
      <w:snapToGrid w:val="0"/>
      <w:jc w:val="left"/>
    </w:pPr>
    <w:rPr>
      <w:kern w:val="0"/>
      <w:sz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15">
    <w:name w:val="toc 1"/>
    <w:basedOn w:val="1"/>
    <w:next w:val="1"/>
    <w:qFormat/>
    <w:uiPriority w:val="0"/>
    <w:rPr>
      <w:szCs w:val="24"/>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7">
    <w:name w:val="Body Text First Indent"/>
    <w:basedOn w:val="7"/>
    <w:next w:val="11"/>
    <w:qFormat/>
    <w:uiPriority w:val="0"/>
    <w:pPr>
      <w:adjustRightInd w:val="0"/>
      <w:spacing w:after="60" w:line="360" w:lineRule="atLeast"/>
      <w:ind w:left="72" w:leftChars="30" w:right="30" w:rightChars="30" w:firstLine="420" w:firstLineChars="100"/>
      <w:jc w:val="center"/>
      <w:textAlignment w:val="baseline"/>
    </w:pPr>
    <w:rPr>
      <w:kern w:val="2"/>
      <w:sz w:val="21"/>
      <w:lang w:val="en-US" w:eastAsia="zh-CN"/>
    </w:rPr>
  </w:style>
  <w:style w:type="character" w:styleId="20">
    <w:name w:val="Strong"/>
    <w:basedOn w:val="19"/>
    <w:qFormat/>
    <w:uiPriority w:val="0"/>
    <w:rPr>
      <w:b/>
      <w:bCs/>
    </w:rPr>
  </w:style>
  <w:style w:type="character" w:styleId="21">
    <w:name w:val="page number"/>
    <w:qFormat/>
    <w:uiPriority w:val="0"/>
  </w:style>
  <w:style w:type="character" w:styleId="22">
    <w:name w:val="FollowedHyperlink"/>
    <w:basedOn w:val="19"/>
    <w:uiPriority w:val="0"/>
    <w:rPr>
      <w:color w:val="800080"/>
      <w:u w:val="none"/>
    </w:rPr>
  </w:style>
  <w:style w:type="character" w:styleId="23">
    <w:name w:val="Emphasis"/>
    <w:basedOn w:val="19"/>
    <w:qFormat/>
    <w:uiPriority w:val="0"/>
    <w:rPr>
      <w:b/>
      <w:bCs/>
    </w:rPr>
  </w:style>
  <w:style w:type="character" w:styleId="24">
    <w:name w:val="HTML Definition"/>
    <w:basedOn w:val="19"/>
    <w:uiPriority w:val="0"/>
  </w:style>
  <w:style w:type="character" w:styleId="25">
    <w:name w:val="HTML Typewriter"/>
    <w:basedOn w:val="19"/>
    <w:uiPriority w:val="0"/>
    <w:rPr>
      <w:rFonts w:hint="default" w:ascii="monospace" w:hAnsi="monospace" w:eastAsia="monospace" w:cs="monospace"/>
      <w:sz w:val="20"/>
    </w:rPr>
  </w:style>
  <w:style w:type="character" w:styleId="26">
    <w:name w:val="HTML Acronym"/>
    <w:basedOn w:val="19"/>
    <w:uiPriority w:val="0"/>
  </w:style>
  <w:style w:type="character" w:styleId="27">
    <w:name w:val="HTML Variable"/>
    <w:basedOn w:val="19"/>
    <w:uiPriority w:val="0"/>
  </w:style>
  <w:style w:type="character" w:styleId="28">
    <w:name w:val="Hyperlink"/>
    <w:basedOn w:val="19"/>
    <w:uiPriority w:val="0"/>
    <w:rPr>
      <w:color w:val="0000FF"/>
      <w:u w:val="none"/>
    </w:rPr>
  </w:style>
  <w:style w:type="character" w:styleId="29">
    <w:name w:val="HTML Code"/>
    <w:basedOn w:val="19"/>
    <w:uiPriority w:val="0"/>
    <w:rPr>
      <w:rFonts w:ascii="monospace" w:hAnsi="monospace" w:eastAsia="monospace" w:cs="monospace"/>
      <w:sz w:val="20"/>
    </w:rPr>
  </w:style>
  <w:style w:type="character" w:styleId="30">
    <w:name w:val="HTML Cite"/>
    <w:basedOn w:val="19"/>
    <w:uiPriority w:val="0"/>
  </w:style>
  <w:style w:type="character" w:styleId="31">
    <w:name w:val="HTML Keyboard"/>
    <w:basedOn w:val="19"/>
    <w:uiPriority w:val="0"/>
    <w:rPr>
      <w:rFonts w:hint="default" w:ascii="monospace" w:hAnsi="monospace" w:eastAsia="monospace" w:cs="monospace"/>
      <w:sz w:val="20"/>
    </w:rPr>
  </w:style>
  <w:style w:type="character" w:styleId="32">
    <w:name w:val="HTML Sample"/>
    <w:basedOn w:val="19"/>
    <w:uiPriority w:val="0"/>
    <w:rPr>
      <w:rFonts w:hint="default" w:ascii="monospace" w:hAnsi="monospace" w:eastAsia="monospace" w:cs="monospace"/>
    </w:rPr>
  </w:style>
  <w:style w:type="paragraph" w:customStyle="1" w:styleId="33">
    <w:name w:val="无间隔1"/>
    <w:basedOn w:val="1"/>
    <w:qFormat/>
    <w:uiPriority w:val="1"/>
    <w:pPr>
      <w:spacing w:line="400" w:lineRule="exact"/>
    </w:pPr>
    <w:rPr>
      <w:rFonts w:ascii="Times New Roman" w:hAnsi="Times New Roman"/>
      <w:sz w:val="24"/>
    </w:rPr>
  </w:style>
  <w:style w:type="paragraph" w:customStyle="1" w:styleId="3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5">
    <w:name w:val="列表段落1"/>
    <w:basedOn w:val="1"/>
    <w:qFormat/>
    <w:uiPriority w:val="0"/>
    <w:pPr>
      <w:ind w:firstLine="420" w:firstLineChars="200"/>
    </w:pPr>
    <w:rPr>
      <w:rFonts w:ascii="Calibri" w:hAnsi="Calibri"/>
      <w:szCs w:val="21"/>
    </w:rPr>
  </w:style>
  <w:style w:type="character" w:customStyle="1" w:styleId="36">
    <w:name w:val="hover"/>
    <w:basedOn w:val="19"/>
    <w:uiPriority w:val="0"/>
  </w:style>
  <w:style w:type="character" w:customStyle="1" w:styleId="37">
    <w:name w:val="hover1"/>
    <w:basedOn w:val="19"/>
    <w:uiPriority w:val="0"/>
    <w:rPr>
      <w:color w:val="2590EB"/>
    </w:rPr>
  </w:style>
  <w:style w:type="character" w:customStyle="1" w:styleId="38">
    <w:name w:val="hover2"/>
    <w:basedOn w:val="19"/>
    <w:uiPriority w:val="0"/>
    <w:rPr>
      <w:color w:val="2590EB"/>
    </w:rPr>
  </w:style>
  <w:style w:type="character" w:customStyle="1" w:styleId="39">
    <w:name w:val="mini-outputtext1"/>
    <w:basedOn w:val="19"/>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19644</Words>
  <Characters>20736</Characters>
  <Lines>0</Lines>
  <Paragraphs>0</Paragraphs>
  <TotalTime>7</TotalTime>
  <ScaleCrop>false</ScaleCrop>
  <LinksUpToDate>false</LinksUpToDate>
  <CharactersWithSpaces>22027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2025-05-14T08:29:00Z</dcterms:created>
  <dc:creator>Administrator</dc:creator>
  <cp:lastModifiedBy>嵩山如卧</cp:lastModifiedBy>
  <cp:lastPrinted>2025-06-05T09:43:00Z</cp:lastPrinted>
  <dcterms:modified xsi:type="dcterms:W3CDTF">2025-08-06T07:59:17Z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BF292361B230430D956E1138FD08C5E5_13</vt:lpwstr>
  </property>
  <property fmtid="{D5CDD505-2E9C-101B-9397-08002B2CF9AE}" pid="4" name="KSOTemplateDocerSaveRecord">
    <vt:lpwstr>eyJoZGlkIjoiYmI0YjQwNTY1NWFiYTQxNmRhYzE4YjQ0NmM3ZTFlZjMiLCJ1c2VySWQiOiIxMTQ5OTcwMDQxIn0=</vt:lpwstr>
  </property>
</Properties>
</file>