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AE97">
      <w:pPr>
        <w:spacing w:line="264" w:lineRule="auto"/>
        <w:jc w:val="center"/>
        <w:outlineLvl w:val="0"/>
        <w:rPr>
          <w:rFonts w:hint="eastAsia" w:asciiTheme="minorEastAsia" w:hAnsiTheme="minorEastAsia" w:eastAsiaTheme="minorEastAsia" w:cstheme="minorEastAsia"/>
          <w:b/>
          <w:bCs/>
          <w:color w:val="auto"/>
          <w:spacing w:val="20"/>
          <w:sz w:val="42"/>
          <w:szCs w:val="42"/>
          <w:highlight w:val="none"/>
          <w:lang w:eastAsia="zh-CN"/>
        </w:rPr>
      </w:pPr>
      <w:bookmarkStart w:id="679" w:name="_GoBack"/>
      <w:bookmarkEnd w:id="679"/>
      <w:bookmarkStart w:id="0" w:name="_Toc14836"/>
      <w:bookmarkStart w:id="1" w:name="_Toc24644"/>
    </w:p>
    <w:p w14:paraId="54DF9A34">
      <w:pPr>
        <w:spacing w:line="360" w:lineRule="auto"/>
        <w:jc w:val="center"/>
        <w:outlineLvl w:val="0"/>
        <w:rPr>
          <w:rFonts w:hint="eastAsia" w:asciiTheme="minorEastAsia" w:hAnsiTheme="minorEastAsia" w:eastAsiaTheme="minorEastAsia" w:cstheme="minorEastAsia"/>
          <w:b/>
          <w:bCs/>
          <w:color w:val="auto"/>
          <w:spacing w:val="20"/>
          <w:sz w:val="112"/>
          <w:szCs w:val="112"/>
          <w:highlight w:val="none"/>
          <w:lang w:eastAsia="zh-CN"/>
        </w:rPr>
      </w:pPr>
      <w:bookmarkStart w:id="2" w:name="_Toc21088"/>
      <w:r>
        <w:rPr>
          <w:rFonts w:hint="eastAsia" w:asciiTheme="minorEastAsia" w:hAnsiTheme="minorEastAsia" w:eastAsiaTheme="minorEastAsia" w:cstheme="minorEastAsia"/>
          <w:b/>
          <w:bCs/>
          <w:color w:val="auto"/>
          <w:spacing w:val="20"/>
          <w:sz w:val="48"/>
          <w:szCs w:val="48"/>
          <w:highlight w:val="none"/>
          <w:lang w:eastAsia="zh-CN"/>
        </w:rPr>
        <w:t>灵宝市窄口库区事务中心窄口试点水库现代化运行管理矩阵建设项目</w:t>
      </w:r>
      <w:bookmarkEnd w:id="2"/>
    </w:p>
    <w:p w14:paraId="34377AF7">
      <w:pPr>
        <w:spacing w:line="264" w:lineRule="auto"/>
        <w:jc w:val="center"/>
        <w:outlineLvl w:val="0"/>
        <w:rPr>
          <w:rFonts w:hint="eastAsia" w:asciiTheme="minorEastAsia" w:hAnsiTheme="minorEastAsia" w:eastAsiaTheme="minorEastAsia" w:cstheme="minorEastAsia"/>
          <w:b/>
          <w:bCs/>
          <w:color w:val="auto"/>
          <w:spacing w:val="20"/>
          <w:sz w:val="32"/>
          <w:szCs w:val="32"/>
          <w:highlight w:val="none"/>
        </w:rPr>
      </w:pPr>
    </w:p>
    <w:p w14:paraId="1F9F8A8B">
      <w:pPr>
        <w:spacing w:line="264" w:lineRule="auto"/>
        <w:jc w:val="center"/>
        <w:outlineLvl w:val="0"/>
        <w:rPr>
          <w:rFonts w:hint="eastAsia" w:asciiTheme="minorEastAsia" w:hAnsiTheme="minorEastAsia" w:eastAsiaTheme="minorEastAsia" w:cstheme="minorEastAsia"/>
          <w:b/>
          <w:bCs/>
          <w:color w:val="auto"/>
          <w:spacing w:val="20"/>
          <w:sz w:val="96"/>
          <w:szCs w:val="96"/>
          <w:highlight w:val="none"/>
        </w:rPr>
      </w:pPr>
      <w:bookmarkStart w:id="3" w:name="_Toc19271"/>
      <w:r>
        <w:rPr>
          <w:rFonts w:hint="eastAsia" w:asciiTheme="minorEastAsia" w:hAnsiTheme="minorEastAsia" w:eastAsiaTheme="minorEastAsia" w:cstheme="minorEastAsia"/>
          <w:b/>
          <w:bCs/>
          <w:color w:val="auto"/>
          <w:spacing w:val="20"/>
          <w:sz w:val="72"/>
          <w:szCs w:val="72"/>
          <w:highlight w:val="none"/>
        </w:rPr>
        <w:t>竞争性磋商文件</w:t>
      </w:r>
      <w:bookmarkEnd w:id="0"/>
      <w:bookmarkEnd w:id="1"/>
      <w:bookmarkEnd w:id="3"/>
    </w:p>
    <w:p w14:paraId="2A0281C1">
      <w:pPr>
        <w:spacing w:line="264"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项目编号：灵宝竞磋采购-2025-119</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LBGZ[2025]220-ZC163</w:t>
      </w:r>
    </w:p>
    <w:p w14:paraId="3E0B95FF">
      <w:pPr>
        <w:rPr>
          <w:rFonts w:hint="eastAsia" w:asciiTheme="minorEastAsia" w:hAnsiTheme="minorEastAsia" w:eastAsiaTheme="minorEastAsia" w:cstheme="minorEastAsia"/>
          <w:b/>
          <w:bCs/>
          <w:color w:val="auto"/>
          <w:sz w:val="30"/>
          <w:szCs w:val="30"/>
          <w:highlight w:val="none"/>
        </w:rPr>
      </w:pPr>
    </w:p>
    <w:p w14:paraId="0C32DD60">
      <w:pP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1530985</wp:posOffset>
            </wp:positionH>
            <wp:positionV relativeFrom="paragraph">
              <wp:posOffset>62865</wp:posOffset>
            </wp:positionV>
            <wp:extent cx="2474595" cy="2468880"/>
            <wp:effectExtent l="0" t="0" r="1905" b="7620"/>
            <wp:wrapNone/>
            <wp:docPr id="13" name="图片 13" descr="94071e0c0f5fa67400142b89049f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4071e0c0f5fa67400142b89049ff54"/>
                    <pic:cNvPicPr>
                      <a:picLocks noChangeAspect="1"/>
                    </pic:cNvPicPr>
                  </pic:nvPicPr>
                  <pic:blipFill>
                    <a:blip r:embed="rId12"/>
                    <a:stretch>
                      <a:fillRect/>
                    </a:stretch>
                  </pic:blipFill>
                  <pic:spPr>
                    <a:xfrm>
                      <a:off x="0" y="0"/>
                      <a:ext cx="2474595" cy="2468880"/>
                    </a:xfrm>
                    <a:prstGeom prst="rect">
                      <a:avLst/>
                    </a:prstGeom>
                  </pic:spPr>
                </pic:pic>
              </a:graphicData>
            </a:graphic>
          </wp:anchor>
        </w:drawing>
      </w:r>
    </w:p>
    <w:p w14:paraId="51A18808">
      <w:pPr>
        <w:pStyle w:val="18"/>
        <w:ind w:firstLine="211"/>
        <w:jc w:val="center"/>
        <w:rPr>
          <w:rFonts w:hint="eastAsia" w:asciiTheme="minorEastAsia" w:hAnsiTheme="minorEastAsia" w:eastAsiaTheme="minorEastAsia" w:cstheme="minorEastAsia"/>
          <w:b/>
          <w:bCs/>
          <w:color w:val="auto"/>
          <w:sz w:val="30"/>
          <w:szCs w:val="30"/>
          <w:highlight w:val="none"/>
        </w:rPr>
      </w:pPr>
    </w:p>
    <w:p w14:paraId="044A46CF">
      <w:pPr>
        <w:pStyle w:val="19"/>
        <w:ind w:left="440" w:firstLine="602"/>
        <w:rPr>
          <w:rFonts w:hint="eastAsia" w:asciiTheme="minorEastAsia" w:hAnsiTheme="minorEastAsia" w:eastAsiaTheme="minorEastAsia" w:cstheme="minorEastAsia"/>
          <w:b/>
          <w:bCs/>
          <w:color w:val="auto"/>
          <w:sz w:val="30"/>
          <w:szCs w:val="30"/>
          <w:highlight w:val="none"/>
        </w:rPr>
      </w:pPr>
    </w:p>
    <w:p w14:paraId="61C31241">
      <w:pPr>
        <w:rPr>
          <w:rFonts w:hint="eastAsia" w:asciiTheme="minorEastAsia" w:hAnsiTheme="minorEastAsia" w:eastAsiaTheme="minorEastAsia" w:cstheme="minorEastAsia"/>
          <w:b/>
          <w:bCs/>
          <w:color w:val="auto"/>
          <w:sz w:val="30"/>
          <w:szCs w:val="30"/>
          <w:highlight w:val="none"/>
        </w:rPr>
      </w:pPr>
    </w:p>
    <w:p w14:paraId="1B206BC5">
      <w:pPr>
        <w:pStyle w:val="24"/>
        <w:rPr>
          <w:rFonts w:hint="eastAsia" w:asciiTheme="minorEastAsia" w:hAnsiTheme="minorEastAsia" w:eastAsiaTheme="minorEastAsia" w:cstheme="minorEastAsia"/>
          <w:b/>
          <w:bCs/>
          <w:color w:val="auto"/>
          <w:sz w:val="30"/>
          <w:szCs w:val="30"/>
          <w:highlight w:val="none"/>
        </w:rPr>
      </w:pPr>
    </w:p>
    <w:p w14:paraId="25C1935A">
      <w:pPr>
        <w:ind w:firstLine="1606" w:firstLineChars="500"/>
        <w:outlineLvl w:val="0"/>
        <w:rPr>
          <w:rFonts w:hint="eastAsia" w:asciiTheme="minorEastAsia" w:hAnsiTheme="minorEastAsia" w:eastAsiaTheme="minorEastAsia" w:cstheme="minorEastAsia"/>
          <w:b/>
          <w:bCs/>
          <w:color w:val="auto"/>
          <w:sz w:val="32"/>
          <w:highlight w:val="none"/>
        </w:rPr>
      </w:pPr>
      <w:bookmarkStart w:id="4" w:name="_Toc120614210"/>
      <w:bookmarkEnd w:id="4"/>
      <w:bookmarkStart w:id="5" w:name="_Toc446062580"/>
      <w:bookmarkEnd w:id="5"/>
      <w:bookmarkStart w:id="6" w:name="_Toc523127445"/>
      <w:bookmarkEnd w:id="6"/>
      <w:bookmarkStart w:id="7" w:name="_Toc479757206"/>
      <w:bookmarkEnd w:id="7"/>
      <w:bookmarkStart w:id="8" w:name="_Toc447717724"/>
      <w:bookmarkEnd w:id="8"/>
      <w:bookmarkStart w:id="9" w:name="_Toc403986986"/>
      <w:bookmarkEnd w:id="9"/>
      <w:bookmarkStart w:id="10" w:name="_Toc444525600"/>
      <w:bookmarkEnd w:id="10"/>
      <w:bookmarkStart w:id="11" w:name="_Toc403987193"/>
      <w:bookmarkEnd w:id="11"/>
      <w:bookmarkStart w:id="12" w:name="_Toc20823272"/>
      <w:bookmarkEnd w:id="12"/>
      <w:bookmarkStart w:id="13" w:name="_Toc446062516"/>
      <w:bookmarkEnd w:id="13"/>
      <w:bookmarkStart w:id="14" w:name="_Toc16938516"/>
      <w:bookmarkEnd w:id="14"/>
      <w:bookmarkStart w:id="15" w:name="_Toc517178990"/>
      <w:bookmarkEnd w:id="15"/>
      <w:bookmarkStart w:id="16" w:name="_Toc29698"/>
      <w:bookmarkStart w:id="17" w:name="_Toc22566"/>
      <w:bookmarkStart w:id="18" w:name="_Toc16770539"/>
    </w:p>
    <w:p w14:paraId="2FBF36C9">
      <w:pPr>
        <w:ind w:firstLine="1606" w:firstLineChars="500"/>
        <w:outlineLvl w:val="0"/>
        <w:rPr>
          <w:rFonts w:hint="eastAsia" w:asciiTheme="minorEastAsia" w:hAnsiTheme="minorEastAsia" w:eastAsiaTheme="minorEastAsia" w:cstheme="minorEastAsia"/>
          <w:b/>
          <w:bCs/>
          <w:color w:val="auto"/>
          <w:sz w:val="32"/>
          <w:highlight w:val="none"/>
        </w:rPr>
      </w:pPr>
    </w:p>
    <w:p w14:paraId="3E9F087B">
      <w:pPr>
        <w:ind w:firstLine="1606" w:firstLineChars="500"/>
        <w:outlineLvl w:val="0"/>
        <w:rPr>
          <w:rFonts w:hint="eastAsia" w:asciiTheme="minorEastAsia" w:hAnsiTheme="minorEastAsia" w:eastAsiaTheme="minorEastAsia" w:cstheme="minorEastAsia"/>
          <w:b/>
          <w:bCs/>
          <w:color w:val="auto"/>
          <w:sz w:val="32"/>
          <w:highlight w:val="none"/>
        </w:rPr>
      </w:pPr>
    </w:p>
    <w:p w14:paraId="509E8B4C">
      <w:pPr>
        <w:ind w:firstLine="1606" w:firstLineChars="500"/>
        <w:outlineLvl w:val="0"/>
        <w:rPr>
          <w:rFonts w:hint="eastAsia" w:asciiTheme="minorEastAsia" w:hAnsiTheme="minorEastAsia" w:eastAsiaTheme="minorEastAsia" w:cstheme="minorEastAsia"/>
          <w:b/>
          <w:bCs/>
          <w:color w:val="auto"/>
          <w:sz w:val="32"/>
          <w:highlight w:val="none"/>
          <w:lang w:val="zh-CN"/>
        </w:rPr>
      </w:pPr>
      <w:bookmarkStart w:id="19" w:name="_Toc32267"/>
      <w:r>
        <w:rPr>
          <w:rFonts w:hint="eastAsia" w:asciiTheme="minorEastAsia" w:hAnsiTheme="minorEastAsia" w:eastAsiaTheme="minorEastAsia" w:cstheme="minorEastAsia"/>
          <w:b/>
          <w:bCs/>
          <w:color w:val="auto"/>
          <w:sz w:val="32"/>
          <w:highlight w:val="none"/>
          <w:lang w:val="en-US" w:eastAsia="zh-CN"/>
        </w:rPr>
        <w:t>采 购</w:t>
      </w:r>
      <w:r>
        <w:rPr>
          <w:rFonts w:hint="eastAsia" w:asciiTheme="minorEastAsia" w:hAnsiTheme="minorEastAsia" w:eastAsiaTheme="minorEastAsia" w:cstheme="minorEastAsia"/>
          <w:b/>
          <w:bCs/>
          <w:color w:val="auto"/>
          <w:sz w:val="32"/>
          <w:highlight w:val="none"/>
        </w:rPr>
        <w:t xml:space="preserve"> </w:t>
      </w:r>
      <w:r>
        <w:rPr>
          <w:rFonts w:hint="eastAsia" w:asciiTheme="minorEastAsia" w:hAnsiTheme="minorEastAsia" w:eastAsiaTheme="minorEastAsia" w:cstheme="minorEastAsia"/>
          <w:b/>
          <w:bCs/>
          <w:color w:val="auto"/>
          <w:sz w:val="32"/>
          <w:highlight w:val="none"/>
          <w:lang w:val="zh-CN"/>
        </w:rPr>
        <w:t>人</w:t>
      </w:r>
      <w:bookmarkEnd w:id="16"/>
      <w:bookmarkEnd w:id="17"/>
      <w:r>
        <w:rPr>
          <w:rFonts w:hint="eastAsia" w:asciiTheme="minorEastAsia" w:hAnsiTheme="minorEastAsia" w:eastAsiaTheme="minorEastAsia" w:cstheme="minorEastAsia"/>
          <w:b/>
          <w:bCs/>
          <w:color w:val="auto"/>
          <w:sz w:val="32"/>
          <w:highlight w:val="none"/>
        </w:rPr>
        <w:t>：</w:t>
      </w:r>
      <w:r>
        <w:rPr>
          <w:rFonts w:hint="eastAsia" w:asciiTheme="minorEastAsia" w:hAnsiTheme="minorEastAsia" w:eastAsiaTheme="minorEastAsia" w:cstheme="minorEastAsia"/>
          <w:b/>
          <w:bCs/>
          <w:color w:val="auto"/>
          <w:sz w:val="32"/>
          <w:highlight w:val="none"/>
          <w:lang w:val="zh-CN"/>
        </w:rPr>
        <w:t>灵宝市窄口库区事务中心</w:t>
      </w:r>
      <w:bookmarkEnd w:id="19"/>
    </w:p>
    <w:p w14:paraId="37ED1533">
      <w:pPr>
        <w:ind w:firstLine="1285" w:firstLineChars="400"/>
        <w:rPr>
          <w:rFonts w:hint="eastAsia" w:asciiTheme="minorEastAsia" w:hAnsiTheme="minorEastAsia" w:eastAsiaTheme="minorEastAsia" w:cstheme="minorEastAsia"/>
          <w:b/>
          <w:bCs/>
          <w:color w:val="auto"/>
          <w:sz w:val="32"/>
          <w:highlight w:val="none"/>
          <w:lang w:val="zh-CN"/>
        </w:rPr>
      </w:pPr>
      <w:r>
        <w:rPr>
          <w:rFonts w:hint="eastAsia" w:asciiTheme="minorEastAsia" w:hAnsiTheme="minorEastAsia" w:eastAsiaTheme="minorEastAsia" w:cstheme="minorEastAsia"/>
          <w:b/>
          <w:bCs/>
          <w:color w:val="auto"/>
          <w:sz w:val="32"/>
          <w:highlight w:val="none"/>
          <w:lang w:val="zh-CN"/>
        </w:rPr>
        <w:t xml:space="preserve"> </w:t>
      </w:r>
      <w:r>
        <w:rPr>
          <w:rFonts w:hint="eastAsia" w:asciiTheme="minorEastAsia" w:hAnsiTheme="minorEastAsia" w:eastAsiaTheme="minorEastAsia" w:cstheme="minorEastAsia"/>
          <w:b/>
          <w:bCs/>
          <w:color w:val="auto"/>
          <w:sz w:val="32"/>
          <w:highlight w:val="none"/>
        </w:rPr>
        <w:t xml:space="preserve"> 代理机构：</w:t>
      </w:r>
      <w:r>
        <w:rPr>
          <w:rFonts w:hint="eastAsia" w:asciiTheme="minorEastAsia" w:hAnsiTheme="minorEastAsia" w:eastAsiaTheme="minorEastAsia" w:cstheme="minorEastAsia"/>
          <w:b/>
          <w:bCs/>
          <w:color w:val="auto"/>
          <w:sz w:val="32"/>
          <w:highlight w:val="none"/>
          <w:lang w:val="zh-CN"/>
        </w:rPr>
        <w:t>河南精开咨询有限公司</w:t>
      </w:r>
    </w:p>
    <w:p w14:paraId="357837C6">
      <w:pPr>
        <w:ind w:firstLine="1285" w:firstLineChars="400"/>
        <w:outlineLvl w:val="0"/>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 xml:space="preserve">  </w:t>
      </w:r>
      <w:bookmarkStart w:id="20" w:name="_Toc20524"/>
      <w:bookmarkStart w:id="21" w:name="_Toc15430"/>
      <w:bookmarkStart w:id="22" w:name="_Toc5954"/>
      <w:r>
        <w:rPr>
          <w:rFonts w:hint="eastAsia" w:asciiTheme="minorEastAsia" w:hAnsiTheme="minorEastAsia" w:eastAsiaTheme="minorEastAsia" w:cstheme="minorEastAsia"/>
          <w:b/>
          <w:bCs/>
          <w:color w:val="auto"/>
          <w:sz w:val="32"/>
          <w:highlight w:val="none"/>
        </w:rPr>
        <w:t>日    期：二〇二</w:t>
      </w:r>
      <w:r>
        <w:rPr>
          <w:rFonts w:hint="eastAsia" w:asciiTheme="minorEastAsia" w:hAnsiTheme="minorEastAsia" w:eastAsiaTheme="minorEastAsia" w:cstheme="minorEastAsia"/>
          <w:b/>
          <w:bCs/>
          <w:color w:val="auto"/>
          <w:sz w:val="32"/>
          <w:highlight w:val="none"/>
          <w:lang w:val="en-US" w:eastAsia="zh-CN"/>
        </w:rPr>
        <w:t>五</w:t>
      </w:r>
      <w:r>
        <w:rPr>
          <w:rFonts w:hint="eastAsia" w:asciiTheme="minorEastAsia" w:hAnsiTheme="minorEastAsia" w:eastAsiaTheme="minorEastAsia" w:cstheme="minorEastAsia"/>
          <w:b/>
          <w:bCs/>
          <w:color w:val="auto"/>
          <w:sz w:val="32"/>
          <w:highlight w:val="none"/>
        </w:rPr>
        <w:t>年</w:t>
      </w:r>
      <w:r>
        <w:rPr>
          <w:rFonts w:hint="eastAsia" w:asciiTheme="minorEastAsia" w:hAnsiTheme="minorEastAsia" w:eastAsiaTheme="minorEastAsia" w:cstheme="minorEastAsia"/>
          <w:b/>
          <w:bCs/>
          <w:color w:val="auto"/>
          <w:sz w:val="32"/>
          <w:highlight w:val="none"/>
          <w:lang w:val="en-US" w:eastAsia="zh-CN"/>
        </w:rPr>
        <w:t>八</w:t>
      </w:r>
      <w:r>
        <w:rPr>
          <w:rFonts w:hint="eastAsia" w:asciiTheme="minorEastAsia" w:hAnsiTheme="minorEastAsia" w:eastAsiaTheme="minorEastAsia" w:cstheme="minorEastAsia"/>
          <w:b/>
          <w:bCs/>
          <w:color w:val="auto"/>
          <w:sz w:val="32"/>
          <w:highlight w:val="none"/>
        </w:rPr>
        <w:t>月</w:t>
      </w:r>
      <w:bookmarkEnd w:id="18"/>
      <w:bookmarkEnd w:id="20"/>
      <w:bookmarkEnd w:id="21"/>
      <w:bookmarkEnd w:id="22"/>
    </w:p>
    <w:p w14:paraId="3300B375">
      <w:pP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br w:type="page"/>
      </w:r>
    </w:p>
    <w:p w14:paraId="4AC4ABBD">
      <w:pPr>
        <w:pStyle w:val="25"/>
        <w:rPr>
          <w:rFonts w:hint="eastAsia"/>
          <w:color w:val="auto"/>
          <w:highlight w:val="none"/>
          <w:lang w:val="en-US" w:eastAsia="zh-CN"/>
        </w:rPr>
      </w:pPr>
    </w:p>
    <w:sdt>
      <w:sdtPr>
        <w:rPr>
          <w:rFonts w:hint="eastAsia" w:asciiTheme="minorEastAsia" w:hAnsiTheme="minorEastAsia" w:eastAsiaTheme="minorEastAsia" w:cstheme="minorEastAsia"/>
          <w:b/>
          <w:bCs/>
          <w:color w:val="auto"/>
          <w:kern w:val="2"/>
          <w:sz w:val="36"/>
          <w:szCs w:val="36"/>
          <w:highlight w:val="none"/>
          <w:lang w:val="en-US" w:eastAsia="zh-CN" w:bidi="ar-SA"/>
        </w:rPr>
        <w:id w:val="147475349"/>
        <w15:color w:val="DBDBDB"/>
        <w:docPartObj>
          <w:docPartGallery w:val="Table of Contents"/>
          <w:docPartUnique/>
        </w:docPartObj>
      </w:sdtPr>
      <w:sdtEndPr>
        <w:rPr>
          <w:rFonts w:hint="eastAsia" w:asciiTheme="minorEastAsia" w:hAnsiTheme="minorEastAsia" w:eastAsiaTheme="minorEastAsia" w:cstheme="minorEastAsia"/>
          <w:b/>
          <w:bCs/>
          <w:color w:val="auto"/>
          <w:kern w:val="0"/>
          <w:sz w:val="20"/>
          <w:szCs w:val="32"/>
          <w:highlight w:val="none"/>
          <w:lang w:val="en-US" w:eastAsia="zh-CN" w:bidi="ar-SA"/>
        </w:rPr>
      </w:sdtEndPr>
      <w:sdtContent>
        <w:p w14:paraId="231B48A2">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目录</w:t>
          </w:r>
        </w:p>
        <w:p w14:paraId="484DBFB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012F5EDA">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_Toc22854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kern w:val="44"/>
              <w:sz w:val="28"/>
              <w:szCs w:val="28"/>
              <w:highlight w:val="none"/>
              <w:lang w:val="en-US" w:eastAsia="zh-CN" w:bidi="ar-SA"/>
            </w:rPr>
            <w:t xml:space="preserve">第一章 </w:t>
          </w:r>
          <w:r>
            <w:rPr>
              <w:rFonts w:hint="eastAsia" w:asciiTheme="minorEastAsia" w:hAnsiTheme="minorEastAsia" w:eastAsiaTheme="minorEastAsia" w:cstheme="minorEastAsia"/>
              <w:color w:val="auto"/>
              <w:sz w:val="28"/>
              <w:szCs w:val="28"/>
              <w:highlight w:val="no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_Toc22854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172C785">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_Toc17332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第二章 </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须知及前附表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_Toc17332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1EABDDA7">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第三章 评标办法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_Toc9901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0945E172">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_Toc15332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_Toc15332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5DF8BAD4">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_Toc4872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kern w:val="44"/>
              <w:sz w:val="28"/>
              <w:szCs w:val="28"/>
              <w:highlight w:val="none"/>
              <w:lang w:val="en-US" w:eastAsia="zh-CN" w:bidi="ar-SA"/>
            </w:rPr>
            <w:t>第五章 技术服务清单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_Toc4872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7DE3A6CE">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_Toc5556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第六章 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_Toc5556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1ABDAFF8">
          <w:pPr>
            <w:pStyle w:val="14"/>
            <w:tabs>
              <w:tab w:val="right" w:leader="hyphen" w:pos="8306"/>
            </w:tabs>
            <w:spacing w:line="360" w:lineRule="auto"/>
            <w:rPr>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_Toc20505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第七章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_Toc20505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5395EBA6">
          <w:pPr>
            <w:spacing w:line="360" w:lineRule="auto"/>
            <w:jc w:val="center"/>
            <w:rPr>
              <w:rFonts w:hint="eastAsia" w:asciiTheme="minorEastAsia" w:hAnsiTheme="minorEastAsia" w:eastAsiaTheme="minorEastAsia" w:cstheme="minorEastAsia"/>
              <w:bCs/>
              <w:color w:val="auto"/>
              <w:kern w:val="0"/>
              <w:sz w:val="20"/>
              <w:szCs w:val="32"/>
              <w:highlight w:val="none"/>
              <w:lang w:val="en-US" w:eastAsia="zh-CN" w:bidi="ar-SA"/>
            </w:rPr>
          </w:pPr>
          <w:r>
            <w:rPr>
              <w:rFonts w:hint="eastAsia" w:asciiTheme="minorEastAsia" w:hAnsiTheme="minorEastAsia" w:eastAsiaTheme="minorEastAsia" w:cstheme="minorEastAsia"/>
              <w:bCs/>
              <w:color w:val="auto"/>
              <w:sz w:val="28"/>
              <w:szCs w:val="28"/>
              <w:highlight w:val="none"/>
            </w:rPr>
            <w:fldChar w:fldCharType="end"/>
          </w:r>
        </w:p>
      </w:sdtContent>
    </w:sdt>
    <w:p w14:paraId="0CD9F76A">
      <w:pPr>
        <w:pStyle w:val="2"/>
        <w:numPr>
          <w:ilvl w:val="0"/>
          <w:numId w:val="0"/>
        </w:numPr>
        <w:bidi w:val="0"/>
        <w:rPr>
          <w:rFonts w:hint="eastAsia" w:asciiTheme="minorEastAsia" w:hAnsiTheme="minorEastAsia" w:eastAsiaTheme="minorEastAsia" w:cstheme="minorEastAsia"/>
          <w:color w:val="auto"/>
          <w:sz w:val="48"/>
          <w:szCs w:val="48"/>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6D947C40">
      <w:pPr>
        <w:pStyle w:val="2"/>
        <w:numPr>
          <w:ilvl w:val="0"/>
          <w:numId w:val="0"/>
        </w:numPr>
        <w:bidi w:val="0"/>
        <w:spacing w:line="360" w:lineRule="auto"/>
        <w:rPr>
          <w:rFonts w:hint="eastAsia" w:asciiTheme="minorEastAsia" w:hAnsiTheme="minorEastAsia" w:eastAsiaTheme="minorEastAsia" w:cstheme="minorEastAsia"/>
          <w:color w:val="auto"/>
          <w:highlight w:val="none"/>
        </w:rPr>
      </w:pPr>
      <w:bookmarkStart w:id="23" w:name="_Toc3772"/>
      <w:bookmarkStart w:id="24" w:name="_Toc22854"/>
      <w:bookmarkStart w:id="25" w:name="_Toc77586909"/>
      <w:r>
        <w:rPr>
          <w:rFonts w:hint="eastAsia" w:asciiTheme="minorEastAsia" w:hAnsiTheme="minorEastAsia" w:eastAsiaTheme="minorEastAsia" w:cstheme="minorEastAsia"/>
          <w:b/>
          <w:bCs/>
          <w:color w:val="auto"/>
          <w:kern w:val="44"/>
          <w:sz w:val="32"/>
          <w:szCs w:val="44"/>
          <w:highlight w:val="none"/>
          <w:lang w:val="en-US" w:eastAsia="zh-CN" w:bidi="ar-SA"/>
        </w:rPr>
        <w:t>第一章</w:t>
      </w:r>
      <w:r>
        <w:rPr>
          <w:rFonts w:hint="eastAsia" w:asciiTheme="minorEastAsia" w:hAnsiTheme="minorEastAsia" w:eastAsiaTheme="minorEastAsia" w:cstheme="minorEastAsia"/>
          <w:color w:val="auto"/>
          <w:highlight w:val="none"/>
        </w:rPr>
        <w:t>竞争性磋商公告</w:t>
      </w:r>
      <w:bookmarkEnd w:id="23"/>
      <w:bookmarkEnd w:id="24"/>
      <w:bookmarkEnd w:id="25"/>
    </w:p>
    <w:p w14:paraId="448973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河南精开咨询有限公司</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eastAsia="zh-CN"/>
        </w:rPr>
        <w:t>灵宝市窄口库区事务中心</w:t>
      </w:r>
      <w:r>
        <w:rPr>
          <w:rFonts w:hint="eastAsia" w:asciiTheme="minorEastAsia" w:hAnsiTheme="minorEastAsia" w:eastAsiaTheme="minorEastAsia" w:cstheme="minorEastAsia"/>
          <w:color w:val="auto"/>
          <w:sz w:val="24"/>
          <w:szCs w:val="24"/>
          <w:highlight w:val="none"/>
        </w:rPr>
        <w:t>的委托，就</w:t>
      </w:r>
      <w:r>
        <w:rPr>
          <w:rFonts w:hint="eastAsia" w:asciiTheme="minorEastAsia" w:hAnsiTheme="minorEastAsia" w:eastAsiaTheme="minorEastAsia" w:cstheme="minorEastAsia"/>
          <w:color w:val="auto"/>
          <w:sz w:val="24"/>
          <w:szCs w:val="24"/>
          <w:highlight w:val="none"/>
          <w:lang w:eastAsia="zh-CN"/>
        </w:rPr>
        <w:t>灵宝市窄口库区事务中心窄口试点水库现代化运行管理矩阵建设项目</w:t>
      </w:r>
      <w:r>
        <w:rPr>
          <w:rFonts w:hint="eastAsia" w:asciiTheme="minorEastAsia" w:hAnsiTheme="minorEastAsia" w:eastAsiaTheme="minorEastAsia" w:cstheme="minorEastAsia"/>
          <w:color w:val="auto"/>
          <w:sz w:val="24"/>
          <w:szCs w:val="24"/>
          <w:highlight w:val="none"/>
        </w:rPr>
        <w:t>进行竞争性磋商，项目已具备招标条件，欢迎符合资格条件的供应商参加磋商。</w:t>
      </w:r>
    </w:p>
    <w:p w14:paraId="555391C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p>
    <w:p w14:paraId="59FA1AA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灵宝市窄口库区事务中心窄口试点水库现代化运行管理矩阵建设项目</w:t>
      </w:r>
    </w:p>
    <w:p w14:paraId="2CBCB9F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2.项目编号</w:t>
      </w:r>
      <w:r>
        <w:rPr>
          <w:rFonts w:hint="eastAsia" w:asciiTheme="minorEastAsia" w:hAnsiTheme="minorEastAsia" w:eastAsiaTheme="minorEastAsia" w:cstheme="minorEastAsia"/>
          <w:color w:val="auto"/>
          <w:sz w:val="24"/>
          <w:szCs w:val="24"/>
          <w:highlight w:val="none"/>
          <w:lang w:eastAsia="zh-CN"/>
        </w:rPr>
        <w:t>：灵宝竞磋采购-2025-119、LBGZ[2025]220-ZC163</w:t>
      </w:r>
    </w:p>
    <w:p w14:paraId="0CCEB91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3.采购方式：竞争性磋商</w:t>
      </w:r>
    </w:p>
    <w:p w14:paraId="0154D4B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4.预算金额：</w:t>
      </w:r>
      <w:r>
        <w:rPr>
          <w:rFonts w:hint="eastAsia" w:asciiTheme="minorEastAsia" w:hAnsiTheme="minorEastAsia" w:eastAsiaTheme="minorEastAsia" w:cstheme="minorEastAsia"/>
          <w:color w:val="auto"/>
          <w:sz w:val="24"/>
          <w:szCs w:val="24"/>
          <w:highlight w:val="none"/>
          <w:lang w:val="en-US" w:eastAsia="zh-CN"/>
        </w:rPr>
        <w:t>187.2</w:t>
      </w:r>
      <w:r>
        <w:rPr>
          <w:rFonts w:hint="eastAsia" w:asciiTheme="minorEastAsia" w:hAnsiTheme="minorEastAsia" w:eastAsiaTheme="minorEastAsia" w:cstheme="minorEastAsia"/>
          <w:color w:val="auto"/>
          <w:sz w:val="24"/>
          <w:szCs w:val="24"/>
          <w:highlight w:val="none"/>
          <w:lang w:eastAsia="zh-CN"/>
        </w:rPr>
        <w:t>万元</w:t>
      </w: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187.2</w:t>
      </w:r>
      <w:r>
        <w:rPr>
          <w:rFonts w:hint="eastAsia" w:asciiTheme="minorEastAsia" w:hAnsiTheme="minorEastAsia" w:eastAsiaTheme="minorEastAsia" w:cstheme="minorEastAsia"/>
          <w:color w:val="auto"/>
          <w:sz w:val="24"/>
          <w:szCs w:val="24"/>
          <w:highlight w:val="none"/>
          <w:lang w:eastAsia="zh-CN"/>
        </w:rPr>
        <w:t>万元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89"/>
        <w:gridCol w:w="4053"/>
        <w:gridCol w:w="1406"/>
        <w:gridCol w:w="1514"/>
      </w:tblGrid>
      <w:tr w14:paraId="22A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41216F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89" w:type="dxa"/>
            <w:vAlign w:val="center"/>
          </w:tcPr>
          <w:p w14:paraId="2D02855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包号</w:t>
            </w:r>
          </w:p>
        </w:tc>
        <w:tc>
          <w:tcPr>
            <w:tcW w:w="4053" w:type="dxa"/>
            <w:vAlign w:val="center"/>
          </w:tcPr>
          <w:p w14:paraId="4E4F92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包名称</w:t>
            </w:r>
          </w:p>
        </w:tc>
        <w:tc>
          <w:tcPr>
            <w:tcW w:w="1406" w:type="dxa"/>
            <w:vAlign w:val="center"/>
          </w:tcPr>
          <w:p w14:paraId="414552A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包预算</w:t>
            </w:r>
          </w:p>
          <w:p w14:paraId="6E49B288">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（万元</w:t>
            </w:r>
            <w:r>
              <w:rPr>
                <w:rFonts w:hint="eastAsia" w:asciiTheme="minorEastAsia" w:hAnsiTheme="minorEastAsia" w:eastAsiaTheme="minorEastAsia" w:cstheme="minorEastAsia"/>
                <w:color w:val="auto"/>
                <w:sz w:val="24"/>
                <w:szCs w:val="24"/>
                <w:highlight w:val="none"/>
              </w:rPr>
              <w:t>）</w:t>
            </w:r>
          </w:p>
        </w:tc>
        <w:tc>
          <w:tcPr>
            <w:tcW w:w="1514" w:type="dxa"/>
            <w:vAlign w:val="center"/>
          </w:tcPr>
          <w:p w14:paraId="412E9BC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包最高限价</w:t>
            </w:r>
            <w:r>
              <w:rPr>
                <w:rFonts w:hint="eastAsia" w:asciiTheme="minorEastAsia" w:hAnsiTheme="minorEastAsia" w:eastAsiaTheme="minorEastAsia" w:cstheme="minorEastAsia"/>
                <w:color w:val="auto"/>
                <w:sz w:val="24"/>
                <w:szCs w:val="24"/>
                <w:highlight w:val="none"/>
                <w:lang w:eastAsia="zh-CN"/>
              </w:rPr>
              <w:t>（万元</w:t>
            </w:r>
            <w:r>
              <w:rPr>
                <w:rFonts w:hint="eastAsia" w:asciiTheme="minorEastAsia" w:hAnsiTheme="minorEastAsia" w:eastAsiaTheme="minorEastAsia" w:cstheme="minorEastAsia"/>
                <w:color w:val="auto"/>
                <w:sz w:val="24"/>
                <w:szCs w:val="24"/>
                <w:highlight w:val="none"/>
              </w:rPr>
              <w:t>）</w:t>
            </w:r>
          </w:p>
        </w:tc>
      </w:tr>
      <w:tr w14:paraId="527B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2A9C23B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89" w:type="dxa"/>
            <w:vAlign w:val="center"/>
          </w:tcPr>
          <w:p w14:paraId="00E746C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01</w:t>
            </w:r>
          </w:p>
        </w:tc>
        <w:tc>
          <w:tcPr>
            <w:tcW w:w="4053" w:type="dxa"/>
            <w:vAlign w:val="center"/>
          </w:tcPr>
          <w:p w14:paraId="798AC9B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灵宝市窄口库区事务中心窄口试点水库现代化运行管理矩阵建设项目</w:t>
            </w:r>
          </w:p>
        </w:tc>
        <w:tc>
          <w:tcPr>
            <w:tcW w:w="1406" w:type="dxa"/>
            <w:vAlign w:val="center"/>
          </w:tcPr>
          <w:p w14:paraId="2B510CF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187.2</w:t>
            </w:r>
          </w:p>
        </w:tc>
        <w:tc>
          <w:tcPr>
            <w:tcW w:w="1514" w:type="dxa"/>
            <w:vAlign w:val="center"/>
          </w:tcPr>
          <w:p w14:paraId="774BB6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187.2</w:t>
            </w:r>
          </w:p>
        </w:tc>
      </w:tr>
    </w:tbl>
    <w:p w14:paraId="32A3170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5.采购需求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包括但不限于标的的名称、数量、简要技术需求或服务要求等）</w:t>
      </w:r>
    </w:p>
    <w:p w14:paraId="537F36F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5.1</w:t>
      </w:r>
      <w:r>
        <w:rPr>
          <w:rFonts w:hint="eastAsia" w:ascii="宋体" w:hAnsi="宋体" w:eastAsia="宋体" w:cs="宋体"/>
          <w:color w:val="auto"/>
          <w:sz w:val="24"/>
          <w:szCs w:val="24"/>
          <w:highlight w:val="none"/>
        </w:rPr>
        <w:t>采购内容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本项目为灵宝市窄口库区事务中心窄口试点水库现代化运行管理矩阵建设项目，主要包含：矩阵平台建设、数据底板及数字孪生效果建设、水利专业模型、现有系统集成与数据接入、硬件设备等；详见技术服务清单。</w:t>
      </w:r>
    </w:p>
    <w:p w14:paraId="5B57CA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5.2资金来源：财政+自筹资金，已落实。</w:t>
      </w:r>
    </w:p>
    <w:p w14:paraId="6AAA962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5.3服务地点：采购人指定地点。</w:t>
      </w:r>
    </w:p>
    <w:p w14:paraId="71862B3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5.4服务要求：达到国家及相关行业合格标准及采购人要求。</w:t>
      </w:r>
    </w:p>
    <w:p w14:paraId="516E57A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5.5服务期：合同签订后60日历天内提交成果文件（包含部分的设备完成供货并安装、调试完毕至正常运行）；</w:t>
      </w:r>
    </w:p>
    <w:p w14:paraId="5B2B061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5.6系统保障运营期：一年；</w:t>
      </w:r>
    </w:p>
    <w:p w14:paraId="53E7BAC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5.7标段划分：本项目不分标段</w:t>
      </w:r>
    </w:p>
    <w:p w14:paraId="294B4E2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6、合同履行期限：按合同约定执行。</w:t>
      </w:r>
    </w:p>
    <w:p w14:paraId="738607C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7、本项目是否接受联合体投标：是</w:t>
      </w:r>
    </w:p>
    <w:p w14:paraId="02D5A19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8、是否接受进口产品：否</w:t>
      </w:r>
    </w:p>
    <w:p w14:paraId="027A0D5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9、是否专门面向中小企业：否</w:t>
      </w:r>
    </w:p>
    <w:p w14:paraId="032A0A54">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二、供应商资格条件</w:t>
      </w:r>
    </w:p>
    <w:p w14:paraId="23B8F06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1、满足《中华人民共和国政府采购法》第二十二条的规定并同时具备下列条件；</w:t>
      </w:r>
    </w:p>
    <w:p w14:paraId="5021FF5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2、落实政府采购政策满足的资格要求：</w:t>
      </w:r>
    </w:p>
    <w:p w14:paraId="3D06735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本项目非专门面向中小企业、监狱企业及残疾人福利性单位采购项目，执行促进中小型企业发展政策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残疾人福利性企业、监狱企业视同小微企业）、优先采购节能环保产品等政府采购政策。</w:t>
      </w:r>
    </w:p>
    <w:p w14:paraId="62C8C5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3.本项目的特定资格要求：</w:t>
      </w:r>
    </w:p>
    <w:p w14:paraId="6CAD58E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3.1供应商须具有独立法人资格，提供有效的营业执照（若为事业单位性质，须提供事业单位法人证书）和相关证明材料；</w:t>
      </w:r>
    </w:p>
    <w:p w14:paraId="046B24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、具有履行合同所必需的设备和专业技术能力</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自行作出承诺，格式自拟）； </w:t>
      </w:r>
    </w:p>
    <w:p w14:paraId="69ED647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、参加政府采购活动近三年内，在经营活动中没有重大违法记录</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自行作出承诺，格式自拟）</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 </w:t>
      </w:r>
    </w:p>
    <w:p w14:paraId="05B4C69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3.4、出具本单位无商业贿赂及无不正当竞争行为的承诺书</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自行作出承诺，格式自拟）</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 </w:t>
      </w:r>
    </w:p>
    <w:p w14:paraId="146A9E2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3.5、供应商出具无行贿犯罪记录在中国裁判文书网自行查询结果或自行承诺（查询/承诺对象：企业、法定代表人）</w:t>
      </w:r>
    </w:p>
    <w:p w14:paraId="1D727E8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3.6、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开标时间前截止，提供网站查询截图；同时，开标后由采购人或代理机构通过以上网站进行查询，信用信息查询记录和证据将同招标文件等资料一同归档保存。相关网站有最新规定的，按最新规定执行）。</w:t>
      </w:r>
    </w:p>
    <w:p w14:paraId="5D120D1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2B1A428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3.8、本项目接受联合体响应，但联合体成员不超过2个（如采用联合体响应必须明确联合体成员的职责分工），还应满足下列要求：</w:t>
      </w:r>
    </w:p>
    <w:p w14:paraId="5DFBC2E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（1）联合体各成员均须满足第3.1、3.2、3.3、3.4、3.5、3.6款要求。</w:t>
      </w:r>
    </w:p>
    <w:p w14:paraId="6A66AD9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（2）联合体各方必须签订联合体协议书，明确联合体的牵头人（联合体牵头人必须由承担矩阵平台建设任务的单位担任）；</w:t>
      </w:r>
    </w:p>
    <w:p w14:paraId="41DB260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联合体各成员应当共同与采购人签订合同，联合体牵头人代表联合体各方成员负责投标和合同实施阶段的主办、协调工作，但联合体其他成员在投标、签约与履行合同过程中，仍负有连带的和各自的法律责任；</w:t>
      </w:r>
    </w:p>
    <w:p w14:paraId="5138F50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（4）联合体各方签订联合体协议书后，不得再以自己的名义单独参与该项目投标，也不得组成新的联合体参与该项目的投标；</w:t>
      </w:r>
    </w:p>
    <w:p w14:paraId="4C33D14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（5）投标过程中除联合体协议书由各方签字盖章外，交易系统内等费用缴纳、文件下载、上传、签字、盖章等内容均由牵头人签署、办理。</w:t>
      </w:r>
    </w:p>
    <w:p w14:paraId="2B28A37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3.9、</w:t>
      </w:r>
      <w:r>
        <w:rPr>
          <w:rFonts w:hint="eastAsia" w:asciiTheme="minorEastAsia" w:hAnsiTheme="minorEastAsia" w:eastAsiaTheme="minorEastAsia" w:cstheme="minorEastAsia"/>
          <w:color w:val="auto"/>
          <w:kern w:val="0"/>
          <w:sz w:val="24"/>
          <w:szCs w:val="24"/>
          <w:highlight w:val="none"/>
        </w:rPr>
        <w:t>本次招标实行资格后审，资格审查的具体要求见竞争性磋商文件。</w:t>
      </w:r>
    </w:p>
    <w:p w14:paraId="4D8706D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三、竞争性磋商文件的获取方式</w:t>
      </w:r>
    </w:p>
    <w:p w14:paraId="061D478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1、竞争性磋商文件获取方式：本项目没有报名环节，供应商凭CA数字证书通过三门峡市公共资源交易中心网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网址：http://gzjy.smx.gov.cn/），点击交易平台选择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市场主体登录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，在所参与项目右侧点本项目竞争性磋商文件。</w:t>
      </w:r>
    </w:p>
    <w:p w14:paraId="0CAD74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具体操作请查看以下链接：</w:t>
      </w:r>
    </w:p>
    <w:p w14:paraId="6AFBDAD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三门峡市公共资源交易平台操作手册：http://gzjy.smx.gov.cn/bzzx/008001/20200325/4a2f9fa3-b923-4ddd-bd6f-138a0b63f7d1.html</w:t>
      </w:r>
    </w:p>
    <w:p w14:paraId="030DFB2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办理CA证书：http://gzjy.smx.gov.cn/bzzx/008001/20211105/57b16af9-ab87-4395-a723-7758c628a3f8.html</w:t>
      </w:r>
    </w:p>
    <w:p w14:paraId="6D5F51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注：根据《关于进一步加强公共资源交易管理持续优化营商环境的通知》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三公管办[2020]2号）文件的规定，本项目采用全电子化招标，不再收取竞争性磋商文件费</w:t>
      </w:r>
    </w:p>
    <w:p w14:paraId="682B37E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2、竞争性磋商文件下载时间：</w:t>
      </w:r>
      <w:r>
        <w:rPr>
          <w:rFonts w:hint="eastAsia" w:asciiTheme="minorEastAsia" w:hAnsiTheme="minorEastAsia" w:eastAsiaTheme="minorEastAsia" w:cstheme="minorEastAsia"/>
          <w:color w:val="auto"/>
          <w:sz w:val="24"/>
          <w:szCs w:val="24"/>
          <w:highlight w:val="none"/>
          <w:lang w:val="en-US" w:eastAsia="zh-CN"/>
        </w:rPr>
        <w:t>2025年8月9日至2025年8月19日08时30分</w:t>
      </w:r>
      <w:r>
        <w:rPr>
          <w:rFonts w:hint="eastAsia" w:asciiTheme="minorEastAsia" w:hAnsiTheme="minorEastAsia" w:eastAsiaTheme="minorEastAsia" w:cstheme="minorEastAsia"/>
          <w:color w:val="auto"/>
          <w:sz w:val="24"/>
          <w:szCs w:val="24"/>
          <w:highlight w:val="none"/>
        </w:rPr>
        <w:t>；</w:t>
      </w:r>
    </w:p>
    <w:p w14:paraId="5ED7E7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网址为http://120.194.249.36:10094/BidOpening/bidopeninghallaction/hall/login）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在线准时参加开标活动并进行响应性文件解密等。每位供应商的解密时间为开标时间起30分钟内完成。因供应商原因未能解密、解密失败或解密超时的将被拒绝。</w:t>
      </w:r>
    </w:p>
    <w:p w14:paraId="672E8A6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四、磋商保证金</w:t>
      </w:r>
    </w:p>
    <w:p w14:paraId="2953832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根据《河南省财政厅关于优化政府采购营商环境有关问题的通知》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豫财购〔2019〕4号）第6条的规定，磋商保证金不再收取。</w:t>
      </w:r>
    </w:p>
    <w:p w14:paraId="0639826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五、开标时间和地点</w:t>
      </w:r>
    </w:p>
    <w:p w14:paraId="613381F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1、开标时间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响应性文件递交截至时间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2025年8月19日08时30分</w:t>
      </w:r>
      <w:r>
        <w:rPr>
          <w:rFonts w:hint="eastAsia" w:asciiTheme="minorEastAsia" w:hAnsiTheme="minorEastAsia" w:eastAsiaTheme="minorEastAsia" w:cstheme="minorEastAsia"/>
          <w:color w:val="auto"/>
          <w:sz w:val="24"/>
          <w:szCs w:val="24"/>
          <w:highlight w:val="none"/>
        </w:rPr>
        <w:t>；</w:t>
      </w:r>
    </w:p>
    <w:p w14:paraId="3FADE55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2、开标地点：灵宝市公共资源交易中心</w:t>
      </w:r>
      <w:r>
        <w:rPr>
          <w:rFonts w:hint="eastAsia" w:asciiTheme="minorEastAsia" w:hAnsiTheme="minorEastAsia" w:eastAsiaTheme="minorEastAsia" w:cstheme="minorEastAsia"/>
          <w:color w:val="auto"/>
          <w:sz w:val="24"/>
          <w:szCs w:val="24"/>
          <w:highlight w:val="none"/>
          <w:lang w:eastAsia="zh-CN"/>
        </w:rPr>
        <w:t>开标</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室、评标</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室（</w:t>
      </w:r>
      <w:r>
        <w:rPr>
          <w:rFonts w:hint="eastAsia" w:asciiTheme="minorEastAsia" w:hAnsiTheme="minorEastAsia" w:eastAsiaTheme="minorEastAsia" w:cstheme="minorEastAsia"/>
          <w:color w:val="auto"/>
          <w:sz w:val="24"/>
          <w:szCs w:val="24"/>
          <w:highlight w:val="none"/>
        </w:rPr>
        <w:t>灵宝市金城大道农村信用联社12楼）。</w:t>
      </w:r>
    </w:p>
    <w:p w14:paraId="14CAE43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其他事项</w:t>
      </w:r>
    </w:p>
    <w:p w14:paraId="1FA125F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1、本项目实行资格后审，根据优化营商环境的要求，评标时审查内容以投标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响应）文件为准。</w:t>
      </w:r>
    </w:p>
    <w:p w14:paraId="085682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1）资格评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预）审部分：资格评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预）审以投标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响应）文件为准，其上传资料真实性由供应商自行承担。</w:t>
      </w:r>
    </w:p>
    <w:p w14:paraId="7B5EAC9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2）评标打分部分：评标打分部分仍按照100分制原则进行，涉及到资格审查、企业荣誉、人员业绩、企业业绩等计分部分时，以供应商自行上传到投标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响应）文件中的相应内容为准。</w:t>
      </w:r>
    </w:p>
    <w:p w14:paraId="7246F3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编制部分：在竞争性磋商文件中要求供应商按照投标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响应）文件格式进行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编制，在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编制时，应明确将投标单位企业基本情况、资质情况、人员情况、财务情况、业绩情况编入</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，便于进行资格审查及评标打分以</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业绩信息为准，可使用电子营业执照。</w:t>
      </w:r>
    </w:p>
    <w:p w14:paraId="5E4EAE1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2、供应商递交的资料和投标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响应）文件不论成交与否均不予退还。</w:t>
      </w:r>
    </w:p>
    <w:p w14:paraId="3A235DE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3、本项目不组织供应商踏勘现场。</w:t>
      </w:r>
    </w:p>
    <w:p w14:paraId="385F589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4、供应商应仔细阅读操作手册，在本公告中要求的截止时间前完成竞争性磋商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的上传工作。并充分考虑人为操作等因素，因供应商操作不当造成的无法投标等一切后果，由供应商自行承担。</w:t>
      </w:r>
    </w:p>
    <w:p w14:paraId="6216882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本项目为电子化、无纸化交易项目，开标时不再接受任何纸质资料，为保证您能投标成功，请需仔细阅读竞争性磋商文件和三门峡市公共资源交易中心官网业务办理指南。</w:t>
      </w:r>
    </w:p>
    <w:p w14:paraId="647B79C1">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七、发布媒体</w:t>
      </w:r>
    </w:p>
    <w:p w14:paraId="1D5684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本次竞争性磋商公告在《</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采购与招标网》、《河南省政府采购网》、《三门峡市公共资源交易中心网》上同时发布。</w:t>
      </w:r>
    </w:p>
    <w:p w14:paraId="6B2815C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八、凡对本次招标提出询问，请按照以下方式联系</w:t>
      </w:r>
    </w:p>
    <w:p w14:paraId="7ED1320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监督单位：灵宝市财政局政府采购监督管理科</w:t>
      </w:r>
    </w:p>
    <w:p w14:paraId="236A97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联系电话：0398-8852670</w:t>
      </w:r>
    </w:p>
    <w:p w14:paraId="2D4C093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监督单位：中 共灵宝市窄口库区事务中心党组</w:t>
      </w:r>
    </w:p>
    <w:p w14:paraId="2C70631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联系电话：0398-6936101</w:t>
      </w:r>
    </w:p>
    <w:p w14:paraId="4E975D1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灵宝市窄口库区事务中心</w:t>
      </w:r>
    </w:p>
    <w:p w14:paraId="27D454A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地址：灵宝市五亩乡长桥村南窄口水库</w:t>
      </w:r>
    </w:p>
    <w:p w14:paraId="37D9566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李女士</w:t>
      </w:r>
      <w:r>
        <w:rPr>
          <w:rFonts w:hint="eastAsia" w:asciiTheme="minorEastAsia" w:hAnsiTheme="minorEastAsia" w:eastAsiaTheme="minorEastAsia" w:cstheme="minorEastAsia"/>
          <w:color w:val="auto"/>
          <w:sz w:val="24"/>
          <w:szCs w:val="24"/>
          <w:highlight w:val="none"/>
        </w:rPr>
        <w:t xml:space="preserve"> </w:t>
      </w:r>
    </w:p>
    <w:p w14:paraId="1B121F6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联系</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0398-6936106</w:t>
      </w:r>
    </w:p>
    <w:p w14:paraId="5E532A5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代理机构:河南精开咨询有限公司</w:t>
      </w:r>
    </w:p>
    <w:p w14:paraId="489CC83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地址：三门峡市经济开发区分陕路与北环路交叉口向西200米开发区双创园B栋306</w:t>
      </w:r>
    </w:p>
    <w:p w14:paraId="68CD16C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联系人：张先生</w:t>
      </w:r>
    </w:p>
    <w:p w14:paraId="11AF4D9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联系</w:t>
      </w:r>
      <w:r>
        <w:rPr>
          <w:rFonts w:hint="eastAsia" w:asciiTheme="minorEastAsia" w:hAnsiTheme="minorEastAsia" w:eastAsiaTheme="minorEastAsia" w:cstheme="minorEastAsia"/>
          <w:color w:val="auto"/>
          <w:sz w:val="24"/>
          <w:szCs w:val="24"/>
          <w:highlight w:val="none"/>
        </w:rPr>
        <w:t>电话：13939853038</w:t>
      </w:r>
    </w:p>
    <w:p w14:paraId="7FD4E89E">
      <w:pPr>
        <w:keepNext w:val="0"/>
        <w:keepLines w:val="0"/>
        <w:pageBreakBefore w:val="0"/>
        <w:kinsoku/>
        <w:wordWrap/>
        <w:overflowPunct/>
        <w:topLinePunct w:val="0"/>
        <w:autoSpaceDE/>
        <w:autoSpaceDN/>
        <w:bidi w:val="0"/>
        <w:spacing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page"/>
      </w:r>
    </w:p>
    <w:p w14:paraId="22AD3481">
      <w:pPr>
        <w:pStyle w:val="2"/>
        <w:bidi w:val="0"/>
        <w:spacing w:line="240" w:lineRule="auto"/>
        <w:jc w:val="center"/>
        <w:rPr>
          <w:rFonts w:hint="eastAsia" w:asciiTheme="minorEastAsia" w:hAnsiTheme="minorEastAsia" w:eastAsiaTheme="minorEastAsia" w:cstheme="minorEastAsia"/>
          <w:b/>
          <w:bCs/>
          <w:color w:val="auto"/>
          <w:szCs w:val="32"/>
          <w:highlight w:val="none"/>
        </w:rPr>
      </w:pPr>
      <w:bookmarkStart w:id="26" w:name="_Toc77586910"/>
      <w:bookmarkStart w:id="27" w:name="_Toc17890"/>
      <w:bookmarkStart w:id="28" w:name="_Toc17332"/>
      <w:r>
        <w:rPr>
          <w:rFonts w:hint="eastAsia" w:asciiTheme="minorEastAsia" w:hAnsiTheme="minorEastAsia" w:eastAsiaTheme="minorEastAsia" w:cstheme="minorEastAsia"/>
          <w:color w:val="auto"/>
          <w:highlight w:val="none"/>
        </w:rPr>
        <w:t xml:space="preserve">第二章  </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须知及前附表</w:t>
      </w:r>
      <w:bookmarkEnd w:id="26"/>
      <w:bookmarkEnd w:id="27"/>
      <w:bookmarkEnd w:id="28"/>
      <w:bookmarkStart w:id="29" w:name="_Toc240169682"/>
      <w:bookmarkEnd w:id="29"/>
    </w:p>
    <w:p w14:paraId="3315887D">
      <w:pPr>
        <w:spacing w:line="240" w:lineRule="auto"/>
        <w:ind w:firstLine="482" w:firstLineChars="20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须知前附表</w:t>
      </w:r>
    </w:p>
    <w:tbl>
      <w:tblPr>
        <w:tblStyle w:val="20"/>
        <w:tblW w:w="8818" w:type="dxa"/>
        <w:jc w:val="center"/>
        <w:tblLayout w:type="fixed"/>
        <w:tblCellMar>
          <w:top w:w="0" w:type="dxa"/>
          <w:left w:w="108" w:type="dxa"/>
          <w:bottom w:w="0" w:type="dxa"/>
          <w:right w:w="108" w:type="dxa"/>
        </w:tblCellMar>
      </w:tblPr>
      <w:tblGrid>
        <w:gridCol w:w="1008"/>
        <w:gridCol w:w="1920"/>
        <w:gridCol w:w="5890"/>
      </w:tblGrid>
      <w:tr w14:paraId="33D045EA">
        <w:trPr>
          <w:trHeight w:val="431"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B81AAE4">
            <w:pPr>
              <w:keepNext w:val="0"/>
              <w:keepLines w:val="0"/>
              <w:pageBreakBefore w:val="0"/>
              <w:widowControl/>
              <w:kinsoku/>
              <w:wordWrap/>
              <w:overflowPunct/>
              <w:topLinePunct w:val="0"/>
              <w:autoSpaceDE w:val="0"/>
              <w:autoSpaceDN w:val="0"/>
              <w:bidi w:val="0"/>
              <w:adjustRightInd w:val="0"/>
              <w:spacing w:after="0"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1920" w:type="dxa"/>
            <w:tcBorders>
              <w:top w:val="single" w:color="auto" w:sz="4" w:space="0"/>
              <w:left w:val="nil"/>
              <w:bottom w:val="single" w:color="auto" w:sz="4" w:space="0"/>
              <w:right w:val="single" w:color="auto" w:sz="4" w:space="0"/>
            </w:tcBorders>
            <w:vAlign w:val="center"/>
          </w:tcPr>
          <w:p w14:paraId="4DAB598C">
            <w:pPr>
              <w:keepNext w:val="0"/>
              <w:keepLines w:val="0"/>
              <w:pageBreakBefore w:val="0"/>
              <w:widowControl/>
              <w:kinsoku/>
              <w:wordWrap/>
              <w:overflowPunct/>
              <w:topLinePunct w:val="0"/>
              <w:autoSpaceDE w:val="0"/>
              <w:autoSpaceDN w:val="0"/>
              <w:bidi w:val="0"/>
              <w:adjustRightInd w:val="0"/>
              <w:spacing w:after="0"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 款 名 称</w:t>
            </w:r>
          </w:p>
        </w:tc>
        <w:tc>
          <w:tcPr>
            <w:tcW w:w="5890" w:type="dxa"/>
            <w:tcBorders>
              <w:top w:val="single" w:color="auto" w:sz="4" w:space="0"/>
              <w:left w:val="nil"/>
              <w:bottom w:val="single" w:color="auto" w:sz="4" w:space="0"/>
              <w:right w:val="single" w:color="auto" w:sz="4" w:space="0"/>
            </w:tcBorders>
            <w:vAlign w:val="center"/>
          </w:tcPr>
          <w:p w14:paraId="4EC226F0">
            <w:pPr>
              <w:keepNext w:val="0"/>
              <w:keepLines w:val="0"/>
              <w:pageBreakBefore w:val="0"/>
              <w:widowControl/>
              <w:kinsoku/>
              <w:wordWrap/>
              <w:overflowPunct/>
              <w:topLinePunct w:val="0"/>
              <w:autoSpaceDE w:val="0"/>
              <w:autoSpaceDN w:val="0"/>
              <w:bidi w:val="0"/>
              <w:adjustRightInd w:val="0"/>
              <w:spacing w:after="0"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  列  内  容</w:t>
            </w:r>
          </w:p>
        </w:tc>
      </w:tr>
      <w:tr w14:paraId="18810EAC">
        <w:tblPrEx>
          <w:tblCellMar>
            <w:top w:w="0" w:type="dxa"/>
            <w:left w:w="108" w:type="dxa"/>
            <w:bottom w:w="0" w:type="dxa"/>
            <w:right w:w="108" w:type="dxa"/>
          </w:tblCellMar>
        </w:tblPrEx>
        <w:trPr>
          <w:trHeight w:val="13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2B5AAD4">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920" w:type="dxa"/>
            <w:tcBorders>
              <w:top w:val="single" w:color="auto" w:sz="4" w:space="0"/>
              <w:left w:val="nil"/>
              <w:bottom w:val="single" w:color="auto" w:sz="4" w:space="0"/>
              <w:right w:val="single" w:color="auto" w:sz="4" w:space="0"/>
            </w:tcBorders>
            <w:vAlign w:val="center"/>
          </w:tcPr>
          <w:p w14:paraId="35C9583F">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w:t>
            </w:r>
          </w:p>
        </w:tc>
        <w:tc>
          <w:tcPr>
            <w:tcW w:w="5890" w:type="dxa"/>
            <w:tcBorders>
              <w:top w:val="single" w:color="auto" w:sz="4" w:space="0"/>
              <w:left w:val="nil"/>
              <w:bottom w:val="single" w:color="auto" w:sz="4" w:space="0"/>
              <w:right w:val="single" w:color="auto" w:sz="4" w:space="0"/>
            </w:tcBorders>
            <w:vAlign w:val="center"/>
          </w:tcPr>
          <w:p w14:paraId="642AF620">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采购人：灵宝市窄口库区事务中心</w:t>
            </w:r>
          </w:p>
          <w:p w14:paraId="3E08B750">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地址：灵宝市五亩乡长桥村南窄口水库</w:t>
            </w:r>
          </w:p>
          <w:p w14:paraId="47E36351">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李女士</w:t>
            </w:r>
            <w:r>
              <w:rPr>
                <w:rFonts w:hint="eastAsia" w:asciiTheme="minorEastAsia" w:hAnsiTheme="minorEastAsia" w:eastAsiaTheme="minorEastAsia" w:cstheme="minorEastAsia"/>
                <w:color w:val="auto"/>
                <w:sz w:val="24"/>
                <w:szCs w:val="24"/>
                <w:highlight w:val="none"/>
                <w:lang w:eastAsia="zh-CN"/>
              </w:rPr>
              <w:t xml:space="preserve"> </w:t>
            </w:r>
          </w:p>
          <w:p w14:paraId="4EC2351D">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联系</w:t>
            </w:r>
            <w:r>
              <w:rPr>
                <w:rFonts w:hint="eastAsia" w:asciiTheme="minorEastAsia" w:hAnsiTheme="minorEastAsia" w:eastAsiaTheme="minorEastAsia" w:cstheme="minorEastAsia"/>
                <w:color w:val="auto"/>
                <w:sz w:val="24"/>
                <w:szCs w:val="24"/>
                <w:highlight w:val="none"/>
                <w:lang w:eastAsia="zh-CN"/>
              </w:rPr>
              <w:t>电话：0398-6936106</w:t>
            </w:r>
          </w:p>
        </w:tc>
      </w:tr>
      <w:tr w14:paraId="2B26481F">
        <w:tblPrEx>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14:paraId="31610AFC">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920" w:type="dxa"/>
            <w:tcBorders>
              <w:top w:val="single" w:color="auto" w:sz="4" w:space="0"/>
              <w:left w:val="nil"/>
              <w:bottom w:val="single" w:color="auto" w:sz="4" w:space="0"/>
              <w:right w:val="single" w:color="auto" w:sz="4" w:space="0"/>
            </w:tcBorders>
            <w:vAlign w:val="center"/>
          </w:tcPr>
          <w:p w14:paraId="1ECE5CD9">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代理机构</w:t>
            </w:r>
          </w:p>
        </w:tc>
        <w:tc>
          <w:tcPr>
            <w:tcW w:w="5890" w:type="dxa"/>
            <w:tcBorders>
              <w:top w:val="single" w:color="auto" w:sz="4" w:space="0"/>
              <w:left w:val="nil"/>
              <w:bottom w:val="single" w:color="auto" w:sz="4" w:space="0"/>
              <w:right w:val="single" w:color="auto" w:sz="4" w:space="0"/>
            </w:tcBorders>
            <w:vAlign w:val="center"/>
          </w:tcPr>
          <w:p w14:paraId="5EC10353">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代理机构:河南精开咨询有限公司</w:t>
            </w:r>
          </w:p>
          <w:p w14:paraId="0F6A1EAC">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地址：三门峡市经济开发区分陕路与北环路交叉口向西200米开发区双创园B栋306</w:t>
            </w:r>
          </w:p>
          <w:p w14:paraId="28FAA641">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联系人：张先生</w:t>
            </w:r>
          </w:p>
          <w:p w14:paraId="3D870211">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联系</w:t>
            </w:r>
            <w:r>
              <w:rPr>
                <w:rFonts w:hint="eastAsia" w:asciiTheme="minorEastAsia" w:hAnsiTheme="minorEastAsia" w:eastAsiaTheme="minorEastAsia" w:cstheme="minorEastAsia"/>
                <w:color w:val="auto"/>
                <w:sz w:val="24"/>
                <w:szCs w:val="24"/>
                <w:highlight w:val="none"/>
                <w:lang w:eastAsia="zh-CN"/>
              </w:rPr>
              <w:t>电话：13939853038</w:t>
            </w:r>
          </w:p>
        </w:tc>
      </w:tr>
      <w:tr w14:paraId="79DC7E2E">
        <w:tblPrEx>
          <w:tblCellMar>
            <w:top w:w="0" w:type="dxa"/>
            <w:left w:w="108" w:type="dxa"/>
            <w:bottom w:w="0" w:type="dxa"/>
            <w:right w:w="108" w:type="dxa"/>
          </w:tblCellMar>
        </w:tblPrEx>
        <w:trPr>
          <w:trHeight w:val="55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024A9AB">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920" w:type="dxa"/>
            <w:tcBorders>
              <w:top w:val="single" w:color="auto" w:sz="4" w:space="0"/>
              <w:left w:val="nil"/>
              <w:bottom w:val="single" w:color="auto" w:sz="4" w:space="0"/>
              <w:right w:val="single" w:color="auto" w:sz="4" w:space="0"/>
            </w:tcBorders>
            <w:vAlign w:val="center"/>
          </w:tcPr>
          <w:p w14:paraId="15FBDEE4">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5890" w:type="dxa"/>
            <w:tcBorders>
              <w:top w:val="single" w:color="auto" w:sz="4" w:space="0"/>
              <w:left w:val="nil"/>
              <w:bottom w:val="single" w:color="auto" w:sz="4" w:space="0"/>
              <w:right w:val="single" w:color="auto" w:sz="4" w:space="0"/>
            </w:tcBorders>
            <w:vAlign w:val="center"/>
          </w:tcPr>
          <w:p w14:paraId="75453C31">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灵宝市窄口库区事务中心窄口试点水库现代化运行管理矩阵建设项目</w:t>
            </w:r>
          </w:p>
        </w:tc>
      </w:tr>
      <w:tr w14:paraId="541F2F5C">
        <w:tblPrEx>
          <w:tblCellMar>
            <w:top w:w="0" w:type="dxa"/>
            <w:left w:w="108" w:type="dxa"/>
            <w:bottom w:w="0" w:type="dxa"/>
            <w:right w:w="108" w:type="dxa"/>
          </w:tblCellMar>
        </w:tblPrEx>
        <w:trPr>
          <w:trHeight w:val="53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4496BF2">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920" w:type="dxa"/>
            <w:tcBorders>
              <w:top w:val="single" w:color="auto" w:sz="4" w:space="0"/>
              <w:left w:val="nil"/>
              <w:bottom w:val="single" w:color="auto" w:sz="4" w:space="0"/>
              <w:right w:val="single" w:color="auto" w:sz="4" w:space="0"/>
            </w:tcBorders>
            <w:vAlign w:val="center"/>
          </w:tcPr>
          <w:p w14:paraId="1294238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p>
        </w:tc>
        <w:tc>
          <w:tcPr>
            <w:tcW w:w="5890" w:type="dxa"/>
            <w:tcBorders>
              <w:top w:val="single" w:color="auto" w:sz="4" w:space="0"/>
              <w:left w:val="nil"/>
              <w:bottom w:val="single" w:color="auto" w:sz="4" w:space="0"/>
              <w:right w:val="single" w:color="auto" w:sz="4" w:space="0"/>
            </w:tcBorders>
            <w:vAlign w:val="center"/>
          </w:tcPr>
          <w:p w14:paraId="08A226C4">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68DBCD06">
        <w:tblPrEx>
          <w:tblCellMar>
            <w:top w:w="0" w:type="dxa"/>
            <w:left w:w="108" w:type="dxa"/>
            <w:bottom w:w="0" w:type="dxa"/>
            <w:right w:w="108" w:type="dxa"/>
          </w:tblCellMar>
        </w:tblPrEx>
        <w:trPr>
          <w:trHeight w:val="501"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DE9FDA3">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920" w:type="dxa"/>
            <w:tcBorders>
              <w:top w:val="single" w:color="auto" w:sz="4" w:space="0"/>
              <w:left w:val="nil"/>
              <w:bottom w:val="single" w:color="auto" w:sz="4" w:space="0"/>
              <w:right w:val="single" w:color="auto" w:sz="4" w:space="0"/>
            </w:tcBorders>
            <w:vAlign w:val="center"/>
          </w:tcPr>
          <w:p w14:paraId="780057A5">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资金来源及落实情况</w:t>
            </w:r>
          </w:p>
        </w:tc>
        <w:tc>
          <w:tcPr>
            <w:tcW w:w="5890" w:type="dxa"/>
            <w:tcBorders>
              <w:top w:val="single" w:color="auto" w:sz="4" w:space="0"/>
              <w:left w:val="nil"/>
              <w:bottom w:val="single" w:color="auto" w:sz="4" w:space="0"/>
              <w:right w:val="single" w:color="auto" w:sz="4" w:space="0"/>
            </w:tcBorders>
            <w:vAlign w:val="center"/>
          </w:tcPr>
          <w:p w14:paraId="2AA4A21E">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533F680B">
        <w:tblPrEx>
          <w:tblCellMar>
            <w:top w:w="0" w:type="dxa"/>
            <w:left w:w="108" w:type="dxa"/>
            <w:bottom w:w="0" w:type="dxa"/>
            <w:right w:w="108" w:type="dxa"/>
          </w:tblCellMar>
        </w:tblPrEx>
        <w:trPr>
          <w:trHeight w:val="38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308C650">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920" w:type="dxa"/>
            <w:tcBorders>
              <w:top w:val="single" w:color="auto" w:sz="4" w:space="0"/>
              <w:left w:val="nil"/>
              <w:bottom w:val="single" w:color="auto" w:sz="4" w:space="0"/>
              <w:right w:val="single" w:color="auto" w:sz="4" w:space="0"/>
            </w:tcBorders>
            <w:vAlign w:val="center"/>
          </w:tcPr>
          <w:p w14:paraId="5447A73C">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p>
        </w:tc>
        <w:tc>
          <w:tcPr>
            <w:tcW w:w="5890" w:type="dxa"/>
            <w:tcBorders>
              <w:top w:val="single" w:color="auto" w:sz="4" w:space="0"/>
              <w:left w:val="nil"/>
              <w:bottom w:val="single" w:color="auto" w:sz="4" w:space="0"/>
              <w:right w:val="single" w:color="auto" w:sz="4" w:space="0"/>
            </w:tcBorders>
            <w:vAlign w:val="center"/>
          </w:tcPr>
          <w:p w14:paraId="5D77156B">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6F270ED8">
        <w:tblPrEx>
          <w:tblCellMar>
            <w:top w:w="0" w:type="dxa"/>
            <w:left w:w="108" w:type="dxa"/>
            <w:bottom w:w="0" w:type="dxa"/>
            <w:right w:w="108" w:type="dxa"/>
          </w:tblCellMar>
        </w:tblPrEx>
        <w:trPr>
          <w:trHeight w:val="93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E56E13A">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920" w:type="dxa"/>
            <w:tcBorders>
              <w:top w:val="single" w:color="auto" w:sz="4" w:space="0"/>
              <w:left w:val="nil"/>
              <w:bottom w:val="single" w:color="auto" w:sz="4" w:space="0"/>
              <w:right w:val="single" w:color="auto" w:sz="4" w:space="0"/>
            </w:tcBorders>
            <w:vAlign w:val="center"/>
          </w:tcPr>
          <w:p w14:paraId="2E641FD4">
            <w:pPr>
              <w:keepNext w:val="0"/>
              <w:keepLines w:val="0"/>
              <w:pageBreakBefore w:val="0"/>
              <w:widowControl/>
              <w:kinsoku/>
              <w:wordWrap/>
              <w:overflowPunct/>
              <w:topLinePunct w:val="0"/>
              <w:bidi w:val="0"/>
              <w:snapToGrid/>
              <w:spacing w:after="0"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采购范围</w:t>
            </w:r>
          </w:p>
        </w:tc>
        <w:tc>
          <w:tcPr>
            <w:tcW w:w="5890" w:type="dxa"/>
            <w:tcBorders>
              <w:top w:val="single" w:color="auto" w:sz="4" w:space="0"/>
              <w:left w:val="nil"/>
              <w:bottom w:val="single" w:color="auto" w:sz="4" w:space="0"/>
              <w:right w:val="single" w:color="auto" w:sz="4" w:space="0"/>
            </w:tcBorders>
            <w:vAlign w:val="center"/>
          </w:tcPr>
          <w:p w14:paraId="5FF39E07">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本项目竞争性磋商文件、</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清单等列明的所有内容；</w:t>
            </w:r>
          </w:p>
        </w:tc>
      </w:tr>
      <w:tr w14:paraId="0A2E024A">
        <w:tblPrEx>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FEB77C">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1920" w:type="dxa"/>
            <w:tcBorders>
              <w:top w:val="single" w:color="auto" w:sz="4" w:space="0"/>
              <w:left w:val="nil"/>
              <w:bottom w:val="single" w:color="auto" w:sz="4" w:space="0"/>
              <w:right w:val="single" w:color="auto" w:sz="4" w:space="0"/>
            </w:tcBorders>
            <w:vAlign w:val="center"/>
          </w:tcPr>
          <w:p w14:paraId="2BD6F7B0">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期</w:t>
            </w:r>
          </w:p>
        </w:tc>
        <w:tc>
          <w:tcPr>
            <w:tcW w:w="5890" w:type="dxa"/>
            <w:tcBorders>
              <w:top w:val="single" w:color="auto" w:sz="4" w:space="0"/>
              <w:left w:val="nil"/>
              <w:bottom w:val="single" w:color="auto" w:sz="4" w:space="0"/>
              <w:right w:val="single" w:color="auto" w:sz="4" w:space="0"/>
            </w:tcBorders>
            <w:vAlign w:val="center"/>
          </w:tcPr>
          <w:p w14:paraId="01880C25">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5FD2874B">
        <w:tblPrEx>
          <w:tblCellMar>
            <w:top w:w="0" w:type="dxa"/>
            <w:left w:w="108" w:type="dxa"/>
            <w:bottom w:w="0" w:type="dxa"/>
            <w:right w:w="108" w:type="dxa"/>
          </w:tblCellMar>
        </w:tblPrEx>
        <w:trPr>
          <w:trHeight w:val="5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A5D23A">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1920" w:type="dxa"/>
            <w:tcBorders>
              <w:top w:val="single" w:color="auto" w:sz="4" w:space="0"/>
              <w:left w:val="nil"/>
              <w:bottom w:val="single" w:color="auto" w:sz="4" w:space="0"/>
              <w:right w:val="single" w:color="auto" w:sz="4" w:space="0"/>
            </w:tcBorders>
            <w:vAlign w:val="center"/>
          </w:tcPr>
          <w:p w14:paraId="30D32542">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要求</w:t>
            </w:r>
          </w:p>
        </w:tc>
        <w:tc>
          <w:tcPr>
            <w:tcW w:w="5890" w:type="dxa"/>
            <w:tcBorders>
              <w:top w:val="single" w:color="auto" w:sz="4" w:space="0"/>
              <w:left w:val="nil"/>
              <w:bottom w:val="single" w:color="auto" w:sz="4" w:space="0"/>
              <w:right w:val="single" w:color="auto" w:sz="4" w:space="0"/>
            </w:tcBorders>
            <w:vAlign w:val="center"/>
          </w:tcPr>
          <w:p w14:paraId="5CC61B0F">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48BEF1D0">
        <w:tblPrEx>
          <w:tblCellMar>
            <w:top w:w="0" w:type="dxa"/>
            <w:left w:w="108" w:type="dxa"/>
            <w:bottom w:w="0" w:type="dxa"/>
            <w:right w:w="108" w:type="dxa"/>
          </w:tblCellMar>
        </w:tblPrEx>
        <w:trPr>
          <w:trHeight w:val="5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BEFD650">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w:t>
            </w:r>
          </w:p>
        </w:tc>
        <w:tc>
          <w:tcPr>
            <w:tcW w:w="1920" w:type="dxa"/>
            <w:tcBorders>
              <w:top w:val="single" w:color="auto" w:sz="4" w:space="0"/>
              <w:left w:val="nil"/>
              <w:bottom w:val="single" w:color="auto" w:sz="4" w:space="0"/>
              <w:right w:val="single" w:color="auto" w:sz="4" w:space="0"/>
            </w:tcBorders>
            <w:vAlign w:val="center"/>
          </w:tcPr>
          <w:p w14:paraId="326AD12A">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安全目标</w:t>
            </w:r>
          </w:p>
        </w:tc>
        <w:tc>
          <w:tcPr>
            <w:tcW w:w="5890" w:type="dxa"/>
            <w:tcBorders>
              <w:top w:val="single" w:color="auto" w:sz="4" w:space="0"/>
              <w:left w:val="nil"/>
              <w:bottom w:val="single" w:color="auto" w:sz="4" w:space="0"/>
              <w:right w:val="single" w:color="auto" w:sz="4" w:space="0"/>
            </w:tcBorders>
            <w:vAlign w:val="center"/>
          </w:tcPr>
          <w:p w14:paraId="6BC1C25D">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确保不发生有人员伤亡的安全责任事故</w:t>
            </w:r>
          </w:p>
        </w:tc>
      </w:tr>
      <w:tr w14:paraId="2D4BD385">
        <w:tblPrEx>
          <w:tblCellMar>
            <w:top w:w="0" w:type="dxa"/>
            <w:left w:w="108" w:type="dxa"/>
            <w:bottom w:w="0" w:type="dxa"/>
            <w:right w:w="108" w:type="dxa"/>
          </w:tblCellMar>
        </w:tblPrEx>
        <w:trPr>
          <w:trHeight w:val="5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31071E8">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1.9.2</w:t>
            </w:r>
          </w:p>
        </w:tc>
        <w:tc>
          <w:tcPr>
            <w:tcW w:w="1920" w:type="dxa"/>
            <w:tcBorders>
              <w:top w:val="single" w:color="auto" w:sz="4" w:space="0"/>
              <w:left w:val="nil"/>
              <w:bottom w:val="single" w:color="auto" w:sz="4" w:space="0"/>
              <w:right w:val="single" w:color="auto" w:sz="4" w:space="0"/>
            </w:tcBorders>
            <w:vAlign w:val="center"/>
          </w:tcPr>
          <w:p w14:paraId="40C70DF4">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偏离</w:t>
            </w:r>
          </w:p>
        </w:tc>
        <w:tc>
          <w:tcPr>
            <w:tcW w:w="5890" w:type="dxa"/>
            <w:tcBorders>
              <w:top w:val="single" w:color="auto" w:sz="4" w:space="0"/>
              <w:left w:val="nil"/>
              <w:bottom w:val="single" w:color="auto" w:sz="4" w:space="0"/>
              <w:right w:val="single" w:color="auto" w:sz="4" w:space="0"/>
            </w:tcBorders>
            <w:vAlign w:val="center"/>
          </w:tcPr>
          <w:p w14:paraId="2EF12A7C">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允许负偏离(重大负偏离除外）</w:t>
            </w:r>
          </w:p>
        </w:tc>
      </w:tr>
      <w:tr w14:paraId="0050BBE5">
        <w:tblPrEx>
          <w:tblCellMar>
            <w:top w:w="0" w:type="dxa"/>
            <w:left w:w="108" w:type="dxa"/>
            <w:bottom w:w="0" w:type="dxa"/>
            <w:right w:w="108" w:type="dxa"/>
          </w:tblCellMar>
        </w:tblPrEx>
        <w:trPr>
          <w:trHeight w:val="57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8C193E4">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1920" w:type="dxa"/>
            <w:tcBorders>
              <w:top w:val="single" w:color="auto" w:sz="4" w:space="0"/>
              <w:left w:val="nil"/>
              <w:bottom w:val="single" w:color="auto" w:sz="4" w:space="0"/>
              <w:right w:val="single" w:color="auto" w:sz="4" w:space="0"/>
            </w:tcBorders>
            <w:vAlign w:val="center"/>
          </w:tcPr>
          <w:p w14:paraId="086B1A6D">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资质条件、能力和信誉</w:t>
            </w:r>
          </w:p>
        </w:tc>
        <w:tc>
          <w:tcPr>
            <w:tcW w:w="5890" w:type="dxa"/>
            <w:tcBorders>
              <w:top w:val="single" w:color="auto" w:sz="4" w:space="0"/>
              <w:left w:val="nil"/>
              <w:bottom w:val="single" w:color="auto" w:sz="4" w:space="0"/>
              <w:right w:val="single" w:color="auto" w:sz="4" w:space="0"/>
            </w:tcBorders>
            <w:vAlign w:val="center"/>
          </w:tcPr>
          <w:p w14:paraId="6E8F0379">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482CCCF8">
        <w:tblPrEx>
          <w:tblCellMar>
            <w:top w:w="0" w:type="dxa"/>
            <w:left w:w="108" w:type="dxa"/>
            <w:bottom w:w="0" w:type="dxa"/>
            <w:right w:w="108" w:type="dxa"/>
          </w:tblCellMar>
        </w:tblPrEx>
        <w:trPr>
          <w:trHeight w:val="47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1B2F863">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920" w:type="dxa"/>
            <w:tcBorders>
              <w:top w:val="single" w:color="auto" w:sz="4" w:space="0"/>
              <w:left w:val="nil"/>
              <w:bottom w:val="single" w:color="auto" w:sz="4" w:space="0"/>
              <w:right w:val="single" w:color="auto" w:sz="4" w:space="0"/>
            </w:tcBorders>
            <w:vAlign w:val="center"/>
          </w:tcPr>
          <w:p w14:paraId="64E8D44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是否接受联合体</w:t>
            </w:r>
            <w:r>
              <w:rPr>
                <w:rFonts w:hint="eastAsia" w:asciiTheme="minorEastAsia" w:hAnsiTheme="minorEastAsia" w:eastAsiaTheme="minorEastAsia" w:cstheme="minorEastAsia"/>
                <w:color w:val="auto"/>
                <w:sz w:val="24"/>
                <w:szCs w:val="24"/>
                <w:highlight w:val="none"/>
                <w:lang w:val="en-US" w:eastAsia="zh-CN"/>
              </w:rPr>
              <w:t>响应</w:t>
            </w:r>
          </w:p>
        </w:tc>
        <w:tc>
          <w:tcPr>
            <w:tcW w:w="5890" w:type="dxa"/>
            <w:tcBorders>
              <w:top w:val="single" w:color="auto" w:sz="4" w:space="0"/>
              <w:left w:val="nil"/>
              <w:bottom w:val="single" w:color="auto" w:sz="4" w:space="0"/>
              <w:right w:val="single" w:color="auto" w:sz="4" w:space="0"/>
            </w:tcBorders>
            <w:vAlign w:val="center"/>
          </w:tcPr>
          <w:p w14:paraId="7CB965F3">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接受</w:t>
            </w:r>
          </w:p>
        </w:tc>
      </w:tr>
      <w:tr w14:paraId="43E4A64B">
        <w:tblPrEx>
          <w:tblCellMar>
            <w:top w:w="0" w:type="dxa"/>
            <w:left w:w="108" w:type="dxa"/>
            <w:bottom w:w="0" w:type="dxa"/>
            <w:right w:w="108" w:type="dxa"/>
          </w:tblCellMar>
        </w:tblPrEx>
        <w:trPr>
          <w:trHeight w:val="6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6D716B8">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920" w:type="dxa"/>
            <w:tcBorders>
              <w:top w:val="single" w:color="auto" w:sz="4" w:space="0"/>
              <w:left w:val="nil"/>
              <w:bottom w:val="single" w:color="auto" w:sz="4" w:space="0"/>
              <w:right w:val="single" w:color="auto" w:sz="4" w:space="0"/>
            </w:tcBorders>
            <w:vAlign w:val="center"/>
          </w:tcPr>
          <w:p w14:paraId="26B02456">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踏勘现场</w:t>
            </w:r>
          </w:p>
        </w:tc>
        <w:tc>
          <w:tcPr>
            <w:tcW w:w="5890" w:type="dxa"/>
            <w:tcBorders>
              <w:top w:val="single" w:color="auto" w:sz="4" w:space="0"/>
              <w:left w:val="nil"/>
              <w:bottom w:val="single" w:color="auto" w:sz="4" w:space="0"/>
              <w:right w:val="single" w:color="auto" w:sz="4" w:space="0"/>
            </w:tcBorders>
            <w:vAlign w:val="center"/>
          </w:tcPr>
          <w:p w14:paraId="6862C383">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不组织，</w:t>
            </w:r>
            <w:r>
              <w:rPr>
                <w:rFonts w:hint="eastAsia" w:asciiTheme="minorEastAsia" w:hAnsiTheme="minorEastAsia" w:eastAsiaTheme="minorEastAsia" w:cstheme="minorEastAsia"/>
                <w:b/>
                <w:bCs/>
                <w:color w:val="auto"/>
                <w:sz w:val="24"/>
                <w:szCs w:val="24"/>
                <w:highlight w:val="none"/>
              </w:rPr>
              <w:t>供应商</w:t>
            </w:r>
            <w:r>
              <w:rPr>
                <w:rFonts w:hint="eastAsia" w:asciiTheme="minorEastAsia" w:hAnsiTheme="minorEastAsia" w:eastAsiaTheme="minorEastAsia" w:cstheme="minorEastAsia"/>
                <w:b/>
                <w:bCs/>
                <w:color w:val="auto"/>
                <w:sz w:val="24"/>
                <w:szCs w:val="24"/>
                <w:highlight w:val="none"/>
                <w:lang w:val="en-US" w:eastAsia="zh-CN"/>
              </w:rPr>
              <w:t>自</w:t>
            </w:r>
            <w:r>
              <w:rPr>
                <w:rFonts w:hint="eastAsia" w:asciiTheme="minorEastAsia" w:hAnsiTheme="minorEastAsia" w:eastAsiaTheme="minorEastAsia" w:cstheme="minorEastAsia"/>
                <w:b/>
                <w:bCs/>
                <w:color w:val="auto"/>
                <w:sz w:val="24"/>
                <w:szCs w:val="24"/>
                <w:highlight w:val="none"/>
              </w:rPr>
              <w:t>行</w:t>
            </w:r>
            <w:r>
              <w:rPr>
                <w:rFonts w:hint="eastAsia" w:asciiTheme="minorEastAsia" w:hAnsiTheme="minorEastAsia" w:eastAsiaTheme="minorEastAsia" w:cstheme="minorEastAsia"/>
                <w:b/>
                <w:bCs/>
                <w:color w:val="auto"/>
                <w:sz w:val="24"/>
                <w:szCs w:val="24"/>
                <w:highlight w:val="none"/>
                <w:lang w:val="en-US" w:eastAsia="zh-CN"/>
              </w:rPr>
              <w:t>踏勘</w:t>
            </w:r>
            <w:r>
              <w:rPr>
                <w:rFonts w:hint="eastAsia" w:asciiTheme="minorEastAsia" w:hAnsiTheme="minorEastAsia" w:eastAsiaTheme="minorEastAsia" w:cstheme="minorEastAsia"/>
                <w:b/>
                <w:bCs/>
                <w:color w:val="auto"/>
                <w:sz w:val="24"/>
                <w:szCs w:val="24"/>
                <w:highlight w:val="none"/>
              </w:rPr>
              <w:t>现场</w:t>
            </w:r>
            <w:r>
              <w:rPr>
                <w:rFonts w:hint="eastAsia" w:asciiTheme="minorEastAsia" w:hAnsiTheme="minorEastAsia" w:eastAsiaTheme="minorEastAsia" w:cstheme="minorEastAsia"/>
                <w:b/>
                <w:bCs/>
                <w:color w:val="auto"/>
                <w:sz w:val="24"/>
                <w:szCs w:val="24"/>
                <w:highlight w:val="none"/>
                <w:lang w:val="en-US" w:eastAsia="zh-CN"/>
              </w:rPr>
              <w:t>并负责同行人员安全</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服务时</w:t>
            </w:r>
            <w:r>
              <w:rPr>
                <w:rFonts w:hint="eastAsia" w:asciiTheme="minorEastAsia" w:hAnsiTheme="minorEastAsia" w:eastAsiaTheme="minorEastAsia" w:cstheme="minorEastAsia"/>
                <w:b/>
                <w:bCs/>
                <w:color w:val="auto"/>
                <w:sz w:val="24"/>
                <w:szCs w:val="24"/>
                <w:highlight w:val="none"/>
              </w:rPr>
              <w:t>应满足甲方要求。</w:t>
            </w:r>
          </w:p>
        </w:tc>
      </w:tr>
      <w:tr w14:paraId="1601080B">
        <w:tblPrEx>
          <w:tblCellMar>
            <w:top w:w="0" w:type="dxa"/>
            <w:left w:w="108" w:type="dxa"/>
            <w:bottom w:w="0" w:type="dxa"/>
            <w:right w:w="108" w:type="dxa"/>
          </w:tblCellMar>
        </w:tblPrEx>
        <w:trPr>
          <w:trHeight w:val="60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CDFC0DA">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920" w:type="dxa"/>
            <w:tcBorders>
              <w:top w:val="single" w:color="auto" w:sz="4" w:space="0"/>
              <w:left w:val="nil"/>
              <w:bottom w:val="single" w:color="auto" w:sz="4" w:space="0"/>
              <w:right w:val="single" w:color="auto" w:sz="4" w:space="0"/>
            </w:tcBorders>
            <w:vAlign w:val="center"/>
          </w:tcPr>
          <w:p w14:paraId="3309E8F2">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磋商预备会</w:t>
            </w:r>
          </w:p>
        </w:tc>
        <w:tc>
          <w:tcPr>
            <w:tcW w:w="5890" w:type="dxa"/>
            <w:tcBorders>
              <w:top w:val="single" w:color="auto" w:sz="4" w:space="0"/>
              <w:left w:val="nil"/>
              <w:bottom w:val="single" w:color="auto" w:sz="4" w:space="0"/>
              <w:right w:val="single" w:color="auto" w:sz="4" w:space="0"/>
            </w:tcBorders>
            <w:vAlign w:val="center"/>
          </w:tcPr>
          <w:p w14:paraId="6CF7339F">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不召开</w:t>
            </w:r>
          </w:p>
        </w:tc>
      </w:tr>
      <w:tr w14:paraId="4C1E973E">
        <w:tblPrEx>
          <w:tblCellMar>
            <w:top w:w="0" w:type="dxa"/>
            <w:left w:w="108" w:type="dxa"/>
            <w:bottom w:w="0" w:type="dxa"/>
            <w:right w:w="108" w:type="dxa"/>
          </w:tblCellMar>
        </w:tblPrEx>
        <w:trPr>
          <w:trHeight w:val="44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C1129E0">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920" w:type="dxa"/>
            <w:tcBorders>
              <w:top w:val="single" w:color="auto" w:sz="4" w:space="0"/>
              <w:left w:val="nil"/>
              <w:bottom w:val="single" w:color="auto" w:sz="4" w:space="0"/>
              <w:right w:val="single" w:color="auto" w:sz="4" w:space="0"/>
            </w:tcBorders>
            <w:vAlign w:val="center"/>
          </w:tcPr>
          <w:p w14:paraId="274C86A9">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提出问题的截止时间</w:t>
            </w:r>
          </w:p>
        </w:tc>
        <w:tc>
          <w:tcPr>
            <w:tcW w:w="5890" w:type="dxa"/>
            <w:tcBorders>
              <w:top w:val="single" w:color="auto" w:sz="4" w:space="0"/>
              <w:left w:val="nil"/>
              <w:bottom w:val="single" w:color="auto" w:sz="4" w:space="0"/>
              <w:right w:val="single" w:color="auto" w:sz="4" w:space="0"/>
            </w:tcBorders>
            <w:vAlign w:val="center"/>
          </w:tcPr>
          <w:p w14:paraId="5CC452F5">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递交竞争性磋商响应文件截止之日3日前</w:t>
            </w:r>
          </w:p>
        </w:tc>
      </w:tr>
      <w:tr w14:paraId="6675BF99">
        <w:tblPrEx>
          <w:tblCellMar>
            <w:top w:w="0" w:type="dxa"/>
            <w:left w:w="108" w:type="dxa"/>
            <w:bottom w:w="0" w:type="dxa"/>
            <w:right w:w="108" w:type="dxa"/>
          </w:tblCellMar>
        </w:tblPrEx>
        <w:trPr>
          <w:trHeight w:val="89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AB9FA3">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920" w:type="dxa"/>
            <w:tcBorders>
              <w:top w:val="single" w:color="auto" w:sz="4" w:space="0"/>
              <w:left w:val="nil"/>
              <w:bottom w:val="single" w:color="auto" w:sz="4" w:space="0"/>
              <w:right w:val="single" w:color="auto" w:sz="4" w:space="0"/>
            </w:tcBorders>
            <w:vAlign w:val="center"/>
          </w:tcPr>
          <w:p w14:paraId="0F57042F">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书面澄清的时间</w:t>
            </w:r>
          </w:p>
        </w:tc>
        <w:tc>
          <w:tcPr>
            <w:tcW w:w="5890" w:type="dxa"/>
            <w:tcBorders>
              <w:top w:val="single" w:color="auto" w:sz="4" w:space="0"/>
              <w:left w:val="nil"/>
              <w:bottom w:val="single" w:color="auto" w:sz="4" w:space="0"/>
              <w:right w:val="single" w:color="auto" w:sz="4" w:space="0"/>
            </w:tcBorders>
            <w:vAlign w:val="center"/>
          </w:tcPr>
          <w:p w14:paraId="0D86809E">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递交竞争性磋商响应文件截止之日5日前</w:t>
            </w:r>
          </w:p>
        </w:tc>
      </w:tr>
      <w:tr w14:paraId="4D857BA1">
        <w:tblPrEx>
          <w:tblCellMar>
            <w:top w:w="0" w:type="dxa"/>
            <w:left w:w="108" w:type="dxa"/>
            <w:bottom w:w="0" w:type="dxa"/>
            <w:right w:w="108" w:type="dxa"/>
          </w:tblCellMar>
        </w:tblPrEx>
        <w:trPr>
          <w:trHeight w:val="2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83B93F9">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1920" w:type="dxa"/>
            <w:tcBorders>
              <w:top w:val="single" w:color="auto" w:sz="4" w:space="0"/>
              <w:left w:val="nil"/>
              <w:bottom w:val="single" w:color="auto" w:sz="4" w:space="0"/>
              <w:right w:val="single" w:color="auto" w:sz="4" w:space="0"/>
            </w:tcBorders>
            <w:vAlign w:val="center"/>
          </w:tcPr>
          <w:p w14:paraId="1FF23CBC">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5890" w:type="dxa"/>
            <w:tcBorders>
              <w:top w:val="single" w:color="auto" w:sz="4" w:space="0"/>
              <w:left w:val="nil"/>
              <w:bottom w:val="single" w:color="auto" w:sz="4" w:space="0"/>
              <w:right w:val="single" w:color="auto" w:sz="4" w:space="0"/>
            </w:tcBorders>
            <w:vAlign w:val="center"/>
          </w:tcPr>
          <w:p w14:paraId="09137FEA">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不允许</w:t>
            </w:r>
          </w:p>
        </w:tc>
      </w:tr>
      <w:tr w14:paraId="0D3A28E8">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6594936">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920" w:type="dxa"/>
            <w:tcBorders>
              <w:top w:val="single" w:color="auto" w:sz="4" w:space="0"/>
              <w:left w:val="nil"/>
              <w:bottom w:val="single" w:color="auto" w:sz="4" w:space="0"/>
              <w:right w:val="single" w:color="auto" w:sz="4" w:space="0"/>
            </w:tcBorders>
            <w:vAlign w:val="center"/>
          </w:tcPr>
          <w:p w14:paraId="56201C3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构成竞争性磋商文件的其他材料</w:t>
            </w:r>
          </w:p>
        </w:tc>
        <w:tc>
          <w:tcPr>
            <w:tcW w:w="5890" w:type="dxa"/>
            <w:tcBorders>
              <w:top w:val="single" w:color="auto" w:sz="4" w:space="0"/>
              <w:left w:val="nil"/>
              <w:bottom w:val="single" w:color="auto" w:sz="4" w:space="0"/>
              <w:right w:val="single" w:color="auto" w:sz="4" w:space="0"/>
            </w:tcBorders>
            <w:vAlign w:val="center"/>
          </w:tcPr>
          <w:p w14:paraId="7B1CBF01">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答疑纪要、竞争性磋商文件的补充和修改文件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如有）、</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清单等。</w:t>
            </w:r>
          </w:p>
        </w:tc>
      </w:tr>
      <w:tr w14:paraId="1F69A5C2">
        <w:tblPrEx>
          <w:tblCellMar>
            <w:top w:w="0" w:type="dxa"/>
            <w:left w:w="108" w:type="dxa"/>
            <w:bottom w:w="0" w:type="dxa"/>
            <w:right w:w="108" w:type="dxa"/>
          </w:tblCellMar>
        </w:tblPrEx>
        <w:trPr>
          <w:trHeight w:val="72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59801FF">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1920" w:type="dxa"/>
            <w:tcBorders>
              <w:top w:val="single" w:color="auto" w:sz="4" w:space="0"/>
              <w:left w:val="nil"/>
              <w:bottom w:val="single" w:color="auto" w:sz="4" w:space="0"/>
              <w:right w:val="single" w:color="auto" w:sz="4" w:space="0"/>
            </w:tcBorders>
            <w:vAlign w:val="center"/>
          </w:tcPr>
          <w:p w14:paraId="3A24184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提出问题的截止时间</w:t>
            </w:r>
          </w:p>
        </w:tc>
        <w:tc>
          <w:tcPr>
            <w:tcW w:w="5890" w:type="dxa"/>
            <w:tcBorders>
              <w:top w:val="single" w:color="auto" w:sz="4" w:space="0"/>
              <w:left w:val="nil"/>
              <w:bottom w:val="single" w:color="auto" w:sz="4" w:space="0"/>
              <w:right w:val="single" w:color="auto" w:sz="4" w:space="0"/>
            </w:tcBorders>
            <w:vAlign w:val="center"/>
          </w:tcPr>
          <w:p w14:paraId="512B831B">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递交竞争性磋商响应文件截止之日</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日前</w:t>
            </w:r>
          </w:p>
        </w:tc>
      </w:tr>
      <w:tr w14:paraId="2DB12051">
        <w:tblPrEx>
          <w:tblCellMar>
            <w:top w:w="0" w:type="dxa"/>
            <w:left w:w="108" w:type="dxa"/>
            <w:bottom w:w="0" w:type="dxa"/>
            <w:right w:w="108" w:type="dxa"/>
          </w:tblCellMar>
        </w:tblPrEx>
        <w:trPr>
          <w:trHeight w:val="101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02C569A">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2.8.1</w:t>
            </w:r>
          </w:p>
        </w:tc>
        <w:tc>
          <w:tcPr>
            <w:tcW w:w="1920" w:type="dxa"/>
            <w:tcBorders>
              <w:top w:val="single" w:color="auto" w:sz="4" w:space="0"/>
              <w:left w:val="nil"/>
              <w:bottom w:val="single" w:color="auto" w:sz="4" w:space="0"/>
              <w:right w:val="single" w:color="auto" w:sz="4" w:space="0"/>
            </w:tcBorders>
            <w:vAlign w:val="center"/>
          </w:tcPr>
          <w:p w14:paraId="3A92E9A4">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书面澄清的时间</w:t>
            </w:r>
          </w:p>
        </w:tc>
        <w:tc>
          <w:tcPr>
            <w:tcW w:w="5890" w:type="dxa"/>
            <w:tcBorders>
              <w:top w:val="single" w:color="auto" w:sz="4" w:space="0"/>
              <w:left w:val="nil"/>
              <w:bottom w:val="single" w:color="auto" w:sz="4" w:space="0"/>
              <w:right w:val="single" w:color="auto" w:sz="4" w:space="0"/>
            </w:tcBorders>
            <w:vAlign w:val="center"/>
          </w:tcPr>
          <w:p w14:paraId="29D2BE2B">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递交竞争性磋商响应文件截止之日5日前</w:t>
            </w:r>
          </w:p>
        </w:tc>
      </w:tr>
      <w:tr w14:paraId="48E99B7A">
        <w:tblPrEx>
          <w:tblCellMar>
            <w:top w:w="0" w:type="dxa"/>
            <w:left w:w="108" w:type="dxa"/>
            <w:bottom w:w="0" w:type="dxa"/>
            <w:right w:w="108" w:type="dxa"/>
          </w:tblCellMar>
        </w:tblPrEx>
        <w:trPr>
          <w:trHeight w:val="72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F93B2B4">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1920" w:type="dxa"/>
            <w:tcBorders>
              <w:top w:val="single" w:color="auto" w:sz="4" w:space="0"/>
              <w:left w:val="nil"/>
              <w:bottom w:val="single" w:color="auto" w:sz="4" w:space="0"/>
              <w:right w:val="single" w:color="auto" w:sz="4" w:space="0"/>
            </w:tcBorders>
            <w:vAlign w:val="center"/>
          </w:tcPr>
          <w:p w14:paraId="79FA83D1">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递交竞争性磋商响应文件截止时间</w:t>
            </w:r>
          </w:p>
        </w:tc>
        <w:tc>
          <w:tcPr>
            <w:tcW w:w="5890" w:type="dxa"/>
            <w:tcBorders>
              <w:top w:val="single" w:color="auto" w:sz="4" w:space="0"/>
              <w:left w:val="nil"/>
              <w:bottom w:val="single" w:color="auto" w:sz="4" w:space="0"/>
              <w:right w:val="single" w:color="auto" w:sz="4" w:space="0"/>
            </w:tcBorders>
            <w:vAlign w:val="center"/>
          </w:tcPr>
          <w:p w14:paraId="2B0C0080">
            <w:pPr>
              <w:keepNext w:val="0"/>
              <w:keepLines w:val="0"/>
              <w:pageBreakBefore w:val="0"/>
              <w:widowControl/>
              <w:kinsoku/>
              <w:wordWrap/>
              <w:overflowPunct/>
              <w:topLinePunct w:val="0"/>
              <w:bidi w:val="0"/>
              <w:snapToGrid/>
              <w:spacing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4F75A29F">
        <w:tblPrEx>
          <w:tblCellMar>
            <w:top w:w="0" w:type="dxa"/>
            <w:left w:w="108" w:type="dxa"/>
            <w:bottom w:w="0" w:type="dxa"/>
            <w:right w:w="108" w:type="dxa"/>
          </w:tblCellMar>
        </w:tblPrEx>
        <w:trPr>
          <w:trHeight w:val="43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D6D9660">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1920" w:type="dxa"/>
            <w:tcBorders>
              <w:top w:val="single" w:color="auto" w:sz="4" w:space="0"/>
              <w:left w:val="nil"/>
              <w:bottom w:val="single" w:color="auto" w:sz="4" w:space="0"/>
              <w:right w:val="single" w:color="auto" w:sz="4" w:space="0"/>
            </w:tcBorders>
            <w:vAlign w:val="center"/>
          </w:tcPr>
          <w:p w14:paraId="0FEB379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确认收到竞争性磋商文件澄清的时间</w:t>
            </w:r>
          </w:p>
        </w:tc>
        <w:tc>
          <w:tcPr>
            <w:tcW w:w="5890" w:type="dxa"/>
            <w:tcBorders>
              <w:top w:val="single" w:color="auto" w:sz="4" w:space="0"/>
              <w:left w:val="nil"/>
              <w:bottom w:val="single" w:color="auto" w:sz="4" w:space="0"/>
              <w:right w:val="single" w:color="auto" w:sz="4" w:space="0"/>
            </w:tcBorders>
            <w:vAlign w:val="center"/>
          </w:tcPr>
          <w:p w14:paraId="6CAB374C">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时间：竞争性磋商文件的补充文件发出之日24小时内</w:t>
            </w:r>
          </w:p>
          <w:p w14:paraId="565E3EFE">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形式：在三门峡市公共资源交易电子化交易系统上回复确认</w:t>
            </w:r>
          </w:p>
        </w:tc>
      </w:tr>
      <w:tr w14:paraId="52FA1777">
        <w:tblPrEx>
          <w:tblCellMar>
            <w:top w:w="0" w:type="dxa"/>
            <w:left w:w="108" w:type="dxa"/>
            <w:bottom w:w="0" w:type="dxa"/>
            <w:right w:w="108" w:type="dxa"/>
          </w:tblCellMar>
        </w:tblPrEx>
        <w:trPr>
          <w:trHeight w:val="7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96F12AC">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1920" w:type="dxa"/>
            <w:tcBorders>
              <w:top w:val="single" w:color="auto" w:sz="4" w:space="0"/>
              <w:left w:val="nil"/>
              <w:bottom w:val="single" w:color="auto" w:sz="4" w:space="0"/>
              <w:right w:val="single" w:color="auto" w:sz="4" w:space="0"/>
            </w:tcBorders>
            <w:vAlign w:val="center"/>
          </w:tcPr>
          <w:p w14:paraId="7F352756">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确认收到竞争性磋商文件修改的时间</w:t>
            </w:r>
          </w:p>
        </w:tc>
        <w:tc>
          <w:tcPr>
            <w:tcW w:w="5890" w:type="dxa"/>
            <w:tcBorders>
              <w:top w:val="single" w:color="auto" w:sz="4" w:space="0"/>
              <w:left w:val="nil"/>
              <w:bottom w:val="single" w:color="auto" w:sz="4" w:space="0"/>
              <w:right w:val="single" w:color="auto" w:sz="4" w:space="0"/>
            </w:tcBorders>
            <w:vAlign w:val="center"/>
          </w:tcPr>
          <w:p w14:paraId="3BC39CFD">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竞争性磋商文件的补充文件发出之日24小时内</w:t>
            </w:r>
          </w:p>
        </w:tc>
      </w:tr>
      <w:tr w14:paraId="348CB1BD">
        <w:tblPrEx>
          <w:tblCellMar>
            <w:top w:w="0" w:type="dxa"/>
            <w:left w:w="108" w:type="dxa"/>
            <w:bottom w:w="0" w:type="dxa"/>
            <w:right w:w="108" w:type="dxa"/>
          </w:tblCellMar>
        </w:tblPrEx>
        <w:trPr>
          <w:trHeight w:val="621"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FE1F741">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1920" w:type="dxa"/>
            <w:tcBorders>
              <w:top w:val="single" w:color="auto" w:sz="4" w:space="0"/>
              <w:left w:val="nil"/>
              <w:bottom w:val="single" w:color="auto" w:sz="4" w:space="0"/>
              <w:right w:val="single" w:color="auto" w:sz="4" w:space="0"/>
            </w:tcBorders>
            <w:vAlign w:val="center"/>
          </w:tcPr>
          <w:p w14:paraId="1026CBF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w:t>
            </w:r>
          </w:p>
        </w:tc>
        <w:tc>
          <w:tcPr>
            <w:tcW w:w="5890" w:type="dxa"/>
            <w:tcBorders>
              <w:top w:val="single" w:color="auto" w:sz="4" w:space="0"/>
              <w:left w:val="nil"/>
              <w:bottom w:val="single" w:color="auto" w:sz="4" w:space="0"/>
              <w:right w:val="single" w:color="auto" w:sz="4" w:space="0"/>
            </w:tcBorders>
            <w:vAlign w:val="center"/>
          </w:tcPr>
          <w:p w14:paraId="66E1B1BC">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磋商有效期60日历天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从响应文件递交截止时间起）</w:t>
            </w:r>
          </w:p>
        </w:tc>
      </w:tr>
      <w:tr w14:paraId="414A77B2">
        <w:tblPrEx>
          <w:tblCellMar>
            <w:top w:w="0" w:type="dxa"/>
            <w:left w:w="108" w:type="dxa"/>
            <w:bottom w:w="0" w:type="dxa"/>
            <w:right w:w="108" w:type="dxa"/>
          </w:tblCellMar>
        </w:tblPrEx>
        <w:trPr>
          <w:trHeight w:val="65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8EA471">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p>
        </w:tc>
        <w:tc>
          <w:tcPr>
            <w:tcW w:w="1920" w:type="dxa"/>
            <w:tcBorders>
              <w:top w:val="single" w:color="auto" w:sz="4" w:space="0"/>
              <w:left w:val="nil"/>
              <w:bottom w:val="single" w:color="auto" w:sz="4" w:space="0"/>
              <w:right w:val="single" w:color="auto" w:sz="4" w:space="0"/>
            </w:tcBorders>
            <w:vAlign w:val="center"/>
          </w:tcPr>
          <w:p w14:paraId="0917A5A3">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44"/>
                <w:sz w:val="24"/>
                <w:szCs w:val="24"/>
                <w:highlight w:val="none"/>
              </w:rPr>
              <w:t>磋商保证金</w:t>
            </w:r>
          </w:p>
        </w:tc>
        <w:tc>
          <w:tcPr>
            <w:tcW w:w="5890" w:type="dxa"/>
            <w:tcBorders>
              <w:top w:val="single" w:color="auto" w:sz="4" w:space="0"/>
              <w:left w:val="nil"/>
              <w:bottom w:val="single" w:color="auto" w:sz="4" w:space="0"/>
              <w:right w:val="single" w:color="auto" w:sz="4" w:space="0"/>
            </w:tcBorders>
            <w:vAlign w:val="center"/>
          </w:tcPr>
          <w:p w14:paraId="23744C4F">
            <w:pPr>
              <w:keepNext w:val="0"/>
              <w:keepLines w:val="0"/>
              <w:pageBreakBefore w:val="0"/>
              <w:widowControl/>
              <w:kinsoku/>
              <w:wordWrap/>
              <w:overflowPunct/>
              <w:topLinePunct w:val="0"/>
              <w:bidi w:val="0"/>
              <w:snapToGrid/>
              <w:spacing w:after="0" w:line="360" w:lineRule="auto"/>
              <w:ind w:firstLine="213" w:firstLineChars="89"/>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按照《河南省财政厅关于优化政府采购营商环境有关问题的通知》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豫财购〔2020〕4号文）的要求本项目不再收取保证金。</w:t>
            </w:r>
          </w:p>
        </w:tc>
      </w:tr>
      <w:tr w14:paraId="4CB4A62F">
        <w:tblPrEx>
          <w:tblCellMar>
            <w:top w:w="0" w:type="dxa"/>
            <w:left w:w="108" w:type="dxa"/>
            <w:bottom w:w="0" w:type="dxa"/>
            <w:right w:w="108" w:type="dxa"/>
          </w:tblCellMar>
        </w:tblPrEx>
        <w:trPr>
          <w:trHeight w:val="65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DB88DCD">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p>
        </w:tc>
        <w:tc>
          <w:tcPr>
            <w:tcW w:w="1920" w:type="dxa"/>
            <w:tcBorders>
              <w:top w:val="single" w:color="auto" w:sz="4" w:space="0"/>
              <w:left w:val="nil"/>
              <w:bottom w:val="single" w:color="auto" w:sz="4" w:space="0"/>
              <w:right w:val="single" w:color="auto" w:sz="4" w:space="0"/>
            </w:tcBorders>
            <w:vAlign w:val="center"/>
          </w:tcPr>
          <w:p w14:paraId="5C93746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近年财务状况的年份要求</w:t>
            </w:r>
          </w:p>
        </w:tc>
        <w:tc>
          <w:tcPr>
            <w:tcW w:w="5890" w:type="dxa"/>
            <w:tcBorders>
              <w:top w:val="single" w:color="auto" w:sz="4" w:space="0"/>
              <w:left w:val="nil"/>
              <w:bottom w:val="single" w:color="auto" w:sz="4" w:space="0"/>
              <w:right w:val="single" w:color="auto" w:sz="4" w:space="0"/>
            </w:tcBorders>
            <w:vAlign w:val="center"/>
          </w:tcPr>
          <w:p w14:paraId="212EFCF5">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近</w:t>
            </w:r>
            <w:r>
              <w:rPr>
                <w:rFonts w:hint="eastAsia" w:asciiTheme="minorEastAsia" w:hAnsiTheme="minorEastAsia" w:eastAsiaTheme="minorEastAsia" w:cstheme="minorEastAsia"/>
                <w:color w:val="auto"/>
                <w:sz w:val="24"/>
                <w:szCs w:val="24"/>
                <w:highlight w:val="none"/>
                <w:u w:val="single"/>
                <w:lang w:val="en-US" w:eastAsia="zh-CN"/>
              </w:rPr>
              <w:t>一</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提供经审计的财务报告或财务报表，</w:t>
            </w:r>
            <w:r>
              <w:rPr>
                <w:rFonts w:hint="eastAsia" w:asciiTheme="minorEastAsia" w:hAnsiTheme="minorEastAsia" w:eastAsiaTheme="minorEastAsia" w:cstheme="minorEastAsia"/>
                <w:color w:val="auto"/>
                <w:sz w:val="24"/>
                <w:szCs w:val="24"/>
                <w:highlight w:val="none"/>
              </w:rPr>
              <w:t>公司成立不足</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年的，以公司成立年份计算）。</w:t>
            </w:r>
          </w:p>
        </w:tc>
      </w:tr>
      <w:tr w14:paraId="3EB9C749">
        <w:tblPrEx>
          <w:tblCellMar>
            <w:top w:w="0" w:type="dxa"/>
            <w:left w:w="108" w:type="dxa"/>
            <w:bottom w:w="0" w:type="dxa"/>
            <w:right w:w="108" w:type="dxa"/>
          </w:tblCellMar>
        </w:tblPrEx>
        <w:trPr>
          <w:trHeight w:val="64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8F57AE5">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w:t>
            </w:r>
          </w:p>
        </w:tc>
        <w:tc>
          <w:tcPr>
            <w:tcW w:w="1920" w:type="dxa"/>
            <w:tcBorders>
              <w:top w:val="single" w:color="auto" w:sz="4" w:space="0"/>
              <w:left w:val="nil"/>
              <w:bottom w:val="single" w:color="auto" w:sz="4" w:space="0"/>
              <w:right w:val="single" w:color="auto" w:sz="4" w:space="0"/>
            </w:tcBorders>
            <w:vAlign w:val="center"/>
          </w:tcPr>
          <w:p w14:paraId="1308286A">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近年完成的类似项目的年份要求</w:t>
            </w:r>
          </w:p>
        </w:tc>
        <w:tc>
          <w:tcPr>
            <w:tcW w:w="5890" w:type="dxa"/>
            <w:tcBorders>
              <w:top w:val="single" w:color="auto" w:sz="4" w:space="0"/>
              <w:left w:val="nil"/>
              <w:bottom w:val="single" w:color="auto" w:sz="4" w:space="0"/>
              <w:right w:val="single" w:color="auto" w:sz="4" w:space="0"/>
            </w:tcBorders>
            <w:vAlign w:val="center"/>
          </w:tcPr>
          <w:p w14:paraId="55B81E5C">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202</w:t>
            </w:r>
            <w:r>
              <w:rPr>
                <w:rFonts w:hint="eastAsia" w:asciiTheme="minorEastAsia" w:hAnsiTheme="minorEastAsia" w:eastAsiaTheme="minorEastAsia" w:cstheme="minorEastAsia"/>
                <w:color w:val="auto"/>
                <w:kern w:val="44"/>
                <w:sz w:val="24"/>
                <w:szCs w:val="24"/>
                <w:highlight w:val="none"/>
                <w:lang w:val="en-US" w:eastAsia="zh-CN"/>
              </w:rPr>
              <w:t>2</w:t>
            </w:r>
            <w:r>
              <w:rPr>
                <w:rFonts w:hint="eastAsia" w:asciiTheme="minorEastAsia" w:hAnsiTheme="minorEastAsia" w:eastAsiaTheme="minorEastAsia" w:cstheme="minorEastAsia"/>
                <w:color w:val="auto"/>
                <w:kern w:val="44"/>
                <w:sz w:val="24"/>
                <w:szCs w:val="24"/>
                <w:highlight w:val="none"/>
              </w:rPr>
              <w:t>年01月01日以来</w:t>
            </w:r>
          </w:p>
        </w:tc>
      </w:tr>
      <w:tr w14:paraId="297E9210">
        <w:tblPrEx>
          <w:tblCellMar>
            <w:top w:w="0" w:type="dxa"/>
            <w:left w:w="108" w:type="dxa"/>
            <w:bottom w:w="0" w:type="dxa"/>
            <w:right w:w="108" w:type="dxa"/>
          </w:tblCellMar>
        </w:tblPrEx>
        <w:trPr>
          <w:trHeight w:val="64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11AE3C7">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920" w:type="dxa"/>
            <w:tcBorders>
              <w:top w:val="single" w:color="auto" w:sz="4" w:space="0"/>
              <w:left w:val="nil"/>
              <w:bottom w:val="single" w:color="auto" w:sz="4" w:space="0"/>
              <w:right w:val="single" w:color="auto" w:sz="4" w:space="0"/>
            </w:tcBorders>
            <w:vAlign w:val="center"/>
          </w:tcPr>
          <w:p w14:paraId="158AC89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近年发生的诉讼及仲裁情况的年份要求</w:t>
            </w:r>
          </w:p>
        </w:tc>
        <w:tc>
          <w:tcPr>
            <w:tcW w:w="5890" w:type="dxa"/>
            <w:tcBorders>
              <w:top w:val="single" w:color="auto" w:sz="4" w:space="0"/>
              <w:left w:val="nil"/>
              <w:bottom w:val="single" w:color="auto" w:sz="4" w:space="0"/>
              <w:right w:val="single" w:color="auto" w:sz="4" w:space="0"/>
            </w:tcBorders>
            <w:vAlign w:val="center"/>
          </w:tcPr>
          <w:p w14:paraId="704CFAF2">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202</w:t>
            </w:r>
            <w:r>
              <w:rPr>
                <w:rFonts w:hint="eastAsia" w:asciiTheme="minorEastAsia" w:hAnsiTheme="minorEastAsia" w:eastAsiaTheme="minorEastAsia" w:cstheme="minorEastAsia"/>
                <w:color w:val="auto"/>
                <w:kern w:val="44"/>
                <w:sz w:val="24"/>
                <w:szCs w:val="24"/>
                <w:highlight w:val="none"/>
                <w:lang w:val="en-US" w:eastAsia="zh-CN"/>
              </w:rPr>
              <w:t>2</w:t>
            </w:r>
            <w:r>
              <w:rPr>
                <w:rFonts w:hint="eastAsia" w:asciiTheme="minorEastAsia" w:hAnsiTheme="minorEastAsia" w:eastAsiaTheme="minorEastAsia" w:cstheme="minorEastAsia"/>
                <w:color w:val="auto"/>
                <w:kern w:val="44"/>
                <w:sz w:val="24"/>
                <w:szCs w:val="24"/>
                <w:highlight w:val="none"/>
              </w:rPr>
              <w:t>年01月01日以来</w:t>
            </w:r>
          </w:p>
        </w:tc>
      </w:tr>
      <w:tr w14:paraId="1F695D05">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A734541">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1920" w:type="dxa"/>
            <w:tcBorders>
              <w:top w:val="single" w:color="auto" w:sz="4" w:space="0"/>
              <w:left w:val="nil"/>
              <w:bottom w:val="single" w:color="auto" w:sz="4" w:space="0"/>
              <w:right w:val="single" w:color="auto" w:sz="4" w:space="0"/>
            </w:tcBorders>
            <w:vAlign w:val="center"/>
          </w:tcPr>
          <w:p w14:paraId="63FAF194">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是否允许递交备选投标方案</w:t>
            </w:r>
          </w:p>
        </w:tc>
        <w:tc>
          <w:tcPr>
            <w:tcW w:w="5890" w:type="dxa"/>
            <w:tcBorders>
              <w:top w:val="single" w:color="auto" w:sz="4" w:space="0"/>
              <w:left w:val="nil"/>
              <w:bottom w:val="single" w:color="auto" w:sz="4" w:space="0"/>
              <w:right w:val="single" w:color="auto" w:sz="4" w:space="0"/>
            </w:tcBorders>
            <w:vAlign w:val="center"/>
          </w:tcPr>
          <w:p w14:paraId="424ED405">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不允许</w:t>
            </w:r>
          </w:p>
        </w:tc>
      </w:tr>
      <w:tr w14:paraId="55F4A906">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8199E17">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w:t>
            </w:r>
          </w:p>
        </w:tc>
        <w:tc>
          <w:tcPr>
            <w:tcW w:w="1920" w:type="dxa"/>
            <w:tcBorders>
              <w:top w:val="single" w:color="auto" w:sz="4" w:space="0"/>
              <w:left w:val="nil"/>
              <w:bottom w:val="single" w:color="auto" w:sz="4" w:space="0"/>
              <w:right w:val="single" w:color="auto" w:sz="4" w:space="0"/>
            </w:tcBorders>
            <w:vAlign w:val="center"/>
          </w:tcPr>
          <w:p w14:paraId="085B833A">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lang w:eastAsia="zh-CN"/>
              </w:rPr>
              <w:t>响应文件</w:t>
            </w:r>
            <w:r>
              <w:rPr>
                <w:rFonts w:hint="eastAsia" w:asciiTheme="minorEastAsia" w:hAnsiTheme="minorEastAsia" w:eastAsiaTheme="minorEastAsia" w:cstheme="minorEastAsia"/>
                <w:color w:val="auto"/>
                <w:kern w:val="44"/>
                <w:sz w:val="24"/>
                <w:szCs w:val="24"/>
                <w:highlight w:val="none"/>
              </w:rPr>
              <w:t>副本份数及其他要求</w:t>
            </w:r>
          </w:p>
        </w:tc>
        <w:tc>
          <w:tcPr>
            <w:tcW w:w="5890" w:type="dxa"/>
            <w:tcBorders>
              <w:top w:val="single" w:color="auto" w:sz="4" w:space="0"/>
              <w:left w:val="nil"/>
              <w:bottom w:val="single" w:color="auto" w:sz="4" w:space="0"/>
              <w:right w:val="single" w:color="auto" w:sz="4" w:space="0"/>
            </w:tcBorders>
            <w:vAlign w:val="center"/>
          </w:tcPr>
          <w:p w14:paraId="5B00AC79">
            <w:pPr>
              <w:keepNext w:val="0"/>
              <w:keepLines w:val="0"/>
              <w:pageBreakBefore w:val="0"/>
              <w:widowControl/>
              <w:kinsoku/>
              <w:wordWrap/>
              <w:overflowPunct/>
              <w:topLinePunct w:val="0"/>
              <w:autoSpaceDE/>
              <w:autoSpaceDN/>
              <w:bidi w:val="0"/>
              <w:adjustRightInd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1、本项目采用电子招标，根据三门峡市公共资源交易中心系统编制</w:t>
            </w:r>
            <w:r>
              <w:rPr>
                <w:rFonts w:hint="eastAsia" w:asciiTheme="minorEastAsia" w:hAnsiTheme="minorEastAsia" w:eastAsiaTheme="minorEastAsia" w:cstheme="minorEastAsia"/>
                <w:color w:val="auto"/>
                <w:kern w:val="44"/>
                <w:sz w:val="24"/>
                <w:szCs w:val="24"/>
                <w:highlight w:val="none"/>
                <w:lang w:val="en-US" w:eastAsia="zh-CN"/>
              </w:rPr>
              <w:t>响应</w:t>
            </w:r>
            <w:r>
              <w:rPr>
                <w:rFonts w:hint="eastAsia" w:asciiTheme="minorEastAsia" w:hAnsiTheme="minorEastAsia" w:eastAsiaTheme="minorEastAsia" w:cstheme="minorEastAsia"/>
                <w:color w:val="auto"/>
                <w:kern w:val="44"/>
                <w:sz w:val="24"/>
                <w:szCs w:val="24"/>
                <w:highlight w:val="none"/>
              </w:rPr>
              <w:t>文件；</w:t>
            </w:r>
          </w:p>
          <w:p w14:paraId="741D9E17">
            <w:pPr>
              <w:keepNext w:val="0"/>
              <w:keepLines w:val="0"/>
              <w:pageBreakBefore w:val="0"/>
              <w:widowControl/>
              <w:kinsoku/>
              <w:wordWrap/>
              <w:overflowPunct/>
              <w:topLinePunct w:val="0"/>
              <w:autoSpaceDE/>
              <w:autoSpaceDN/>
              <w:bidi w:val="0"/>
              <w:adjustRightInd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2、开标时不再递交纸质</w:t>
            </w:r>
            <w:r>
              <w:rPr>
                <w:rFonts w:hint="eastAsia" w:asciiTheme="minorEastAsia" w:hAnsiTheme="minorEastAsia" w:eastAsiaTheme="minorEastAsia" w:cstheme="minorEastAsia"/>
                <w:color w:val="auto"/>
                <w:kern w:val="44"/>
                <w:sz w:val="24"/>
                <w:szCs w:val="24"/>
                <w:highlight w:val="none"/>
                <w:lang w:val="en-US" w:eastAsia="zh-CN"/>
              </w:rPr>
              <w:t>响应</w:t>
            </w:r>
            <w:r>
              <w:rPr>
                <w:rFonts w:hint="eastAsia" w:asciiTheme="minorEastAsia" w:hAnsiTheme="minorEastAsia" w:eastAsiaTheme="minorEastAsia" w:cstheme="minorEastAsia"/>
                <w:color w:val="auto"/>
                <w:kern w:val="44"/>
                <w:sz w:val="24"/>
                <w:szCs w:val="24"/>
                <w:highlight w:val="none"/>
              </w:rPr>
              <w:t>文件，中标单位领取中标通知书时提交</w:t>
            </w:r>
            <w:r>
              <w:rPr>
                <w:rFonts w:hint="eastAsia" w:asciiTheme="minorEastAsia" w:hAnsiTheme="minorEastAsia" w:eastAsiaTheme="minorEastAsia" w:cstheme="minorEastAsia"/>
                <w:color w:val="auto"/>
                <w:kern w:val="44"/>
                <w:sz w:val="24"/>
                <w:szCs w:val="24"/>
                <w:highlight w:val="none"/>
                <w:lang w:eastAsia="zh-CN"/>
              </w:rPr>
              <w:t>三</w:t>
            </w:r>
            <w:r>
              <w:rPr>
                <w:rFonts w:hint="eastAsia" w:asciiTheme="minorEastAsia" w:hAnsiTheme="minorEastAsia" w:eastAsiaTheme="minorEastAsia" w:cstheme="minorEastAsia"/>
                <w:color w:val="auto"/>
                <w:kern w:val="44"/>
                <w:sz w:val="24"/>
                <w:szCs w:val="24"/>
                <w:highlight w:val="none"/>
              </w:rPr>
              <w:t>份纸质</w:t>
            </w:r>
            <w:r>
              <w:rPr>
                <w:rFonts w:hint="eastAsia" w:asciiTheme="minorEastAsia" w:hAnsiTheme="minorEastAsia" w:eastAsiaTheme="minorEastAsia" w:cstheme="minorEastAsia"/>
                <w:color w:val="auto"/>
                <w:kern w:val="44"/>
                <w:sz w:val="24"/>
                <w:szCs w:val="24"/>
                <w:highlight w:val="none"/>
                <w:lang w:eastAsia="zh-CN"/>
              </w:rPr>
              <w:t>响应文件</w:t>
            </w:r>
            <w:r>
              <w:rPr>
                <w:rFonts w:hint="eastAsia" w:asciiTheme="minorEastAsia" w:hAnsiTheme="minorEastAsia" w:eastAsiaTheme="minorEastAsia" w:cstheme="minorEastAsia"/>
                <w:color w:val="auto"/>
                <w:kern w:val="44"/>
                <w:sz w:val="24"/>
                <w:szCs w:val="24"/>
                <w:highlight w:val="none"/>
              </w:rPr>
              <w:t>，</w:t>
            </w:r>
            <w:r>
              <w:rPr>
                <w:rFonts w:hint="eastAsia" w:asciiTheme="minorEastAsia" w:hAnsiTheme="minorEastAsia" w:eastAsiaTheme="minorEastAsia" w:cstheme="minorEastAsia"/>
                <w:color w:val="auto"/>
                <w:kern w:val="44"/>
                <w:sz w:val="24"/>
                <w:szCs w:val="24"/>
                <w:highlight w:val="none"/>
                <w:lang w:eastAsia="zh-CN"/>
              </w:rPr>
              <w:t>响应文件</w:t>
            </w:r>
            <w:r>
              <w:rPr>
                <w:rFonts w:hint="eastAsia" w:asciiTheme="minorEastAsia" w:hAnsiTheme="minorEastAsia" w:eastAsiaTheme="minorEastAsia" w:cstheme="minorEastAsia"/>
                <w:color w:val="auto"/>
                <w:kern w:val="44"/>
                <w:sz w:val="24"/>
                <w:szCs w:val="24"/>
                <w:highlight w:val="none"/>
              </w:rPr>
              <w:t>应按以下要求装订：胶装</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不得采用活页装订），应有目录，并逐页标注连续页码，需加盖公章。</w:t>
            </w:r>
          </w:p>
        </w:tc>
      </w:tr>
      <w:tr w14:paraId="0D10C438">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8C990DC">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w:t>
            </w:r>
          </w:p>
        </w:tc>
        <w:tc>
          <w:tcPr>
            <w:tcW w:w="1920" w:type="dxa"/>
            <w:tcBorders>
              <w:top w:val="single" w:color="auto" w:sz="4" w:space="0"/>
              <w:left w:val="nil"/>
              <w:bottom w:val="single" w:color="auto" w:sz="4" w:space="0"/>
              <w:right w:val="single" w:color="auto" w:sz="4" w:space="0"/>
            </w:tcBorders>
            <w:vAlign w:val="center"/>
          </w:tcPr>
          <w:p w14:paraId="3FC1354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电子签章</w:t>
            </w:r>
          </w:p>
          <w:p w14:paraId="6F9F1DA4">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要求</w:t>
            </w:r>
          </w:p>
        </w:tc>
        <w:tc>
          <w:tcPr>
            <w:tcW w:w="5890" w:type="dxa"/>
            <w:tcBorders>
              <w:top w:val="single" w:color="auto" w:sz="4" w:space="0"/>
              <w:left w:val="nil"/>
              <w:bottom w:val="single" w:color="auto" w:sz="4" w:space="0"/>
              <w:right w:val="single" w:color="auto" w:sz="4" w:space="0"/>
            </w:tcBorders>
            <w:vAlign w:val="center"/>
          </w:tcPr>
          <w:p w14:paraId="015677F5">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在进行电子化磋商响应文件签章时，竞争性磋商文件中要求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盖章的，以签电子签章为准；要求法定代表人签章的，以签盖法定代表人签章为准。</w:t>
            </w:r>
          </w:p>
        </w:tc>
      </w:tr>
      <w:tr w14:paraId="29088EBC">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B695BC">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w:t>
            </w:r>
          </w:p>
        </w:tc>
        <w:tc>
          <w:tcPr>
            <w:tcW w:w="1920" w:type="dxa"/>
            <w:tcBorders>
              <w:top w:val="single" w:color="auto" w:sz="4" w:space="0"/>
              <w:left w:val="nil"/>
              <w:bottom w:val="single" w:color="auto" w:sz="4" w:space="0"/>
              <w:right w:val="single" w:color="auto" w:sz="4" w:space="0"/>
            </w:tcBorders>
            <w:vAlign w:val="center"/>
          </w:tcPr>
          <w:p w14:paraId="63D4E2B6">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电子化磋商响应文件的格式及上传</w:t>
            </w:r>
          </w:p>
        </w:tc>
        <w:tc>
          <w:tcPr>
            <w:tcW w:w="5890" w:type="dxa"/>
            <w:tcBorders>
              <w:top w:val="single" w:color="auto" w:sz="4" w:space="0"/>
              <w:left w:val="nil"/>
              <w:bottom w:val="single" w:color="auto" w:sz="4" w:space="0"/>
              <w:right w:val="single" w:color="auto" w:sz="4" w:space="0"/>
            </w:tcBorders>
            <w:vAlign w:val="center"/>
          </w:tcPr>
          <w:p w14:paraId="112653F0">
            <w:pPr>
              <w:keepNext w:val="0"/>
              <w:keepLines w:val="0"/>
              <w:pageBreakBefore w:val="0"/>
              <w:widowControl/>
              <w:kinsoku/>
              <w:wordWrap/>
              <w:overflowPunct/>
              <w:topLinePunct w:val="0"/>
              <w:bidi w:val="0"/>
              <w:snapToGrid/>
              <w:spacing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所上传的电子化磋商响应文件，应是通过中心</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制作系统制作的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制作工具下载地址：https://download.bqpoint.com/download/downloaddetail.html?SourceFrom=Ztb&amp;ZtbSoftXiaQuCode=1506&amp;ZtbSoftType=tballinclusive），经过签章和加密后生成的电子版磋商响应文件。其中包含用于磋商响应文件上传的主文件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后缀为.smxtf）和用于应急补救的磋商响应文件备份文件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后缀为.nsmxtf）。</w:t>
            </w:r>
          </w:p>
          <w:p w14:paraId="085636B0">
            <w:pPr>
              <w:keepNext w:val="0"/>
              <w:keepLines w:val="0"/>
              <w:pageBreakBefore w:val="0"/>
              <w:widowControl/>
              <w:kinsoku/>
              <w:wordWrap/>
              <w:overflowPunct/>
              <w:topLinePunct w:val="0"/>
              <w:bidi w:val="0"/>
              <w:snapToGrid/>
              <w:spacing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238C4122">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注：如按照电子化投标操作教材制作完成的电子化磋商响应文件无法上传的，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应在投标截止时间前尽早的联系中心技术人员，以便有充分的时间进行处理。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应充分考虑到处理技术问题和上传数据等工作所需的时间问题，磋商响应文件未在投标截止时间前成功上传的，其磋商响应文件不予接收。</w:t>
            </w:r>
          </w:p>
        </w:tc>
      </w:tr>
      <w:tr w14:paraId="76954824">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C675D78">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w:t>
            </w:r>
          </w:p>
        </w:tc>
        <w:tc>
          <w:tcPr>
            <w:tcW w:w="1920" w:type="dxa"/>
            <w:tcBorders>
              <w:top w:val="single" w:color="auto" w:sz="4" w:space="0"/>
              <w:left w:val="nil"/>
              <w:bottom w:val="single" w:color="auto" w:sz="4" w:space="0"/>
              <w:right w:val="single" w:color="auto" w:sz="4" w:space="0"/>
            </w:tcBorders>
            <w:vAlign w:val="center"/>
          </w:tcPr>
          <w:p w14:paraId="785BFAF3">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磋商时间和</w:t>
            </w:r>
          </w:p>
          <w:p w14:paraId="20B95323">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地点</w:t>
            </w:r>
          </w:p>
        </w:tc>
        <w:tc>
          <w:tcPr>
            <w:tcW w:w="5890" w:type="dxa"/>
            <w:tcBorders>
              <w:top w:val="single" w:color="auto" w:sz="4" w:space="0"/>
              <w:left w:val="nil"/>
              <w:bottom w:val="single" w:color="auto" w:sz="4" w:space="0"/>
              <w:right w:val="single" w:color="auto" w:sz="4" w:space="0"/>
            </w:tcBorders>
            <w:vAlign w:val="center"/>
          </w:tcPr>
          <w:p w14:paraId="0D72682E">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cs="Calibri" w:asciiTheme="minorEastAsia" w:hAnsiTheme="minorEastAsia" w:eastAsiaTheme="minorEastAsia"/>
                <w:color w:val="auto"/>
                <w:sz w:val="24"/>
                <w:szCs w:val="24"/>
                <w:highlight w:val="none"/>
                <w:lang w:val="en-US" w:eastAsia="zh-CN"/>
              </w:rPr>
              <w:t>详见第一章“竞争性磋商公告”</w:t>
            </w:r>
          </w:p>
        </w:tc>
      </w:tr>
      <w:tr w14:paraId="580037DF">
        <w:tblPrEx>
          <w:tblCellMar>
            <w:top w:w="0" w:type="dxa"/>
            <w:left w:w="108" w:type="dxa"/>
            <w:bottom w:w="0" w:type="dxa"/>
            <w:right w:w="108" w:type="dxa"/>
          </w:tblCellMar>
        </w:tblPrEx>
        <w:trPr>
          <w:trHeight w:val="88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754E72">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1920" w:type="dxa"/>
            <w:tcBorders>
              <w:top w:val="single" w:color="auto" w:sz="4" w:space="0"/>
              <w:left w:val="nil"/>
              <w:bottom w:val="single" w:color="auto" w:sz="4" w:space="0"/>
              <w:right w:val="single" w:color="auto" w:sz="4" w:space="0"/>
            </w:tcBorders>
            <w:vAlign w:val="center"/>
          </w:tcPr>
          <w:p w14:paraId="6306D62C">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磋商程序</w:t>
            </w:r>
          </w:p>
        </w:tc>
        <w:tc>
          <w:tcPr>
            <w:tcW w:w="5890" w:type="dxa"/>
            <w:tcBorders>
              <w:top w:val="single" w:color="auto" w:sz="4" w:space="0"/>
              <w:left w:val="nil"/>
              <w:bottom w:val="single" w:color="auto" w:sz="4" w:space="0"/>
              <w:right w:val="single" w:color="auto" w:sz="4" w:space="0"/>
            </w:tcBorders>
            <w:vAlign w:val="center"/>
          </w:tcPr>
          <w:p w14:paraId="2894A541">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按电子化磋商响应文件上传的时间顺序磋商。</w:t>
            </w:r>
          </w:p>
        </w:tc>
      </w:tr>
      <w:tr w14:paraId="5E0CD2CA">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50AF5B2">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p>
        </w:tc>
        <w:tc>
          <w:tcPr>
            <w:tcW w:w="1920" w:type="dxa"/>
            <w:tcBorders>
              <w:top w:val="single" w:color="auto" w:sz="4" w:space="0"/>
              <w:left w:val="nil"/>
              <w:bottom w:val="single" w:color="auto" w:sz="4" w:space="0"/>
              <w:right w:val="single" w:color="auto" w:sz="4" w:space="0"/>
            </w:tcBorders>
            <w:vAlign w:val="center"/>
          </w:tcPr>
          <w:p w14:paraId="565D2726">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磋商小组的</w:t>
            </w:r>
          </w:p>
          <w:p w14:paraId="77D0F48A">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组建</w:t>
            </w:r>
          </w:p>
        </w:tc>
        <w:tc>
          <w:tcPr>
            <w:tcW w:w="5890" w:type="dxa"/>
            <w:tcBorders>
              <w:top w:val="single" w:color="auto" w:sz="4" w:space="0"/>
              <w:left w:val="nil"/>
              <w:bottom w:val="single" w:color="auto" w:sz="4" w:space="0"/>
              <w:right w:val="single" w:color="auto" w:sz="4" w:space="0"/>
            </w:tcBorders>
            <w:vAlign w:val="center"/>
          </w:tcPr>
          <w:p w14:paraId="38729E9C">
            <w:pPr>
              <w:keepNext w:val="0"/>
              <w:keepLines w:val="0"/>
              <w:pageBreakBefore w:val="0"/>
              <w:widowControl/>
              <w:kinsoku/>
              <w:wordWrap/>
              <w:overflowPunct/>
              <w:topLinePunct w:val="0"/>
              <w:autoSpaceDE/>
              <w:autoSpaceDN/>
              <w:bidi w:val="0"/>
              <w:adjustRightInd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磋商小组构成：由采购人代表及有关经济、技术等方面的专家共3人组成，其中采购人代表1人，经济、技术等有关方面的专家2人。</w:t>
            </w:r>
          </w:p>
          <w:p w14:paraId="6B58BA64">
            <w:pPr>
              <w:keepNext w:val="0"/>
              <w:keepLines w:val="0"/>
              <w:pageBreakBefore w:val="0"/>
              <w:widowControl/>
              <w:kinsoku/>
              <w:wordWrap/>
              <w:overflowPunct/>
              <w:topLinePunct w:val="0"/>
              <w:autoSpaceDE/>
              <w:autoSpaceDN/>
              <w:bidi w:val="0"/>
              <w:adjustRightInd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评标专家确定方式：参加评标的专家由采购人、监督人在灵宝市公共资源交易中心抽取终端随机抽取确定。</w:t>
            </w:r>
          </w:p>
        </w:tc>
      </w:tr>
      <w:tr w14:paraId="196E4F9D">
        <w:tblPrEx>
          <w:tblCellMar>
            <w:top w:w="0" w:type="dxa"/>
            <w:left w:w="108" w:type="dxa"/>
            <w:bottom w:w="0" w:type="dxa"/>
            <w:right w:w="108" w:type="dxa"/>
          </w:tblCellMar>
        </w:tblPrEx>
        <w:trPr>
          <w:trHeight w:val="88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BE9EBF8">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w:t>
            </w:r>
          </w:p>
        </w:tc>
        <w:tc>
          <w:tcPr>
            <w:tcW w:w="1920" w:type="dxa"/>
            <w:tcBorders>
              <w:top w:val="single" w:color="auto" w:sz="4" w:space="0"/>
              <w:left w:val="nil"/>
              <w:bottom w:val="single" w:color="auto" w:sz="4" w:space="0"/>
              <w:right w:val="single" w:color="auto" w:sz="4" w:space="0"/>
            </w:tcBorders>
            <w:vAlign w:val="center"/>
          </w:tcPr>
          <w:p w14:paraId="10E3D7CA">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是否授权磋商</w:t>
            </w:r>
          </w:p>
          <w:p w14:paraId="1AB31B77">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小组确定成交人</w:t>
            </w:r>
          </w:p>
        </w:tc>
        <w:tc>
          <w:tcPr>
            <w:tcW w:w="5890" w:type="dxa"/>
            <w:tcBorders>
              <w:top w:val="single" w:color="auto" w:sz="4" w:space="0"/>
              <w:left w:val="nil"/>
              <w:bottom w:val="single" w:color="auto" w:sz="4" w:space="0"/>
              <w:right w:val="single" w:color="auto" w:sz="4" w:space="0"/>
            </w:tcBorders>
            <w:vAlign w:val="center"/>
          </w:tcPr>
          <w:p w14:paraId="3A52E4E9">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否，按顺序推荐的</w:t>
            </w:r>
            <w:r>
              <w:rPr>
                <w:rFonts w:hint="eastAsia" w:asciiTheme="minorEastAsia" w:hAnsiTheme="minorEastAsia" w:eastAsiaTheme="minorEastAsia" w:cstheme="minorEastAsia"/>
                <w:color w:val="auto"/>
                <w:kern w:val="44"/>
                <w:sz w:val="24"/>
                <w:szCs w:val="24"/>
                <w:highlight w:val="none"/>
              </w:rPr>
              <w:t>成交</w:t>
            </w:r>
            <w:r>
              <w:rPr>
                <w:rFonts w:hint="eastAsia" w:asciiTheme="minorEastAsia" w:hAnsiTheme="minorEastAsia" w:eastAsiaTheme="minorEastAsia" w:cstheme="minorEastAsia"/>
                <w:color w:val="auto"/>
                <w:sz w:val="24"/>
                <w:szCs w:val="24"/>
                <w:highlight w:val="none"/>
              </w:rPr>
              <w:t>候选人数：3名</w:t>
            </w:r>
          </w:p>
        </w:tc>
      </w:tr>
      <w:tr w14:paraId="2F0D40C9">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F6F2F7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4.4</w:t>
            </w:r>
          </w:p>
        </w:tc>
        <w:tc>
          <w:tcPr>
            <w:tcW w:w="1920" w:type="dxa"/>
            <w:tcBorders>
              <w:top w:val="single" w:color="auto" w:sz="4" w:space="0"/>
              <w:left w:val="nil"/>
              <w:bottom w:val="single" w:color="auto" w:sz="4" w:space="0"/>
              <w:right w:val="single" w:color="auto" w:sz="4" w:space="0"/>
            </w:tcBorders>
            <w:vAlign w:val="center"/>
          </w:tcPr>
          <w:p w14:paraId="1035CA30">
            <w:pPr>
              <w:keepNext w:val="0"/>
              <w:keepLines w:val="0"/>
              <w:pageBreakBefore w:val="0"/>
              <w:widowControl/>
              <w:kinsoku/>
              <w:wordWrap/>
              <w:overflowPunct/>
              <w:topLinePunct w:val="0"/>
              <w:bidi w:val="0"/>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0"/>
                <w:sz w:val="24"/>
                <w:szCs w:val="24"/>
                <w:highlight w:val="none"/>
              </w:rPr>
              <w:t>履约保证金</w:t>
            </w:r>
          </w:p>
        </w:tc>
        <w:tc>
          <w:tcPr>
            <w:tcW w:w="5890" w:type="dxa"/>
            <w:tcBorders>
              <w:top w:val="single" w:color="auto" w:sz="4" w:space="0"/>
              <w:left w:val="nil"/>
              <w:bottom w:val="single" w:color="auto" w:sz="4" w:space="0"/>
              <w:right w:val="single" w:color="auto" w:sz="4" w:space="0"/>
            </w:tcBorders>
            <w:vAlign w:val="center"/>
          </w:tcPr>
          <w:p w14:paraId="41B56C5A">
            <w:pPr>
              <w:keepNext w:val="0"/>
              <w:keepLines w:val="0"/>
              <w:pageBreakBefore w:val="0"/>
              <w:widowControl/>
              <w:kinsoku/>
              <w:wordWrap/>
              <w:overflowPunct/>
              <w:topLinePunct w:val="0"/>
              <w:bidi w:val="0"/>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本项目不收取履约保证金。如供应商违反政府采购合同约定给采购人造成损失的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采购人按照</w:t>
            </w:r>
            <w:r>
              <w:rPr>
                <w:rFonts w:hint="eastAsia" w:asciiTheme="minorEastAsia" w:hAnsiTheme="minorEastAsia" w:eastAsiaTheme="minorEastAsia" w:cstheme="minorEastAsia"/>
                <w:b/>
                <w:bCs/>
                <w:color w:val="auto"/>
                <w:sz w:val="24"/>
                <w:szCs w:val="24"/>
                <w:highlight w:val="none"/>
              </w:rPr>
              <w:t>合同约定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要求供应商承担赔偿责任。</w:t>
            </w:r>
          </w:p>
        </w:tc>
      </w:tr>
      <w:tr w14:paraId="56FE52F2">
        <w:tblPrEx>
          <w:tblCellMar>
            <w:top w:w="0" w:type="dxa"/>
            <w:left w:w="108" w:type="dxa"/>
            <w:bottom w:w="0" w:type="dxa"/>
            <w:right w:w="108" w:type="dxa"/>
          </w:tblCellMar>
        </w:tblPrEx>
        <w:trPr>
          <w:trHeight w:val="322" w:hRule="atLeast"/>
          <w:jc w:val="center"/>
        </w:trPr>
        <w:tc>
          <w:tcPr>
            <w:tcW w:w="8818" w:type="dxa"/>
            <w:gridSpan w:val="3"/>
            <w:tcBorders>
              <w:top w:val="single" w:color="auto" w:sz="4" w:space="0"/>
              <w:left w:val="single" w:color="auto" w:sz="4" w:space="0"/>
              <w:bottom w:val="single" w:color="auto" w:sz="4" w:space="0"/>
              <w:right w:val="single" w:color="auto" w:sz="4" w:space="0"/>
            </w:tcBorders>
            <w:vAlign w:val="center"/>
          </w:tcPr>
          <w:p w14:paraId="70980A89">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需要补充的其他内容</w:t>
            </w:r>
          </w:p>
        </w:tc>
      </w:tr>
      <w:tr w14:paraId="67C0484C">
        <w:tblPrEx>
          <w:tblCellMar>
            <w:top w:w="0" w:type="dxa"/>
            <w:left w:w="108" w:type="dxa"/>
            <w:bottom w:w="0" w:type="dxa"/>
            <w:right w:w="108" w:type="dxa"/>
          </w:tblCellMar>
        </w:tblPrEx>
        <w:trPr>
          <w:trHeight w:val="93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6C85C68">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5</w:t>
            </w:r>
          </w:p>
        </w:tc>
        <w:tc>
          <w:tcPr>
            <w:tcW w:w="1920" w:type="dxa"/>
            <w:tcBorders>
              <w:top w:val="single" w:color="auto" w:sz="4" w:space="0"/>
              <w:left w:val="nil"/>
              <w:bottom w:val="single" w:color="auto" w:sz="4" w:space="0"/>
              <w:right w:val="single" w:color="auto" w:sz="4" w:space="0"/>
            </w:tcBorders>
            <w:vAlign w:val="center"/>
          </w:tcPr>
          <w:p w14:paraId="0886931F">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b/>
                <w:bCs/>
                <w:color w:val="auto"/>
                <w:kern w:val="44"/>
                <w:sz w:val="24"/>
                <w:szCs w:val="24"/>
                <w:highlight w:val="none"/>
                <w:lang w:eastAsia="zh-CN"/>
              </w:rPr>
            </w:pPr>
            <w:r>
              <w:rPr>
                <w:rFonts w:hint="eastAsia" w:asciiTheme="minorEastAsia" w:hAnsiTheme="minorEastAsia" w:eastAsiaTheme="minorEastAsia" w:cstheme="minorEastAsia"/>
                <w:b/>
                <w:bCs/>
                <w:color w:val="auto"/>
                <w:kern w:val="44"/>
                <w:sz w:val="24"/>
                <w:szCs w:val="24"/>
                <w:highlight w:val="none"/>
                <w:lang w:val="en-US" w:eastAsia="zh-CN"/>
              </w:rPr>
              <w:t>采购预算</w:t>
            </w:r>
          </w:p>
        </w:tc>
        <w:tc>
          <w:tcPr>
            <w:tcW w:w="5890" w:type="dxa"/>
            <w:tcBorders>
              <w:top w:val="single" w:color="auto" w:sz="4" w:space="0"/>
              <w:left w:val="nil"/>
              <w:bottom w:val="single" w:color="auto" w:sz="4" w:space="0"/>
              <w:right w:val="single" w:color="auto" w:sz="4" w:space="0"/>
            </w:tcBorders>
            <w:vAlign w:val="center"/>
          </w:tcPr>
          <w:p w14:paraId="37F06FE3">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44"/>
                <w:sz w:val="24"/>
                <w:szCs w:val="24"/>
                <w:highlight w:val="none"/>
              </w:rPr>
              <w:t>本项目的</w:t>
            </w:r>
            <w:r>
              <w:rPr>
                <w:rFonts w:hint="eastAsia" w:asciiTheme="minorEastAsia" w:hAnsiTheme="minorEastAsia" w:eastAsiaTheme="minorEastAsia" w:cstheme="minorEastAsia"/>
                <w:b/>
                <w:bCs/>
                <w:color w:val="auto"/>
                <w:kern w:val="44"/>
                <w:sz w:val="24"/>
                <w:szCs w:val="24"/>
                <w:highlight w:val="none"/>
                <w:lang w:val="en-US" w:eastAsia="zh-CN"/>
              </w:rPr>
              <w:t>最高限价</w:t>
            </w:r>
            <w:r>
              <w:rPr>
                <w:rFonts w:hint="eastAsia" w:asciiTheme="minorEastAsia" w:hAnsiTheme="minorEastAsia" w:eastAsiaTheme="minorEastAsia" w:cstheme="minorEastAsia"/>
                <w:b/>
                <w:bCs/>
                <w:color w:val="auto"/>
                <w:kern w:val="44"/>
                <w:sz w:val="24"/>
                <w:szCs w:val="24"/>
                <w:highlight w:val="none"/>
              </w:rPr>
              <w:t>为</w:t>
            </w:r>
            <w:r>
              <w:rPr>
                <w:rFonts w:hint="eastAsia" w:asciiTheme="minorEastAsia" w:hAnsiTheme="minorEastAsia" w:eastAsiaTheme="minorEastAsia" w:cstheme="minorEastAsia"/>
                <w:b/>
                <w:bCs/>
                <w:color w:val="auto"/>
                <w:kern w:val="44"/>
                <w:sz w:val="24"/>
                <w:szCs w:val="24"/>
                <w:highlight w:val="none"/>
                <w:lang w:eastAsia="zh-CN"/>
              </w:rPr>
              <w:t>（</w:t>
            </w:r>
            <w:r>
              <w:rPr>
                <w:rFonts w:hint="eastAsia" w:asciiTheme="minorEastAsia" w:hAnsiTheme="minorEastAsia" w:eastAsiaTheme="minorEastAsia" w:cstheme="minorEastAsia"/>
                <w:b/>
                <w:bCs/>
                <w:color w:val="auto"/>
                <w:kern w:val="44"/>
                <w:sz w:val="24"/>
                <w:szCs w:val="24"/>
                <w:highlight w:val="none"/>
                <w:lang w:val="en-US" w:eastAsia="zh-CN"/>
              </w:rPr>
              <w:t>187.2</w:t>
            </w:r>
            <w:r>
              <w:rPr>
                <w:rFonts w:hint="eastAsia" w:asciiTheme="minorEastAsia" w:hAnsiTheme="minorEastAsia" w:eastAsiaTheme="minorEastAsia" w:cstheme="minorEastAsia"/>
                <w:b/>
                <w:bCs/>
                <w:color w:val="auto"/>
                <w:kern w:val="44"/>
                <w:sz w:val="24"/>
                <w:szCs w:val="24"/>
                <w:highlight w:val="none"/>
                <w:lang w:eastAsia="zh-CN"/>
              </w:rPr>
              <w:t>万元</w:t>
            </w:r>
            <w:r>
              <w:rPr>
                <w:rFonts w:hint="eastAsia" w:asciiTheme="minorEastAsia" w:hAnsiTheme="minorEastAsia" w:eastAsiaTheme="minorEastAsia" w:cstheme="minorEastAsia"/>
                <w:b/>
                <w:bCs/>
                <w:color w:val="auto"/>
                <w:kern w:val="44"/>
                <w:sz w:val="24"/>
                <w:szCs w:val="24"/>
                <w:highlight w:val="none"/>
              </w:rPr>
              <w:t>），凡</w:t>
            </w:r>
            <w:r>
              <w:rPr>
                <w:rFonts w:hint="eastAsia" w:asciiTheme="minorEastAsia" w:hAnsiTheme="minorEastAsia" w:eastAsiaTheme="minorEastAsia" w:cstheme="minorEastAsia"/>
                <w:b/>
                <w:bCs/>
                <w:color w:val="auto"/>
                <w:kern w:val="44"/>
                <w:sz w:val="24"/>
                <w:szCs w:val="24"/>
                <w:highlight w:val="none"/>
                <w:lang w:eastAsia="zh-CN"/>
              </w:rPr>
              <w:t>供应商</w:t>
            </w:r>
            <w:r>
              <w:rPr>
                <w:rFonts w:hint="eastAsia" w:asciiTheme="minorEastAsia" w:hAnsiTheme="minorEastAsia" w:eastAsiaTheme="minorEastAsia" w:cstheme="minorEastAsia"/>
                <w:b/>
                <w:bCs/>
                <w:color w:val="auto"/>
                <w:kern w:val="44"/>
                <w:sz w:val="24"/>
                <w:szCs w:val="24"/>
                <w:highlight w:val="none"/>
              </w:rPr>
              <w:t>的磋商报价超出</w:t>
            </w:r>
            <w:r>
              <w:rPr>
                <w:rFonts w:hint="eastAsia" w:asciiTheme="minorEastAsia" w:hAnsiTheme="minorEastAsia" w:eastAsiaTheme="minorEastAsia" w:cstheme="minorEastAsia"/>
                <w:b/>
                <w:bCs/>
                <w:color w:val="auto"/>
                <w:kern w:val="44"/>
                <w:sz w:val="24"/>
                <w:szCs w:val="24"/>
                <w:highlight w:val="none"/>
                <w:lang w:eastAsia="zh-CN"/>
              </w:rPr>
              <w:t>“最高限价”（</w:t>
            </w:r>
            <w:r>
              <w:rPr>
                <w:rFonts w:hint="eastAsia" w:asciiTheme="minorEastAsia" w:hAnsiTheme="minorEastAsia" w:eastAsiaTheme="minorEastAsia" w:cstheme="minorEastAsia"/>
                <w:b/>
                <w:bCs/>
                <w:color w:val="auto"/>
                <w:kern w:val="44"/>
                <w:sz w:val="24"/>
                <w:szCs w:val="24"/>
                <w:highlight w:val="none"/>
              </w:rPr>
              <w:t>不含等于</w:t>
            </w:r>
            <w:r>
              <w:rPr>
                <w:rFonts w:hint="eastAsia" w:asciiTheme="minorEastAsia" w:hAnsiTheme="minorEastAsia" w:eastAsiaTheme="minorEastAsia" w:cstheme="minorEastAsia"/>
                <w:b/>
                <w:bCs/>
                <w:color w:val="auto"/>
                <w:kern w:val="44"/>
                <w:sz w:val="24"/>
                <w:szCs w:val="24"/>
                <w:highlight w:val="none"/>
                <w:lang w:eastAsia="zh-CN"/>
              </w:rPr>
              <w:t>“最高限价”</w:t>
            </w:r>
            <w:r>
              <w:rPr>
                <w:rFonts w:hint="eastAsia" w:asciiTheme="minorEastAsia" w:hAnsiTheme="minorEastAsia" w:eastAsiaTheme="minorEastAsia" w:cstheme="minorEastAsia"/>
                <w:b/>
                <w:bCs/>
                <w:color w:val="auto"/>
                <w:kern w:val="44"/>
                <w:sz w:val="24"/>
                <w:szCs w:val="24"/>
                <w:highlight w:val="none"/>
              </w:rPr>
              <w:t>）的，其投标将被否决。</w:t>
            </w:r>
          </w:p>
        </w:tc>
      </w:tr>
      <w:tr w14:paraId="12E94F61">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A698495">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p>
        </w:tc>
        <w:tc>
          <w:tcPr>
            <w:tcW w:w="1920" w:type="dxa"/>
            <w:tcBorders>
              <w:top w:val="single" w:color="auto" w:sz="4" w:space="0"/>
              <w:left w:val="nil"/>
              <w:bottom w:val="single" w:color="auto" w:sz="4" w:space="0"/>
              <w:right w:val="single" w:color="auto" w:sz="4" w:space="0"/>
            </w:tcBorders>
            <w:vAlign w:val="center"/>
          </w:tcPr>
          <w:p w14:paraId="0FC2EBDB">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竞争性磋商文件的解释</w:t>
            </w:r>
          </w:p>
        </w:tc>
        <w:tc>
          <w:tcPr>
            <w:tcW w:w="5890" w:type="dxa"/>
            <w:tcBorders>
              <w:top w:val="single" w:color="auto" w:sz="4" w:space="0"/>
              <w:left w:val="nil"/>
              <w:bottom w:val="single" w:color="auto" w:sz="4" w:space="0"/>
              <w:right w:val="single" w:color="auto" w:sz="4" w:space="0"/>
            </w:tcBorders>
            <w:vAlign w:val="center"/>
          </w:tcPr>
          <w:p w14:paraId="75B3F589">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在符合相关法律法规的前提下，竞争性磋商文件的解释权归</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所有。</w:t>
            </w:r>
          </w:p>
        </w:tc>
      </w:tr>
      <w:tr w14:paraId="14E66222">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4DF458D">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7</w:t>
            </w:r>
          </w:p>
        </w:tc>
        <w:tc>
          <w:tcPr>
            <w:tcW w:w="1920" w:type="dxa"/>
            <w:tcBorders>
              <w:top w:val="single" w:color="auto" w:sz="4" w:space="0"/>
              <w:left w:val="nil"/>
              <w:bottom w:val="single" w:color="auto" w:sz="4" w:space="0"/>
              <w:right w:val="single" w:color="auto" w:sz="4" w:space="0"/>
            </w:tcBorders>
            <w:vAlign w:val="center"/>
          </w:tcPr>
          <w:p w14:paraId="1A184FF1">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相关费用</w:t>
            </w:r>
          </w:p>
        </w:tc>
        <w:tc>
          <w:tcPr>
            <w:tcW w:w="5890" w:type="dxa"/>
            <w:tcBorders>
              <w:top w:val="single" w:color="auto" w:sz="4" w:space="0"/>
              <w:left w:val="nil"/>
              <w:bottom w:val="single" w:color="auto" w:sz="4" w:space="0"/>
              <w:right w:val="single" w:color="auto" w:sz="4" w:space="0"/>
            </w:tcBorders>
            <w:vAlign w:val="center"/>
          </w:tcPr>
          <w:p w14:paraId="3BA98CCA">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竞争性磋商文件费</w:t>
            </w:r>
            <w:r>
              <w:rPr>
                <w:rFonts w:hint="eastAsia" w:asciiTheme="minorEastAsia" w:hAnsiTheme="minorEastAsia" w:eastAsiaTheme="minorEastAsia" w:cstheme="minorEastAsia"/>
                <w:color w:val="auto"/>
                <w:sz w:val="24"/>
                <w:szCs w:val="24"/>
                <w:highlight w:val="none"/>
              </w:rPr>
              <w:t>：本项目为全电子招标，不在收取竞争性磋商文件费；</w:t>
            </w:r>
          </w:p>
        </w:tc>
      </w:tr>
      <w:tr w14:paraId="2EB0C85E">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E984121">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8</w:t>
            </w:r>
          </w:p>
        </w:tc>
        <w:tc>
          <w:tcPr>
            <w:tcW w:w="1920" w:type="dxa"/>
            <w:tcBorders>
              <w:top w:val="single" w:color="auto" w:sz="4" w:space="0"/>
              <w:left w:val="nil"/>
              <w:bottom w:val="single" w:color="auto" w:sz="4" w:space="0"/>
              <w:right w:val="single" w:color="auto" w:sz="4" w:space="0"/>
            </w:tcBorders>
            <w:vAlign w:val="center"/>
          </w:tcPr>
          <w:p w14:paraId="7F82DC17">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6"/>
                <w:sz w:val="24"/>
                <w:szCs w:val="24"/>
                <w:highlight w:val="none"/>
              </w:rPr>
              <w:t>代理服务费</w:t>
            </w:r>
          </w:p>
        </w:tc>
        <w:tc>
          <w:tcPr>
            <w:tcW w:w="5890" w:type="dxa"/>
            <w:tcBorders>
              <w:top w:val="single" w:color="auto" w:sz="4" w:space="0"/>
              <w:left w:val="nil"/>
              <w:bottom w:val="single" w:color="auto" w:sz="4" w:space="0"/>
              <w:right w:val="single" w:color="auto" w:sz="4" w:space="0"/>
            </w:tcBorders>
            <w:vAlign w:val="center"/>
          </w:tcPr>
          <w:p w14:paraId="4F208A66">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代理费用收取方式：转账</w:t>
            </w:r>
          </w:p>
          <w:p w14:paraId="0EF266C6">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用收取标准：本项目招标代理费用按照河南省招标投标协会豫招办〔2023〕002号文《河南省招标投标协会关于印发《河南省招标代理服务收费指导意见》的通知》中关于招标代理服务费收费标准执行，招标代理服务费用由中标人按照以上标准支付。</w:t>
            </w:r>
          </w:p>
          <w:p w14:paraId="0C13A9E1">
            <w:pPr>
              <w:keepNext w:val="0"/>
              <w:keepLines w:val="0"/>
              <w:pageBreakBefore w:val="0"/>
              <w:widowControl/>
              <w:kinsoku/>
              <w:wordWrap/>
              <w:overflowPunct/>
              <w:topLinePunct w:val="0"/>
              <w:bidi w:val="0"/>
              <w:adjustRightInd/>
              <w:snapToGrid/>
              <w:spacing w:after="0" w:line="360" w:lineRule="auto"/>
              <w:jc w:val="left"/>
              <w:textAlignment w:val="auto"/>
              <w:rPr>
                <w:rFonts w:hint="eastAsia"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收款单位：河南精开咨询有限公司灵宝分公司</w:t>
            </w:r>
          </w:p>
          <w:p w14:paraId="50DDFC08">
            <w:pPr>
              <w:keepNext w:val="0"/>
              <w:keepLines w:val="0"/>
              <w:pageBreakBefore w:val="0"/>
              <w:widowControl/>
              <w:kinsoku/>
              <w:wordWrap/>
              <w:overflowPunct/>
              <w:topLinePunct w:val="0"/>
              <w:bidi w:val="0"/>
              <w:adjustRightInd/>
              <w:snapToGrid/>
              <w:spacing w:after="0" w:line="360" w:lineRule="auto"/>
              <w:jc w:val="left"/>
              <w:textAlignment w:val="auto"/>
              <w:rPr>
                <w:rFonts w:hint="eastAsia"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开户行：中国银行股份有限公司灵宝桃林支行</w:t>
            </w:r>
          </w:p>
          <w:p w14:paraId="49063C40">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cs="Times New Roman" w:asciiTheme="minorEastAsia" w:hAnsiTheme="minorEastAsia" w:eastAsiaTheme="minorEastAsia"/>
                <w:color w:val="auto"/>
                <w:kern w:val="2"/>
                <w:sz w:val="24"/>
                <w:szCs w:val="24"/>
                <w:highlight w:val="none"/>
              </w:rPr>
              <w:t>账号：248196255393</w:t>
            </w:r>
          </w:p>
        </w:tc>
      </w:tr>
      <w:tr w14:paraId="242D7BC5">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7BB828F">
            <w:pPr>
              <w:keepNext w:val="0"/>
              <w:keepLines w:val="0"/>
              <w:pageBreakBefore w:val="0"/>
              <w:widowControl/>
              <w:kinsoku/>
              <w:wordWrap/>
              <w:overflowPunct/>
              <w:topLinePunct w:val="0"/>
              <w:autoSpaceDE w:val="0"/>
              <w:autoSpaceDN w:val="0"/>
              <w:bidi w:val="0"/>
              <w:adjustRightInd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w:t>
            </w:r>
          </w:p>
        </w:tc>
        <w:tc>
          <w:tcPr>
            <w:tcW w:w="1920" w:type="dxa"/>
            <w:tcBorders>
              <w:top w:val="single" w:color="auto" w:sz="4" w:space="0"/>
              <w:left w:val="nil"/>
              <w:bottom w:val="single" w:color="auto" w:sz="4" w:space="0"/>
              <w:right w:val="single" w:color="auto" w:sz="4" w:space="0"/>
            </w:tcBorders>
            <w:vAlign w:val="center"/>
          </w:tcPr>
          <w:p w14:paraId="31718A30">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b w:val="0"/>
                <w:bCs w:val="0"/>
                <w:color w:val="auto"/>
                <w:spacing w:val="6"/>
                <w:sz w:val="24"/>
                <w:szCs w:val="24"/>
                <w:highlight w:val="none"/>
                <w:lang w:val="en-US" w:eastAsia="zh-CN"/>
              </w:rPr>
            </w:pPr>
            <w:r>
              <w:rPr>
                <w:rFonts w:hint="eastAsia" w:asciiTheme="minorEastAsia" w:hAnsiTheme="minorEastAsia" w:eastAsiaTheme="minorEastAsia" w:cstheme="minorEastAsia"/>
                <w:b w:val="0"/>
                <w:bCs w:val="0"/>
                <w:color w:val="auto"/>
                <w:spacing w:val="6"/>
                <w:sz w:val="24"/>
                <w:szCs w:val="24"/>
                <w:highlight w:val="none"/>
                <w:lang w:val="en-US" w:eastAsia="zh-CN"/>
              </w:rPr>
              <w:t>合同签订与付款方式</w:t>
            </w:r>
          </w:p>
        </w:tc>
        <w:tc>
          <w:tcPr>
            <w:tcW w:w="5890" w:type="dxa"/>
            <w:tcBorders>
              <w:top w:val="single" w:color="auto" w:sz="4" w:space="0"/>
              <w:left w:val="nil"/>
              <w:bottom w:val="single" w:color="auto" w:sz="4" w:space="0"/>
              <w:right w:val="single" w:color="auto" w:sz="4" w:space="0"/>
            </w:tcBorders>
            <w:vAlign w:val="center"/>
          </w:tcPr>
          <w:p w14:paraId="7E3A1EDA">
            <w:pPr>
              <w:keepNext w:val="0"/>
              <w:keepLines w:val="0"/>
              <w:pageBreakBefore w:val="0"/>
              <w:widowControl/>
              <w:kinsoku/>
              <w:wordWrap/>
              <w:overflowPunct/>
              <w:topLinePunct w:val="0"/>
              <w:bidi w:val="0"/>
              <w:snapToGrid/>
              <w:spacing w:after="0" w:line="360" w:lineRule="auto"/>
              <w:jc w:val="left"/>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成交后双方自行协商</w:t>
            </w:r>
          </w:p>
        </w:tc>
      </w:tr>
      <w:tr w14:paraId="6C106030">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E0DD549">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0"/>
                <w:sz w:val="24"/>
                <w:szCs w:val="24"/>
                <w:highlight w:val="none"/>
              </w:rPr>
            </w:pPr>
            <w:bookmarkStart w:id="30" w:name="_Toc179632546"/>
            <w:bookmarkStart w:id="31" w:name="_Toc246996918"/>
            <w:bookmarkStart w:id="32" w:name="_Toc144974497"/>
            <w:bookmarkStart w:id="33" w:name="_Toc296602420"/>
            <w:bookmarkStart w:id="34" w:name="_Toc152045529"/>
            <w:bookmarkStart w:id="35" w:name="_Toc247085689"/>
            <w:bookmarkStart w:id="36" w:name="_Toc246996175"/>
            <w:bookmarkStart w:id="37" w:name="_Toc152042305"/>
            <w:r>
              <w:rPr>
                <w:rFonts w:hint="eastAsia" w:asciiTheme="minorEastAsia" w:hAnsiTheme="minorEastAsia" w:eastAsiaTheme="minorEastAsia" w:cstheme="minorEastAsia"/>
                <w:color w:val="auto"/>
                <w:sz w:val="24"/>
                <w:szCs w:val="24"/>
                <w:highlight w:val="none"/>
              </w:rPr>
              <w:t>5.0</w:t>
            </w:r>
          </w:p>
        </w:tc>
        <w:tc>
          <w:tcPr>
            <w:tcW w:w="1920" w:type="dxa"/>
            <w:tcBorders>
              <w:top w:val="single" w:color="auto" w:sz="4" w:space="0"/>
              <w:left w:val="nil"/>
              <w:bottom w:val="single" w:color="auto" w:sz="4" w:space="0"/>
              <w:right w:val="single" w:color="auto" w:sz="4" w:space="0"/>
            </w:tcBorders>
            <w:vAlign w:val="center"/>
          </w:tcPr>
          <w:p w14:paraId="6C08CBE0">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不良行为记录</w:t>
            </w:r>
          </w:p>
        </w:tc>
        <w:tc>
          <w:tcPr>
            <w:tcW w:w="5890" w:type="dxa"/>
            <w:tcBorders>
              <w:top w:val="single" w:color="auto" w:sz="4" w:space="0"/>
              <w:left w:val="nil"/>
              <w:bottom w:val="single" w:color="auto" w:sz="4" w:space="0"/>
              <w:right w:val="single" w:color="auto" w:sz="4" w:space="0"/>
            </w:tcBorders>
            <w:vAlign w:val="center"/>
          </w:tcPr>
          <w:p w14:paraId="5C8BA971">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在以往项目中，因质量、安全、节能及交易活动受通报批评或记入不良行为记录。</w:t>
            </w:r>
          </w:p>
        </w:tc>
      </w:tr>
      <w:tr w14:paraId="3BDF2DD8">
        <w:tblPrEx>
          <w:tblCellMar>
            <w:top w:w="0" w:type="dxa"/>
            <w:left w:w="108" w:type="dxa"/>
            <w:bottom w:w="0" w:type="dxa"/>
            <w:right w:w="108" w:type="dxa"/>
          </w:tblCellMar>
        </w:tblPrEx>
        <w:trPr>
          <w:trHeight w:val="6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A62152C">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1920" w:type="dxa"/>
            <w:tcBorders>
              <w:top w:val="single" w:color="auto" w:sz="4" w:space="0"/>
              <w:left w:val="nil"/>
              <w:bottom w:val="single" w:color="auto" w:sz="4" w:space="0"/>
              <w:right w:val="single" w:color="auto" w:sz="4" w:space="0"/>
            </w:tcBorders>
            <w:vAlign w:val="center"/>
          </w:tcPr>
          <w:p w14:paraId="2249FBAB">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b/>
                <w:bCs/>
                <w:color w:val="auto"/>
                <w:sz w:val="24"/>
                <w:szCs w:val="24"/>
                <w:highlight w:val="none"/>
              </w:rPr>
              <w:t>政府采购政策</w:t>
            </w:r>
          </w:p>
        </w:tc>
        <w:tc>
          <w:tcPr>
            <w:tcW w:w="5890" w:type="dxa"/>
            <w:tcBorders>
              <w:top w:val="single" w:color="auto" w:sz="4" w:space="0"/>
              <w:left w:val="nil"/>
              <w:bottom w:val="single" w:color="auto" w:sz="4" w:space="0"/>
              <w:right w:val="single" w:color="auto" w:sz="4" w:space="0"/>
            </w:tcBorders>
            <w:vAlign w:val="center"/>
          </w:tcPr>
          <w:p w14:paraId="27498470">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根据《政府采购促进中小企业发展管理办法》</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财库﹝2020﹞46 号）的规定本项目对中小微企业扶持政策按以下规定落实：</w:t>
            </w:r>
          </w:p>
          <w:p w14:paraId="62B968A4">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kern w:val="44"/>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1）参与采购的供应商应提供《中小企业声明函》</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lang w:val="en-US" w:eastAsia="zh-CN"/>
              </w:rPr>
              <w:t>并提供证明材料。</w:t>
            </w:r>
          </w:p>
          <w:p w14:paraId="71CB04DD">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2）采购标的对应的中小企业划分标准所属行业：根据工信部联企业[2011]300号文的规定，本项目涉及中小企业的行业划型属于</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b/>
                <w:bCs/>
                <w:color w:val="auto"/>
                <w:kern w:val="44"/>
                <w:sz w:val="24"/>
                <w:szCs w:val="24"/>
                <w:highlight w:val="none"/>
              </w:rPr>
              <w:t>软件和信息技术服务业</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　　</w:t>
            </w:r>
          </w:p>
          <w:p w14:paraId="15154DAA">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3）其他优惠措施：监狱企业、残疾人福利性单位视同小微企业。</w:t>
            </w:r>
          </w:p>
          <w:p w14:paraId="5A4961EA">
            <w:pPr>
              <w:keepNext w:val="0"/>
              <w:keepLines w:val="0"/>
              <w:pageBreakBefore w:val="0"/>
              <w:widowControl/>
              <w:kinsoku/>
              <w:wordWrap/>
              <w:overflowPunct/>
              <w:topLinePunct w:val="0"/>
              <w:bidi w:val="0"/>
              <w:snapToGrid/>
              <w:spacing w:after="0" w:line="360" w:lineRule="auto"/>
              <w:ind w:firstLine="240" w:firstLineChars="1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相关风险：提供虚假证明材料后果：</w:t>
            </w:r>
            <w:r>
              <w:rPr>
                <w:rFonts w:hint="eastAsia" w:asciiTheme="minorEastAsia" w:hAnsiTheme="minorEastAsia" w:eastAsiaTheme="minorEastAsia" w:cstheme="minorEastAsia"/>
                <w:color w:val="auto"/>
                <w:kern w:val="44"/>
                <w:sz w:val="24"/>
                <w:szCs w:val="24"/>
                <w:highlight w:val="none"/>
                <w:lang w:eastAsia="zh-CN"/>
              </w:rPr>
              <w:t>供应商</w:t>
            </w:r>
            <w:r>
              <w:rPr>
                <w:rFonts w:hint="eastAsia" w:asciiTheme="minorEastAsia" w:hAnsiTheme="minorEastAsia" w:eastAsiaTheme="minorEastAsia" w:cstheme="minorEastAsia"/>
                <w:color w:val="auto"/>
                <w:kern w:val="44"/>
                <w:sz w:val="24"/>
                <w:szCs w:val="24"/>
                <w:highlight w:val="none"/>
              </w:rPr>
              <w:t>为取得上述身份而提供虚假证明材料，在评审过程中发现的，按无效标处理；已取得中标资格的，无论该行为是否影响中标，均取消其中标资格；该</w:t>
            </w:r>
            <w:r>
              <w:rPr>
                <w:rFonts w:hint="eastAsia" w:asciiTheme="minorEastAsia" w:hAnsiTheme="minorEastAsia" w:eastAsiaTheme="minorEastAsia" w:cstheme="minorEastAsia"/>
                <w:color w:val="auto"/>
                <w:kern w:val="44"/>
                <w:sz w:val="24"/>
                <w:szCs w:val="24"/>
                <w:highlight w:val="none"/>
                <w:lang w:eastAsia="zh-CN"/>
              </w:rPr>
              <w:t>供应商</w:t>
            </w:r>
            <w:r>
              <w:rPr>
                <w:rFonts w:hint="eastAsia" w:asciiTheme="minorEastAsia" w:hAnsiTheme="minorEastAsia" w:eastAsiaTheme="minorEastAsia" w:cstheme="minorEastAsia"/>
                <w:color w:val="auto"/>
                <w:kern w:val="44"/>
                <w:sz w:val="24"/>
                <w:szCs w:val="24"/>
                <w:highlight w:val="none"/>
              </w:rPr>
              <w:t>还应承担由此引起的其他经济、法律责任。出现此种情形时，</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w:t>
            </w:r>
            <w:r>
              <w:rPr>
                <w:rFonts w:hint="eastAsia" w:asciiTheme="minorEastAsia" w:hAnsiTheme="minorEastAsia" w:eastAsiaTheme="minorEastAsia" w:cstheme="minorEastAsia"/>
                <w:color w:val="auto"/>
                <w:kern w:val="44"/>
                <w:sz w:val="24"/>
                <w:szCs w:val="24"/>
                <w:highlight w:val="none"/>
                <w:lang w:eastAsia="zh-CN"/>
              </w:rPr>
              <w:t>采购代理机构</w:t>
            </w:r>
            <w:r>
              <w:rPr>
                <w:rFonts w:hint="eastAsia" w:asciiTheme="minorEastAsia" w:hAnsiTheme="minorEastAsia" w:eastAsiaTheme="minorEastAsia" w:cstheme="minorEastAsia"/>
                <w:color w:val="auto"/>
                <w:kern w:val="44"/>
                <w:sz w:val="24"/>
                <w:szCs w:val="24"/>
                <w:highlight w:val="none"/>
              </w:rPr>
              <w:t>将有关情况上报政府采购监管部门，由监管部门按有关规定对其进行相应处罚。</w:t>
            </w:r>
          </w:p>
        </w:tc>
      </w:tr>
      <w:tr w14:paraId="3546D774">
        <w:tblPrEx>
          <w:tblCellMar>
            <w:top w:w="0" w:type="dxa"/>
            <w:left w:w="108" w:type="dxa"/>
            <w:bottom w:w="0" w:type="dxa"/>
            <w:right w:w="108" w:type="dxa"/>
          </w:tblCellMar>
        </w:tblPrEx>
        <w:trPr>
          <w:trHeight w:val="403" w:hRule="atLeast"/>
          <w:jc w:val="center"/>
        </w:trPr>
        <w:tc>
          <w:tcPr>
            <w:tcW w:w="8818" w:type="dxa"/>
            <w:gridSpan w:val="3"/>
            <w:tcBorders>
              <w:top w:val="single" w:color="auto" w:sz="4" w:space="0"/>
              <w:left w:val="single" w:color="auto" w:sz="4" w:space="0"/>
              <w:bottom w:val="single" w:color="auto" w:sz="4" w:space="0"/>
              <w:right w:val="single" w:color="auto" w:sz="4" w:space="0"/>
            </w:tcBorders>
            <w:vAlign w:val="center"/>
          </w:tcPr>
          <w:p w14:paraId="07BC4BB9">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5.2 成交公示</w:t>
            </w:r>
          </w:p>
        </w:tc>
      </w:tr>
      <w:tr w14:paraId="66647DA0">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10606EA">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p>
          <w:p w14:paraId="482AB916">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sz w:val="24"/>
                <w:szCs w:val="24"/>
                <w:highlight w:val="none"/>
              </w:rPr>
            </w:pPr>
          </w:p>
        </w:tc>
        <w:tc>
          <w:tcPr>
            <w:tcW w:w="7810" w:type="dxa"/>
            <w:gridSpan w:val="2"/>
            <w:tcBorders>
              <w:top w:val="single" w:color="auto" w:sz="4" w:space="0"/>
              <w:left w:val="nil"/>
              <w:bottom w:val="single" w:color="auto" w:sz="4" w:space="0"/>
              <w:right w:val="single" w:color="auto" w:sz="4" w:space="0"/>
            </w:tcBorders>
            <w:vAlign w:val="center"/>
          </w:tcPr>
          <w:p w14:paraId="055420F9">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在成交通知书发出前，</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将成交候选人的情况在本磋商项目竞争性磋商公告发布的同一媒介《</w:t>
            </w:r>
            <w:r>
              <w:rPr>
                <w:rFonts w:hint="eastAsia" w:asciiTheme="minorEastAsia" w:hAnsiTheme="minorEastAsia" w:eastAsiaTheme="minorEastAsia" w:cstheme="minorEastAsia"/>
                <w:color w:val="auto"/>
                <w:kern w:val="44"/>
                <w:sz w:val="24"/>
                <w:szCs w:val="24"/>
                <w:highlight w:val="none"/>
                <w:lang w:val="en-US" w:eastAsia="zh-CN"/>
              </w:rPr>
              <w:t>中国</w:t>
            </w:r>
            <w:r>
              <w:rPr>
                <w:rFonts w:hint="eastAsia" w:asciiTheme="minorEastAsia" w:hAnsiTheme="minorEastAsia" w:eastAsiaTheme="minorEastAsia" w:cstheme="minorEastAsia"/>
                <w:color w:val="auto"/>
                <w:kern w:val="44"/>
                <w:sz w:val="24"/>
                <w:szCs w:val="24"/>
                <w:highlight w:val="none"/>
              </w:rPr>
              <w:t>采购与招标网》、《河南省政府采购网》、《三门峡市公共资源交易中心网》上予以公示。</w:t>
            </w:r>
          </w:p>
        </w:tc>
      </w:tr>
      <w:tr w14:paraId="6EEBD715">
        <w:tblPrEx>
          <w:tblCellMar>
            <w:top w:w="0" w:type="dxa"/>
            <w:left w:w="108" w:type="dxa"/>
            <w:bottom w:w="0" w:type="dxa"/>
            <w:right w:w="108" w:type="dxa"/>
          </w:tblCellMar>
        </w:tblPrEx>
        <w:trPr>
          <w:trHeight w:val="514" w:hRule="atLeast"/>
          <w:jc w:val="center"/>
        </w:trPr>
        <w:tc>
          <w:tcPr>
            <w:tcW w:w="8818" w:type="dxa"/>
            <w:gridSpan w:val="3"/>
            <w:tcBorders>
              <w:top w:val="single" w:color="auto" w:sz="4" w:space="0"/>
              <w:left w:val="single" w:color="auto" w:sz="4" w:space="0"/>
              <w:bottom w:val="single" w:color="auto" w:sz="4" w:space="0"/>
              <w:right w:val="single" w:color="auto" w:sz="4" w:space="0"/>
            </w:tcBorders>
            <w:vAlign w:val="center"/>
          </w:tcPr>
          <w:p w14:paraId="2B09ACF9">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5.3知识产权</w:t>
            </w:r>
          </w:p>
        </w:tc>
      </w:tr>
      <w:tr w14:paraId="50DCDB88">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1134678">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7810" w:type="dxa"/>
            <w:gridSpan w:val="2"/>
            <w:tcBorders>
              <w:top w:val="single" w:color="auto" w:sz="4" w:space="0"/>
              <w:left w:val="nil"/>
              <w:bottom w:val="single" w:color="auto" w:sz="4" w:space="0"/>
              <w:right w:val="single" w:color="auto" w:sz="4" w:space="0"/>
            </w:tcBorders>
            <w:vAlign w:val="center"/>
          </w:tcPr>
          <w:p w14:paraId="4562D170">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构成本竞争性磋商文件各个组成部分的文件，未经</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书面同意，</w:t>
            </w:r>
            <w:r>
              <w:rPr>
                <w:rFonts w:hint="eastAsia" w:asciiTheme="minorEastAsia" w:hAnsiTheme="minorEastAsia" w:eastAsiaTheme="minorEastAsia" w:cstheme="minorEastAsia"/>
                <w:color w:val="auto"/>
                <w:kern w:val="44"/>
                <w:sz w:val="24"/>
                <w:szCs w:val="24"/>
                <w:highlight w:val="none"/>
                <w:lang w:eastAsia="zh-CN"/>
              </w:rPr>
              <w:t>供应商</w:t>
            </w:r>
            <w:r>
              <w:rPr>
                <w:rFonts w:hint="eastAsia" w:asciiTheme="minorEastAsia" w:hAnsiTheme="minorEastAsia" w:eastAsiaTheme="minorEastAsia" w:cstheme="minorEastAsia"/>
                <w:color w:val="auto"/>
                <w:kern w:val="44"/>
                <w:sz w:val="24"/>
                <w:szCs w:val="24"/>
                <w:highlight w:val="none"/>
              </w:rPr>
              <w:t>不得擅自复印和用于非本磋商项目所需的其他目的。</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全部或者部分使用未成交人磋商响应文件中的技术成果或技术方案时，需征得其书面同意，并不得擅自复印或提供给第三人。</w:t>
            </w:r>
          </w:p>
        </w:tc>
      </w:tr>
      <w:tr w14:paraId="61AAF8F7">
        <w:tblPrEx>
          <w:tblCellMar>
            <w:top w:w="0" w:type="dxa"/>
            <w:left w:w="108" w:type="dxa"/>
            <w:bottom w:w="0" w:type="dxa"/>
            <w:right w:w="108" w:type="dxa"/>
          </w:tblCellMar>
        </w:tblPrEx>
        <w:trPr>
          <w:trHeight w:val="470" w:hRule="atLeast"/>
          <w:jc w:val="center"/>
        </w:trPr>
        <w:tc>
          <w:tcPr>
            <w:tcW w:w="8818" w:type="dxa"/>
            <w:gridSpan w:val="3"/>
            <w:tcBorders>
              <w:top w:val="single" w:color="auto" w:sz="4" w:space="0"/>
              <w:left w:val="single" w:color="auto" w:sz="4" w:space="0"/>
              <w:bottom w:val="single" w:color="auto" w:sz="4" w:space="0"/>
              <w:right w:val="single" w:color="auto" w:sz="4" w:space="0"/>
            </w:tcBorders>
            <w:vAlign w:val="center"/>
          </w:tcPr>
          <w:p w14:paraId="4631C0DD">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5.4同义词语</w:t>
            </w:r>
          </w:p>
        </w:tc>
      </w:tr>
      <w:tr w14:paraId="21E57177">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A18CC25">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p>
          <w:p w14:paraId="526D18C4">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p>
        </w:tc>
        <w:tc>
          <w:tcPr>
            <w:tcW w:w="7810" w:type="dxa"/>
            <w:gridSpan w:val="2"/>
            <w:tcBorders>
              <w:top w:val="single" w:color="auto" w:sz="4" w:space="0"/>
              <w:left w:val="nil"/>
              <w:bottom w:val="single" w:color="auto" w:sz="4" w:space="0"/>
              <w:right w:val="single" w:color="auto" w:sz="4" w:space="0"/>
            </w:tcBorders>
            <w:vAlign w:val="center"/>
          </w:tcPr>
          <w:p w14:paraId="5C0CDD79">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构成竞争性磋商文件组成部分的</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通用合同条款</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专用合同条款</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技术标准和要求</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等章节中出现的措辞</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发包人</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和</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承包人</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，在招标投标阶段应当分别按</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和</w:t>
            </w:r>
            <w:r>
              <w:rPr>
                <w:rFonts w:hint="eastAsia" w:asciiTheme="minorEastAsia" w:hAnsiTheme="minorEastAsia" w:eastAsiaTheme="minorEastAsia" w:cstheme="minorEastAsia"/>
                <w:color w:val="auto"/>
                <w:kern w:val="44"/>
                <w:sz w:val="24"/>
                <w:szCs w:val="24"/>
                <w:highlight w:val="none"/>
                <w:lang w:eastAsia="zh-CN"/>
              </w:rPr>
              <w:t>“供应商”</w:t>
            </w:r>
            <w:r>
              <w:rPr>
                <w:rFonts w:hint="eastAsia" w:asciiTheme="minorEastAsia" w:hAnsiTheme="minorEastAsia" w:eastAsiaTheme="minorEastAsia" w:cstheme="minorEastAsia"/>
                <w:color w:val="auto"/>
                <w:kern w:val="44"/>
                <w:sz w:val="24"/>
                <w:szCs w:val="24"/>
                <w:highlight w:val="none"/>
              </w:rPr>
              <w:t>进行理解。</w:t>
            </w:r>
          </w:p>
        </w:tc>
      </w:tr>
      <w:tr w14:paraId="126259F8">
        <w:tblPrEx>
          <w:tblCellMar>
            <w:top w:w="0" w:type="dxa"/>
            <w:left w:w="108" w:type="dxa"/>
            <w:bottom w:w="0" w:type="dxa"/>
            <w:right w:w="108" w:type="dxa"/>
          </w:tblCellMar>
        </w:tblPrEx>
        <w:trPr>
          <w:trHeight w:val="426" w:hRule="atLeast"/>
          <w:jc w:val="center"/>
        </w:trPr>
        <w:tc>
          <w:tcPr>
            <w:tcW w:w="8818" w:type="dxa"/>
            <w:gridSpan w:val="3"/>
            <w:tcBorders>
              <w:top w:val="single" w:color="auto" w:sz="4" w:space="0"/>
              <w:left w:val="single" w:color="auto" w:sz="4" w:space="0"/>
              <w:bottom w:val="single" w:color="auto" w:sz="4" w:space="0"/>
              <w:right w:val="single" w:color="auto" w:sz="4" w:space="0"/>
            </w:tcBorders>
            <w:vAlign w:val="center"/>
          </w:tcPr>
          <w:p w14:paraId="33ACA018">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5.5监督</w:t>
            </w:r>
          </w:p>
        </w:tc>
      </w:tr>
      <w:tr w14:paraId="27373D2F">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F6101B7">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p>
        </w:tc>
        <w:tc>
          <w:tcPr>
            <w:tcW w:w="7810" w:type="dxa"/>
            <w:gridSpan w:val="2"/>
            <w:tcBorders>
              <w:top w:val="single" w:color="auto" w:sz="4" w:space="0"/>
              <w:left w:val="nil"/>
              <w:bottom w:val="single" w:color="auto" w:sz="4" w:space="0"/>
              <w:right w:val="single" w:color="auto" w:sz="4" w:space="0"/>
            </w:tcBorders>
            <w:vAlign w:val="center"/>
          </w:tcPr>
          <w:p w14:paraId="6F010940">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本项目的招标投标活动及其相关当事人应当接受有管辖权的行政监督部门依法实施的监督。</w:t>
            </w:r>
          </w:p>
        </w:tc>
      </w:tr>
      <w:tr w14:paraId="4F791889">
        <w:tblPrEx>
          <w:tblCellMar>
            <w:top w:w="0" w:type="dxa"/>
            <w:left w:w="108" w:type="dxa"/>
            <w:bottom w:w="0" w:type="dxa"/>
            <w:right w:w="108" w:type="dxa"/>
          </w:tblCellMar>
        </w:tblPrEx>
        <w:trPr>
          <w:trHeight w:val="727" w:hRule="atLeast"/>
          <w:jc w:val="center"/>
        </w:trPr>
        <w:tc>
          <w:tcPr>
            <w:tcW w:w="8818" w:type="dxa"/>
            <w:gridSpan w:val="3"/>
            <w:tcBorders>
              <w:top w:val="single" w:color="auto" w:sz="4" w:space="0"/>
              <w:left w:val="single" w:color="auto" w:sz="4" w:space="0"/>
              <w:bottom w:val="single" w:color="auto" w:sz="4" w:space="0"/>
              <w:right w:val="single" w:color="auto" w:sz="4" w:space="0"/>
            </w:tcBorders>
            <w:vAlign w:val="center"/>
          </w:tcPr>
          <w:p w14:paraId="6AD66BF2">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5.6解释权</w:t>
            </w:r>
          </w:p>
        </w:tc>
      </w:tr>
      <w:tr w14:paraId="3201F7AA">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AAB311B">
            <w:pPr>
              <w:keepNext w:val="0"/>
              <w:keepLines w:val="0"/>
              <w:pageBreakBefore w:val="0"/>
              <w:widowControl/>
              <w:kinsoku/>
              <w:wordWrap/>
              <w:overflowPunct/>
              <w:topLinePunct w:val="0"/>
              <w:bidi w:val="0"/>
              <w:snapToGrid/>
              <w:spacing w:after="0" w:line="360" w:lineRule="auto"/>
              <w:jc w:val="left"/>
              <w:textAlignment w:val="auto"/>
              <w:rPr>
                <w:rFonts w:hint="eastAsia" w:asciiTheme="minorEastAsia" w:hAnsiTheme="minorEastAsia" w:eastAsiaTheme="minorEastAsia" w:cstheme="minorEastAsia"/>
                <w:color w:val="auto"/>
                <w:kern w:val="44"/>
                <w:sz w:val="24"/>
                <w:szCs w:val="24"/>
                <w:highlight w:val="none"/>
              </w:rPr>
            </w:pPr>
          </w:p>
        </w:tc>
        <w:tc>
          <w:tcPr>
            <w:tcW w:w="7810" w:type="dxa"/>
            <w:gridSpan w:val="2"/>
            <w:tcBorders>
              <w:top w:val="single" w:color="auto" w:sz="4" w:space="0"/>
              <w:left w:val="nil"/>
              <w:bottom w:val="single" w:color="auto" w:sz="4" w:space="0"/>
              <w:right w:val="single" w:color="auto" w:sz="4" w:space="0"/>
            </w:tcBorders>
            <w:vAlign w:val="center"/>
          </w:tcPr>
          <w:p w14:paraId="39660258">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  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w:t>
            </w:r>
            <w:r>
              <w:rPr>
                <w:rFonts w:hint="eastAsia" w:asciiTheme="minorEastAsia" w:hAnsiTheme="minorEastAsia" w:eastAsiaTheme="minorEastAsia" w:cstheme="minorEastAsia"/>
                <w:color w:val="auto"/>
                <w:kern w:val="44"/>
                <w:sz w:val="24"/>
                <w:szCs w:val="24"/>
                <w:highlight w:val="none"/>
                <w:lang w:eastAsia="zh-CN"/>
              </w:rPr>
              <w:t>供应商</w:t>
            </w:r>
            <w:r>
              <w:rPr>
                <w:rFonts w:hint="eastAsia" w:asciiTheme="minorEastAsia" w:hAnsiTheme="minorEastAsia" w:eastAsiaTheme="minorEastAsia" w:cstheme="minorEastAsia"/>
                <w:color w:val="auto"/>
                <w:kern w:val="44"/>
                <w:sz w:val="24"/>
                <w:szCs w:val="24"/>
                <w:highlight w:val="none"/>
              </w:rPr>
              <w:t>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负责解释。</w:t>
            </w:r>
          </w:p>
        </w:tc>
      </w:tr>
      <w:tr w14:paraId="2DE28573">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6FAAE4E">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5.7</w:t>
            </w:r>
          </w:p>
          <w:p w14:paraId="551742EC">
            <w:pPr>
              <w:keepNext w:val="0"/>
              <w:keepLines w:val="0"/>
              <w:pageBreakBefore w:val="0"/>
              <w:widowControl/>
              <w:kinsoku/>
              <w:wordWrap/>
              <w:overflowPunct/>
              <w:topLinePunct w:val="0"/>
              <w:bidi w:val="0"/>
              <w:snapToGrid/>
              <w:spacing w:after="0"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电子化交易注意事项</w:t>
            </w:r>
          </w:p>
        </w:tc>
        <w:tc>
          <w:tcPr>
            <w:tcW w:w="7810" w:type="dxa"/>
            <w:gridSpan w:val="2"/>
            <w:tcBorders>
              <w:top w:val="single" w:color="auto" w:sz="4" w:space="0"/>
              <w:left w:val="nil"/>
              <w:bottom w:val="single" w:color="auto" w:sz="4" w:space="0"/>
              <w:right w:val="single" w:color="auto" w:sz="4" w:space="0"/>
            </w:tcBorders>
            <w:vAlign w:val="center"/>
          </w:tcPr>
          <w:p w14:paraId="7D5AE62B">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本项目为电子化、无纸化交易项目，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是供应商、供应商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）通过中心</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制作系统制作，并经过电子签章和加密后生成的电子版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。供应商投标时，将不再接受任何纸质文件资料。</w:t>
            </w:r>
          </w:p>
          <w:p w14:paraId="1172873E">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具体制作文件请点击</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"http://t.cn/A6ZvtVob"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http://t.cn/A6ZvtVob</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进行下载。</w:t>
            </w:r>
          </w:p>
          <w:p w14:paraId="7948CF37">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温馨提示：本项目为电子化、无纸化交易项目，供应商时不接受任何纸质资料，为保证您能投标成功，请需仔细阅读以下条款。</w:t>
            </w:r>
          </w:p>
          <w:p w14:paraId="67F09296">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具体要求：本项目为电子化、无纸化交易项目，响应文件是</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通过中心磋商响应文件制作系统制作，并经过签章和加密后生成的电子版磋商响应文件。</w:t>
            </w:r>
          </w:p>
          <w:p w14:paraId="53949FB3">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一、电子化投标</w:t>
            </w:r>
          </w:p>
          <w:p w14:paraId="24C1F6F0">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一）网上磋商保证金的缴纳</w:t>
            </w:r>
          </w:p>
          <w:p w14:paraId="709D8B03">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本项目不收取磋商保证金。</w:t>
            </w:r>
          </w:p>
          <w:p w14:paraId="721D4E14">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二）电子化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的签章</w:t>
            </w:r>
          </w:p>
          <w:p w14:paraId="1532348A">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在生成电子化磋商响应文件后，应对电子化磋商响应文件进行签章，未进行签章的视为无效投标。</w:t>
            </w:r>
          </w:p>
          <w:p w14:paraId="42EC5740">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竞争性磋商文件中要求磋商响应</w:t>
            </w:r>
            <w:r>
              <w:rPr>
                <w:rFonts w:hint="eastAsia" w:asciiTheme="minorEastAsia" w:hAnsiTheme="minorEastAsia" w:eastAsiaTheme="minorEastAsia" w:cstheme="minorEastAsia"/>
                <w:b/>
                <w:color w:val="auto"/>
                <w:sz w:val="24"/>
                <w:highlight w:val="none"/>
                <w:lang w:val="en-US" w:eastAsia="zh-CN"/>
              </w:rPr>
              <w:t>供应商</w:t>
            </w:r>
            <w:r>
              <w:rPr>
                <w:rFonts w:hint="eastAsia" w:asciiTheme="minorEastAsia" w:hAnsiTheme="minorEastAsia" w:eastAsiaTheme="minorEastAsia" w:cstheme="minorEastAsia"/>
                <w:b/>
                <w:color w:val="auto"/>
                <w:sz w:val="24"/>
                <w:highlight w:val="none"/>
              </w:rPr>
              <w:t>盖章的，以签盖单位章为准；要求法定代表人或授权代理人签章的，以签盖法定代表人签章为准</w:t>
            </w:r>
            <w:r>
              <w:rPr>
                <w:rFonts w:hint="eastAsia" w:asciiTheme="minorEastAsia" w:hAnsiTheme="minorEastAsia" w:eastAsiaTheme="minorEastAsia" w:cstheme="minorEastAsia"/>
                <w:color w:val="auto"/>
                <w:sz w:val="24"/>
                <w:highlight w:val="none"/>
              </w:rPr>
              <w:t>。</w:t>
            </w:r>
          </w:p>
          <w:p w14:paraId="2D7CC36A">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三）电子化磋商响应文件的格式及上传</w:t>
            </w:r>
          </w:p>
          <w:p w14:paraId="2F1D607A">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所上传的电子化磋商响应文件，应是通过中心</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制作系统制作的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制作工具下载地址：</w:t>
            </w:r>
            <w:r>
              <w:rPr>
                <w:rFonts w:hint="eastAsia" w:asciiTheme="minorEastAsia" w:hAnsiTheme="minorEastAsia" w:eastAsiaTheme="minorEastAsia" w:cstheme="minorEastAsia"/>
                <w:color w:val="auto"/>
                <w:sz w:val="24"/>
                <w:szCs w:val="24"/>
                <w:highlight w:val="none"/>
              </w:rPr>
              <w:t>https://download.bqpoint.com/download/downloaddetail.html?SourceFrom=Ztb&amp;ZtbSoftXiaQuCode=1506&amp;ZtbSoftType=tballinclusive</w:t>
            </w:r>
            <w:r>
              <w:rPr>
                <w:rFonts w:hint="eastAsia" w:asciiTheme="minorEastAsia" w:hAnsiTheme="minorEastAsia" w:eastAsiaTheme="minorEastAsia" w:cstheme="minorEastAsia"/>
                <w:color w:val="auto"/>
                <w:sz w:val="24"/>
                <w:highlight w:val="none"/>
              </w:rPr>
              <w:t>），经过签章和加密后生成的电子版磋商响应文件。其中包含用于磋商响应文件上传的主文件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后缀为.smxtf）和用于应急补救的磋商响应文件备份文件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后缀为.nsmxtf）。备份文件主要用于电子化开标出现技术问题后的补救。</w:t>
            </w:r>
          </w:p>
          <w:p w14:paraId="1BB64B4D">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2、电子化磋商响应文件应在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时间前成功上传至三门峡市公共资源电子化交易系统。至</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时间止，仍未上传成功的电子化磋商响应文件将不予接收。</w:t>
            </w:r>
          </w:p>
          <w:p w14:paraId="254371E1">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color w:val="auto"/>
                <w:sz w:val="24"/>
                <w:highlight w:val="none"/>
              </w:rPr>
              <w:t>如按照电子化投标操作教材制作完成的电子化磋商响应文件无法上传的，</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b/>
                <w:color w:val="auto"/>
                <w:sz w:val="24"/>
                <w:highlight w:val="none"/>
                <w:lang w:eastAsia="zh-CN"/>
              </w:rPr>
              <w:t>磋商</w:t>
            </w:r>
            <w:r>
              <w:rPr>
                <w:rFonts w:hint="eastAsia" w:asciiTheme="minorEastAsia" w:hAnsiTheme="minorEastAsia" w:eastAsiaTheme="minorEastAsia" w:cstheme="minorEastAsia"/>
                <w:b/>
                <w:color w:val="auto"/>
                <w:sz w:val="24"/>
                <w:highlight w:val="none"/>
              </w:rPr>
              <w:t>时间前尽早的</w:t>
            </w:r>
            <w:r>
              <w:rPr>
                <w:rFonts w:hint="eastAsia" w:asciiTheme="minorEastAsia" w:hAnsiTheme="minorEastAsia" w:eastAsiaTheme="minorEastAsia" w:cstheme="minorEastAsia"/>
                <w:color w:val="auto"/>
                <w:sz w:val="24"/>
                <w:highlight w:val="none"/>
              </w:rPr>
              <w:t>联系中心技术人员，以便有充分的时间进行处理。</w:t>
            </w:r>
            <w:r>
              <w:rPr>
                <w:rFonts w:hint="eastAsia" w:asciiTheme="minorEastAsia" w:hAnsiTheme="minorEastAsia" w:eastAsiaTheme="minorEastAsia" w:cstheme="minorEastAsia"/>
                <w:b/>
                <w:color w:val="auto"/>
                <w:sz w:val="24"/>
                <w:highlight w:val="none"/>
                <w:lang w:val="en-US" w:eastAsia="zh-CN"/>
              </w:rPr>
              <w:t>供应商</w:t>
            </w:r>
            <w:r>
              <w:rPr>
                <w:rFonts w:hint="eastAsia" w:asciiTheme="minorEastAsia" w:hAnsiTheme="minorEastAsia" w:eastAsiaTheme="minorEastAsia" w:cstheme="minorEastAsia"/>
                <w:b/>
                <w:color w:val="auto"/>
                <w:sz w:val="24"/>
                <w:highlight w:val="none"/>
              </w:rPr>
              <w:t>应充分考虑到处理技术问题和上传数据等工作所需的时间问题，磋商响应文件未在</w:t>
            </w:r>
            <w:r>
              <w:rPr>
                <w:rFonts w:hint="eastAsia" w:asciiTheme="minorEastAsia" w:hAnsiTheme="minorEastAsia" w:eastAsiaTheme="minorEastAsia" w:cstheme="minorEastAsia"/>
                <w:b/>
                <w:color w:val="auto"/>
                <w:sz w:val="24"/>
                <w:highlight w:val="none"/>
                <w:lang w:eastAsia="zh-CN"/>
              </w:rPr>
              <w:t>磋商</w:t>
            </w:r>
            <w:r>
              <w:rPr>
                <w:rFonts w:hint="eastAsia" w:asciiTheme="minorEastAsia" w:hAnsiTheme="minorEastAsia" w:eastAsiaTheme="minorEastAsia" w:cstheme="minorEastAsia"/>
                <w:b/>
                <w:color w:val="auto"/>
                <w:sz w:val="24"/>
                <w:highlight w:val="none"/>
              </w:rPr>
              <w:t>时间前成功上传的，其磋商响应文件不予接收。</w:t>
            </w:r>
          </w:p>
          <w:p w14:paraId="417CF472">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技术联系电话：0398-3117871</w:t>
            </w:r>
          </w:p>
          <w:p w14:paraId="0826EF63">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新点客服电话：4009980000</w:t>
            </w:r>
          </w:p>
          <w:p w14:paraId="56EF1790">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四）电子化项目开标、解密、唱标、</w:t>
            </w:r>
            <w:r>
              <w:rPr>
                <w:rFonts w:hint="eastAsia" w:asciiTheme="minorEastAsia" w:hAnsiTheme="minorEastAsia" w:eastAsiaTheme="minorEastAsia" w:cstheme="minorEastAsia"/>
                <w:color w:val="auto"/>
                <w:sz w:val="24"/>
                <w:highlight w:val="none"/>
                <w:lang w:eastAsia="zh-CN"/>
              </w:rPr>
              <w:t>评审</w:t>
            </w:r>
          </w:p>
          <w:p w14:paraId="0D857B2E">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w:t>
            </w:r>
            <w:r>
              <w:rPr>
                <w:rFonts w:hint="eastAsia" w:asciiTheme="minorEastAsia" w:hAnsiTheme="minorEastAsia" w:eastAsiaTheme="minorEastAsia" w:cstheme="minorEastAsia"/>
                <w:b/>
                <w:color w:val="auto"/>
                <w:sz w:val="24"/>
                <w:highlight w:val="none"/>
              </w:rPr>
              <w:t>电子化、无纸化</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当日，</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无需到现场参加</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会议，</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时间前，登陆不见面开标大厅选择登陆三门峡市公共资源电子招投标系统进行登陆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网址为</w:t>
            </w:r>
            <w:r>
              <w:rPr>
                <w:rFonts w:hint="eastAsia" w:asciiTheme="minorEastAsia" w:hAnsiTheme="minorEastAsia" w:eastAsiaTheme="minorEastAsia" w:cstheme="minorEastAsia"/>
                <w:color w:val="auto"/>
                <w:sz w:val="24"/>
                <w:szCs w:val="24"/>
                <w:highlight w:val="none"/>
              </w:rPr>
              <w:t>http://120.194.249.36:10094/BidOpening/bidopeninghallaction/hall/login</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在线准时参加开标活动并进行磋商响应文件解密等。</w:t>
            </w:r>
          </w:p>
          <w:p w14:paraId="0FBDF9CF">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2、电子化磋商响应文件采用一次加密方式。开标时，由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使用CA 证书，在规定时间内对其电子化磋商响应文件进行解密。每位</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的解密时间为开标时间起30 分钟内，如在规定时间内未完成解密的，其磋商响应文件不予开标、唱标。</w:t>
            </w:r>
          </w:p>
          <w:p w14:paraId="53B3A845">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3、电子化磋商响应文件解密异常的处理</w:t>
            </w:r>
          </w:p>
          <w:p w14:paraId="2251BC66">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如出现</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的电子磋商响应文件无法解密等异常情况，</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应及时致电中介服务机构说明。磋商响应文件异常，按以下步骤进行处理：</w:t>
            </w:r>
          </w:p>
          <w:p w14:paraId="170A11DD">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1）首先由技术人员进行问题排查。</w:t>
            </w:r>
          </w:p>
          <w:p w14:paraId="4EBA7742">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2）经技术人员排查后，是</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文件自身问题导致磋商响应文件无法解密的，该磋商响应文件将不予接收、解密和唱标。开标会议继续进行。</w:t>
            </w:r>
          </w:p>
          <w:p w14:paraId="31C6FB0A">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DA4A872">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4、待所有</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磋商响应文件解密完成后，由中介服务机构操作，对所有已解密磋商响应文件进行唱标。</w:t>
            </w:r>
          </w:p>
          <w:p w14:paraId="5B593E8A">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供应商</w:t>
            </w:r>
            <w:r>
              <w:rPr>
                <w:rFonts w:hint="eastAsia" w:asciiTheme="minorEastAsia" w:hAnsiTheme="minorEastAsia" w:eastAsiaTheme="minorEastAsia" w:cstheme="minorEastAsia"/>
                <w:b/>
                <w:color w:val="auto"/>
                <w:sz w:val="24"/>
                <w:highlight w:val="none"/>
              </w:rPr>
              <w:t>应保证在</w:t>
            </w:r>
            <w:r>
              <w:rPr>
                <w:rFonts w:hint="eastAsia" w:asciiTheme="minorEastAsia" w:hAnsiTheme="minorEastAsia" w:eastAsiaTheme="minorEastAsia" w:cstheme="minorEastAsia"/>
                <w:b/>
                <w:color w:val="auto"/>
                <w:sz w:val="24"/>
                <w:highlight w:val="none"/>
                <w:lang w:eastAsia="zh-CN"/>
              </w:rPr>
              <w:t>磋商</w:t>
            </w:r>
            <w:r>
              <w:rPr>
                <w:rFonts w:hint="eastAsia" w:asciiTheme="minorEastAsia" w:hAnsiTheme="minorEastAsia" w:eastAsiaTheme="minorEastAsia" w:cstheme="minorEastAsia"/>
                <w:b/>
                <w:color w:val="auto"/>
                <w:sz w:val="24"/>
                <w:highlight w:val="none"/>
              </w:rPr>
              <w:t>期间电话、电脑、网络能够正常工作，</w:t>
            </w:r>
            <w:r>
              <w:rPr>
                <w:rFonts w:hint="eastAsia" w:asciiTheme="minorEastAsia" w:hAnsiTheme="minorEastAsia" w:eastAsiaTheme="minorEastAsia" w:cstheme="minorEastAsia"/>
                <w:b/>
                <w:color w:val="auto"/>
                <w:sz w:val="24"/>
                <w:highlight w:val="none"/>
                <w:lang w:val="en-US" w:eastAsia="zh-CN"/>
              </w:rPr>
              <w:t>供应商</w:t>
            </w:r>
            <w:r>
              <w:rPr>
                <w:rFonts w:hint="eastAsia" w:asciiTheme="minorEastAsia" w:hAnsiTheme="minorEastAsia" w:eastAsiaTheme="minorEastAsia" w:cstheme="minorEastAsia"/>
                <w:b/>
                <w:color w:val="auto"/>
                <w:sz w:val="24"/>
                <w:highlight w:val="none"/>
              </w:rPr>
              <w:t>因停电、电脑病毒、网络堵塞等原因，未在规定的解密时间内对响应文件进行解密的，其响应文件不予接收、唱标。</w:t>
            </w:r>
          </w:p>
          <w:p w14:paraId="65A60729">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可登录到交易系统中在开标解密栏中点击报价一览表查看自己的</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报价。如对自己的唱标内容有异议的，应在</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解密成功后10分钟内向中介服务机构电话质疑。中介服务机构应在监督人员的监督下进行免提通话接受</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的质疑并做好书面记录。</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未在规定时间内提出质疑的，视为认可唱标内容。</w:t>
            </w:r>
          </w:p>
          <w:p w14:paraId="0B74ABCA">
            <w:pPr>
              <w:keepNext w:val="0"/>
              <w:keepLines w:val="0"/>
              <w:pageBreakBefore w:val="0"/>
              <w:widowControl/>
              <w:kinsoku/>
              <w:wordWrap/>
              <w:overflowPunct/>
              <w:topLinePunct w:val="0"/>
              <w:bidi w:val="0"/>
              <w:adjustRightInd w:val="0"/>
              <w:snapToGrid w:val="0"/>
              <w:spacing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eastAsia="zh-CN"/>
              </w:rPr>
              <w:t>评审</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对电子化磋商响应文件有质疑的，将通过电子化交易系统对</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发起质疑，并在监督人员的监督下，用免提模式致电需要答复的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对质疑进行回复。</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的回复文件必须以经过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和其法定代表人签章的PDF格式文件为准，并通过电子化交易系统提交至</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w:t>
            </w:r>
          </w:p>
          <w:p w14:paraId="540A1B41">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7、如</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对需要回复的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连续三次致电未接通的，视为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放弃回复，</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将自行对需要回复的内容进行认定。</w:t>
            </w:r>
          </w:p>
          <w:p w14:paraId="7B45601E">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二、相关内容</w:t>
            </w:r>
          </w:p>
          <w:p w14:paraId="06C1DBD8">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本项目实行资格后审，竞争性磋商文件中要求响应人提交相关资料原件的，根据优化营商环境的要求，评标时以</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为准：</w:t>
            </w:r>
          </w:p>
          <w:p w14:paraId="2455AA9F">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1、资格评</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预）审部分：资格评</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预）以</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为准，其上传资料真实性由</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自行承担，同时，</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要完善主体库。</w:t>
            </w:r>
            <w:r>
              <w:rPr>
                <w:rFonts w:hint="eastAsia" w:asciiTheme="minorEastAsia" w:hAnsiTheme="minorEastAsia" w:eastAsiaTheme="minorEastAsia" w:cstheme="minorEastAsia"/>
                <w:b w:val="0"/>
                <w:bCs w:val="0"/>
                <w:color w:val="auto"/>
                <w:sz w:val="24"/>
                <w:szCs w:val="24"/>
                <w:highlight w:val="none"/>
              </w:rPr>
              <w:br w:type="textWrapping"/>
            </w:r>
            <w:r>
              <w:rPr>
                <w:rFonts w:hint="eastAsia" w:asciiTheme="minorEastAsia" w:hAnsiTheme="minorEastAsia" w:eastAsiaTheme="minorEastAsia" w:cstheme="minorEastAsia"/>
                <w:b w:val="0"/>
                <w:bCs w:val="0"/>
                <w:color w:val="auto"/>
                <w:sz w:val="24"/>
                <w:szCs w:val="24"/>
                <w:highlight w:val="none"/>
              </w:rPr>
              <w:t>2、评标打分部分：评标打分部分仍按照100分制原则进行，涉及到资格审查、企业荣誉、人员业绩、企业业绩等计分部分时，以投标单位自行上传到</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中的相应内容为准。</w:t>
            </w:r>
            <w:r>
              <w:rPr>
                <w:rFonts w:hint="eastAsia" w:asciiTheme="minorEastAsia" w:hAnsiTheme="minorEastAsia" w:eastAsiaTheme="minorEastAsia" w:cstheme="minorEastAsia"/>
                <w:b w:val="0"/>
                <w:bCs w:val="0"/>
                <w:color w:val="auto"/>
                <w:sz w:val="24"/>
                <w:szCs w:val="24"/>
                <w:highlight w:val="none"/>
              </w:rPr>
              <w:br w:type="textWrapping"/>
            </w:r>
            <w:r>
              <w:rPr>
                <w:rFonts w:hint="eastAsia" w:asciiTheme="minorEastAsia" w:hAnsiTheme="minorEastAsia" w:eastAsiaTheme="minorEastAsia" w:cstheme="minorEastAsia"/>
                <w:b w:val="0"/>
                <w:bCs w:val="0"/>
                <w:color w:val="auto"/>
                <w:sz w:val="24"/>
                <w:szCs w:val="24"/>
                <w:highlight w:val="none"/>
              </w:rPr>
              <w:t>3、</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rPr>
              <w:t>文件编制部分：在</w:t>
            </w: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rPr>
              <w:t>文件中要求</w:t>
            </w: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rPr>
              <w:t>按照</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rPr>
              <w:t>文件格式进行</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rPr>
              <w:t>文件编制，在</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rPr>
              <w:t>文件编制时，应明确将</w:t>
            </w: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rPr>
              <w:t>企业基本情况、资质情况、人员情况、财务情况、业绩情况编入</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rPr>
              <w:t>文件，便于进行资格审查及评标打分。</w:t>
            </w:r>
          </w:p>
          <w:p w14:paraId="0A119AE7">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提示：本项目为电子化、无纸化交易项目，为保证您能投标成功，请需仔细阅读以上条款。</w:t>
            </w:r>
          </w:p>
          <w:p w14:paraId="1B161726">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注：以</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rPr>
              <w:t>文件业绩信息为准，可使用电子营业执照。</w:t>
            </w:r>
          </w:p>
        </w:tc>
      </w:tr>
      <w:tr w14:paraId="5E0A3959">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EFD8F5B">
            <w:pPr>
              <w:keepNext w:val="0"/>
              <w:keepLines w:val="0"/>
              <w:pageBreakBefore w:val="0"/>
              <w:widowControl/>
              <w:kinsoku/>
              <w:wordWrap/>
              <w:overflowPunct/>
              <w:topLinePunct w:val="0"/>
              <w:bidi w:val="0"/>
              <w:snapToGrid/>
              <w:spacing w:after="0" w:line="360" w:lineRule="auto"/>
              <w:jc w:val="center"/>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5.8注意事项</w:t>
            </w:r>
          </w:p>
        </w:tc>
        <w:tc>
          <w:tcPr>
            <w:tcW w:w="7810" w:type="dxa"/>
            <w:gridSpan w:val="2"/>
            <w:tcBorders>
              <w:top w:val="single" w:color="auto" w:sz="4" w:space="0"/>
              <w:left w:val="nil"/>
              <w:bottom w:val="single" w:color="auto" w:sz="4" w:space="0"/>
              <w:right w:val="single" w:color="auto" w:sz="4" w:space="0"/>
            </w:tcBorders>
            <w:vAlign w:val="center"/>
          </w:tcPr>
          <w:p w14:paraId="42773174">
            <w:pPr>
              <w:keepNext w:val="0"/>
              <w:keepLines w:val="0"/>
              <w:pageBreakBefore w:val="0"/>
              <w:widowControl/>
              <w:kinsoku/>
              <w:wordWrap/>
              <w:overflowPunct/>
              <w:topLinePunct w:val="0"/>
              <w:bidi w:val="0"/>
              <w:snapToGrid/>
              <w:spacing w:after="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供应商须独立制作、修改和上传响应文件，若因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响应文件制作机器码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与其他供应商一致，机器码一致的所有响应文件按无效文件处理，所造成的不良后果由供应商自行承担。</w:t>
            </w:r>
          </w:p>
        </w:tc>
      </w:tr>
    </w:tbl>
    <w:p w14:paraId="3CD44CEC">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b/>
          <w:bCs/>
          <w:color w:val="auto"/>
          <w:kern w:val="28"/>
          <w:sz w:val="24"/>
          <w:szCs w:val="24"/>
          <w:highlight w:val="none"/>
        </w:rPr>
        <w:br w:type="page"/>
      </w:r>
      <w:r>
        <w:rPr>
          <w:rFonts w:hint="eastAsia" w:asciiTheme="minorEastAsia" w:hAnsiTheme="minorEastAsia" w:eastAsiaTheme="minorEastAsia" w:cstheme="minorEastAsia"/>
          <w:b/>
          <w:bCs/>
          <w:color w:val="auto"/>
          <w:kern w:val="28"/>
          <w:sz w:val="24"/>
          <w:szCs w:val="24"/>
          <w:highlight w:val="none"/>
        </w:rPr>
        <w:t>1. 总则</w:t>
      </w:r>
      <w:bookmarkEnd w:id="30"/>
      <w:bookmarkEnd w:id="31"/>
      <w:bookmarkEnd w:id="32"/>
      <w:bookmarkEnd w:id="33"/>
      <w:bookmarkEnd w:id="34"/>
      <w:bookmarkEnd w:id="35"/>
      <w:bookmarkEnd w:id="36"/>
      <w:bookmarkEnd w:id="37"/>
    </w:p>
    <w:p w14:paraId="7EEDAA1D">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8" w:name="_Toc144974498"/>
      <w:bookmarkStart w:id="39" w:name="_Toc246996176"/>
      <w:bookmarkStart w:id="40" w:name="_Toc246996919"/>
      <w:bookmarkStart w:id="41" w:name="_Toc77586820"/>
      <w:bookmarkStart w:id="42" w:name="_Toc296602421"/>
      <w:bookmarkStart w:id="43" w:name="_Toc152042306"/>
      <w:bookmarkStart w:id="44" w:name="_Toc247085690"/>
      <w:bookmarkStart w:id="45" w:name="_Toc77586913"/>
      <w:bookmarkStart w:id="46" w:name="_Toc152045530"/>
      <w:bookmarkStart w:id="47" w:name="_Toc179632547"/>
      <w:r>
        <w:rPr>
          <w:rFonts w:hint="eastAsia" w:asciiTheme="minorEastAsia" w:hAnsiTheme="minorEastAsia" w:eastAsiaTheme="minorEastAsia" w:cstheme="minorEastAsia"/>
          <w:color w:val="auto"/>
          <w:sz w:val="24"/>
          <w:szCs w:val="24"/>
          <w:highlight w:val="none"/>
        </w:rPr>
        <w:t>1.1 项目概况</w:t>
      </w:r>
      <w:bookmarkEnd w:id="38"/>
      <w:bookmarkEnd w:id="39"/>
      <w:bookmarkEnd w:id="40"/>
      <w:bookmarkEnd w:id="41"/>
      <w:bookmarkEnd w:id="42"/>
      <w:bookmarkEnd w:id="43"/>
      <w:bookmarkEnd w:id="44"/>
      <w:bookmarkEnd w:id="45"/>
      <w:bookmarkEnd w:id="46"/>
      <w:bookmarkEnd w:id="47"/>
    </w:p>
    <w:p w14:paraId="3933437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1.1.1根据《政府采购竞争性磋商采购方式管理暂行办法》等有关法律、法规和规章的规定，本磋商项目已具备磋商条件，现对本项目进行竞争性磋商。</w:t>
      </w:r>
    </w:p>
    <w:p w14:paraId="2E914EA8">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本磋商项目</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0397C29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本磋商项目</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5B8E144E">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本磋商项目名称：见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2BD3C44C">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48" w:name="_Toc246996177"/>
      <w:bookmarkStart w:id="49" w:name="_Toc152045531"/>
      <w:bookmarkStart w:id="50" w:name="_Toc179632548"/>
      <w:bookmarkStart w:id="51" w:name="_Toc247085691"/>
      <w:bookmarkStart w:id="52" w:name="_Toc77586914"/>
      <w:bookmarkStart w:id="53" w:name="_Toc296602422"/>
      <w:bookmarkStart w:id="54" w:name="_Toc77586821"/>
      <w:bookmarkStart w:id="55" w:name="_Toc152042307"/>
      <w:bookmarkStart w:id="56" w:name="_Toc246996920"/>
      <w:bookmarkStart w:id="57" w:name="_Toc144974499"/>
      <w:r>
        <w:rPr>
          <w:rFonts w:hint="eastAsia" w:asciiTheme="minorEastAsia" w:hAnsiTheme="minorEastAsia" w:eastAsiaTheme="minorEastAsia" w:cstheme="minorEastAsia"/>
          <w:color w:val="auto"/>
          <w:sz w:val="24"/>
          <w:szCs w:val="24"/>
          <w:highlight w:val="none"/>
        </w:rPr>
        <w:t>1.2 资金来源和落实情况</w:t>
      </w:r>
      <w:bookmarkEnd w:id="48"/>
      <w:bookmarkEnd w:id="49"/>
      <w:bookmarkEnd w:id="50"/>
      <w:bookmarkEnd w:id="51"/>
      <w:bookmarkEnd w:id="52"/>
      <w:bookmarkEnd w:id="53"/>
      <w:bookmarkEnd w:id="54"/>
      <w:bookmarkEnd w:id="55"/>
      <w:bookmarkEnd w:id="56"/>
      <w:bookmarkEnd w:id="57"/>
    </w:p>
    <w:p w14:paraId="4AAA3CA9">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本磋商项目的资金来源及出资比例：见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7978DF9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本磋商项目的资金落实情况：见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014FC80F">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58" w:name="_Toc246996921"/>
      <w:bookmarkStart w:id="59" w:name="_Toc246996178"/>
      <w:bookmarkStart w:id="60" w:name="_Toc152045532"/>
      <w:bookmarkStart w:id="61" w:name="_Toc179632549"/>
      <w:bookmarkStart w:id="62" w:name="_Toc144974500"/>
      <w:bookmarkStart w:id="63" w:name="_Toc77586822"/>
      <w:bookmarkStart w:id="64" w:name="_Toc247085692"/>
      <w:bookmarkStart w:id="65" w:name="_Toc77586915"/>
      <w:bookmarkStart w:id="66" w:name="_Toc296602423"/>
      <w:bookmarkStart w:id="67" w:name="_Toc152042308"/>
      <w:r>
        <w:rPr>
          <w:rFonts w:hint="eastAsia" w:asciiTheme="minorEastAsia" w:hAnsiTheme="minorEastAsia" w:eastAsiaTheme="minorEastAsia" w:cstheme="minorEastAsia"/>
          <w:color w:val="auto"/>
          <w:sz w:val="24"/>
          <w:szCs w:val="24"/>
          <w:highlight w:val="none"/>
        </w:rPr>
        <w:t>1.3 磋商范围、</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期</w:t>
      </w:r>
      <w:r>
        <w:rPr>
          <w:rFonts w:hint="eastAsia" w:asciiTheme="minorEastAsia" w:hAnsiTheme="minorEastAsia" w:eastAsiaTheme="minorEastAsia" w:cstheme="minorEastAsia"/>
          <w:color w:val="auto"/>
          <w:sz w:val="24"/>
          <w:szCs w:val="24"/>
          <w:highlight w:val="none"/>
        </w:rPr>
        <w:t>、质量要求</w:t>
      </w:r>
      <w:bookmarkEnd w:id="58"/>
      <w:bookmarkEnd w:id="59"/>
      <w:bookmarkEnd w:id="60"/>
      <w:bookmarkEnd w:id="61"/>
      <w:bookmarkEnd w:id="62"/>
      <w:bookmarkEnd w:id="63"/>
      <w:bookmarkEnd w:id="64"/>
      <w:bookmarkEnd w:id="65"/>
      <w:bookmarkEnd w:id="66"/>
      <w:bookmarkEnd w:id="67"/>
    </w:p>
    <w:p w14:paraId="78245ACB">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本次磋商范围：见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26781F04">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本磋商项目的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期</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06EA2AE8">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 本磋商项目的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要求：见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64048E16">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68" w:name="_Toc247085693"/>
      <w:bookmarkStart w:id="69" w:name="_Toc152042310"/>
      <w:bookmarkStart w:id="70" w:name="_Toc152045534"/>
      <w:bookmarkStart w:id="71" w:name="_Toc77586916"/>
      <w:bookmarkStart w:id="72" w:name="_Toc246996922"/>
      <w:bookmarkStart w:id="73" w:name="_Toc77586823"/>
      <w:bookmarkStart w:id="74" w:name="_Toc179632551"/>
      <w:bookmarkStart w:id="75" w:name="_Toc144974502"/>
      <w:bookmarkStart w:id="76" w:name="_Toc246996179"/>
      <w:bookmarkStart w:id="77" w:name="_Toc296602424"/>
      <w:r>
        <w:rPr>
          <w:rFonts w:hint="eastAsia" w:asciiTheme="minorEastAsia" w:hAnsiTheme="minorEastAsia" w:eastAsiaTheme="minorEastAsia" w:cstheme="minorEastAsia"/>
          <w:color w:val="auto"/>
          <w:sz w:val="24"/>
          <w:szCs w:val="24"/>
          <w:highlight w:val="none"/>
        </w:rPr>
        <w:t xml:space="preserve">1.4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资格要求</w:t>
      </w:r>
      <w:bookmarkEnd w:id="68"/>
      <w:bookmarkEnd w:id="69"/>
      <w:bookmarkEnd w:id="70"/>
      <w:bookmarkEnd w:id="71"/>
      <w:bookmarkEnd w:id="72"/>
      <w:bookmarkEnd w:id="73"/>
      <w:bookmarkEnd w:id="74"/>
      <w:bookmarkEnd w:id="75"/>
      <w:bookmarkEnd w:id="76"/>
      <w:bookmarkEnd w:id="77"/>
    </w:p>
    <w:p w14:paraId="207A2973">
      <w:pPr>
        <w:keepNext w:val="0"/>
        <w:keepLines w:val="0"/>
        <w:pageBreakBefore w:val="0"/>
        <w:widowControl/>
        <w:kinsoku/>
        <w:wordWrap/>
        <w:overflowPunct/>
        <w:topLinePunct w:val="0"/>
        <w:autoSpaceDE/>
        <w:autoSpaceDN/>
        <w:bidi w:val="0"/>
        <w:adjustRightInd w:val="0"/>
        <w:snapToGrid/>
        <w:spacing w:after="0" w:line="360" w:lineRule="auto"/>
        <w:ind w:firstLine="520" w:firstLineChars="21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1.4.1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应具备承担本</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的资质条件、能力和信誉见前附表。</w:t>
      </w:r>
    </w:p>
    <w:p w14:paraId="269263D1">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本磋商项目接受联合体投标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联合体要求详见磋商公告</w:t>
      </w:r>
      <w:r>
        <w:rPr>
          <w:rFonts w:hint="eastAsia" w:asciiTheme="minorEastAsia" w:hAnsiTheme="minorEastAsia" w:eastAsiaTheme="minorEastAsia" w:cstheme="minorEastAsia"/>
          <w:color w:val="auto"/>
          <w:sz w:val="24"/>
          <w:szCs w:val="24"/>
          <w:highlight w:val="none"/>
        </w:rPr>
        <w:t>。</w:t>
      </w:r>
    </w:p>
    <w:p w14:paraId="70D3C74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1.4.3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不得存在下列情形之一：</w:t>
      </w:r>
    </w:p>
    <w:p w14:paraId="432DC4D9">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1）为</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不具有独立法人资格的附属机构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单位）；</w:t>
      </w:r>
    </w:p>
    <w:p w14:paraId="44CD8B2E">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2）为本磋商项目前期准备提供设计或咨询服务的； </w:t>
      </w:r>
    </w:p>
    <w:p w14:paraId="1DC9F538">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3）为本磋商项目的监理人；</w:t>
      </w:r>
    </w:p>
    <w:p w14:paraId="5CAA4F9C">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4）为本磋商项目的代建人； </w:t>
      </w:r>
    </w:p>
    <w:p w14:paraId="423DA250">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5）为本磋商项目提供招标代理服务的； </w:t>
      </w:r>
    </w:p>
    <w:p w14:paraId="2BB5E3AC">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6）与本磋商项目的监理人或代建人或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同为一个法定代表人的；</w:t>
      </w:r>
    </w:p>
    <w:p w14:paraId="75FF1245">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7）与本磋商项目的监理人或代建人或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相互控股或参股的；</w:t>
      </w:r>
    </w:p>
    <w:p w14:paraId="7CDB7602">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8）与本磋商项目的监理人或代建人或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相互任职或工作的；</w:t>
      </w:r>
    </w:p>
    <w:p w14:paraId="020213B1">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9）被责令停业的； </w:t>
      </w:r>
    </w:p>
    <w:p w14:paraId="5568A33B">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10）被暂停或取消投标资格的； </w:t>
      </w:r>
    </w:p>
    <w:p w14:paraId="230D8A53">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11）财产被接管或冻结的；</w:t>
      </w:r>
    </w:p>
    <w:p w14:paraId="6A8781DB">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12）在最近三年内有骗取成交或严重违约或重大质量问题的。</w:t>
      </w:r>
    </w:p>
    <w:p w14:paraId="75FFD682">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78" w:name="_Toc152045535"/>
      <w:bookmarkStart w:id="79" w:name="_Toc144974503"/>
      <w:bookmarkStart w:id="80" w:name="_Toc77586917"/>
      <w:bookmarkStart w:id="81" w:name="_Toc152042311"/>
      <w:bookmarkStart w:id="82" w:name="_Toc179632552"/>
      <w:bookmarkStart w:id="83" w:name="_Toc77586824"/>
      <w:r>
        <w:rPr>
          <w:rFonts w:hint="eastAsia" w:asciiTheme="minorEastAsia" w:hAnsiTheme="minorEastAsia" w:eastAsiaTheme="minorEastAsia" w:cstheme="minorEastAsia"/>
          <w:color w:val="auto"/>
          <w:sz w:val="24"/>
          <w:szCs w:val="24"/>
          <w:highlight w:val="none"/>
        </w:rPr>
        <w:t>1.5 费用承担</w:t>
      </w:r>
      <w:bookmarkEnd w:id="78"/>
      <w:bookmarkEnd w:id="79"/>
      <w:bookmarkEnd w:id="80"/>
      <w:bookmarkEnd w:id="81"/>
      <w:bookmarkEnd w:id="82"/>
      <w:bookmarkEnd w:id="83"/>
    </w:p>
    <w:p w14:paraId="456B1A42">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准备和参加投标活动发生的费用自理。</w:t>
      </w:r>
    </w:p>
    <w:p w14:paraId="363224AE">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84" w:name="_Toc152045536"/>
      <w:bookmarkStart w:id="85" w:name="_Toc152042312"/>
      <w:bookmarkStart w:id="86" w:name="_Toc77586918"/>
      <w:bookmarkStart w:id="87" w:name="_Toc144974504"/>
      <w:bookmarkStart w:id="88" w:name="_Toc296602426"/>
      <w:bookmarkStart w:id="89" w:name="_Toc179632553"/>
      <w:bookmarkStart w:id="90" w:name="_Toc246996181"/>
      <w:bookmarkStart w:id="91" w:name="_Toc77586825"/>
      <w:bookmarkStart w:id="92" w:name="_Toc246996924"/>
      <w:bookmarkStart w:id="93" w:name="_Toc247085695"/>
      <w:r>
        <w:rPr>
          <w:rFonts w:hint="eastAsia" w:asciiTheme="minorEastAsia" w:hAnsiTheme="minorEastAsia" w:eastAsiaTheme="minorEastAsia" w:cstheme="minorEastAsia"/>
          <w:color w:val="auto"/>
          <w:sz w:val="24"/>
          <w:szCs w:val="24"/>
          <w:highlight w:val="none"/>
        </w:rPr>
        <w:t>1.6 保密</w:t>
      </w:r>
      <w:bookmarkEnd w:id="84"/>
      <w:bookmarkEnd w:id="85"/>
      <w:bookmarkEnd w:id="86"/>
      <w:bookmarkEnd w:id="87"/>
      <w:bookmarkEnd w:id="88"/>
      <w:bookmarkEnd w:id="89"/>
      <w:bookmarkEnd w:id="90"/>
      <w:bookmarkEnd w:id="91"/>
      <w:bookmarkEnd w:id="92"/>
      <w:bookmarkEnd w:id="93"/>
    </w:p>
    <w:p w14:paraId="36D8A62B">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参与招标投标活动的各方应对竞争性磋商文件和磋商响应文件中的商业和技术等秘密保密，违者应对由此造成的后果承担法律责任。 </w:t>
      </w:r>
    </w:p>
    <w:p w14:paraId="13DEA8CD">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94" w:name="_Toc144974505"/>
      <w:bookmarkStart w:id="95" w:name="_Toc246996182"/>
      <w:bookmarkStart w:id="96" w:name="_Toc77586826"/>
      <w:bookmarkStart w:id="97" w:name="_Toc152042313"/>
      <w:bookmarkStart w:id="98" w:name="_Toc247085696"/>
      <w:bookmarkStart w:id="99" w:name="_Toc246996925"/>
      <w:bookmarkStart w:id="100" w:name="_Toc179632554"/>
      <w:bookmarkStart w:id="101" w:name="_Toc296602427"/>
      <w:bookmarkStart w:id="102" w:name="_Toc152045537"/>
      <w:bookmarkStart w:id="103" w:name="_Toc77586919"/>
      <w:r>
        <w:rPr>
          <w:rFonts w:hint="eastAsia" w:asciiTheme="minorEastAsia" w:hAnsiTheme="minorEastAsia" w:eastAsiaTheme="minorEastAsia" w:cstheme="minorEastAsia"/>
          <w:color w:val="auto"/>
          <w:sz w:val="24"/>
          <w:szCs w:val="24"/>
          <w:highlight w:val="none"/>
        </w:rPr>
        <w:t>1.7 语言</w:t>
      </w:r>
      <w:bookmarkEnd w:id="94"/>
      <w:r>
        <w:rPr>
          <w:rFonts w:hint="eastAsia" w:asciiTheme="minorEastAsia" w:hAnsiTheme="minorEastAsia" w:eastAsiaTheme="minorEastAsia" w:cstheme="minorEastAsia"/>
          <w:color w:val="auto"/>
          <w:sz w:val="24"/>
          <w:szCs w:val="24"/>
          <w:highlight w:val="none"/>
        </w:rPr>
        <w:t>文字</w:t>
      </w:r>
      <w:bookmarkEnd w:id="95"/>
      <w:bookmarkEnd w:id="96"/>
      <w:bookmarkEnd w:id="97"/>
      <w:bookmarkEnd w:id="98"/>
      <w:bookmarkEnd w:id="99"/>
      <w:bookmarkEnd w:id="100"/>
      <w:bookmarkEnd w:id="101"/>
      <w:bookmarkEnd w:id="102"/>
      <w:bookmarkEnd w:id="103"/>
    </w:p>
    <w:p w14:paraId="6A584A4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4" w:name="_Toc179632555"/>
      <w:bookmarkStart w:id="105" w:name="_Toc152045538"/>
      <w:bookmarkStart w:id="106" w:name="_Toc144974506"/>
      <w:bookmarkStart w:id="107" w:name="_Toc152042314"/>
      <w:bookmarkStart w:id="108" w:name="_Toc246996183"/>
      <w:bookmarkStart w:id="109" w:name="_Toc247085697"/>
      <w:bookmarkStart w:id="110" w:name="_Toc246996926"/>
      <w:r>
        <w:rPr>
          <w:rFonts w:hint="eastAsia" w:asciiTheme="minorEastAsia" w:hAnsiTheme="minorEastAsia" w:eastAsiaTheme="minorEastAsia" w:cstheme="minorEastAsia"/>
          <w:color w:val="auto"/>
          <w:sz w:val="24"/>
          <w:szCs w:val="24"/>
          <w:highlight w:val="none"/>
        </w:rPr>
        <w:t>招标磋商响应文件使用的语言文字为中文。专用术语使用外文的，应附有中文注释。</w:t>
      </w:r>
    </w:p>
    <w:p w14:paraId="2A6433D0">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11" w:name="_Toc77586827"/>
      <w:bookmarkStart w:id="112" w:name="_Toc296602428"/>
      <w:bookmarkStart w:id="113" w:name="_Toc77586920"/>
      <w:r>
        <w:rPr>
          <w:rFonts w:hint="eastAsia" w:asciiTheme="minorEastAsia" w:hAnsiTheme="minorEastAsia" w:eastAsiaTheme="minorEastAsia" w:cstheme="minorEastAsia"/>
          <w:color w:val="auto"/>
          <w:sz w:val="24"/>
          <w:szCs w:val="24"/>
          <w:highlight w:val="none"/>
        </w:rPr>
        <w:t>1.8 计量单位</w:t>
      </w:r>
      <w:bookmarkEnd w:id="104"/>
      <w:bookmarkEnd w:id="105"/>
      <w:bookmarkEnd w:id="106"/>
      <w:bookmarkEnd w:id="107"/>
      <w:bookmarkEnd w:id="108"/>
      <w:bookmarkEnd w:id="109"/>
      <w:bookmarkEnd w:id="110"/>
      <w:bookmarkEnd w:id="111"/>
      <w:bookmarkEnd w:id="112"/>
      <w:bookmarkEnd w:id="113"/>
    </w:p>
    <w:p w14:paraId="4D4D13D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3798FC2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14" w:name="_Toc296602429"/>
      <w:bookmarkStart w:id="115" w:name="_Toc152045539"/>
      <w:bookmarkStart w:id="116" w:name="_Toc247527563"/>
      <w:bookmarkStart w:id="117" w:name="_Toc77586828"/>
      <w:bookmarkStart w:id="118" w:name="_Toc77586921"/>
      <w:bookmarkStart w:id="119" w:name="_Toc152042315"/>
      <w:bookmarkStart w:id="120" w:name="_Toc144974507"/>
      <w:bookmarkStart w:id="121" w:name="_Toc247592876"/>
      <w:bookmarkStart w:id="122" w:name="_Toc247513962"/>
      <w:r>
        <w:rPr>
          <w:rFonts w:hint="eastAsia" w:asciiTheme="minorEastAsia" w:hAnsiTheme="minorEastAsia" w:eastAsiaTheme="minorEastAsia" w:cstheme="minorEastAsia"/>
          <w:color w:val="auto"/>
          <w:sz w:val="24"/>
          <w:szCs w:val="24"/>
          <w:highlight w:val="none"/>
        </w:rPr>
        <w:t>1.9 踏勘现场</w:t>
      </w:r>
      <w:bookmarkEnd w:id="114"/>
      <w:bookmarkEnd w:id="115"/>
      <w:bookmarkEnd w:id="116"/>
      <w:bookmarkEnd w:id="117"/>
      <w:bookmarkEnd w:id="118"/>
      <w:bookmarkEnd w:id="119"/>
      <w:bookmarkEnd w:id="120"/>
      <w:bookmarkEnd w:id="121"/>
      <w:bookmarkEnd w:id="122"/>
    </w:p>
    <w:p w14:paraId="28877924">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不组织现场踏勘，由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自行踏勘。 </w:t>
      </w:r>
    </w:p>
    <w:p w14:paraId="7552EA7E">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踏勘现场发生的费用自理。</w:t>
      </w:r>
    </w:p>
    <w:p w14:paraId="468C4C00">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1.9.3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自行负责在踏勘现场中所发生的人员伤亡和财产损失。</w:t>
      </w:r>
    </w:p>
    <w:p w14:paraId="1C63B6EE">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1.9.4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在踏勘现场中看到的场地和相关的周边环境情况，供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在编制磋商响应文件时参考，</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据此作出的判断和决策负责。</w:t>
      </w:r>
    </w:p>
    <w:p w14:paraId="60A07FD1">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23" w:name="_Toc247592877"/>
      <w:bookmarkStart w:id="124" w:name="_Toc152042316"/>
      <w:bookmarkStart w:id="125" w:name="_Toc247513963"/>
      <w:bookmarkStart w:id="126" w:name="_Toc296602430"/>
      <w:bookmarkStart w:id="127" w:name="_Toc77586922"/>
      <w:bookmarkStart w:id="128" w:name="_Toc152045540"/>
      <w:bookmarkStart w:id="129" w:name="_Toc77586829"/>
      <w:bookmarkStart w:id="130" w:name="_Toc247527564"/>
      <w:bookmarkStart w:id="131" w:name="_Toc144974508"/>
      <w:r>
        <w:rPr>
          <w:rFonts w:hint="eastAsia" w:asciiTheme="minorEastAsia" w:hAnsiTheme="minorEastAsia" w:eastAsiaTheme="minorEastAsia" w:cstheme="minorEastAsia"/>
          <w:color w:val="auto"/>
          <w:sz w:val="24"/>
          <w:szCs w:val="24"/>
          <w:highlight w:val="none"/>
        </w:rPr>
        <w:t>1.10 投标预备会</w:t>
      </w:r>
      <w:bookmarkEnd w:id="123"/>
      <w:bookmarkEnd w:id="124"/>
      <w:bookmarkEnd w:id="125"/>
      <w:bookmarkEnd w:id="126"/>
      <w:bookmarkEnd w:id="127"/>
      <w:bookmarkEnd w:id="128"/>
      <w:bookmarkEnd w:id="129"/>
      <w:bookmarkEnd w:id="130"/>
      <w:bookmarkEnd w:id="131"/>
      <w:bookmarkStart w:id="132" w:name="_Toc296602431"/>
    </w:p>
    <w:p w14:paraId="2492E6A0">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不召开</w:t>
      </w:r>
    </w:p>
    <w:p w14:paraId="64FC72A6">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33" w:name="_Toc77586923"/>
      <w:bookmarkStart w:id="134" w:name="_Toc77586830"/>
      <w:r>
        <w:rPr>
          <w:rFonts w:hint="eastAsia" w:asciiTheme="minorEastAsia" w:hAnsiTheme="minorEastAsia" w:eastAsiaTheme="minorEastAsia" w:cstheme="minorEastAsia"/>
          <w:color w:val="auto"/>
          <w:sz w:val="24"/>
          <w:szCs w:val="24"/>
          <w:highlight w:val="none"/>
        </w:rPr>
        <w:t xml:space="preserve">1.11 </w:t>
      </w:r>
      <w:bookmarkEnd w:id="132"/>
      <w:r>
        <w:rPr>
          <w:rFonts w:hint="eastAsia" w:asciiTheme="minorEastAsia" w:hAnsiTheme="minorEastAsia" w:eastAsiaTheme="minorEastAsia" w:cstheme="minorEastAsia"/>
          <w:color w:val="auto"/>
          <w:sz w:val="24"/>
          <w:szCs w:val="24"/>
          <w:highlight w:val="none"/>
        </w:rPr>
        <w:t>分包</w:t>
      </w:r>
      <w:bookmarkEnd w:id="133"/>
      <w:bookmarkEnd w:id="134"/>
    </w:p>
    <w:p w14:paraId="23F4E81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p w14:paraId="7398BF98">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35" w:name="_Toc179632560"/>
      <w:bookmarkStart w:id="136" w:name="_Toc246996930"/>
      <w:bookmarkStart w:id="137" w:name="_Toc296602432"/>
      <w:bookmarkStart w:id="138" w:name="_Toc77586831"/>
      <w:bookmarkStart w:id="139" w:name="_Toc144974510"/>
      <w:bookmarkStart w:id="140" w:name="_Toc246996187"/>
      <w:bookmarkStart w:id="141" w:name="_Toc77586924"/>
      <w:bookmarkStart w:id="142" w:name="_Toc247085701"/>
      <w:bookmarkStart w:id="143" w:name="_Toc152042318"/>
      <w:bookmarkStart w:id="144" w:name="_Toc152045542"/>
      <w:r>
        <w:rPr>
          <w:rFonts w:hint="eastAsia" w:asciiTheme="minorEastAsia" w:hAnsiTheme="minorEastAsia" w:eastAsiaTheme="minorEastAsia" w:cstheme="minorEastAsia"/>
          <w:color w:val="auto"/>
          <w:sz w:val="24"/>
          <w:szCs w:val="24"/>
          <w:highlight w:val="none"/>
        </w:rPr>
        <w:t>2. 竞争性磋商文件</w:t>
      </w:r>
      <w:bookmarkEnd w:id="135"/>
      <w:bookmarkEnd w:id="136"/>
      <w:bookmarkEnd w:id="137"/>
      <w:bookmarkEnd w:id="138"/>
      <w:bookmarkEnd w:id="139"/>
      <w:bookmarkEnd w:id="140"/>
      <w:bookmarkEnd w:id="141"/>
      <w:bookmarkEnd w:id="142"/>
      <w:bookmarkEnd w:id="143"/>
      <w:bookmarkEnd w:id="144"/>
    </w:p>
    <w:p w14:paraId="53685CD1">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45" w:name="_Toc144974511"/>
      <w:bookmarkStart w:id="146" w:name="_Toc296602433"/>
      <w:bookmarkStart w:id="147" w:name="_Toc246996931"/>
      <w:bookmarkStart w:id="148" w:name="_Toc152045543"/>
      <w:bookmarkStart w:id="149" w:name="_Toc179632561"/>
      <w:bookmarkStart w:id="150" w:name="_Toc77586925"/>
      <w:bookmarkStart w:id="151" w:name="_Toc246996188"/>
      <w:bookmarkStart w:id="152" w:name="_Toc247085702"/>
      <w:bookmarkStart w:id="153" w:name="_Toc77586832"/>
      <w:bookmarkStart w:id="154" w:name="_Toc152042319"/>
      <w:r>
        <w:rPr>
          <w:rFonts w:hint="eastAsia" w:asciiTheme="minorEastAsia" w:hAnsiTheme="minorEastAsia" w:eastAsiaTheme="minorEastAsia" w:cstheme="minorEastAsia"/>
          <w:color w:val="auto"/>
          <w:sz w:val="24"/>
          <w:szCs w:val="24"/>
          <w:highlight w:val="none"/>
        </w:rPr>
        <w:t>2.1 竞争性磋商文件的组成</w:t>
      </w:r>
      <w:bookmarkEnd w:id="145"/>
      <w:bookmarkEnd w:id="146"/>
      <w:bookmarkEnd w:id="147"/>
      <w:bookmarkEnd w:id="148"/>
      <w:bookmarkEnd w:id="149"/>
      <w:bookmarkEnd w:id="150"/>
      <w:bookmarkEnd w:id="151"/>
      <w:bookmarkEnd w:id="152"/>
      <w:bookmarkEnd w:id="153"/>
      <w:bookmarkEnd w:id="154"/>
    </w:p>
    <w:p w14:paraId="423C51C4">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2.1.1 本竞争性磋商文件包括：</w:t>
      </w:r>
    </w:p>
    <w:p w14:paraId="0ACD0211">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1）竞争性磋商公告；</w:t>
      </w:r>
    </w:p>
    <w:p w14:paraId="0F6261C8">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p>
    <w:p w14:paraId="05551081">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3）评标办法；</w:t>
      </w:r>
    </w:p>
    <w:p w14:paraId="15A63226">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4）合同条款及格式；</w:t>
      </w:r>
    </w:p>
    <w:p w14:paraId="3E2CCD74">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b w:val="0"/>
          <w:color w:val="auto"/>
          <w:sz w:val="24"/>
          <w:szCs w:val="24"/>
          <w:highlight w:val="none"/>
          <w:lang w:val="en-US" w:eastAsia="zh-CN"/>
        </w:rPr>
        <w:t>技术服务清单</w:t>
      </w:r>
      <w:r>
        <w:rPr>
          <w:rFonts w:hint="eastAsia" w:asciiTheme="minorEastAsia" w:hAnsiTheme="minorEastAsia" w:eastAsiaTheme="minorEastAsia" w:cstheme="minorEastAsia"/>
          <w:color w:val="auto"/>
          <w:sz w:val="24"/>
          <w:szCs w:val="24"/>
          <w:highlight w:val="none"/>
        </w:rPr>
        <w:t xml:space="preserve">； </w:t>
      </w:r>
    </w:p>
    <w:p w14:paraId="24B14DEB">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6）技术标准和要求；</w:t>
      </w:r>
    </w:p>
    <w:p w14:paraId="2D1BE03A">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7）磋商响应文件格式</w:t>
      </w:r>
      <w:r>
        <w:rPr>
          <w:rFonts w:hint="eastAsia" w:asciiTheme="minorEastAsia" w:hAnsiTheme="minorEastAsia" w:eastAsiaTheme="minorEastAsia" w:cstheme="minorEastAsia"/>
          <w:color w:val="auto"/>
          <w:sz w:val="24"/>
          <w:szCs w:val="24"/>
          <w:highlight w:val="none"/>
          <w:lang w:eastAsia="zh-CN"/>
        </w:rPr>
        <w:t>。</w:t>
      </w:r>
    </w:p>
    <w:p w14:paraId="56021BAC">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2.1.2根据本章第2.2款和第2.3款对竞争性磋商文件所作的澄清、修改，构成竞争性磋商文件的组成部分。</w:t>
      </w:r>
    </w:p>
    <w:p w14:paraId="33E36FB8">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55" w:name="_Toc144974512"/>
      <w:bookmarkStart w:id="156" w:name="_Toc247085703"/>
      <w:bookmarkStart w:id="157" w:name="_Toc246996932"/>
      <w:bookmarkStart w:id="158" w:name="_Toc152045544"/>
      <w:bookmarkStart w:id="159" w:name="_Toc179632562"/>
      <w:bookmarkStart w:id="160" w:name="_Toc246996189"/>
      <w:bookmarkStart w:id="161" w:name="_Toc77586926"/>
      <w:bookmarkStart w:id="162" w:name="_Toc152042320"/>
      <w:bookmarkStart w:id="163" w:name="_Toc77586833"/>
      <w:bookmarkStart w:id="164" w:name="_Toc296602434"/>
      <w:r>
        <w:rPr>
          <w:rFonts w:hint="eastAsia" w:asciiTheme="minorEastAsia" w:hAnsiTheme="minorEastAsia" w:eastAsiaTheme="minorEastAsia" w:cstheme="minorEastAsia"/>
          <w:color w:val="auto"/>
          <w:sz w:val="24"/>
          <w:szCs w:val="24"/>
          <w:highlight w:val="none"/>
        </w:rPr>
        <w:t>2.2 竞争性磋商文件的澄清</w:t>
      </w:r>
      <w:bookmarkEnd w:id="155"/>
      <w:bookmarkEnd w:id="156"/>
      <w:bookmarkEnd w:id="157"/>
      <w:bookmarkEnd w:id="158"/>
      <w:bookmarkEnd w:id="159"/>
      <w:bookmarkEnd w:id="160"/>
      <w:bookmarkEnd w:id="161"/>
      <w:bookmarkEnd w:id="162"/>
      <w:bookmarkEnd w:id="163"/>
      <w:bookmarkEnd w:id="164"/>
    </w:p>
    <w:p w14:paraId="1B0AAF44">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2.2.1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应仔细阅读和检查竞争性磋商文件的全部内容。如发现缺页或附件不全，应及时向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提出，以便补齐。如有疑问，应在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须知前附表规定的时间前以书面的形式，要求</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对竞争性磋商文件予以澄清。</w:t>
      </w:r>
    </w:p>
    <w:p w14:paraId="49DC07A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2.2.2竞争性磋商文件的澄清将以公告形式发布到网上，但不指明澄清问题的来源。如果澄清发出的时间距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须知前附表规定的投标截止时间不足5天，并且澄清内容影响磋商响应文件编制的，将相应延长磋商截止时间。 </w:t>
      </w:r>
    </w:p>
    <w:p w14:paraId="52952972">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65" w:name="_Toc296602435"/>
      <w:bookmarkStart w:id="166" w:name="_Toc77586834"/>
      <w:bookmarkStart w:id="167" w:name="_Toc144974513"/>
      <w:bookmarkStart w:id="168" w:name="_Toc246996933"/>
      <w:bookmarkStart w:id="169" w:name="_Toc152042321"/>
      <w:bookmarkStart w:id="170" w:name="_Toc179632563"/>
      <w:bookmarkStart w:id="171" w:name="_Toc152045545"/>
      <w:bookmarkStart w:id="172" w:name="_Toc247085704"/>
      <w:bookmarkStart w:id="173" w:name="_Toc77586927"/>
      <w:bookmarkStart w:id="174" w:name="_Toc246996190"/>
      <w:r>
        <w:rPr>
          <w:rFonts w:hint="eastAsia" w:asciiTheme="minorEastAsia" w:hAnsiTheme="minorEastAsia" w:eastAsiaTheme="minorEastAsia" w:cstheme="minorEastAsia"/>
          <w:color w:val="auto"/>
          <w:sz w:val="24"/>
          <w:szCs w:val="24"/>
          <w:highlight w:val="none"/>
        </w:rPr>
        <w:t>2.3 竞争性磋商文件的修改</w:t>
      </w:r>
      <w:bookmarkEnd w:id="165"/>
      <w:bookmarkEnd w:id="166"/>
      <w:bookmarkEnd w:id="167"/>
      <w:bookmarkEnd w:id="168"/>
      <w:bookmarkEnd w:id="169"/>
      <w:bookmarkEnd w:id="170"/>
      <w:bookmarkEnd w:id="171"/>
      <w:bookmarkEnd w:id="172"/>
      <w:bookmarkEnd w:id="173"/>
      <w:bookmarkEnd w:id="174"/>
    </w:p>
    <w:p w14:paraId="5C6DAC8F">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可以书面形式修改竞争性磋商文件，但如果修改竞争性磋商文件的时间距投标截止时间不足5天，并且修改内容影响磋商响应文件编制的，将相应延长磋商截止时间。</w:t>
      </w:r>
    </w:p>
    <w:p w14:paraId="515B4D9E">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75" w:name="_Toc77586928"/>
      <w:bookmarkStart w:id="176" w:name="_Toc247085705"/>
      <w:bookmarkStart w:id="177" w:name="_Toc246996934"/>
      <w:bookmarkStart w:id="178" w:name="_Toc246996191"/>
      <w:bookmarkStart w:id="179" w:name="_Toc77586835"/>
      <w:bookmarkStart w:id="180" w:name="_Toc144974514"/>
      <w:bookmarkStart w:id="181" w:name="_Toc152045546"/>
      <w:bookmarkStart w:id="182" w:name="_Toc152042322"/>
      <w:bookmarkStart w:id="183" w:name="_Toc179632564"/>
      <w:bookmarkStart w:id="184" w:name="_Toc296602436"/>
      <w:r>
        <w:rPr>
          <w:rFonts w:hint="eastAsia" w:asciiTheme="minorEastAsia" w:hAnsiTheme="minorEastAsia" w:eastAsiaTheme="minorEastAsia" w:cstheme="minorEastAsia"/>
          <w:color w:val="auto"/>
          <w:sz w:val="24"/>
          <w:szCs w:val="24"/>
          <w:highlight w:val="none"/>
        </w:rPr>
        <w:t>3. 竞争性磋商文件</w:t>
      </w:r>
      <w:bookmarkEnd w:id="175"/>
      <w:bookmarkEnd w:id="176"/>
      <w:bookmarkEnd w:id="177"/>
      <w:bookmarkEnd w:id="178"/>
      <w:bookmarkEnd w:id="179"/>
      <w:bookmarkEnd w:id="180"/>
      <w:bookmarkEnd w:id="181"/>
      <w:bookmarkEnd w:id="182"/>
      <w:bookmarkEnd w:id="183"/>
      <w:bookmarkEnd w:id="184"/>
    </w:p>
    <w:p w14:paraId="73480D6F">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185" w:name="_Toc152045547"/>
      <w:bookmarkStart w:id="186" w:name="_Toc144974515"/>
      <w:bookmarkStart w:id="187" w:name="_Toc296602437"/>
      <w:bookmarkStart w:id="188" w:name="_Toc77586929"/>
      <w:bookmarkStart w:id="189" w:name="_Toc152042323"/>
      <w:bookmarkStart w:id="190" w:name="_Toc77586836"/>
      <w:bookmarkStart w:id="191" w:name="_Toc179632565"/>
      <w:bookmarkStart w:id="192" w:name="_Toc247085706"/>
      <w:bookmarkStart w:id="193" w:name="_Toc246996935"/>
      <w:bookmarkStart w:id="194" w:name="_Toc246996192"/>
      <w:r>
        <w:rPr>
          <w:rFonts w:hint="eastAsia" w:asciiTheme="minorEastAsia" w:hAnsiTheme="minorEastAsia" w:eastAsiaTheme="minorEastAsia" w:cstheme="minorEastAsia"/>
          <w:color w:val="auto"/>
          <w:sz w:val="24"/>
          <w:szCs w:val="24"/>
          <w:highlight w:val="none"/>
        </w:rPr>
        <w:t>3.1 竞争性磋商文件的组成</w:t>
      </w:r>
      <w:bookmarkEnd w:id="185"/>
      <w:bookmarkEnd w:id="186"/>
      <w:bookmarkEnd w:id="187"/>
      <w:bookmarkEnd w:id="188"/>
      <w:bookmarkEnd w:id="189"/>
      <w:bookmarkEnd w:id="190"/>
      <w:bookmarkEnd w:id="191"/>
      <w:bookmarkEnd w:id="192"/>
      <w:bookmarkEnd w:id="193"/>
      <w:bookmarkEnd w:id="194"/>
    </w:p>
    <w:p w14:paraId="22E0941A">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bookmarkStart w:id="195" w:name="_Toc152045548"/>
      <w:bookmarkStart w:id="196" w:name="_Toc152042324"/>
      <w:bookmarkStart w:id="197" w:name="_Toc247085707"/>
      <w:bookmarkStart w:id="198" w:name="_Toc77586930"/>
      <w:bookmarkStart w:id="199" w:name="_Toc246996936"/>
      <w:bookmarkStart w:id="200" w:name="_Toc246996193"/>
      <w:bookmarkStart w:id="201" w:name="_Toc77586837"/>
      <w:bookmarkStart w:id="202" w:name="_Toc179632566"/>
      <w:bookmarkStart w:id="203" w:name="_Toc144974516"/>
      <w:bookmarkStart w:id="204" w:name="_Toc296602438"/>
      <w:r>
        <w:rPr>
          <w:rFonts w:hint="eastAsia" w:asciiTheme="minorEastAsia" w:hAnsiTheme="minorEastAsia" w:eastAsiaTheme="minorEastAsia" w:cstheme="minorEastAsia"/>
          <w:b w:val="0"/>
          <w:color w:val="auto"/>
          <w:sz w:val="24"/>
          <w:szCs w:val="24"/>
          <w:highlight w:val="none"/>
        </w:rPr>
        <w:t>一、</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磋商响应函</w:t>
      </w:r>
    </w:p>
    <w:p w14:paraId="434FC0AA">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二、</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磋商报价表</w:t>
      </w:r>
    </w:p>
    <w:p w14:paraId="036551EE">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三、</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法定代表人身份证明</w:t>
      </w:r>
    </w:p>
    <w:p w14:paraId="567EAA8A">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四、</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授权委托书</w:t>
      </w:r>
    </w:p>
    <w:p w14:paraId="475B624D">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五、</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投标承诺函</w:t>
      </w:r>
    </w:p>
    <w:p w14:paraId="2481F20D">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default" w:asciiTheme="minorEastAsia" w:hAnsiTheme="minorEastAsia" w:eastAsiaTheme="minorEastAsia" w:cstheme="minorEastAsia"/>
          <w:b w:val="0"/>
          <w:color w:val="auto"/>
          <w:sz w:val="24"/>
          <w:szCs w:val="24"/>
          <w:highlight w:val="none"/>
          <w:lang w:val="en-US"/>
        </w:rPr>
      </w:pPr>
      <w:r>
        <w:rPr>
          <w:rFonts w:hint="eastAsia" w:asciiTheme="minorEastAsia" w:hAnsiTheme="minorEastAsia" w:eastAsiaTheme="minorEastAsia" w:cstheme="minorEastAsia"/>
          <w:b w:val="0"/>
          <w:color w:val="auto"/>
          <w:sz w:val="24"/>
          <w:szCs w:val="24"/>
          <w:highlight w:val="none"/>
        </w:rPr>
        <w:t>六、</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lang w:val="en-US" w:eastAsia="zh-CN"/>
        </w:rPr>
        <w:t>技术服务清单</w:t>
      </w:r>
    </w:p>
    <w:p w14:paraId="28C8EC52">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七、</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技术参数偏离表</w:t>
      </w:r>
    </w:p>
    <w:p w14:paraId="77D4E960">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八、</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lang w:val="en-US" w:eastAsia="zh-CN"/>
        </w:rPr>
        <w:t>技术标</w:t>
      </w:r>
    </w:p>
    <w:p w14:paraId="3DFA958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九、 商务标</w:t>
      </w:r>
    </w:p>
    <w:p w14:paraId="180199A7">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十</w:t>
      </w: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color w:val="auto"/>
          <w:sz w:val="24"/>
          <w:szCs w:val="24"/>
          <w:highlight w:val="none"/>
        </w:rPr>
        <w:tab/>
      </w:r>
      <w:r>
        <w:rPr>
          <w:rFonts w:hint="eastAsia" w:asciiTheme="minorEastAsia" w:hAnsiTheme="minorEastAsia" w:eastAsiaTheme="minorEastAsia" w:cstheme="minorEastAsia"/>
          <w:b w:val="0"/>
          <w:color w:val="auto"/>
          <w:sz w:val="24"/>
          <w:szCs w:val="24"/>
          <w:highlight w:val="none"/>
        </w:rPr>
        <w:t>资格审查资料</w:t>
      </w:r>
    </w:p>
    <w:p w14:paraId="17494931">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0" w:firstLineChars="100"/>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十</w:t>
      </w:r>
      <w:r>
        <w:rPr>
          <w:rFonts w:hint="eastAsia" w:asciiTheme="minorEastAsia" w:hAnsiTheme="minorEastAsia" w:eastAsiaTheme="minorEastAsia" w:cstheme="minorEastAsia"/>
          <w:b w:val="0"/>
          <w:color w:val="auto"/>
          <w:sz w:val="24"/>
          <w:szCs w:val="24"/>
          <w:highlight w:val="none"/>
          <w:lang w:val="en-US" w:eastAsia="zh-CN"/>
        </w:rPr>
        <w:t>一</w:t>
      </w:r>
      <w:r>
        <w:rPr>
          <w:rFonts w:hint="eastAsia" w:asciiTheme="minorEastAsia" w:hAnsiTheme="minorEastAsia" w:eastAsiaTheme="minorEastAsia" w:cstheme="minorEastAsia"/>
          <w:b w:val="0"/>
          <w:color w:val="auto"/>
          <w:sz w:val="24"/>
          <w:szCs w:val="24"/>
          <w:highlight w:val="none"/>
        </w:rPr>
        <w:t>、供应商认为有必要提供的其他资料</w:t>
      </w:r>
    </w:p>
    <w:p w14:paraId="3FECFD13">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磋商报价</w:t>
      </w:r>
      <w:bookmarkEnd w:id="195"/>
      <w:bookmarkEnd w:id="196"/>
      <w:bookmarkEnd w:id="197"/>
      <w:bookmarkEnd w:id="198"/>
      <w:bookmarkEnd w:id="199"/>
      <w:bookmarkEnd w:id="200"/>
      <w:bookmarkEnd w:id="201"/>
      <w:bookmarkEnd w:id="202"/>
      <w:bookmarkEnd w:id="203"/>
      <w:bookmarkEnd w:id="204"/>
    </w:p>
    <w:p w14:paraId="483E437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根据竞争性磋商文件规定的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内容，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应对本次招标的全部工作内容进行报价。磋商报价应是竞争性磋商文件所确定的磋商范围内的全部工作内容的价格体现。 </w:t>
      </w:r>
    </w:p>
    <w:p w14:paraId="4717AB6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3.2.2磋商报价应包括竞争性磋商文件及技术规范等规定的，实施和完成招标直至</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验收合格，及达到</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质量和</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期</w:t>
      </w:r>
      <w:r>
        <w:rPr>
          <w:rFonts w:hint="eastAsia" w:asciiTheme="minorEastAsia" w:hAnsiTheme="minorEastAsia" w:eastAsiaTheme="minorEastAsia" w:cstheme="minorEastAsia"/>
          <w:color w:val="auto"/>
          <w:sz w:val="24"/>
          <w:szCs w:val="24"/>
          <w:highlight w:val="none"/>
        </w:rPr>
        <w:t>目标、安全文明、环境保护等要求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正式交付</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使用前所需的全部费用。</w:t>
      </w:r>
    </w:p>
    <w:p w14:paraId="3C4818F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的磋商报价根据竞争性磋商文件、</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清单、答疑等，充分考虑市场价格、风险因素，在合理范围内自主报价，但不得低于企业实际成本。</w:t>
      </w:r>
    </w:p>
    <w:p w14:paraId="704B81E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3.2.4</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应结合自身条件，并充分考虑本</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难度、</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期</w:t>
      </w:r>
      <w:r>
        <w:rPr>
          <w:rFonts w:hint="eastAsia" w:asciiTheme="minorEastAsia" w:hAnsiTheme="minorEastAsia" w:eastAsiaTheme="minorEastAsia" w:cstheme="minorEastAsia"/>
          <w:color w:val="auto"/>
          <w:sz w:val="24"/>
          <w:szCs w:val="24"/>
          <w:highlight w:val="none"/>
        </w:rPr>
        <w:t>的要求、</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质量要求以及市场因素、现场环境因素、社会因素、市场价格调整因素等各方面原因合理报价。磋商报价将被认为已综合考虑了在全过程中可能发生的全部不可预见费用。成交人无权再以任何理由提出延长</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期</w:t>
      </w:r>
      <w:r>
        <w:rPr>
          <w:rFonts w:hint="eastAsia" w:asciiTheme="minorEastAsia" w:hAnsiTheme="minorEastAsia" w:eastAsiaTheme="minorEastAsia" w:cstheme="minorEastAsia"/>
          <w:color w:val="auto"/>
          <w:sz w:val="24"/>
          <w:szCs w:val="24"/>
          <w:highlight w:val="none"/>
        </w:rPr>
        <w:t>、增加价款或索赔等要求。</w:t>
      </w:r>
    </w:p>
    <w:p w14:paraId="105B4B75">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磋商报价要求</w:t>
      </w:r>
    </w:p>
    <w:p w14:paraId="61A385DB">
      <w:pPr>
        <w:keepNext w:val="0"/>
        <w:keepLines w:val="0"/>
        <w:pageBreakBefore w:val="0"/>
        <w:widowControl/>
        <w:numPr>
          <w:ilvl w:val="0"/>
          <w:numId w:val="1"/>
        </w:numPr>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在投标时必须在磋商响应文件中提供一份完整的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清单；</w:t>
      </w:r>
    </w:p>
    <w:p w14:paraId="62F35E1F">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作为有经验的承包商，应充分考虑该</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实施时的各种风险，并将其考虑在本次投标报价各清单项目的综合单价中，结算时综合单价不做调整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合同另有约定的除外）；</w:t>
      </w:r>
    </w:p>
    <w:p w14:paraId="05E60212">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3）本次磋商的最终投标总报价不得高于磋商控制价，高于磋商控制价的报价将不再评审；</w:t>
      </w:r>
    </w:p>
    <w:p w14:paraId="355F30A5">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4）磋商响应文件报价中的单价和总价全部采用人民币表示。 </w:t>
      </w:r>
    </w:p>
    <w:p w14:paraId="27F6CFF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5）本项目为竞争性磋商方式，允许二次报价。</w:t>
      </w:r>
    </w:p>
    <w:p w14:paraId="547308A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05" w:name="_Toc247085708"/>
      <w:bookmarkStart w:id="206" w:name="_Toc296602439"/>
      <w:bookmarkStart w:id="207" w:name="_Toc152045549"/>
      <w:bookmarkStart w:id="208" w:name="_Toc144974517"/>
      <w:bookmarkStart w:id="209" w:name="_Toc152042325"/>
      <w:bookmarkStart w:id="210" w:name="_Toc77586931"/>
      <w:bookmarkStart w:id="211" w:name="_Toc246996194"/>
      <w:bookmarkStart w:id="212" w:name="_Toc179632567"/>
      <w:bookmarkStart w:id="213" w:name="_Toc77586838"/>
      <w:bookmarkStart w:id="214" w:name="_Toc246996937"/>
      <w:r>
        <w:rPr>
          <w:rFonts w:hint="eastAsia" w:asciiTheme="minorEastAsia" w:hAnsiTheme="minorEastAsia" w:eastAsiaTheme="minorEastAsia" w:cstheme="minorEastAsia"/>
          <w:color w:val="auto"/>
          <w:sz w:val="24"/>
          <w:szCs w:val="24"/>
          <w:highlight w:val="none"/>
        </w:rPr>
        <w:t>3.3 磋商有效期</w:t>
      </w:r>
      <w:bookmarkEnd w:id="205"/>
      <w:bookmarkEnd w:id="206"/>
      <w:bookmarkEnd w:id="207"/>
      <w:bookmarkEnd w:id="208"/>
      <w:bookmarkEnd w:id="209"/>
      <w:bookmarkEnd w:id="210"/>
      <w:bookmarkEnd w:id="211"/>
      <w:bookmarkEnd w:id="212"/>
      <w:bookmarkEnd w:id="213"/>
      <w:bookmarkEnd w:id="214"/>
    </w:p>
    <w:p w14:paraId="1DC82A92">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磋商有效期为60日历天。</w:t>
      </w:r>
    </w:p>
    <w:p w14:paraId="65CC2830">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3.3.2在磋商有效期内，</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撤销或修改其磋商响应文件的，应承担磋商文件和法律规定的责任。</w:t>
      </w:r>
    </w:p>
    <w:p w14:paraId="62F9DCD8">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3.3.3出现特殊情况需要延长投标有效期的，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以书面形式通知所有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延长投标有效期。</w:t>
      </w:r>
    </w:p>
    <w:p w14:paraId="1AF03966">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15" w:name="_Toc246996938"/>
      <w:bookmarkStart w:id="216" w:name="_Toc247085709"/>
      <w:bookmarkStart w:id="217" w:name="_Toc152042326"/>
      <w:bookmarkStart w:id="218" w:name="_Toc246996195"/>
      <w:bookmarkStart w:id="219" w:name="_Toc179632568"/>
      <w:bookmarkStart w:id="220" w:name="_Toc144974518"/>
      <w:bookmarkStart w:id="221" w:name="_Toc296602440"/>
      <w:bookmarkStart w:id="222" w:name="_Toc152045550"/>
      <w:bookmarkStart w:id="223" w:name="_Toc77586839"/>
      <w:bookmarkStart w:id="224" w:name="_Toc77586932"/>
      <w:r>
        <w:rPr>
          <w:rFonts w:hint="eastAsia" w:asciiTheme="minorEastAsia" w:hAnsiTheme="minorEastAsia" w:eastAsiaTheme="minorEastAsia" w:cstheme="minorEastAsia"/>
          <w:color w:val="auto"/>
          <w:sz w:val="24"/>
          <w:szCs w:val="24"/>
          <w:highlight w:val="none"/>
        </w:rPr>
        <w:t xml:space="preserve">3.4 </w:t>
      </w:r>
      <w:bookmarkEnd w:id="215"/>
      <w:bookmarkEnd w:id="216"/>
      <w:bookmarkEnd w:id="217"/>
      <w:bookmarkEnd w:id="218"/>
      <w:bookmarkEnd w:id="219"/>
      <w:bookmarkEnd w:id="220"/>
      <w:bookmarkEnd w:id="221"/>
      <w:bookmarkEnd w:id="222"/>
      <w:r>
        <w:rPr>
          <w:rFonts w:hint="eastAsia" w:asciiTheme="minorEastAsia" w:hAnsiTheme="minorEastAsia" w:eastAsiaTheme="minorEastAsia" w:cstheme="minorEastAsia"/>
          <w:color w:val="auto"/>
          <w:sz w:val="24"/>
          <w:szCs w:val="24"/>
          <w:highlight w:val="none"/>
        </w:rPr>
        <w:t>磋商保证金</w:t>
      </w:r>
      <w:bookmarkEnd w:id="223"/>
      <w:bookmarkEnd w:id="224"/>
    </w:p>
    <w:p w14:paraId="131255C3">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本项目不收取磋商保证金。</w:t>
      </w:r>
    </w:p>
    <w:p w14:paraId="02DCDDB0">
      <w:pPr>
        <w:keepNext w:val="0"/>
        <w:keepLines w:val="0"/>
        <w:pageBreakBefore w:val="0"/>
        <w:widowControl/>
        <w:kinsoku/>
        <w:wordWrap/>
        <w:overflowPunct/>
        <w:topLinePunct w:val="0"/>
        <w:autoSpaceDE/>
        <w:autoSpaceDN/>
        <w:bidi w:val="0"/>
        <w:adjustRightInd w:val="0"/>
        <w:snapToGrid/>
        <w:spacing w:after="0" w:line="360" w:lineRule="auto"/>
        <w:ind w:firstLine="241"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3.5 </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基本情况表</w:t>
      </w:r>
      <w:bookmarkStart w:id="225" w:name="_Toc296602442"/>
      <w:bookmarkStart w:id="226" w:name="_Toc152042329"/>
      <w:bookmarkStart w:id="227" w:name="_Toc246996940"/>
      <w:bookmarkStart w:id="228" w:name="_Toc152045553"/>
      <w:bookmarkStart w:id="229" w:name="_Toc247085711"/>
      <w:bookmarkStart w:id="230" w:name="_Toc246996197"/>
      <w:bookmarkStart w:id="231" w:name="_Toc179632571"/>
      <w:bookmarkStart w:id="232" w:name="_Toc144974521"/>
    </w:p>
    <w:p w14:paraId="2271C203">
      <w:pPr>
        <w:keepNext w:val="0"/>
        <w:keepLines w:val="0"/>
        <w:pageBreakBefore w:val="0"/>
        <w:widowControl/>
        <w:kinsoku/>
        <w:wordWrap/>
        <w:overflowPunct/>
        <w:topLinePunct w:val="0"/>
        <w:autoSpaceDE/>
        <w:autoSpaceDN/>
        <w:bidi w:val="0"/>
        <w:adjustRightInd w:val="0"/>
        <w:snapToGrid/>
        <w:spacing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3.5.1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近年财务状况表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可附财务会计报表，具体年份要求见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1EB62FDC">
      <w:pPr>
        <w:keepNext w:val="0"/>
        <w:keepLines w:val="0"/>
        <w:pageBreakBefore w:val="0"/>
        <w:widowControl/>
        <w:kinsoku/>
        <w:wordWrap/>
        <w:overflowPunct/>
        <w:topLinePunct w:val="0"/>
        <w:autoSpaceDE/>
        <w:autoSpaceDN/>
        <w:bidi w:val="0"/>
        <w:adjustRightInd w:val="0"/>
        <w:snapToGrid/>
        <w:spacing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3.5.2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近年完成的类似项目情况表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可附成交通知书</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合同的扫描件，具体年份要求见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须知前附表。每张表格只填写一个项目，并标明序号。</w:t>
      </w:r>
    </w:p>
    <w:p w14:paraId="3F42FCE5">
      <w:pPr>
        <w:keepNext w:val="0"/>
        <w:keepLines w:val="0"/>
        <w:pageBreakBefore w:val="0"/>
        <w:widowControl/>
        <w:kinsoku/>
        <w:wordWrap/>
        <w:overflowPunct/>
        <w:topLinePunct w:val="0"/>
        <w:autoSpaceDE/>
        <w:autoSpaceDN/>
        <w:bidi w:val="0"/>
        <w:adjustRightInd w:val="0"/>
        <w:snapToGrid/>
        <w:spacing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3.5.4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正在</w:t>
      </w:r>
      <w:r>
        <w:rPr>
          <w:rFonts w:hint="eastAsia" w:asciiTheme="minorEastAsia" w:hAnsiTheme="minorEastAsia" w:eastAsiaTheme="minorEastAsia" w:cstheme="minorEastAsia"/>
          <w:color w:val="auto"/>
          <w:sz w:val="24"/>
          <w:szCs w:val="24"/>
          <w:highlight w:val="none"/>
          <w:lang w:val="en-US" w:eastAsia="zh-CN"/>
        </w:rPr>
        <w:t>实施</w:t>
      </w:r>
      <w:r>
        <w:rPr>
          <w:rFonts w:hint="eastAsia" w:asciiTheme="minorEastAsia" w:hAnsiTheme="minorEastAsia" w:eastAsiaTheme="minorEastAsia" w:cstheme="minorEastAsia"/>
          <w:color w:val="auto"/>
          <w:sz w:val="24"/>
          <w:szCs w:val="24"/>
          <w:highlight w:val="none"/>
        </w:rPr>
        <w:t>和新承接的项目情况表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可附成成交通知书</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合同扫描件。每张表格只填写一个项目，并标明序号。</w:t>
      </w:r>
    </w:p>
    <w:p w14:paraId="2EFB60C9">
      <w:pPr>
        <w:keepNext w:val="0"/>
        <w:keepLines w:val="0"/>
        <w:pageBreakBefore w:val="0"/>
        <w:widowControl/>
        <w:kinsoku/>
        <w:wordWrap/>
        <w:overflowPunct/>
        <w:topLinePunct w:val="0"/>
        <w:autoSpaceDE/>
        <w:autoSpaceDN/>
        <w:bidi w:val="0"/>
        <w:adjustRightInd w:val="0"/>
        <w:snapToGrid/>
        <w:spacing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3.5.5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近年发生的诉讼及仲裁情况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应说明相关情况，可附法院或仲裁机构作出的判决、裁决等有关法律文书扫描件，具体年份要求见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3F1B24DA">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33" w:name="_Toc77586933"/>
      <w:bookmarkStart w:id="234" w:name="_Toc77586840"/>
      <w:r>
        <w:rPr>
          <w:rFonts w:hint="eastAsia" w:asciiTheme="minorEastAsia" w:hAnsiTheme="minorEastAsia" w:eastAsiaTheme="minorEastAsia" w:cstheme="minorEastAsia"/>
          <w:color w:val="auto"/>
          <w:sz w:val="24"/>
          <w:szCs w:val="24"/>
          <w:highlight w:val="none"/>
        </w:rPr>
        <w:t>3.6磋商响应文件的</w:t>
      </w:r>
      <w:bookmarkEnd w:id="225"/>
      <w:r>
        <w:rPr>
          <w:rFonts w:hint="eastAsia" w:asciiTheme="minorEastAsia" w:hAnsiTheme="minorEastAsia" w:eastAsiaTheme="minorEastAsia" w:cstheme="minorEastAsia"/>
          <w:color w:val="auto"/>
          <w:sz w:val="24"/>
          <w:szCs w:val="24"/>
          <w:highlight w:val="none"/>
        </w:rPr>
        <w:t>编制</w:t>
      </w:r>
      <w:bookmarkEnd w:id="233"/>
      <w:bookmarkEnd w:id="234"/>
    </w:p>
    <w:bookmarkEnd w:id="226"/>
    <w:bookmarkEnd w:id="227"/>
    <w:bookmarkEnd w:id="228"/>
    <w:bookmarkEnd w:id="229"/>
    <w:bookmarkEnd w:id="230"/>
    <w:bookmarkEnd w:id="231"/>
    <w:bookmarkEnd w:id="232"/>
    <w:p w14:paraId="3B05EB84">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235" w:name="_Toc179632573"/>
      <w:bookmarkStart w:id="236" w:name="_Toc246996942"/>
      <w:bookmarkStart w:id="237" w:name="_Toc152042331"/>
      <w:bookmarkStart w:id="238" w:name="_Toc144974523"/>
      <w:bookmarkStart w:id="239" w:name="_Toc296602443"/>
      <w:bookmarkStart w:id="240" w:name="_Toc246996199"/>
      <w:bookmarkStart w:id="241" w:name="_Toc247085713"/>
      <w:bookmarkStart w:id="242" w:name="_Toc152045555"/>
      <w:r>
        <w:rPr>
          <w:rFonts w:hint="eastAsia" w:asciiTheme="minorEastAsia" w:hAnsiTheme="minorEastAsia" w:eastAsiaTheme="minorEastAsia" w:cstheme="minorEastAsia"/>
          <w:color w:val="auto"/>
          <w:sz w:val="24"/>
          <w:szCs w:val="24"/>
          <w:highlight w:val="none"/>
        </w:rPr>
        <w:t>3.6.1磋商响应文件可按第八章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磋商响应文件格式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进行编写，如有必要，可以增加附页作为磋商响应文件的组成部分。其中，投标函附录在满足竞争性磋商文件实质性要求的基础上，可以提出比竞争性磋商文件要求更有利于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的承诺。</w:t>
      </w:r>
    </w:p>
    <w:p w14:paraId="2CE42869">
      <w:pPr>
        <w:keepNext w:val="0"/>
        <w:keepLines w:val="0"/>
        <w:pageBreakBefore w:val="0"/>
        <w:widowControl/>
        <w:kinsoku/>
        <w:wordWrap w:val="0"/>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 磋商响应文件应当对竞争性磋商文件有关项目实施周期、投标有效期、质量要求、招标范围等实质性内容作出响应。</w:t>
      </w:r>
    </w:p>
    <w:p w14:paraId="3B4BA139">
      <w:pPr>
        <w:keepNext w:val="0"/>
        <w:keepLines w:val="0"/>
        <w:pageBreakBefore w:val="0"/>
        <w:widowControl/>
        <w:kinsoku/>
        <w:wordWrap w:val="0"/>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所上传的电子化磋商响应文件，应是通过中心</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制作系统制作的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制作工具下载地址：https://download.bqpoint.com/download/downloaddetail.html?SourceFrom=Ztb&amp;ZtbSoftXiaQuCode=1506&amp;ZtbSoftType=tballinclusive），经过签章和加密后生成的电子版磋商响应文件。其中包含用于磋商响应文件上传的主文件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后缀为.smxtf）和用于应急补救的磋商响应文件备份文件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后缀为.nsmxtf）。</w:t>
      </w:r>
    </w:p>
    <w:p w14:paraId="5FEF1615">
      <w:pPr>
        <w:keepNext w:val="0"/>
        <w:keepLines w:val="0"/>
        <w:pageBreakBefore w:val="0"/>
        <w:widowControl/>
        <w:kinsoku/>
        <w:wordWrap/>
        <w:overflowPunct/>
        <w:topLinePunct w:val="0"/>
        <w:autoSpaceDE/>
        <w:autoSpaceDN/>
        <w:bidi w:val="0"/>
        <w:adjustRightInd w:val="0"/>
        <w:snapToGrid/>
        <w:spacing w:after="0"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电子化</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具体制作教材请</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点击以下链接学习</w:t>
      </w:r>
      <w:r>
        <w:rPr>
          <w:rFonts w:hint="eastAsia" w:asciiTheme="minorEastAsia" w:hAnsiTheme="minorEastAsia" w:eastAsiaTheme="minorEastAsia" w:cstheme="minorEastAsia"/>
          <w:color w:val="auto"/>
          <w:sz w:val="24"/>
          <w:szCs w:val="24"/>
          <w:highlight w:val="none"/>
        </w:rPr>
        <w:t>http://gzjy.smx.gov.cn/bzzx/008001/20200325/4a2f9fa3-b923-4ddd-bd6f-138a0b63f7d1.html</w:t>
      </w:r>
    </w:p>
    <w:p w14:paraId="684447E5">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43" w:name="_Toc77586934"/>
      <w:bookmarkStart w:id="244" w:name="_Toc77586841"/>
      <w:r>
        <w:rPr>
          <w:rFonts w:hint="eastAsia" w:asciiTheme="minorEastAsia" w:hAnsiTheme="minorEastAsia" w:eastAsiaTheme="minorEastAsia" w:cstheme="minorEastAsia"/>
          <w:color w:val="auto"/>
          <w:sz w:val="24"/>
          <w:szCs w:val="24"/>
          <w:highlight w:val="none"/>
        </w:rPr>
        <w:t>3.7备选投标方案</w:t>
      </w:r>
      <w:bookmarkEnd w:id="243"/>
      <w:bookmarkEnd w:id="244"/>
    </w:p>
    <w:p w14:paraId="48FAEB1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递交备选投标方案。</w:t>
      </w:r>
    </w:p>
    <w:p w14:paraId="22EE411F">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45" w:name="_Toc77586842"/>
      <w:bookmarkStart w:id="246" w:name="_Toc77586935"/>
      <w:r>
        <w:rPr>
          <w:rFonts w:hint="eastAsia" w:asciiTheme="minorEastAsia" w:hAnsiTheme="minorEastAsia" w:eastAsiaTheme="minorEastAsia" w:cstheme="minorEastAsia"/>
          <w:color w:val="auto"/>
          <w:sz w:val="24"/>
          <w:szCs w:val="24"/>
          <w:highlight w:val="none"/>
        </w:rPr>
        <w:t>4. 投标</w:t>
      </w:r>
      <w:bookmarkEnd w:id="235"/>
      <w:bookmarkEnd w:id="236"/>
      <w:bookmarkEnd w:id="237"/>
      <w:bookmarkEnd w:id="238"/>
      <w:bookmarkEnd w:id="239"/>
      <w:bookmarkEnd w:id="240"/>
      <w:bookmarkEnd w:id="241"/>
      <w:bookmarkEnd w:id="242"/>
      <w:bookmarkEnd w:id="245"/>
      <w:bookmarkEnd w:id="246"/>
    </w:p>
    <w:p w14:paraId="60062C4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47" w:name="_Toc247085714"/>
      <w:bookmarkStart w:id="248" w:name="_Toc152045556"/>
      <w:bookmarkStart w:id="249" w:name="_Toc179632574"/>
      <w:bookmarkStart w:id="250" w:name="_Toc246996943"/>
      <w:bookmarkStart w:id="251" w:name="_Toc144974524"/>
      <w:bookmarkStart w:id="252" w:name="_Toc296602444"/>
      <w:bookmarkStart w:id="253" w:name="_Toc152042332"/>
      <w:bookmarkStart w:id="254" w:name="_Toc246996200"/>
      <w:bookmarkStart w:id="255" w:name="_Toc77586936"/>
      <w:bookmarkStart w:id="256" w:name="_Toc77586843"/>
      <w:r>
        <w:rPr>
          <w:rFonts w:hint="eastAsia" w:asciiTheme="minorEastAsia" w:hAnsiTheme="minorEastAsia" w:eastAsiaTheme="minorEastAsia" w:cstheme="minorEastAsia"/>
          <w:color w:val="auto"/>
          <w:sz w:val="24"/>
          <w:szCs w:val="24"/>
          <w:highlight w:val="none"/>
        </w:rPr>
        <w:t>4.1 磋商响应文件的</w:t>
      </w:r>
      <w:bookmarkEnd w:id="247"/>
      <w:bookmarkEnd w:id="248"/>
      <w:bookmarkEnd w:id="249"/>
      <w:bookmarkEnd w:id="250"/>
      <w:bookmarkEnd w:id="251"/>
      <w:bookmarkEnd w:id="252"/>
      <w:bookmarkEnd w:id="253"/>
      <w:bookmarkEnd w:id="254"/>
      <w:r>
        <w:rPr>
          <w:rFonts w:hint="eastAsia" w:asciiTheme="minorEastAsia" w:hAnsiTheme="minorEastAsia" w:eastAsiaTheme="minorEastAsia" w:cstheme="minorEastAsia"/>
          <w:color w:val="auto"/>
          <w:sz w:val="24"/>
          <w:szCs w:val="24"/>
          <w:highlight w:val="none"/>
        </w:rPr>
        <w:t>签署</w:t>
      </w:r>
      <w:bookmarkEnd w:id="255"/>
      <w:bookmarkEnd w:id="256"/>
    </w:p>
    <w:p w14:paraId="03F05480">
      <w:pPr>
        <w:keepNext w:val="0"/>
        <w:keepLines w:val="0"/>
        <w:pageBreakBefore w:val="0"/>
        <w:widowControl/>
        <w:kinsoku/>
        <w:wordWrap/>
        <w:overflowPunct/>
        <w:topLinePunct w:val="0"/>
        <w:autoSpaceDE/>
        <w:autoSpaceDN/>
        <w:bidi w:val="0"/>
        <w:adjustRightInd w:val="0"/>
        <w:snapToGrid/>
        <w:spacing w:after="0" w:line="360" w:lineRule="auto"/>
        <w:ind w:firstLine="465"/>
        <w:textAlignment w:val="auto"/>
        <w:rPr>
          <w:rFonts w:hint="eastAsia" w:asciiTheme="minorEastAsia" w:hAnsiTheme="minorEastAsia" w:eastAsiaTheme="minorEastAsia" w:cstheme="minorEastAsia"/>
          <w:color w:val="auto"/>
          <w:sz w:val="24"/>
          <w:szCs w:val="24"/>
          <w:highlight w:val="none"/>
        </w:rPr>
      </w:pPr>
      <w:bookmarkStart w:id="257" w:name="_Toc246996944"/>
      <w:bookmarkStart w:id="258" w:name="_Toc152042333"/>
      <w:bookmarkStart w:id="259" w:name="_Toc246996201"/>
      <w:bookmarkStart w:id="260" w:name="_Toc179632575"/>
      <w:bookmarkStart w:id="261" w:name="_Toc152045557"/>
      <w:bookmarkStart w:id="262" w:name="_Toc247085715"/>
      <w:bookmarkStart w:id="263" w:name="_Toc296602445"/>
      <w:bookmarkStart w:id="264" w:name="_Toc144974525"/>
      <w:r>
        <w:rPr>
          <w:rFonts w:hint="eastAsia" w:asciiTheme="minorEastAsia" w:hAnsiTheme="minorEastAsia" w:eastAsiaTheme="minorEastAsia" w:cstheme="minorEastAsia"/>
          <w:bCs/>
          <w:color w:val="auto"/>
          <w:sz w:val="24"/>
          <w:szCs w:val="24"/>
          <w:highlight w:val="none"/>
        </w:rPr>
        <w:t>4.1.1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在进行电子化磋商响应文件签章时，竞争性磋商文件中要求</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盖章的，以签电子签章为准；要求法定代表人签章的，以签盖法定代表人签章为准</w:t>
      </w:r>
      <w:r>
        <w:rPr>
          <w:rFonts w:hint="eastAsia" w:asciiTheme="minorEastAsia" w:hAnsiTheme="minorEastAsia" w:eastAsiaTheme="minorEastAsia" w:cstheme="minorEastAsia"/>
          <w:color w:val="auto"/>
          <w:sz w:val="24"/>
          <w:szCs w:val="24"/>
          <w:highlight w:val="none"/>
        </w:rPr>
        <w:t>。电子化磋商响应文件具体制作教材请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通过CA证书登录三门峡市公共资源电子化交易系统在右上角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组件下载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中查看。</w:t>
      </w:r>
    </w:p>
    <w:p w14:paraId="29CF529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65" w:name="_Toc77586937"/>
      <w:bookmarkStart w:id="266" w:name="_Toc77586844"/>
      <w:r>
        <w:rPr>
          <w:rFonts w:hint="eastAsia" w:asciiTheme="minorEastAsia" w:hAnsiTheme="minorEastAsia" w:eastAsiaTheme="minorEastAsia" w:cstheme="minorEastAsia"/>
          <w:color w:val="auto"/>
          <w:sz w:val="24"/>
          <w:szCs w:val="24"/>
          <w:highlight w:val="none"/>
        </w:rPr>
        <w:t>4.2 磋商响应文件的上传</w:t>
      </w:r>
      <w:bookmarkEnd w:id="265"/>
      <w:bookmarkEnd w:id="266"/>
    </w:p>
    <w:p w14:paraId="6BA4A03B">
      <w:pPr>
        <w:keepNext w:val="0"/>
        <w:keepLines w:val="0"/>
        <w:pageBreakBefore w:val="0"/>
        <w:widowControl/>
        <w:kinsoku/>
        <w:wordWrap/>
        <w:overflowPunct/>
        <w:topLinePunct w:val="0"/>
        <w:autoSpaceDE/>
        <w:autoSpaceDN/>
        <w:bidi w:val="0"/>
        <w:adjustRightInd w:val="0"/>
        <w:snapToGrid/>
        <w:spacing w:after="0"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电子化磋商响应文件应在投标截止时间前成功上传至三门峡市公共资源电子化交易系统。至投标截止时间止，仍未上传成功的电子化磋商响应文件将不予接收。</w:t>
      </w:r>
    </w:p>
    <w:p w14:paraId="3E6AE0AA">
      <w:pPr>
        <w:keepNext w:val="0"/>
        <w:keepLines w:val="0"/>
        <w:pageBreakBefore w:val="0"/>
        <w:widowControl/>
        <w:kinsoku/>
        <w:wordWrap/>
        <w:overflowPunct/>
        <w:topLinePunct w:val="0"/>
        <w:autoSpaceDE/>
        <w:autoSpaceDN/>
        <w:bidi w:val="0"/>
        <w:adjustRightInd w:val="0"/>
        <w:snapToGrid/>
        <w:spacing w:after="0"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注：如按照电子化投标操作教材制作完成的电子化磋商响应文件无法上传的，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b/>
          <w:color w:val="auto"/>
          <w:sz w:val="24"/>
          <w:szCs w:val="24"/>
          <w:highlight w:val="none"/>
        </w:rPr>
        <w:t>投标截止时间前尽早的</w:t>
      </w:r>
      <w:r>
        <w:rPr>
          <w:rFonts w:hint="eastAsia" w:asciiTheme="minorEastAsia" w:hAnsiTheme="minorEastAsia" w:eastAsiaTheme="minorEastAsia" w:cstheme="minorEastAsia"/>
          <w:color w:val="auto"/>
          <w:sz w:val="24"/>
          <w:szCs w:val="24"/>
          <w:highlight w:val="none"/>
        </w:rPr>
        <w:t>联系中心技术人员，以便有充分的时间进行处理。</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应充分考虑到处理技术问题和上传数据等工作所需的时间问题，电子化磋商响应文件未在投标截止时间前成功上传的，其磋商响应文件不予接收。</w:t>
      </w:r>
    </w:p>
    <w:p w14:paraId="7885F167">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67" w:name="_Toc77586845"/>
      <w:bookmarkStart w:id="268" w:name="_Toc77586938"/>
      <w:r>
        <w:rPr>
          <w:rFonts w:hint="eastAsia" w:asciiTheme="minorEastAsia" w:hAnsiTheme="minorEastAsia" w:eastAsiaTheme="minorEastAsia" w:cstheme="minorEastAsia"/>
          <w:color w:val="auto"/>
          <w:sz w:val="24"/>
          <w:szCs w:val="24"/>
          <w:highlight w:val="none"/>
        </w:rPr>
        <w:t>4.3 磋商响应文件的修改与撤回</w:t>
      </w:r>
      <w:bookmarkEnd w:id="267"/>
      <w:bookmarkEnd w:id="268"/>
    </w:p>
    <w:p w14:paraId="508F92CB">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4.3.1在投标截止时间之后，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不得补充、修改电子化磋商响应文件。</w:t>
      </w:r>
    </w:p>
    <w:bookmarkEnd w:id="257"/>
    <w:bookmarkEnd w:id="258"/>
    <w:bookmarkEnd w:id="259"/>
    <w:bookmarkEnd w:id="260"/>
    <w:bookmarkEnd w:id="261"/>
    <w:bookmarkEnd w:id="262"/>
    <w:bookmarkEnd w:id="263"/>
    <w:bookmarkEnd w:id="264"/>
    <w:p w14:paraId="6A758FC4">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69" w:name="_Toc296602447"/>
      <w:bookmarkStart w:id="270" w:name="_Toc246996203"/>
      <w:bookmarkStart w:id="271" w:name="_Toc179632577"/>
      <w:bookmarkStart w:id="272" w:name="_Toc246996946"/>
      <w:bookmarkStart w:id="273" w:name="_Toc152045559"/>
      <w:bookmarkStart w:id="274" w:name="_Toc152042335"/>
      <w:bookmarkStart w:id="275" w:name="_Toc247085717"/>
      <w:bookmarkStart w:id="276" w:name="_Toc144974527"/>
      <w:bookmarkStart w:id="277" w:name="_Toc77586939"/>
      <w:bookmarkStart w:id="278" w:name="_Toc77586846"/>
      <w:r>
        <w:rPr>
          <w:rFonts w:hint="eastAsia" w:asciiTheme="minorEastAsia" w:hAnsiTheme="minorEastAsia" w:eastAsiaTheme="minorEastAsia" w:cstheme="minorEastAsia"/>
          <w:color w:val="auto"/>
          <w:sz w:val="24"/>
          <w:szCs w:val="24"/>
          <w:highlight w:val="none"/>
        </w:rPr>
        <w:t xml:space="preserve">5. </w:t>
      </w:r>
      <w:bookmarkEnd w:id="269"/>
      <w:bookmarkEnd w:id="270"/>
      <w:bookmarkEnd w:id="271"/>
      <w:bookmarkEnd w:id="272"/>
      <w:bookmarkEnd w:id="273"/>
      <w:bookmarkEnd w:id="274"/>
      <w:bookmarkEnd w:id="275"/>
      <w:bookmarkEnd w:id="276"/>
      <w:r>
        <w:rPr>
          <w:rFonts w:hint="eastAsia" w:asciiTheme="minorEastAsia" w:hAnsiTheme="minorEastAsia" w:eastAsiaTheme="minorEastAsia" w:cstheme="minorEastAsia"/>
          <w:color w:val="auto"/>
          <w:sz w:val="24"/>
          <w:szCs w:val="24"/>
          <w:highlight w:val="none"/>
        </w:rPr>
        <w:t>磋商</w:t>
      </w:r>
      <w:bookmarkEnd w:id="277"/>
      <w:bookmarkEnd w:id="278"/>
    </w:p>
    <w:p w14:paraId="1CAC74BF">
      <w:pPr>
        <w:keepNext w:val="0"/>
        <w:keepLines w:val="0"/>
        <w:pageBreakBefore w:val="0"/>
        <w:widowControl/>
        <w:kinsoku/>
        <w:wordWrap/>
        <w:overflowPunct/>
        <w:topLinePunct w:val="0"/>
        <w:autoSpaceDE/>
        <w:autoSpaceDN/>
        <w:bidi w:val="0"/>
        <w:adjustRightInd w:val="0"/>
        <w:snapToGrid/>
        <w:spacing w:after="0" w:line="360" w:lineRule="auto"/>
        <w:ind w:firstLine="422" w:firstLineChars="176"/>
        <w:textAlignment w:val="auto"/>
        <w:rPr>
          <w:rFonts w:hint="eastAsia" w:asciiTheme="minorEastAsia" w:hAnsiTheme="minorEastAsia" w:eastAsiaTheme="minorEastAsia" w:cstheme="minorEastAsia"/>
          <w:color w:val="auto"/>
          <w:sz w:val="24"/>
          <w:szCs w:val="24"/>
          <w:highlight w:val="none"/>
        </w:rPr>
      </w:pPr>
      <w:bookmarkStart w:id="279" w:name="_Toc152045561"/>
      <w:bookmarkStart w:id="280" w:name="_Toc247085720"/>
      <w:bookmarkStart w:id="281" w:name="_Toc246996206"/>
      <w:bookmarkStart w:id="282" w:name="_Toc152042338"/>
      <w:bookmarkStart w:id="283" w:name="_Toc144974530"/>
      <w:bookmarkStart w:id="284" w:name="_Toc152042337"/>
      <w:bookmarkStart w:id="285" w:name="_Toc296602451"/>
      <w:bookmarkStart w:id="286" w:name="_Toc152045562"/>
      <w:bookmarkStart w:id="287" w:name="_Toc144974529"/>
      <w:bookmarkStart w:id="288" w:name="_Toc246996949"/>
      <w:bookmarkStart w:id="289" w:name="_Toc179632580"/>
      <w:bookmarkStart w:id="290" w:name="_Toc179632579"/>
      <w:r>
        <w:rPr>
          <w:rFonts w:hint="eastAsia" w:asciiTheme="minorEastAsia" w:hAnsiTheme="minorEastAsia" w:eastAsiaTheme="minorEastAsia" w:cstheme="minorEastAsia"/>
          <w:color w:val="auto"/>
          <w:sz w:val="24"/>
          <w:szCs w:val="24"/>
          <w:highlight w:val="none"/>
        </w:rPr>
        <w:t>5.1本项目采用电子化、无纸化进行招标，开标当日，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无需到开标现场参加开标会议，</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应当在投标截止时间前，登陆不见面开标大厅选择登陆三门峡市公共资源电子招投标系统进行登陆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网址为http://120.194.249.36:10094/BidOpening/bidopeninghallaction/hall/login）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在线准时参加开标活动并进行磋商响应文件解密等。</w:t>
      </w:r>
    </w:p>
    <w:p w14:paraId="73AE4633">
      <w:pPr>
        <w:keepNext w:val="0"/>
        <w:keepLines w:val="0"/>
        <w:pageBreakBefore w:val="0"/>
        <w:widowControl/>
        <w:kinsoku/>
        <w:wordWrap/>
        <w:overflowPunct/>
        <w:topLinePunct w:val="0"/>
        <w:autoSpaceDE/>
        <w:autoSpaceDN/>
        <w:bidi w:val="0"/>
        <w:adjustRightInd w:val="0"/>
        <w:snapToGrid/>
        <w:spacing w:after="0" w:line="360" w:lineRule="auto"/>
        <w:ind w:firstLine="422" w:firstLineChars="17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 电子化磋商响应文件采用一次加密方式。开标时，由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使用CA 证书，在规定时间内对其电子化磋商响应文件进行解密。每位</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的解密时间为开标时间起30 分钟内，如在规定时间内未完成解密的，其磋商响应文件不予开标、唱标。每位</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的解密时间为开标时间起30分钟内完成。</w:t>
      </w:r>
    </w:p>
    <w:p w14:paraId="2A83D0F3">
      <w:pPr>
        <w:keepNext w:val="0"/>
        <w:keepLines w:val="0"/>
        <w:pageBreakBefore w:val="0"/>
        <w:widowControl/>
        <w:kinsoku/>
        <w:wordWrap/>
        <w:overflowPunct/>
        <w:topLinePunct w:val="0"/>
        <w:autoSpaceDE/>
        <w:autoSpaceDN/>
        <w:bidi w:val="0"/>
        <w:adjustRightInd w:val="0"/>
        <w:snapToGrid/>
        <w:spacing w:after="0" w:line="360" w:lineRule="auto"/>
        <w:ind w:firstLine="241" w:firstLineChars="1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5.3 电子化磋商响应文件解密异常的处理</w:t>
      </w:r>
    </w:p>
    <w:p w14:paraId="11DCE477">
      <w:pPr>
        <w:keepNext w:val="0"/>
        <w:keepLines w:val="0"/>
        <w:pageBreakBefore w:val="0"/>
        <w:widowControl/>
        <w:kinsoku/>
        <w:wordWrap/>
        <w:overflowPunct/>
        <w:topLinePunct w:val="0"/>
        <w:autoSpaceDE/>
        <w:autoSpaceDN/>
        <w:bidi w:val="0"/>
        <w:adjustRightInd w:val="0"/>
        <w:snapToGrid/>
        <w:spacing w:after="0" w:line="360" w:lineRule="auto"/>
        <w:ind w:firstLine="422" w:firstLineChars="17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如出现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的电子磋商响应文件无法解密等异常情况，</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应及时致电中介服务机构说明。磋商响应文件异常，按以下步骤进行处理：</w:t>
      </w:r>
    </w:p>
    <w:p w14:paraId="79F2732D">
      <w:pPr>
        <w:keepNext w:val="0"/>
        <w:keepLines w:val="0"/>
        <w:pageBreakBefore w:val="0"/>
        <w:widowControl/>
        <w:kinsoku/>
        <w:wordWrap/>
        <w:overflowPunct/>
        <w:topLinePunct w:val="0"/>
        <w:autoSpaceDE/>
        <w:autoSpaceDN/>
        <w:bidi w:val="0"/>
        <w:adjustRightInd w:val="0"/>
        <w:snapToGrid/>
        <w:spacing w:after="0" w:line="360" w:lineRule="auto"/>
        <w:ind w:firstLine="422" w:firstLineChars="17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1）首先由技术人员进行问题排查。</w:t>
      </w:r>
    </w:p>
    <w:p w14:paraId="7FB176EE">
      <w:pPr>
        <w:keepNext w:val="0"/>
        <w:keepLines w:val="0"/>
        <w:pageBreakBefore w:val="0"/>
        <w:widowControl/>
        <w:kinsoku/>
        <w:wordWrap/>
        <w:overflowPunct/>
        <w:topLinePunct w:val="0"/>
        <w:autoSpaceDE/>
        <w:autoSpaceDN/>
        <w:bidi w:val="0"/>
        <w:adjustRightInd w:val="0"/>
        <w:snapToGrid/>
        <w:spacing w:after="0" w:line="360" w:lineRule="auto"/>
        <w:ind w:firstLine="422" w:firstLineChars="17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2）经技术人员排查后，是</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文件自身问题导致磋商响应文件无法解密的，该磋商响应文件将不予接收、解密和唱标。开标会议继续进行。</w:t>
      </w:r>
    </w:p>
    <w:p w14:paraId="2770F6BF">
      <w:pPr>
        <w:keepNext w:val="0"/>
        <w:keepLines w:val="0"/>
        <w:pageBreakBefore w:val="0"/>
        <w:widowControl/>
        <w:kinsoku/>
        <w:wordWrap/>
        <w:overflowPunct/>
        <w:topLinePunct w:val="0"/>
        <w:autoSpaceDE/>
        <w:autoSpaceDN/>
        <w:bidi w:val="0"/>
        <w:adjustRightInd w:val="0"/>
        <w:snapToGrid/>
        <w:spacing w:after="0" w:line="360" w:lineRule="auto"/>
        <w:ind w:firstLine="422" w:firstLineChars="17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79"/>
    <w:bookmarkEnd w:id="280"/>
    <w:bookmarkEnd w:id="281"/>
    <w:bookmarkEnd w:id="282"/>
    <w:bookmarkEnd w:id="283"/>
    <w:bookmarkEnd w:id="284"/>
    <w:bookmarkEnd w:id="285"/>
    <w:bookmarkEnd w:id="286"/>
    <w:bookmarkEnd w:id="287"/>
    <w:bookmarkEnd w:id="288"/>
    <w:bookmarkEnd w:id="289"/>
    <w:bookmarkEnd w:id="290"/>
    <w:p w14:paraId="75630A7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291" w:name="_Toc144974531"/>
      <w:bookmarkStart w:id="292" w:name="_Toc296602452"/>
      <w:bookmarkStart w:id="293" w:name="_Toc179632581"/>
      <w:bookmarkStart w:id="294" w:name="_Toc246996950"/>
      <w:bookmarkStart w:id="295" w:name="_Toc247085721"/>
      <w:bookmarkStart w:id="296" w:name="_Toc152045563"/>
      <w:bookmarkStart w:id="297" w:name="_Toc246996207"/>
      <w:bookmarkStart w:id="298" w:name="_Toc77586847"/>
      <w:bookmarkStart w:id="299" w:name="_Toc152042339"/>
      <w:bookmarkStart w:id="300" w:name="_Toc77586940"/>
      <w:r>
        <w:rPr>
          <w:rFonts w:hint="eastAsia" w:asciiTheme="minorEastAsia" w:hAnsiTheme="minorEastAsia" w:eastAsiaTheme="minorEastAsia" w:cstheme="minorEastAsia"/>
          <w:color w:val="auto"/>
          <w:sz w:val="24"/>
          <w:szCs w:val="24"/>
          <w:highlight w:val="none"/>
        </w:rPr>
        <w:t>5.4 磋商小组</w:t>
      </w:r>
      <w:bookmarkEnd w:id="291"/>
      <w:bookmarkEnd w:id="292"/>
      <w:bookmarkEnd w:id="293"/>
      <w:bookmarkEnd w:id="294"/>
      <w:bookmarkEnd w:id="295"/>
      <w:bookmarkEnd w:id="296"/>
      <w:bookmarkEnd w:id="297"/>
      <w:bookmarkEnd w:id="298"/>
      <w:bookmarkEnd w:id="299"/>
      <w:bookmarkEnd w:id="300"/>
    </w:p>
    <w:p w14:paraId="2452E9B2">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5.4.1磋商小组构成：由采购人代表及有关经济、技术等方面的专家共3人组成，其中采购人代表1人，经济、技术等有关方面的专家2人。</w:t>
      </w:r>
    </w:p>
    <w:p w14:paraId="28D765DC">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评标专家确定方式：参加评标的专家由采购人、监督人在灵宝市公共资源交易中心抽取终端随机抽取确定。</w:t>
      </w:r>
      <w:r>
        <w:rPr>
          <w:rFonts w:hint="eastAsia" w:asciiTheme="minorEastAsia" w:hAnsiTheme="minorEastAsia" w:eastAsiaTheme="minorEastAsia" w:cstheme="minorEastAsia"/>
          <w:b/>
          <w:bCs/>
          <w:color w:val="auto"/>
          <w:sz w:val="24"/>
          <w:szCs w:val="24"/>
          <w:highlight w:val="none"/>
          <w:lang w:eastAsia="zh-CN"/>
        </w:rPr>
        <w:t>采购人</w:t>
      </w:r>
      <w:r>
        <w:rPr>
          <w:rFonts w:hint="eastAsia" w:asciiTheme="minorEastAsia" w:hAnsiTheme="minorEastAsia" w:eastAsiaTheme="minorEastAsia" w:cstheme="minorEastAsia"/>
          <w:b/>
          <w:bCs/>
          <w:color w:val="auto"/>
          <w:sz w:val="24"/>
          <w:szCs w:val="24"/>
          <w:highlight w:val="none"/>
        </w:rPr>
        <w:t>代表不得担任磋商小组组长。</w:t>
      </w:r>
    </w:p>
    <w:p w14:paraId="564377E9">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5.4.2磋商小组对所有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的磋商响应文件进行评审，按评审后得分由高到低顺序排列，递交给</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p>
    <w:p w14:paraId="5DFE970B">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CD1859">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3AC46EB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5.4.4磋商小组成员有下列情形之一的，应当回避：</w:t>
      </w:r>
    </w:p>
    <w:p w14:paraId="4839E069">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主要负责人的近亲属；</w:t>
      </w:r>
    </w:p>
    <w:p w14:paraId="2AB96BD7">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2）项目主管部门或者行政监督部门的人员；</w:t>
      </w:r>
    </w:p>
    <w:p w14:paraId="78CDE7BA">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有经济利益关系；</w:t>
      </w:r>
    </w:p>
    <w:p w14:paraId="2D67A531">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4）曾因在招标、评标以及其他与招标投标有关活动中从事违法行为而受过行政处罚或刑事处罚的；</w:t>
      </w:r>
    </w:p>
    <w:p w14:paraId="72FCC3F5">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有其他利害关系。</w:t>
      </w:r>
    </w:p>
    <w:p w14:paraId="504D5153">
      <w:pPr>
        <w:keepNext w:val="0"/>
        <w:keepLines w:val="0"/>
        <w:pageBreakBefore w:val="0"/>
        <w:widowControl/>
        <w:kinsoku/>
        <w:wordWrap/>
        <w:overflowPunct/>
        <w:topLinePunct w:val="0"/>
        <w:autoSpaceDE/>
        <w:autoSpaceDN/>
        <w:bidi w:val="0"/>
        <w:adjustRightInd w:val="0"/>
        <w:snapToGrid/>
        <w:spacing w:after="0" w:line="360" w:lineRule="auto"/>
        <w:ind w:firstLine="241" w:firstLineChars="100"/>
        <w:textAlignment w:val="auto"/>
        <w:rPr>
          <w:rFonts w:hint="eastAsia" w:asciiTheme="minorEastAsia" w:hAnsiTheme="minorEastAsia" w:eastAsiaTheme="minorEastAsia" w:cstheme="minorEastAsia"/>
          <w:b/>
          <w:bCs/>
          <w:color w:val="auto"/>
          <w:sz w:val="24"/>
          <w:szCs w:val="24"/>
          <w:highlight w:val="none"/>
        </w:rPr>
      </w:pPr>
      <w:bookmarkStart w:id="301" w:name="_Toc152045564"/>
      <w:bookmarkStart w:id="302" w:name="_Toc246996208"/>
      <w:bookmarkStart w:id="303" w:name="_Toc179632582"/>
      <w:bookmarkStart w:id="304" w:name="_Toc144974532"/>
      <w:bookmarkStart w:id="305" w:name="_Toc152042340"/>
      <w:bookmarkStart w:id="306" w:name="_Toc247085722"/>
      <w:bookmarkStart w:id="307" w:name="_Toc296602453"/>
      <w:bookmarkStart w:id="308" w:name="_Toc246996951"/>
      <w:r>
        <w:rPr>
          <w:rFonts w:hint="eastAsia" w:asciiTheme="minorEastAsia" w:hAnsiTheme="minorEastAsia" w:eastAsiaTheme="minorEastAsia" w:cstheme="minorEastAsia"/>
          <w:b/>
          <w:bCs/>
          <w:color w:val="auto"/>
          <w:sz w:val="24"/>
          <w:szCs w:val="24"/>
          <w:highlight w:val="none"/>
        </w:rPr>
        <w:t>5.5磋商原则和方法</w:t>
      </w:r>
    </w:p>
    <w:p w14:paraId="5C17A012">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5.5.1坚持公开、公平、公正的原则。</w:t>
      </w:r>
    </w:p>
    <w:p w14:paraId="43304AEE">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5.5.2磋商在磋商小组应当集中与单一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分别进行磋商，磋商小组将遵照磋商原则，公正、平等地对待所有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766A2093">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5.5.3评审方法</w:t>
      </w:r>
    </w:p>
    <w:p w14:paraId="08A2CA47">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1）初步评审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是否响应竞争性磋商文件的要求），确定合格的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30E75D0A">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依据各自情况进行最后报价。</w:t>
      </w:r>
    </w:p>
    <w:p w14:paraId="102481FC">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3）磋商小组采用综合评分法对提交最后报价的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的响应文件和最后报价进行综合评分。</w:t>
      </w:r>
    </w:p>
    <w:p w14:paraId="192AC118">
      <w:pPr>
        <w:keepNext w:val="0"/>
        <w:keepLines w:val="0"/>
        <w:pageBreakBefore w:val="0"/>
        <w:widowControl/>
        <w:kinsoku/>
        <w:wordWrap/>
        <w:overflowPunct/>
        <w:topLinePunct w:val="0"/>
        <w:autoSpaceDE/>
        <w:autoSpaceDN/>
        <w:bidi w:val="0"/>
        <w:adjustRightInd w:val="0"/>
        <w:snapToGrid/>
        <w:spacing w:after="0" w:line="360" w:lineRule="auto"/>
        <w:ind w:firstLine="241" w:firstLineChars="100"/>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b/>
          <w:bCs/>
          <w:color w:val="auto"/>
          <w:kern w:val="28"/>
          <w:sz w:val="24"/>
          <w:szCs w:val="24"/>
          <w:highlight w:val="none"/>
        </w:rPr>
        <w:t>5.6对</w:t>
      </w:r>
      <w:r>
        <w:rPr>
          <w:rFonts w:hint="eastAsia" w:asciiTheme="minorEastAsia" w:hAnsiTheme="minorEastAsia" w:eastAsiaTheme="minorEastAsia" w:cstheme="minorEastAsia"/>
          <w:b/>
          <w:bCs/>
          <w:color w:val="auto"/>
          <w:kern w:val="28"/>
          <w:sz w:val="24"/>
          <w:szCs w:val="24"/>
          <w:highlight w:val="none"/>
          <w:lang w:eastAsia="zh-CN"/>
        </w:rPr>
        <w:t>供应商</w:t>
      </w:r>
      <w:r>
        <w:rPr>
          <w:rFonts w:hint="eastAsia" w:asciiTheme="minorEastAsia" w:hAnsiTheme="minorEastAsia" w:eastAsiaTheme="minorEastAsia" w:cstheme="minorEastAsia"/>
          <w:b/>
          <w:bCs/>
          <w:color w:val="auto"/>
          <w:kern w:val="28"/>
          <w:sz w:val="24"/>
          <w:szCs w:val="24"/>
          <w:highlight w:val="none"/>
        </w:rPr>
        <w:t>的评价</w:t>
      </w:r>
    </w:p>
    <w:p w14:paraId="3ABC9506">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5.6.1磋商小组只对已判定为实质性响应且通过初步审查的磋商响应文件进行详细评价和比较。</w:t>
      </w:r>
    </w:p>
    <w:p w14:paraId="125A2E4E">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5.6.2磋商小组所有成员应当集中与单一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分别进行磋商，并给予所有参加磋商的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平等的磋商机会。磋商完成后，要求其在规定时间内提交最后报价，提交最后报价的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可以为两家。</w:t>
      </w:r>
    </w:p>
    <w:p w14:paraId="2A5A550F">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5.6.3经磋商确定最终</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需求和提交最后报价的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后，磋商小组采用综合评分法对提交最后报价的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的磋商响应文件和最后报价进行综合评分。</w:t>
      </w:r>
    </w:p>
    <w:p w14:paraId="61885BB7">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C52B792">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5.6.5如果第一名</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放弃成交资格或因不可抗力提出不能履行合同、竞争性磋商文件规定应当提交履约担保而在规定的期限内未能提交的，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可以按照评审报告推荐的成交候选人名单，确定下一成交候选人为成交人，也可以重新开展采购活动。</w:t>
      </w:r>
    </w:p>
    <w:bookmarkEnd w:id="301"/>
    <w:bookmarkEnd w:id="302"/>
    <w:bookmarkEnd w:id="303"/>
    <w:bookmarkEnd w:id="304"/>
    <w:bookmarkEnd w:id="305"/>
    <w:bookmarkEnd w:id="306"/>
    <w:bookmarkEnd w:id="307"/>
    <w:bookmarkEnd w:id="308"/>
    <w:p w14:paraId="7F954AD1">
      <w:pPr>
        <w:keepNext w:val="0"/>
        <w:keepLines w:val="0"/>
        <w:pageBreakBefore w:val="0"/>
        <w:widowControl/>
        <w:kinsoku/>
        <w:wordWrap/>
        <w:overflowPunct/>
        <w:topLinePunct w:val="0"/>
        <w:autoSpaceDE/>
        <w:autoSpaceDN/>
        <w:bidi w:val="0"/>
        <w:adjustRightInd w:val="0"/>
        <w:snapToGrid/>
        <w:spacing w:after="0" w:line="360" w:lineRule="auto"/>
        <w:ind w:firstLine="241" w:firstLineChars="100"/>
        <w:textAlignment w:val="auto"/>
        <w:rPr>
          <w:rFonts w:hint="eastAsia" w:asciiTheme="minorEastAsia" w:hAnsiTheme="minorEastAsia" w:eastAsiaTheme="minorEastAsia" w:cstheme="minorEastAsia"/>
          <w:b/>
          <w:bCs/>
          <w:color w:val="auto"/>
          <w:sz w:val="24"/>
          <w:szCs w:val="24"/>
          <w:highlight w:val="none"/>
        </w:rPr>
      </w:pPr>
      <w:bookmarkStart w:id="309" w:name="_Toc152045566"/>
      <w:bookmarkStart w:id="310" w:name="_Toc179632584"/>
      <w:bookmarkStart w:id="311" w:name="_Toc246996210"/>
      <w:bookmarkStart w:id="312" w:name="_Toc144974534"/>
      <w:bookmarkStart w:id="313" w:name="_Toc246996953"/>
      <w:bookmarkStart w:id="314" w:name="_Toc247085724"/>
      <w:bookmarkStart w:id="315" w:name="_Toc152042342"/>
      <w:bookmarkStart w:id="316" w:name="_Toc296602455"/>
      <w:r>
        <w:rPr>
          <w:rFonts w:hint="eastAsia" w:asciiTheme="minorEastAsia" w:hAnsiTheme="minorEastAsia" w:eastAsiaTheme="minorEastAsia" w:cstheme="minorEastAsia"/>
          <w:b/>
          <w:bCs/>
          <w:color w:val="auto"/>
          <w:sz w:val="24"/>
          <w:szCs w:val="24"/>
          <w:highlight w:val="none"/>
        </w:rPr>
        <w:t>5.7确定成交人</w:t>
      </w:r>
    </w:p>
    <w:p w14:paraId="55A0A076">
      <w:pPr>
        <w:keepNext w:val="0"/>
        <w:keepLines w:val="0"/>
        <w:pageBreakBefore w:val="0"/>
        <w:widowControl/>
        <w:kinsoku/>
        <w:wordWrap/>
        <w:overflowPunct/>
        <w:topLinePunct w:val="0"/>
        <w:autoSpaceDE/>
        <w:autoSpaceDN/>
        <w:bidi w:val="0"/>
        <w:adjustRightInd w:val="0"/>
        <w:snapToGrid/>
        <w:spacing w:after="0" w:line="360" w:lineRule="auto"/>
        <w:ind w:firstLine="410" w:firstLineChars="17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磋商小组应当根据综合评分情况，按照评审</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eastAsiaTheme="minorEastAsia" w:cstheme="minorEastAsia"/>
          <w:color w:val="auto"/>
          <w:sz w:val="24"/>
          <w:szCs w:val="24"/>
          <w:highlight w:val="none"/>
        </w:rPr>
        <w:t>高到低的顺序推荐成交候选人，并编写评标报告。</w:t>
      </w:r>
    </w:p>
    <w:p w14:paraId="4A7B62D0">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17" w:name="_Toc77586941"/>
      <w:bookmarkStart w:id="318" w:name="_Toc77586848"/>
      <w:r>
        <w:rPr>
          <w:rFonts w:hint="eastAsia" w:asciiTheme="minorEastAsia" w:hAnsiTheme="minorEastAsia" w:eastAsiaTheme="minorEastAsia" w:cstheme="minorEastAsia"/>
          <w:color w:val="auto"/>
          <w:sz w:val="24"/>
          <w:szCs w:val="24"/>
          <w:highlight w:val="none"/>
        </w:rPr>
        <w:t>6. 合同授予</w:t>
      </w:r>
      <w:bookmarkEnd w:id="309"/>
      <w:bookmarkEnd w:id="310"/>
      <w:bookmarkEnd w:id="311"/>
      <w:bookmarkEnd w:id="312"/>
      <w:bookmarkEnd w:id="313"/>
      <w:bookmarkEnd w:id="314"/>
      <w:bookmarkEnd w:id="315"/>
      <w:bookmarkEnd w:id="316"/>
      <w:bookmarkEnd w:id="317"/>
      <w:bookmarkEnd w:id="318"/>
    </w:p>
    <w:p w14:paraId="5E5B44D0">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19" w:name="_Toc246996954"/>
      <w:bookmarkStart w:id="320" w:name="_Toc152042343"/>
      <w:bookmarkStart w:id="321" w:name="_Toc144974535"/>
      <w:bookmarkStart w:id="322" w:name="_Toc179632585"/>
      <w:bookmarkStart w:id="323" w:name="_Toc77586942"/>
      <w:bookmarkStart w:id="324" w:name="_Toc152045567"/>
      <w:bookmarkStart w:id="325" w:name="_Toc77586849"/>
      <w:bookmarkStart w:id="326" w:name="_Toc247085725"/>
      <w:bookmarkStart w:id="327" w:name="_Toc296602456"/>
      <w:bookmarkStart w:id="328" w:name="_Toc246996211"/>
      <w:r>
        <w:rPr>
          <w:rFonts w:hint="eastAsia" w:asciiTheme="minorEastAsia" w:hAnsiTheme="minorEastAsia" w:eastAsiaTheme="minorEastAsia" w:cstheme="minorEastAsia"/>
          <w:color w:val="auto"/>
          <w:sz w:val="24"/>
          <w:szCs w:val="24"/>
          <w:highlight w:val="none"/>
        </w:rPr>
        <w:t>6.1 定标方式</w:t>
      </w:r>
      <w:bookmarkEnd w:id="319"/>
      <w:bookmarkEnd w:id="320"/>
      <w:bookmarkEnd w:id="321"/>
      <w:bookmarkEnd w:id="322"/>
      <w:bookmarkEnd w:id="323"/>
      <w:bookmarkEnd w:id="324"/>
      <w:bookmarkEnd w:id="325"/>
      <w:bookmarkEnd w:id="326"/>
      <w:bookmarkEnd w:id="327"/>
      <w:bookmarkEnd w:id="328"/>
    </w:p>
    <w:p w14:paraId="5A07864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依据磋商小组推荐的成交候选人确定成交人。</w:t>
      </w:r>
    </w:p>
    <w:p w14:paraId="2F474C2D">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29" w:name="_Toc296602457"/>
      <w:bookmarkStart w:id="330" w:name="_Toc77586943"/>
      <w:bookmarkStart w:id="331" w:name="_Toc77586850"/>
      <w:r>
        <w:rPr>
          <w:rFonts w:hint="eastAsia" w:asciiTheme="minorEastAsia" w:hAnsiTheme="minorEastAsia" w:eastAsiaTheme="minorEastAsia" w:cstheme="minorEastAsia"/>
          <w:color w:val="auto"/>
          <w:sz w:val="24"/>
          <w:szCs w:val="24"/>
          <w:highlight w:val="none"/>
        </w:rPr>
        <w:t>6.2 成交候选人公示</w:t>
      </w:r>
      <w:bookmarkEnd w:id="329"/>
      <w:bookmarkEnd w:id="330"/>
      <w:bookmarkEnd w:id="331"/>
    </w:p>
    <w:p w14:paraId="5B9F602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须知前附表规定的媒介公示成交候选人。</w:t>
      </w:r>
    </w:p>
    <w:p w14:paraId="7F6FC8A7">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32" w:name="_Toc179632586"/>
      <w:bookmarkStart w:id="333" w:name="_Toc246996955"/>
      <w:bookmarkStart w:id="334" w:name="_Toc77586944"/>
      <w:bookmarkStart w:id="335" w:name="_Toc296602458"/>
      <w:bookmarkStart w:id="336" w:name="_Toc246996212"/>
      <w:bookmarkStart w:id="337" w:name="_Toc144974536"/>
      <w:bookmarkStart w:id="338" w:name="_Toc247085726"/>
      <w:bookmarkStart w:id="339" w:name="_Toc152045568"/>
      <w:bookmarkStart w:id="340" w:name="_Toc77586851"/>
      <w:bookmarkStart w:id="341" w:name="_Toc152042344"/>
      <w:r>
        <w:rPr>
          <w:rFonts w:hint="eastAsia" w:asciiTheme="minorEastAsia" w:hAnsiTheme="minorEastAsia" w:eastAsiaTheme="minorEastAsia" w:cstheme="minorEastAsia"/>
          <w:color w:val="auto"/>
          <w:sz w:val="24"/>
          <w:szCs w:val="24"/>
          <w:highlight w:val="none"/>
        </w:rPr>
        <w:t>6.3 成交通知</w:t>
      </w:r>
      <w:bookmarkEnd w:id="332"/>
      <w:bookmarkEnd w:id="333"/>
      <w:bookmarkEnd w:id="334"/>
      <w:bookmarkEnd w:id="335"/>
      <w:bookmarkEnd w:id="336"/>
      <w:bookmarkEnd w:id="337"/>
      <w:bookmarkEnd w:id="338"/>
      <w:bookmarkEnd w:id="339"/>
      <w:bookmarkEnd w:id="340"/>
      <w:bookmarkEnd w:id="341"/>
    </w:p>
    <w:p w14:paraId="3A78EB6D">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在本章第3.3款规定的投标有效期内，</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以书面形式向成交人发出成交通知书，同时将成交结果通知未成交的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7D408113">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42" w:name="_Toc247085727"/>
      <w:bookmarkStart w:id="343" w:name="_Toc77586945"/>
      <w:bookmarkStart w:id="344" w:name="_Toc246996213"/>
      <w:bookmarkStart w:id="345" w:name="_Toc246996956"/>
      <w:bookmarkStart w:id="346" w:name="_Toc144974537"/>
      <w:bookmarkStart w:id="347" w:name="_Toc296602459"/>
      <w:bookmarkStart w:id="348" w:name="_Toc152045569"/>
      <w:bookmarkStart w:id="349" w:name="_Toc179632587"/>
      <w:bookmarkStart w:id="350" w:name="_Toc77586852"/>
      <w:bookmarkStart w:id="351" w:name="_Toc152042345"/>
      <w:r>
        <w:rPr>
          <w:rFonts w:hint="eastAsia" w:asciiTheme="minorEastAsia" w:hAnsiTheme="minorEastAsia" w:eastAsiaTheme="minorEastAsia" w:cstheme="minorEastAsia"/>
          <w:color w:val="auto"/>
          <w:sz w:val="24"/>
          <w:szCs w:val="24"/>
          <w:highlight w:val="none"/>
        </w:rPr>
        <w:t>6.4 履约、支付担保</w:t>
      </w:r>
      <w:bookmarkEnd w:id="342"/>
      <w:bookmarkEnd w:id="343"/>
      <w:bookmarkEnd w:id="344"/>
      <w:bookmarkEnd w:id="345"/>
      <w:bookmarkEnd w:id="346"/>
      <w:bookmarkEnd w:id="347"/>
      <w:bookmarkEnd w:id="348"/>
      <w:bookmarkEnd w:id="349"/>
      <w:bookmarkEnd w:id="350"/>
      <w:bookmarkEnd w:id="351"/>
    </w:p>
    <w:p w14:paraId="21046701">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6.4.1履约担保金额：见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须知前附表，与前附表一致。</w:t>
      </w:r>
    </w:p>
    <w:p w14:paraId="1BE28412">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6.4.2</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支付担保的提交与释放程序：见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须知前附表，与前附表一致。</w:t>
      </w:r>
    </w:p>
    <w:p w14:paraId="72A521C0">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6.4.3 成交人不能按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须知前附表第6.4.1项要求提交履约担保的，视为放弃成交，给</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造成的损失应当予以赔偿。</w:t>
      </w:r>
    </w:p>
    <w:p w14:paraId="52030699">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52" w:name="_Toc246996957"/>
      <w:bookmarkStart w:id="353" w:name="_Toc152042346"/>
      <w:bookmarkStart w:id="354" w:name="_Toc152045570"/>
      <w:bookmarkStart w:id="355" w:name="_Toc77586946"/>
      <w:bookmarkStart w:id="356" w:name="_Toc144974538"/>
      <w:bookmarkStart w:id="357" w:name="_Toc77586853"/>
      <w:bookmarkStart w:id="358" w:name="_Toc296602460"/>
      <w:bookmarkStart w:id="359" w:name="_Toc179632588"/>
      <w:bookmarkStart w:id="360" w:name="_Toc247085728"/>
      <w:bookmarkStart w:id="361" w:name="_Toc246996214"/>
      <w:r>
        <w:rPr>
          <w:rFonts w:hint="eastAsia" w:asciiTheme="minorEastAsia" w:hAnsiTheme="minorEastAsia" w:eastAsiaTheme="minorEastAsia" w:cstheme="minorEastAsia"/>
          <w:color w:val="auto"/>
          <w:sz w:val="24"/>
          <w:szCs w:val="24"/>
          <w:highlight w:val="none"/>
        </w:rPr>
        <w:t>6.5 签订合同</w:t>
      </w:r>
      <w:bookmarkEnd w:id="352"/>
      <w:bookmarkEnd w:id="353"/>
      <w:bookmarkEnd w:id="354"/>
      <w:bookmarkEnd w:id="355"/>
      <w:bookmarkEnd w:id="356"/>
      <w:bookmarkEnd w:id="357"/>
      <w:bookmarkEnd w:id="358"/>
      <w:bookmarkEnd w:id="359"/>
      <w:bookmarkEnd w:id="360"/>
      <w:bookmarkEnd w:id="361"/>
    </w:p>
    <w:p w14:paraId="45E9B8D8">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6.5.1</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和成交人应当自成交通知书发出之日起30天内，根据竞争性磋商文件和成交人的磋商响应文件订立书面合同。成交人无正当理由拒签合同的，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取消其成交资格，给</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造成的损失应当予以赔偿。</w:t>
      </w:r>
    </w:p>
    <w:p w14:paraId="672381AB">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62" w:name="_Toc296602461"/>
      <w:bookmarkStart w:id="363" w:name="_Toc77586854"/>
      <w:bookmarkStart w:id="364" w:name="_Toc77586947"/>
      <w:r>
        <w:rPr>
          <w:rFonts w:hint="eastAsia" w:asciiTheme="minorEastAsia" w:hAnsiTheme="minorEastAsia" w:eastAsiaTheme="minorEastAsia" w:cstheme="minorEastAsia"/>
          <w:color w:val="auto"/>
          <w:sz w:val="24"/>
          <w:szCs w:val="24"/>
          <w:highlight w:val="none"/>
        </w:rPr>
        <w:t>7. 纪律和监督</w:t>
      </w:r>
      <w:bookmarkEnd w:id="362"/>
      <w:bookmarkEnd w:id="363"/>
      <w:bookmarkEnd w:id="364"/>
    </w:p>
    <w:p w14:paraId="4C2E7D4F">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65" w:name="_Toc77586948"/>
      <w:bookmarkStart w:id="366" w:name="_Toc247085733"/>
      <w:bookmarkStart w:id="367" w:name="_Toc152042351"/>
      <w:bookmarkStart w:id="368" w:name="_Toc152045575"/>
      <w:bookmarkStart w:id="369" w:name="_Toc179632593"/>
      <w:bookmarkStart w:id="370" w:name="_Toc296602462"/>
      <w:bookmarkStart w:id="371" w:name="_Toc246996219"/>
      <w:bookmarkStart w:id="372" w:name="_Toc77586855"/>
      <w:bookmarkStart w:id="373" w:name="_Toc144974543"/>
      <w:bookmarkStart w:id="374" w:name="_Toc296590983"/>
      <w:bookmarkStart w:id="375" w:name="_Toc246996962"/>
      <w:r>
        <w:rPr>
          <w:rFonts w:hint="eastAsia" w:asciiTheme="minorEastAsia" w:hAnsiTheme="minorEastAsia" w:eastAsiaTheme="minorEastAsia" w:cstheme="minorEastAsia"/>
          <w:color w:val="auto"/>
          <w:sz w:val="24"/>
          <w:szCs w:val="24"/>
          <w:highlight w:val="none"/>
        </w:rPr>
        <w:t>7.1 对</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的纪律要求</w:t>
      </w:r>
      <w:bookmarkEnd w:id="365"/>
      <w:bookmarkEnd w:id="366"/>
      <w:bookmarkEnd w:id="367"/>
      <w:bookmarkEnd w:id="368"/>
      <w:bookmarkEnd w:id="369"/>
      <w:bookmarkEnd w:id="370"/>
      <w:bookmarkEnd w:id="371"/>
      <w:bookmarkEnd w:id="372"/>
      <w:bookmarkEnd w:id="373"/>
      <w:bookmarkEnd w:id="374"/>
      <w:bookmarkEnd w:id="375"/>
    </w:p>
    <w:p w14:paraId="5DB815B5">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不得泄漏招标投标活动中应当保密的情况和资料，不得与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串通损害国家利益、社会公共利益或者他人合法权益。</w:t>
      </w:r>
    </w:p>
    <w:p w14:paraId="2E536516">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76" w:name="_Toc179632594"/>
      <w:bookmarkStart w:id="377" w:name="_Toc77586856"/>
      <w:bookmarkStart w:id="378" w:name="_Toc152042352"/>
      <w:bookmarkStart w:id="379" w:name="_Toc144974544"/>
      <w:bookmarkStart w:id="380" w:name="_Toc246996220"/>
      <w:bookmarkStart w:id="381" w:name="_Toc246996963"/>
      <w:bookmarkStart w:id="382" w:name="_Toc77586949"/>
      <w:bookmarkStart w:id="383" w:name="_Toc296602463"/>
      <w:bookmarkStart w:id="384" w:name="_Toc152045576"/>
      <w:bookmarkStart w:id="385" w:name="_Toc247085734"/>
      <w:r>
        <w:rPr>
          <w:rFonts w:hint="eastAsia" w:asciiTheme="minorEastAsia" w:hAnsiTheme="minorEastAsia" w:eastAsiaTheme="minorEastAsia" w:cstheme="minorEastAsia"/>
          <w:color w:val="auto"/>
          <w:sz w:val="24"/>
          <w:szCs w:val="24"/>
          <w:highlight w:val="none"/>
        </w:rPr>
        <w:t>7.2 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的纪律要求</w:t>
      </w:r>
      <w:bookmarkEnd w:id="376"/>
      <w:bookmarkEnd w:id="377"/>
      <w:bookmarkEnd w:id="378"/>
      <w:bookmarkEnd w:id="379"/>
      <w:bookmarkEnd w:id="380"/>
      <w:bookmarkEnd w:id="381"/>
      <w:bookmarkEnd w:id="382"/>
      <w:bookmarkEnd w:id="383"/>
      <w:bookmarkEnd w:id="384"/>
      <w:bookmarkEnd w:id="385"/>
    </w:p>
    <w:p w14:paraId="11F4D825">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不得相互串通投标或者与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串通投标，不得向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或者磋商小组成员行贿谋取成交，不得以他人名义投标或者以其他方式弄虚作假骗取成交；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不得以任何方式干扰、影响评标工作。</w:t>
      </w:r>
    </w:p>
    <w:p w14:paraId="56036583">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86" w:name="_Toc296602464"/>
      <w:bookmarkStart w:id="387" w:name="_Toc144974545"/>
      <w:bookmarkStart w:id="388" w:name="_Toc77586950"/>
      <w:bookmarkStart w:id="389" w:name="_Toc152042353"/>
      <w:bookmarkStart w:id="390" w:name="_Toc247085735"/>
      <w:bookmarkStart w:id="391" w:name="_Toc179632595"/>
      <w:bookmarkStart w:id="392" w:name="_Toc246996221"/>
      <w:bookmarkStart w:id="393" w:name="_Toc152045577"/>
      <w:bookmarkStart w:id="394" w:name="_Toc246996964"/>
      <w:bookmarkStart w:id="395" w:name="_Toc77586857"/>
      <w:r>
        <w:rPr>
          <w:rFonts w:hint="eastAsia" w:asciiTheme="minorEastAsia" w:hAnsiTheme="minorEastAsia" w:eastAsiaTheme="minorEastAsia" w:cstheme="minorEastAsia"/>
          <w:color w:val="auto"/>
          <w:sz w:val="24"/>
          <w:szCs w:val="24"/>
          <w:highlight w:val="none"/>
        </w:rPr>
        <w:t>7.3 对磋商小组成员的纪律要求</w:t>
      </w:r>
      <w:bookmarkEnd w:id="386"/>
      <w:bookmarkEnd w:id="387"/>
      <w:bookmarkEnd w:id="388"/>
      <w:bookmarkEnd w:id="389"/>
      <w:bookmarkEnd w:id="390"/>
      <w:bookmarkEnd w:id="391"/>
      <w:bookmarkEnd w:id="392"/>
      <w:bookmarkEnd w:id="393"/>
      <w:bookmarkEnd w:id="394"/>
      <w:bookmarkEnd w:id="395"/>
    </w:p>
    <w:p w14:paraId="49F0B35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评标办法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没有规定的评审因素和标准进行评标。</w:t>
      </w:r>
    </w:p>
    <w:p w14:paraId="4D44F576">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396" w:name="_Toc77586858"/>
      <w:bookmarkStart w:id="397" w:name="_Toc152045578"/>
      <w:bookmarkStart w:id="398" w:name="_Toc246996222"/>
      <w:bookmarkStart w:id="399" w:name="_Toc179632596"/>
      <w:bookmarkStart w:id="400" w:name="_Toc246996965"/>
      <w:bookmarkStart w:id="401" w:name="_Toc77586951"/>
      <w:bookmarkStart w:id="402" w:name="_Toc152042354"/>
      <w:bookmarkStart w:id="403" w:name="_Toc296602465"/>
      <w:bookmarkStart w:id="404" w:name="_Toc247085736"/>
      <w:bookmarkStart w:id="405" w:name="_Toc144974546"/>
      <w:r>
        <w:rPr>
          <w:rFonts w:hint="eastAsia" w:asciiTheme="minorEastAsia" w:hAnsiTheme="minorEastAsia" w:eastAsiaTheme="minorEastAsia" w:cstheme="minorEastAsia"/>
          <w:color w:val="auto"/>
          <w:sz w:val="24"/>
          <w:szCs w:val="24"/>
          <w:highlight w:val="none"/>
        </w:rPr>
        <w:t>7.4 对与评标活动有关的工作人员的纪律要求</w:t>
      </w:r>
      <w:bookmarkEnd w:id="396"/>
      <w:bookmarkEnd w:id="397"/>
      <w:bookmarkEnd w:id="398"/>
      <w:bookmarkEnd w:id="399"/>
      <w:bookmarkEnd w:id="400"/>
      <w:bookmarkEnd w:id="401"/>
      <w:bookmarkEnd w:id="402"/>
      <w:bookmarkEnd w:id="403"/>
      <w:bookmarkEnd w:id="404"/>
    </w:p>
    <w:p w14:paraId="27DAC05E">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406" w:name="_Toc152042355"/>
      <w:r>
        <w:rPr>
          <w:rFonts w:hint="eastAsia" w:asciiTheme="minorEastAsia" w:hAnsiTheme="minorEastAsia" w:eastAsiaTheme="minorEastAsia" w:cstheme="minorEastAsia"/>
          <w:color w:val="auto"/>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06"/>
    </w:p>
    <w:p w14:paraId="292F5666">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407" w:name="_Toc296602466"/>
      <w:bookmarkStart w:id="408" w:name="_Toc179632597"/>
      <w:bookmarkStart w:id="409" w:name="_Toc77586952"/>
      <w:bookmarkStart w:id="410" w:name="_Toc246996966"/>
      <w:bookmarkStart w:id="411" w:name="_Toc152042356"/>
      <w:bookmarkStart w:id="412" w:name="_Toc246996223"/>
      <w:bookmarkStart w:id="413" w:name="_Toc152045579"/>
      <w:bookmarkStart w:id="414" w:name="_Toc247085737"/>
      <w:bookmarkStart w:id="415" w:name="_Toc77586859"/>
      <w:r>
        <w:rPr>
          <w:rFonts w:hint="eastAsia" w:asciiTheme="minorEastAsia" w:hAnsiTheme="minorEastAsia" w:eastAsiaTheme="minorEastAsia" w:cstheme="minorEastAsia"/>
          <w:color w:val="auto"/>
          <w:sz w:val="24"/>
          <w:szCs w:val="24"/>
          <w:highlight w:val="none"/>
        </w:rPr>
        <w:t>7.5 投诉</w:t>
      </w:r>
      <w:bookmarkEnd w:id="405"/>
      <w:bookmarkEnd w:id="407"/>
      <w:bookmarkEnd w:id="408"/>
      <w:bookmarkEnd w:id="409"/>
      <w:bookmarkEnd w:id="410"/>
      <w:bookmarkEnd w:id="411"/>
      <w:bookmarkEnd w:id="412"/>
      <w:bookmarkEnd w:id="413"/>
      <w:bookmarkEnd w:id="414"/>
      <w:bookmarkEnd w:id="415"/>
    </w:p>
    <w:p w14:paraId="440332E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和其他利害关系人认为本次招标活动违反法律、法规和规章规定的，有权向有关行政监督部门投诉。</w:t>
      </w:r>
    </w:p>
    <w:p w14:paraId="4A01370D">
      <w:pPr>
        <w:pStyle w:val="3"/>
        <w:keepNext w:val="0"/>
        <w:keepLines w:val="0"/>
        <w:pageBreakBefore w:val="0"/>
        <w:widowControl/>
        <w:kinsoku/>
        <w:wordWrap/>
        <w:overflowPunct/>
        <w:topLinePunct w:val="0"/>
        <w:autoSpaceDE/>
        <w:autoSpaceDN/>
        <w:bidi w:val="0"/>
        <w:adjustRightInd w:val="0"/>
        <w:snapToGrid/>
        <w:spacing w:before="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416" w:name="_Toc77586953"/>
      <w:bookmarkStart w:id="417" w:name="_Toc144974547"/>
      <w:bookmarkStart w:id="418" w:name="_Toc152045580"/>
      <w:bookmarkStart w:id="419" w:name="_Toc246996224"/>
      <w:bookmarkStart w:id="420" w:name="_Toc247085738"/>
      <w:bookmarkStart w:id="421" w:name="_Toc246996967"/>
      <w:bookmarkStart w:id="422" w:name="_Toc296602467"/>
      <w:bookmarkStart w:id="423" w:name="_Toc77586860"/>
      <w:bookmarkStart w:id="424" w:name="_Toc179632598"/>
      <w:bookmarkStart w:id="425" w:name="_Toc152042357"/>
      <w:r>
        <w:rPr>
          <w:rFonts w:hint="eastAsia" w:asciiTheme="minorEastAsia" w:hAnsiTheme="minorEastAsia" w:eastAsiaTheme="minorEastAsia" w:cstheme="minorEastAsia"/>
          <w:color w:val="auto"/>
          <w:sz w:val="24"/>
          <w:szCs w:val="24"/>
          <w:highlight w:val="none"/>
        </w:rPr>
        <w:t>8.需要补充的其他内容</w:t>
      </w:r>
      <w:bookmarkEnd w:id="416"/>
      <w:bookmarkEnd w:id="417"/>
      <w:bookmarkEnd w:id="418"/>
      <w:bookmarkEnd w:id="419"/>
      <w:bookmarkEnd w:id="420"/>
      <w:bookmarkEnd w:id="421"/>
      <w:bookmarkEnd w:id="422"/>
      <w:bookmarkEnd w:id="423"/>
      <w:bookmarkEnd w:id="424"/>
      <w:bookmarkEnd w:id="425"/>
    </w:p>
    <w:p w14:paraId="1104FD0A">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533F4599">
      <w:pPr>
        <w:pStyle w:val="2"/>
        <w:bidi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36"/>
          <w:highlight w:val="none"/>
        </w:rPr>
        <w:br w:type="page"/>
      </w:r>
      <w:bookmarkStart w:id="426" w:name="_Toc28833"/>
      <w:bookmarkStart w:id="427" w:name="_Toc77586954"/>
      <w:bookmarkStart w:id="428" w:name="_Toc9901"/>
      <w:r>
        <w:rPr>
          <w:rFonts w:hint="eastAsia" w:asciiTheme="minorEastAsia" w:hAnsiTheme="minorEastAsia" w:eastAsiaTheme="minorEastAsia" w:cstheme="minorEastAsia"/>
          <w:color w:val="auto"/>
          <w:highlight w:val="none"/>
        </w:rPr>
        <w:t>第三章  评标办法</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综合评分法）</w:t>
      </w:r>
      <w:bookmarkEnd w:id="426"/>
      <w:bookmarkEnd w:id="427"/>
      <w:bookmarkEnd w:id="428"/>
    </w:p>
    <w:p w14:paraId="3C316673">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评标办法前附表</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
        <w:gridCol w:w="1218"/>
        <w:gridCol w:w="2692"/>
        <w:gridCol w:w="5104"/>
      </w:tblGrid>
      <w:tr w14:paraId="1A919B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1701" w:type="dxa"/>
            <w:gridSpan w:val="2"/>
            <w:vAlign w:val="center"/>
          </w:tcPr>
          <w:p w14:paraId="2543B605">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b/>
                <w:color w:val="auto"/>
                <w:spacing w:val="-9"/>
                <w:sz w:val="24"/>
                <w:szCs w:val="24"/>
                <w:highlight w:val="none"/>
              </w:rPr>
            </w:pPr>
            <w:r>
              <w:rPr>
                <w:rFonts w:hint="eastAsia" w:asciiTheme="minorEastAsia" w:hAnsiTheme="minorEastAsia" w:eastAsiaTheme="minorEastAsia" w:cstheme="minorEastAsia"/>
                <w:b/>
                <w:color w:val="auto"/>
                <w:spacing w:val="-9"/>
                <w:sz w:val="24"/>
                <w:szCs w:val="24"/>
                <w:highlight w:val="none"/>
              </w:rPr>
              <w:t>条款号</w:t>
            </w:r>
          </w:p>
        </w:tc>
        <w:tc>
          <w:tcPr>
            <w:tcW w:w="2692" w:type="dxa"/>
            <w:vAlign w:val="center"/>
          </w:tcPr>
          <w:p w14:paraId="4A9E373C">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b/>
                <w:color w:val="auto"/>
                <w:spacing w:val="-9"/>
                <w:sz w:val="24"/>
                <w:szCs w:val="24"/>
                <w:highlight w:val="none"/>
              </w:rPr>
            </w:pPr>
            <w:r>
              <w:rPr>
                <w:rFonts w:hint="eastAsia" w:asciiTheme="minorEastAsia" w:hAnsiTheme="minorEastAsia" w:eastAsiaTheme="minorEastAsia" w:cstheme="minorEastAsia"/>
                <w:b/>
                <w:color w:val="auto"/>
                <w:spacing w:val="-9"/>
                <w:sz w:val="24"/>
                <w:szCs w:val="24"/>
                <w:highlight w:val="none"/>
              </w:rPr>
              <w:t>评审因素</w:t>
            </w:r>
          </w:p>
        </w:tc>
        <w:tc>
          <w:tcPr>
            <w:tcW w:w="5104" w:type="dxa"/>
            <w:vAlign w:val="center"/>
          </w:tcPr>
          <w:p w14:paraId="16A5A635">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b/>
                <w:color w:val="auto"/>
                <w:spacing w:val="-9"/>
                <w:sz w:val="24"/>
                <w:szCs w:val="24"/>
                <w:highlight w:val="none"/>
              </w:rPr>
            </w:pPr>
            <w:r>
              <w:rPr>
                <w:rFonts w:hint="eastAsia" w:asciiTheme="minorEastAsia" w:hAnsiTheme="minorEastAsia" w:eastAsiaTheme="minorEastAsia" w:cstheme="minorEastAsia"/>
                <w:b/>
                <w:color w:val="auto"/>
                <w:spacing w:val="-9"/>
                <w:sz w:val="24"/>
                <w:szCs w:val="24"/>
                <w:highlight w:val="none"/>
              </w:rPr>
              <w:t>评审标准</w:t>
            </w:r>
          </w:p>
        </w:tc>
      </w:tr>
      <w:tr w14:paraId="3C76E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restart"/>
            <w:vAlign w:val="center"/>
          </w:tcPr>
          <w:p w14:paraId="68BE10CB">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1</w:t>
            </w:r>
          </w:p>
        </w:tc>
        <w:tc>
          <w:tcPr>
            <w:tcW w:w="1218" w:type="dxa"/>
            <w:vMerge w:val="restart"/>
            <w:vAlign w:val="center"/>
          </w:tcPr>
          <w:p w14:paraId="33F54F36">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符合性</w:t>
            </w:r>
          </w:p>
          <w:p w14:paraId="525EFCF0">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评审标准</w:t>
            </w:r>
          </w:p>
        </w:tc>
        <w:tc>
          <w:tcPr>
            <w:tcW w:w="2692" w:type="dxa"/>
            <w:vAlign w:val="center"/>
          </w:tcPr>
          <w:p w14:paraId="22AA5C69">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lang w:eastAsia="zh-CN"/>
              </w:rPr>
              <w:t>供应商</w:t>
            </w:r>
            <w:r>
              <w:rPr>
                <w:rFonts w:hint="eastAsia" w:asciiTheme="minorEastAsia" w:hAnsiTheme="minorEastAsia" w:eastAsiaTheme="minorEastAsia" w:cstheme="minorEastAsia"/>
                <w:color w:val="auto"/>
                <w:spacing w:val="-9"/>
                <w:sz w:val="24"/>
                <w:szCs w:val="24"/>
                <w:highlight w:val="none"/>
              </w:rPr>
              <w:t>名称</w:t>
            </w:r>
          </w:p>
        </w:tc>
        <w:tc>
          <w:tcPr>
            <w:tcW w:w="5104" w:type="dxa"/>
            <w:vAlign w:val="center"/>
          </w:tcPr>
          <w:p w14:paraId="5996E53E">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与营业执照一致</w:t>
            </w:r>
          </w:p>
        </w:tc>
      </w:tr>
      <w:tr w14:paraId="75E9C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3631A2BE">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492AC062">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15F970E5">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投标函签字盖章</w:t>
            </w:r>
          </w:p>
        </w:tc>
        <w:tc>
          <w:tcPr>
            <w:tcW w:w="5104" w:type="dxa"/>
            <w:vAlign w:val="center"/>
          </w:tcPr>
          <w:p w14:paraId="517E363E">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规定</w:t>
            </w:r>
          </w:p>
        </w:tc>
      </w:tr>
      <w:tr w14:paraId="410BB7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68AE4A09">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4EAA2698">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5D3DDCFA">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响应文件格式</w:t>
            </w:r>
          </w:p>
        </w:tc>
        <w:tc>
          <w:tcPr>
            <w:tcW w:w="5104" w:type="dxa"/>
            <w:vAlign w:val="center"/>
          </w:tcPr>
          <w:p w14:paraId="2C2B983C">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符合第七章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的要求</w:t>
            </w:r>
          </w:p>
        </w:tc>
      </w:tr>
      <w:tr w14:paraId="7DC4ED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4E6949A7">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0DFACE61">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2653DDA3">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报价唯一</w:t>
            </w:r>
          </w:p>
        </w:tc>
        <w:tc>
          <w:tcPr>
            <w:tcW w:w="5104" w:type="dxa"/>
            <w:vAlign w:val="center"/>
          </w:tcPr>
          <w:p w14:paraId="721545EC">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只能有一个有效报价</w:t>
            </w:r>
          </w:p>
        </w:tc>
      </w:tr>
      <w:tr w14:paraId="1BB10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restart"/>
            <w:vAlign w:val="center"/>
          </w:tcPr>
          <w:p w14:paraId="6FD477D1">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2</w:t>
            </w:r>
          </w:p>
        </w:tc>
        <w:tc>
          <w:tcPr>
            <w:tcW w:w="1218" w:type="dxa"/>
            <w:vMerge w:val="restart"/>
            <w:vAlign w:val="center"/>
          </w:tcPr>
          <w:p w14:paraId="546A9911">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资格评审</w:t>
            </w:r>
          </w:p>
          <w:p w14:paraId="46AEE4C9">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w:t>
            </w:r>
          </w:p>
        </w:tc>
        <w:tc>
          <w:tcPr>
            <w:tcW w:w="2692" w:type="dxa"/>
            <w:vAlign w:val="center"/>
          </w:tcPr>
          <w:p w14:paraId="7C39FCBD">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营业执照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事业单位法人证书</w:t>
            </w:r>
            <w:r>
              <w:rPr>
                <w:rFonts w:hint="eastAsia" w:asciiTheme="minorEastAsia" w:hAnsiTheme="minorEastAsia" w:eastAsiaTheme="minorEastAsia" w:cstheme="minorEastAsia"/>
                <w:color w:val="auto"/>
                <w:sz w:val="24"/>
                <w:szCs w:val="24"/>
                <w:highlight w:val="none"/>
                <w:lang w:eastAsia="zh-CN"/>
              </w:rPr>
              <w:t>）</w:t>
            </w:r>
          </w:p>
        </w:tc>
        <w:tc>
          <w:tcPr>
            <w:tcW w:w="5104" w:type="dxa"/>
            <w:vAlign w:val="center"/>
          </w:tcPr>
          <w:p w14:paraId="7CFF8AB4">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7A1ECE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073475D5">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6FFA0AD1">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5A20118D">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具有履行合同所必需的设备和专业技术能力</w:t>
            </w:r>
          </w:p>
        </w:tc>
        <w:tc>
          <w:tcPr>
            <w:tcW w:w="5104" w:type="dxa"/>
            <w:vAlign w:val="center"/>
          </w:tcPr>
          <w:p w14:paraId="05B0E078">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7EBD8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661F3C19">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1D07F306">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5A163E65">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参加政府采购活动近三年内，在经营活动中没有重大违法记录</w:t>
            </w:r>
          </w:p>
        </w:tc>
        <w:tc>
          <w:tcPr>
            <w:tcW w:w="5104" w:type="dxa"/>
            <w:vAlign w:val="center"/>
          </w:tcPr>
          <w:p w14:paraId="48C2B713">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77ACB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6B95F261">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7B4F370B">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014BBF64">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无商业贿赂及无不正当竞争行为</w:t>
            </w:r>
          </w:p>
        </w:tc>
        <w:tc>
          <w:tcPr>
            <w:tcW w:w="5104" w:type="dxa"/>
            <w:vAlign w:val="center"/>
          </w:tcPr>
          <w:p w14:paraId="46F51EA3">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432B8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253665A0">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3734D31E">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2A703E8A">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无行贿犯罪记录</w:t>
            </w:r>
          </w:p>
        </w:tc>
        <w:tc>
          <w:tcPr>
            <w:tcW w:w="5104" w:type="dxa"/>
            <w:vAlign w:val="center"/>
          </w:tcPr>
          <w:p w14:paraId="1CE0B26B">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3BBE8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43082614">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1C3B403F">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715FE792">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信用要求</w:t>
            </w:r>
          </w:p>
        </w:tc>
        <w:tc>
          <w:tcPr>
            <w:tcW w:w="5104" w:type="dxa"/>
            <w:vAlign w:val="center"/>
          </w:tcPr>
          <w:p w14:paraId="0D86D81A">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4181A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14:paraId="256F4D6D">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0BD15BA5">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754F2D09">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国家企业信用</w:t>
            </w:r>
          </w:p>
        </w:tc>
        <w:tc>
          <w:tcPr>
            <w:tcW w:w="5104" w:type="dxa"/>
            <w:vAlign w:val="center"/>
          </w:tcPr>
          <w:p w14:paraId="298DA42D">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符合第一章“磋商公告”要求</w:t>
            </w:r>
          </w:p>
        </w:tc>
      </w:tr>
      <w:tr w14:paraId="61BEF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90" w:hRule="atLeast"/>
          <w:jc w:val="center"/>
        </w:trPr>
        <w:tc>
          <w:tcPr>
            <w:tcW w:w="483" w:type="dxa"/>
            <w:vMerge w:val="continue"/>
            <w:vAlign w:val="center"/>
          </w:tcPr>
          <w:p w14:paraId="67387810">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3E7718F7">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692" w:type="dxa"/>
            <w:vAlign w:val="center"/>
          </w:tcPr>
          <w:p w14:paraId="72D8A92A">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联合体</w:t>
            </w:r>
          </w:p>
        </w:tc>
        <w:tc>
          <w:tcPr>
            <w:tcW w:w="5104" w:type="dxa"/>
            <w:vAlign w:val="center"/>
          </w:tcPr>
          <w:p w14:paraId="572B2A39">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w:t>
            </w:r>
            <w:r>
              <w:rPr>
                <w:rFonts w:hint="eastAsia" w:asciiTheme="minorEastAsia" w:hAnsiTheme="minorEastAsia" w:eastAsiaTheme="minorEastAsia" w:cstheme="minorEastAsia"/>
                <w:color w:val="auto"/>
                <w:sz w:val="24"/>
                <w:szCs w:val="24"/>
                <w:highlight w:val="none"/>
              </w:rPr>
              <w:t>接受联合体投标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联合体要求详见磋商公告</w:t>
            </w:r>
          </w:p>
        </w:tc>
      </w:tr>
      <w:tr w14:paraId="461CB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483" w:type="dxa"/>
            <w:vMerge w:val="restart"/>
            <w:vAlign w:val="center"/>
          </w:tcPr>
          <w:p w14:paraId="3113A0D8">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3</w:t>
            </w:r>
          </w:p>
        </w:tc>
        <w:tc>
          <w:tcPr>
            <w:tcW w:w="1218" w:type="dxa"/>
            <w:vMerge w:val="restart"/>
            <w:vAlign w:val="center"/>
          </w:tcPr>
          <w:p w14:paraId="7B0769EF">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响应性</w:t>
            </w:r>
          </w:p>
          <w:p w14:paraId="11886FDD">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kern w:val="1"/>
                <w:sz w:val="24"/>
                <w:szCs w:val="24"/>
                <w:highlight w:val="none"/>
              </w:rPr>
              <w:t>评审标准</w:t>
            </w:r>
          </w:p>
        </w:tc>
        <w:tc>
          <w:tcPr>
            <w:tcW w:w="2692" w:type="dxa"/>
            <w:vAlign w:val="center"/>
          </w:tcPr>
          <w:p w14:paraId="2BFDCB96">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z w:val="24"/>
                <w:szCs w:val="24"/>
                <w:highlight w:val="none"/>
              </w:rPr>
              <w:t>服务期</w:t>
            </w:r>
          </w:p>
        </w:tc>
        <w:tc>
          <w:tcPr>
            <w:tcW w:w="5104" w:type="dxa"/>
            <w:vAlign w:val="center"/>
          </w:tcPr>
          <w:p w14:paraId="6502EA83">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z w:val="24"/>
                <w:szCs w:val="24"/>
                <w:highlight w:val="none"/>
              </w:rPr>
              <w:t>符合或优于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文件要求</w:t>
            </w:r>
          </w:p>
        </w:tc>
      </w:tr>
      <w:tr w14:paraId="3F7B8A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483" w:type="dxa"/>
            <w:vMerge w:val="continue"/>
            <w:vAlign w:val="center"/>
          </w:tcPr>
          <w:p w14:paraId="6C513FE1">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7A96A65F">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0CA2E0EB">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系统保障运营期</w:t>
            </w:r>
          </w:p>
        </w:tc>
        <w:tc>
          <w:tcPr>
            <w:tcW w:w="5104" w:type="dxa"/>
            <w:vAlign w:val="center"/>
          </w:tcPr>
          <w:p w14:paraId="4CCD139B">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z w:val="24"/>
                <w:szCs w:val="24"/>
                <w:highlight w:val="none"/>
              </w:rPr>
              <w:t>符合或优于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文件要求</w:t>
            </w:r>
          </w:p>
        </w:tc>
      </w:tr>
      <w:tr w14:paraId="3F19B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483" w:type="dxa"/>
            <w:vMerge w:val="continue"/>
            <w:vAlign w:val="center"/>
          </w:tcPr>
          <w:p w14:paraId="43B97DB6">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51654FEE">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23A28F6D">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z w:val="24"/>
                <w:szCs w:val="24"/>
                <w:highlight w:val="none"/>
              </w:rPr>
              <w:t>服务要求</w:t>
            </w:r>
          </w:p>
        </w:tc>
        <w:tc>
          <w:tcPr>
            <w:tcW w:w="5104" w:type="dxa"/>
            <w:vAlign w:val="center"/>
          </w:tcPr>
          <w:p w14:paraId="0DDA68A1">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z w:val="24"/>
                <w:szCs w:val="24"/>
                <w:highlight w:val="none"/>
              </w:rPr>
              <w:t>符合或优于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文件要求</w:t>
            </w:r>
          </w:p>
        </w:tc>
      </w:tr>
      <w:tr w14:paraId="66C7B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483" w:type="dxa"/>
            <w:vMerge w:val="continue"/>
            <w:vAlign w:val="center"/>
          </w:tcPr>
          <w:p w14:paraId="0104B5F0">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0E4882F1">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6F9F1B44">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5104" w:type="dxa"/>
            <w:vAlign w:val="center"/>
          </w:tcPr>
          <w:p w14:paraId="0867C474">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60日历天</w:t>
            </w:r>
            <w:r>
              <w:rPr>
                <w:rFonts w:hint="eastAsia" w:asciiTheme="minorEastAsia" w:hAnsiTheme="minorEastAsia" w:eastAsiaTheme="minorEastAsia" w:cstheme="minorEastAsia"/>
                <w:color w:val="auto"/>
                <w:spacing w:val="-9"/>
                <w:sz w:val="24"/>
                <w:szCs w:val="24"/>
                <w:highlight w:val="none"/>
                <w:lang w:eastAsia="zh-CN"/>
              </w:rPr>
              <w:t>（</w:t>
            </w:r>
            <w:r>
              <w:rPr>
                <w:rFonts w:hint="eastAsia" w:asciiTheme="minorEastAsia" w:hAnsiTheme="minorEastAsia" w:eastAsiaTheme="minorEastAsia" w:cstheme="minorEastAsia"/>
                <w:color w:val="auto"/>
                <w:spacing w:val="-9"/>
                <w:sz w:val="24"/>
                <w:szCs w:val="24"/>
                <w:highlight w:val="none"/>
              </w:rPr>
              <w:t>从响应文件递交截止时间起）</w:t>
            </w:r>
          </w:p>
        </w:tc>
      </w:tr>
      <w:tr w14:paraId="1DF5A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483" w:type="dxa"/>
            <w:vMerge w:val="continue"/>
            <w:vAlign w:val="center"/>
          </w:tcPr>
          <w:p w14:paraId="16A08B79">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1218" w:type="dxa"/>
            <w:vMerge w:val="continue"/>
            <w:vAlign w:val="center"/>
          </w:tcPr>
          <w:p w14:paraId="6871E1B7">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p>
        </w:tc>
        <w:tc>
          <w:tcPr>
            <w:tcW w:w="2692" w:type="dxa"/>
            <w:vAlign w:val="center"/>
          </w:tcPr>
          <w:p w14:paraId="1E92F727">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磋商报价</w:t>
            </w:r>
          </w:p>
        </w:tc>
        <w:tc>
          <w:tcPr>
            <w:tcW w:w="5104" w:type="dxa"/>
            <w:vAlign w:val="center"/>
          </w:tcPr>
          <w:p w14:paraId="58439B9B">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低于第二章</w:t>
            </w:r>
            <w:r>
              <w:rPr>
                <w:rFonts w:hint="eastAsia" w:asciiTheme="minorEastAsia" w:hAnsiTheme="minorEastAsia" w:eastAsiaTheme="minorEastAsia" w:cstheme="minorEastAsia"/>
                <w:color w:val="auto"/>
                <w:spacing w:val="-9"/>
                <w:sz w:val="24"/>
                <w:szCs w:val="24"/>
                <w:highlight w:val="none"/>
                <w:lang w:eastAsia="zh-CN"/>
              </w:rPr>
              <w:t>“供应商</w:t>
            </w:r>
            <w:r>
              <w:rPr>
                <w:rFonts w:hint="eastAsia" w:asciiTheme="minorEastAsia" w:hAnsiTheme="minorEastAsia" w:eastAsiaTheme="minorEastAsia" w:cstheme="minorEastAsia"/>
                <w:color w:val="auto"/>
                <w:spacing w:val="-9"/>
                <w:sz w:val="24"/>
                <w:szCs w:val="24"/>
                <w:highlight w:val="none"/>
              </w:rPr>
              <w:t>须知前附表</w:t>
            </w:r>
            <w:r>
              <w:rPr>
                <w:rFonts w:hint="eastAsia" w:asciiTheme="minorEastAsia" w:hAnsiTheme="minorEastAsia" w:eastAsiaTheme="minorEastAsia" w:cstheme="minorEastAsia"/>
                <w:color w:val="auto"/>
                <w:spacing w:val="-9"/>
                <w:sz w:val="24"/>
                <w:szCs w:val="24"/>
                <w:highlight w:val="none"/>
                <w:lang w:eastAsia="zh-CN"/>
              </w:rPr>
              <w:t>”</w:t>
            </w:r>
            <w:r>
              <w:rPr>
                <w:rFonts w:hint="eastAsia" w:asciiTheme="minorEastAsia" w:hAnsiTheme="minorEastAsia" w:eastAsiaTheme="minorEastAsia" w:cstheme="minorEastAsia"/>
                <w:color w:val="auto"/>
                <w:spacing w:val="-9"/>
                <w:sz w:val="24"/>
                <w:szCs w:val="24"/>
                <w:highlight w:val="none"/>
              </w:rPr>
              <w:t>载明的预算金额</w:t>
            </w:r>
          </w:p>
        </w:tc>
      </w:tr>
    </w:tbl>
    <w:p w14:paraId="4ECE30CD">
      <w:pPr>
        <w:pStyle w:val="18"/>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p>
    <w:p w14:paraId="3375FCCF">
      <w:pPr>
        <w:pStyle w:val="19"/>
        <w:pageBreakBefore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color w:val="auto"/>
          <w:sz w:val="24"/>
          <w:szCs w:val="24"/>
          <w:highlight w:val="none"/>
        </w:rPr>
      </w:pPr>
    </w:p>
    <w:tbl>
      <w:tblPr>
        <w:tblStyle w:val="20"/>
        <w:tblW w:w="9840" w:type="dxa"/>
        <w:jc w:val="center"/>
        <w:tblLayout w:type="fixed"/>
        <w:tblCellMar>
          <w:top w:w="0" w:type="dxa"/>
          <w:left w:w="108" w:type="dxa"/>
          <w:bottom w:w="0" w:type="dxa"/>
          <w:right w:w="108" w:type="dxa"/>
        </w:tblCellMar>
      </w:tblPr>
      <w:tblGrid>
        <w:gridCol w:w="1257"/>
        <w:gridCol w:w="1527"/>
        <w:gridCol w:w="7056"/>
      </w:tblGrid>
      <w:tr w14:paraId="4C790552">
        <w:tblPrEx>
          <w:tblCellMar>
            <w:top w:w="0" w:type="dxa"/>
            <w:left w:w="108" w:type="dxa"/>
            <w:bottom w:w="0" w:type="dxa"/>
            <w:right w:w="108" w:type="dxa"/>
          </w:tblCellMar>
        </w:tblPrEx>
        <w:trPr>
          <w:trHeight w:val="518" w:hRule="atLeast"/>
          <w:jc w:val="center"/>
        </w:trPr>
        <w:tc>
          <w:tcPr>
            <w:tcW w:w="9840" w:type="dxa"/>
            <w:gridSpan w:val="3"/>
            <w:tcBorders>
              <w:top w:val="single" w:color="000000" w:sz="6" w:space="0"/>
              <w:left w:val="single" w:color="000000" w:sz="12" w:space="0"/>
              <w:bottom w:val="single" w:color="000000" w:sz="6" w:space="0"/>
              <w:right w:val="single" w:color="000000" w:sz="12" w:space="0"/>
            </w:tcBorders>
            <w:vAlign w:val="center"/>
          </w:tcPr>
          <w:p w14:paraId="772FE69F">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综合评分部分</w:t>
            </w:r>
            <w:r>
              <w:rPr>
                <w:rFonts w:hint="eastAsia" w:asciiTheme="minorEastAsia" w:hAnsiTheme="minorEastAsia" w:eastAsiaTheme="minorEastAsia" w:cstheme="minorEastAsia"/>
                <w:b/>
                <w:color w:val="auto"/>
                <w:kern w:val="1"/>
                <w:sz w:val="24"/>
                <w:szCs w:val="24"/>
                <w:highlight w:val="none"/>
                <w:lang w:eastAsia="zh-CN"/>
              </w:rPr>
              <w:t>（</w:t>
            </w:r>
            <w:r>
              <w:rPr>
                <w:rFonts w:hint="eastAsia" w:asciiTheme="minorEastAsia" w:hAnsiTheme="minorEastAsia" w:eastAsiaTheme="minorEastAsia" w:cstheme="minorEastAsia"/>
                <w:b/>
                <w:color w:val="auto"/>
                <w:kern w:val="1"/>
                <w:sz w:val="24"/>
                <w:szCs w:val="24"/>
                <w:highlight w:val="none"/>
              </w:rPr>
              <w:t>满分100分）</w:t>
            </w:r>
          </w:p>
        </w:tc>
      </w:tr>
      <w:tr w14:paraId="3E2FD29C">
        <w:tblPrEx>
          <w:tblCellMar>
            <w:top w:w="0" w:type="dxa"/>
            <w:left w:w="108" w:type="dxa"/>
            <w:bottom w:w="0" w:type="dxa"/>
            <w:right w:w="108" w:type="dxa"/>
          </w:tblCellMar>
        </w:tblPrEx>
        <w:trPr>
          <w:trHeight w:val="691" w:hRule="atLeast"/>
          <w:jc w:val="center"/>
        </w:trPr>
        <w:tc>
          <w:tcPr>
            <w:tcW w:w="2784" w:type="dxa"/>
            <w:gridSpan w:val="2"/>
            <w:tcBorders>
              <w:top w:val="single" w:color="000000" w:sz="6" w:space="0"/>
              <w:left w:val="single" w:color="000000" w:sz="6" w:space="0"/>
              <w:bottom w:val="single" w:color="000000" w:sz="6" w:space="0"/>
              <w:right w:val="single" w:color="000000" w:sz="6" w:space="0"/>
            </w:tcBorders>
            <w:vAlign w:val="center"/>
          </w:tcPr>
          <w:p w14:paraId="2F822614">
            <w:pPr>
              <w:pageBreakBefore w:val="0"/>
              <w:kinsoku/>
              <w:wordWrap/>
              <w:overflowPunct/>
              <w:topLinePunct w:val="0"/>
              <w:autoSpaceDE/>
              <w:autoSpaceDN/>
              <w:bidi w:val="0"/>
              <w:adjustRightInd w:val="0"/>
              <w:snapToGrid w:val="0"/>
              <w:spacing w:beforeAutospacing="0" w:after="0" w:line="360" w:lineRule="auto"/>
              <w:ind w:hanging="210"/>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分值构成</w:t>
            </w:r>
          </w:p>
          <w:p w14:paraId="6849A4A9">
            <w:pPr>
              <w:pageBreakBefore w:val="0"/>
              <w:kinsoku/>
              <w:wordWrap/>
              <w:overflowPunct/>
              <w:topLinePunct w:val="0"/>
              <w:autoSpaceDE/>
              <w:autoSpaceDN/>
              <w:bidi w:val="0"/>
              <w:adjustRightInd w:val="0"/>
              <w:snapToGrid w:val="0"/>
              <w:spacing w:beforeAutospacing="0" w:after="0" w:line="360" w:lineRule="auto"/>
              <w:ind w:hanging="210"/>
              <w:jc w:val="center"/>
              <w:textAlignment w:val="auto"/>
              <w:rPr>
                <w:rFonts w:hint="eastAsia" w:asciiTheme="minorEastAsia" w:hAnsiTheme="minorEastAsia" w:eastAsiaTheme="minorEastAsia" w:cstheme="minorEastAsia"/>
                <w:color w:val="auto"/>
                <w:kern w:val="1"/>
                <w:sz w:val="24"/>
                <w:szCs w:val="24"/>
                <w:highlight w:val="none"/>
                <w:lang w:eastAsia="zh-CN"/>
              </w:rPr>
            </w:pPr>
            <w:r>
              <w:rPr>
                <w:rFonts w:hint="eastAsia" w:asciiTheme="minorEastAsia" w:hAnsiTheme="minorEastAsia" w:eastAsiaTheme="minorEastAsia" w:cstheme="minorEastAsia"/>
                <w:color w:val="auto"/>
                <w:kern w:val="1"/>
                <w:sz w:val="24"/>
                <w:szCs w:val="24"/>
                <w:highlight w:val="none"/>
              </w:rPr>
              <w:t>(总分100分</w:t>
            </w:r>
            <w:r>
              <w:rPr>
                <w:rFonts w:hint="eastAsia" w:asciiTheme="minorEastAsia" w:hAnsiTheme="minorEastAsia" w:eastAsiaTheme="minorEastAsia" w:cstheme="minorEastAsia"/>
                <w:color w:val="auto"/>
                <w:kern w:val="1"/>
                <w:sz w:val="24"/>
                <w:szCs w:val="24"/>
                <w:highlight w:val="none"/>
                <w:lang w:eastAsia="zh-CN"/>
              </w:rPr>
              <w:t>）</w:t>
            </w:r>
          </w:p>
        </w:tc>
        <w:tc>
          <w:tcPr>
            <w:tcW w:w="7056" w:type="dxa"/>
            <w:tcBorders>
              <w:top w:val="single" w:color="000000" w:sz="6" w:space="0"/>
              <w:left w:val="single" w:color="000000" w:sz="6" w:space="0"/>
              <w:bottom w:val="single" w:color="000000" w:sz="6" w:space="0"/>
              <w:right w:val="single" w:color="000000" w:sz="12" w:space="0"/>
            </w:tcBorders>
            <w:vAlign w:val="center"/>
          </w:tcPr>
          <w:p w14:paraId="611A9961">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商务标：</w:t>
            </w:r>
            <w:r>
              <w:rPr>
                <w:rFonts w:hint="eastAsia" w:asciiTheme="minorEastAsia" w:hAnsiTheme="minorEastAsia" w:eastAsiaTheme="minorEastAsia" w:cstheme="minorEastAsia"/>
                <w:color w:val="auto"/>
                <w:kern w:val="1"/>
                <w:sz w:val="24"/>
                <w:szCs w:val="24"/>
                <w:highlight w:val="none"/>
                <w:u w:val="single"/>
                <w:lang w:val="en-US" w:eastAsia="zh-CN"/>
              </w:rPr>
              <w:t>20</w:t>
            </w:r>
            <w:r>
              <w:rPr>
                <w:rFonts w:hint="eastAsia" w:asciiTheme="minorEastAsia" w:hAnsiTheme="minorEastAsia" w:eastAsiaTheme="minorEastAsia" w:cstheme="minorEastAsia"/>
                <w:color w:val="auto"/>
                <w:kern w:val="1"/>
                <w:sz w:val="24"/>
                <w:szCs w:val="24"/>
                <w:highlight w:val="none"/>
              </w:rPr>
              <w:t>分</w:t>
            </w:r>
          </w:p>
          <w:p w14:paraId="31913864">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技术标：</w:t>
            </w:r>
            <w:r>
              <w:rPr>
                <w:rFonts w:hint="eastAsia" w:asciiTheme="minorEastAsia" w:hAnsiTheme="minorEastAsia" w:eastAsiaTheme="minorEastAsia" w:cstheme="minorEastAsia"/>
                <w:color w:val="auto"/>
                <w:kern w:val="1"/>
                <w:sz w:val="24"/>
                <w:szCs w:val="24"/>
                <w:highlight w:val="none"/>
                <w:u w:val="single"/>
                <w:lang w:val="en-US" w:eastAsia="zh-CN"/>
              </w:rPr>
              <w:t>50</w:t>
            </w:r>
            <w:r>
              <w:rPr>
                <w:rFonts w:hint="eastAsia" w:asciiTheme="minorEastAsia" w:hAnsiTheme="minorEastAsia" w:eastAsiaTheme="minorEastAsia" w:cstheme="minorEastAsia"/>
                <w:color w:val="auto"/>
                <w:kern w:val="1"/>
                <w:sz w:val="24"/>
                <w:szCs w:val="24"/>
                <w:highlight w:val="none"/>
              </w:rPr>
              <w:t>分</w:t>
            </w:r>
          </w:p>
          <w:p w14:paraId="49A3E8A3">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综合标：</w:t>
            </w:r>
            <w:r>
              <w:rPr>
                <w:rFonts w:hint="eastAsia" w:asciiTheme="minorEastAsia" w:hAnsiTheme="minorEastAsia" w:eastAsiaTheme="minorEastAsia" w:cstheme="minorEastAsia"/>
                <w:color w:val="auto"/>
                <w:kern w:val="1"/>
                <w:sz w:val="24"/>
                <w:szCs w:val="24"/>
                <w:highlight w:val="none"/>
                <w:u w:val="single"/>
                <w:lang w:val="en-US" w:eastAsia="zh-CN"/>
              </w:rPr>
              <w:t>30</w:t>
            </w:r>
            <w:r>
              <w:rPr>
                <w:rFonts w:hint="eastAsia" w:asciiTheme="minorEastAsia" w:hAnsiTheme="minorEastAsia" w:eastAsiaTheme="minorEastAsia" w:cstheme="minorEastAsia"/>
                <w:color w:val="auto"/>
                <w:kern w:val="1"/>
                <w:sz w:val="24"/>
                <w:szCs w:val="24"/>
                <w:highlight w:val="none"/>
              </w:rPr>
              <w:t>分</w:t>
            </w:r>
          </w:p>
        </w:tc>
      </w:tr>
      <w:tr w14:paraId="05176901">
        <w:tblPrEx>
          <w:tblCellMar>
            <w:top w:w="0" w:type="dxa"/>
            <w:left w:w="108" w:type="dxa"/>
            <w:bottom w:w="0" w:type="dxa"/>
            <w:right w:w="108" w:type="dxa"/>
          </w:tblCellMar>
        </w:tblPrEx>
        <w:trPr>
          <w:trHeight w:val="207" w:hRule="atLeast"/>
          <w:jc w:val="center"/>
        </w:trPr>
        <w:tc>
          <w:tcPr>
            <w:tcW w:w="2784" w:type="dxa"/>
            <w:gridSpan w:val="2"/>
            <w:tcBorders>
              <w:top w:val="single" w:color="000000" w:sz="6" w:space="0"/>
              <w:left w:val="single" w:color="000000" w:sz="6" w:space="0"/>
              <w:bottom w:val="single" w:color="000000" w:sz="6" w:space="0"/>
              <w:right w:val="single" w:color="000000" w:sz="6" w:space="0"/>
            </w:tcBorders>
            <w:vAlign w:val="center"/>
          </w:tcPr>
          <w:p w14:paraId="56BCC0F7">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b/>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评分因素</w:t>
            </w:r>
          </w:p>
        </w:tc>
        <w:tc>
          <w:tcPr>
            <w:tcW w:w="7056" w:type="dxa"/>
            <w:tcBorders>
              <w:top w:val="single" w:color="000000" w:sz="6" w:space="0"/>
              <w:left w:val="single" w:color="000000" w:sz="6" w:space="0"/>
              <w:bottom w:val="single" w:color="000000" w:sz="6" w:space="0"/>
              <w:right w:val="single" w:color="000000" w:sz="12" w:space="0"/>
            </w:tcBorders>
            <w:vAlign w:val="center"/>
          </w:tcPr>
          <w:p w14:paraId="22962BDE">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b/>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评分标准</w:t>
            </w:r>
          </w:p>
        </w:tc>
      </w:tr>
      <w:tr w14:paraId="2AB86E2F">
        <w:tblPrEx>
          <w:tblCellMar>
            <w:top w:w="0" w:type="dxa"/>
            <w:left w:w="108" w:type="dxa"/>
            <w:bottom w:w="0" w:type="dxa"/>
            <w:right w:w="108" w:type="dxa"/>
          </w:tblCellMar>
        </w:tblPrEx>
        <w:trPr>
          <w:trHeight w:val="1971" w:hRule="atLeast"/>
          <w:jc w:val="center"/>
        </w:trPr>
        <w:tc>
          <w:tcPr>
            <w:tcW w:w="1257" w:type="dxa"/>
            <w:tcBorders>
              <w:top w:val="single" w:color="000000" w:sz="6" w:space="0"/>
              <w:left w:val="single" w:color="000000" w:sz="4" w:space="0"/>
              <w:bottom w:val="single" w:color="000000" w:sz="6" w:space="0"/>
              <w:right w:val="single" w:color="000000" w:sz="6" w:space="0"/>
            </w:tcBorders>
            <w:vAlign w:val="center"/>
          </w:tcPr>
          <w:p w14:paraId="109B5A7F">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商务标评分标准</w:t>
            </w:r>
            <w:r>
              <w:rPr>
                <w:rFonts w:hint="eastAsia" w:asciiTheme="minorEastAsia" w:hAnsiTheme="minorEastAsia" w:eastAsiaTheme="minorEastAsia" w:cstheme="minorEastAsia"/>
                <w:color w:val="auto"/>
                <w:kern w:val="1"/>
                <w:sz w:val="24"/>
                <w:szCs w:val="24"/>
                <w:highlight w:val="none"/>
                <w:lang w:eastAsia="zh-CN"/>
              </w:rPr>
              <w:t>（</w:t>
            </w:r>
            <w:r>
              <w:rPr>
                <w:rFonts w:hint="eastAsia" w:asciiTheme="minorEastAsia" w:hAnsiTheme="minorEastAsia" w:eastAsiaTheme="minorEastAsia" w:cstheme="minorEastAsia"/>
                <w:color w:val="auto"/>
                <w:kern w:val="1"/>
                <w:sz w:val="24"/>
                <w:szCs w:val="24"/>
                <w:highlight w:val="none"/>
                <w:lang w:val="en-US" w:eastAsia="zh-CN"/>
              </w:rPr>
              <w:t>20</w:t>
            </w:r>
            <w:r>
              <w:rPr>
                <w:rFonts w:hint="eastAsia" w:asciiTheme="minorEastAsia" w:hAnsiTheme="minorEastAsia" w:eastAsiaTheme="minorEastAsia" w:cstheme="minorEastAsia"/>
                <w:color w:val="auto"/>
                <w:kern w:val="1"/>
                <w:sz w:val="24"/>
                <w:szCs w:val="24"/>
                <w:highlight w:val="none"/>
              </w:rPr>
              <w:t>分）</w:t>
            </w:r>
          </w:p>
        </w:tc>
        <w:tc>
          <w:tcPr>
            <w:tcW w:w="1527" w:type="dxa"/>
            <w:tcBorders>
              <w:top w:val="single" w:color="000000" w:sz="6" w:space="0"/>
              <w:left w:val="single" w:color="000000" w:sz="4" w:space="0"/>
              <w:bottom w:val="single" w:color="000000" w:sz="6" w:space="0"/>
              <w:right w:val="single" w:color="000000" w:sz="6" w:space="0"/>
            </w:tcBorders>
            <w:vAlign w:val="center"/>
          </w:tcPr>
          <w:p w14:paraId="520CFFAD">
            <w:pPr>
              <w:pageBreakBefore w:val="0"/>
              <w:kinsoku/>
              <w:wordWrap/>
              <w:overflowPunct/>
              <w:topLinePunct w:val="0"/>
              <w:autoSpaceDE/>
              <w:autoSpaceDN/>
              <w:bidi w:val="0"/>
              <w:adjustRightInd w:val="0"/>
              <w:snapToGrid w:val="0"/>
              <w:spacing w:beforeAutospacing="0"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0"/>
                <w:sz w:val="24"/>
                <w:szCs w:val="24"/>
                <w:highlight w:val="none"/>
              </w:rPr>
              <w:t>磋商报价</w:t>
            </w:r>
          </w:p>
        </w:tc>
        <w:tc>
          <w:tcPr>
            <w:tcW w:w="7056" w:type="dxa"/>
            <w:tcBorders>
              <w:top w:val="single" w:color="000000" w:sz="6" w:space="0"/>
              <w:left w:val="single" w:color="000000" w:sz="6" w:space="0"/>
              <w:bottom w:val="single" w:color="000000" w:sz="6" w:space="0"/>
              <w:right w:val="single" w:color="000000" w:sz="12" w:space="0"/>
            </w:tcBorders>
            <w:vAlign w:val="center"/>
          </w:tcPr>
          <w:p w14:paraId="6046E552">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1、价格分采用低价优先法计算，即满足磋商文件通过资格性和形式性审查且投标价格最低的投标报价为评标基准价，其价格得分为满分20分。</w:t>
            </w:r>
          </w:p>
          <w:p w14:paraId="2C718F3D">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2、其他供应商的价格分统一按照下列公式计算：</w:t>
            </w:r>
          </w:p>
          <w:p w14:paraId="5295061D">
            <w:pPr>
              <w:pageBreakBefore w:val="0"/>
              <w:kinsoku/>
              <w:wordWrap/>
              <w:overflowPunct/>
              <w:topLinePunct w:val="0"/>
              <w:autoSpaceDE/>
              <w:autoSpaceDN/>
              <w:bidi w:val="0"/>
              <w:adjustRightInd w:val="0"/>
              <w:snapToGrid w:val="0"/>
              <w:spacing w:beforeAutospacing="0" w:after="0"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投标报价得分=(评标基准价／投标报价）×20</w:t>
            </w:r>
          </w:p>
          <w:p w14:paraId="6FA0932A">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3、价格扣除：</w:t>
            </w:r>
            <w:r>
              <w:rPr>
                <w:rFonts w:hint="eastAsia" w:asciiTheme="minorEastAsia" w:hAnsiTheme="minorEastAsia" w:eastAsiaTheme="minorEastAsia" w:cstheme="minorEastAsia"/>
                <w:color w:val="auto"/>
                <w:kern w:val="0"/>
                <w:sz w:val="24"/>
                <w:szCs w:val="24"/>
                <w:highlight w:val="none"/>
              </w:rPr>
              <w:t>1.根据《政府采购促进中小企业发展管理办法》</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财库﹝2020﹞46 号）及《三门峡市财政局关于进一步优化提升政府采购营商环境有关事项通知》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三财购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2021）14号）及《三门峡市财政局关于进一步加大政府采购支持中小企业发展有关事项的通知》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三财购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2022）9号）的规定，对小型、微型企业产品的价格给予10%～20%的扣除，本项目小型、微型企业</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提供证明材料</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按</w:t>
            </w:r>
            <w:r>
              <w:rPr>
                <w:rFonts w:hint="eastAsia" w:asciiTheme="minorEastAsia" w:hAnsiTheme="minorEastAsia" w:eastAsiaTheme="minorEastAsia" w:cstheme="minorEastAsia"/>
                <w:b/>
                <w:bCs/>
                <w:color w:val="auto"/>
                <w:kern w:val="0"/>
                <w:sz w:val="24"/>
                <w:szCs w:val="24"/>
                <w:highlight w:val="none"/>
                <w:lang w:val="en-US" w:eastAsia="zh-CN"/>
              </w:rPr>
              <w:t>20</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扣除，使用扣除后的价格参与评审。对于中型企业产品的价格不予扣除。</w:t>
            </w:r>
            <w:r>
              <w:rPr>
                <w:rFonts w:hint="eastAsia" w:asciiTheme="minorEastAsia" w:hAnsiTheme="minorEastAsia" w:eastAsiaTheme="minorEastAsia" w:cstheme="minorEastAsia"/>
                <w:color w:val="auto"/>
                <w:kern w:val="0"/>
                <w:sz w:val="24"/>
                <w:szCs w:val="24"/>
                <w:highlight w:val="none"/>
                <w:lang w:val="en-US" w:eastAsia="zh-CN"/>
              </w:rPr>
              <w:t>小微企业需完整填写小微企业声明函并提供证明资料。</w:t>
            </w:r>
          </w:p>
          <w:p w14:paraId="4EC8C107">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所投小微企业产品报价=所投小微企业产品报价×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w:t>
            </w:r>
          </w:p>
          <w:p w14:paraId="46DC7D72">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16D0C3BD">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根据财政部民政部中国残疾人联合会《关于促进残疾人就业政府采购政策的通知》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财库〔2017〕141号）规定，对于残疾人福利性单位视同为小型、微型企业，价格给予</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%的扣除</w:t>
            </w:r>
            <w:r>
              <w:rPr>
                <w:rFonts w:hint="eastAsia" w:asciiTheme="minorEastAsia" w:hAnsiTheme="minorEastAsia" w:eastAsiaTheme="minorEastAsia" w:cstheme="minorEastAsia"/>
                <w:color w:val="auto"/>
                <w:kern w:val="0"/>
                <w:sz w:val="24"/>
                <w:szCs w:val="24"/>
                <w:highlight w:val="none"/>
                <w:lang w:val="en-US" w:eastAsia="zh-CN"/>
              </w:rPr>
              <w:t>。</w:t>
            </w:r>
          </w:p>
          <w:p w14:paraId="57DC60BE">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6、同一供应商，中小微企业产品和监狱企业产品价格扣除优惠只享受一次，不得重复享受。</w:t>
            </w:r>
          </w:p>
          <w:p w14:paraId="025CE619">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注：价格分计算保留小数点后二位。</w:t>
            </w:r>
          </w:p>
          <w:p w14:paraId="381D55BA">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在评标过程中，磋商小组发现供应商的报价明显低于成本价时或明显低于其他通过初步审查供应商的报价，有可能影响产品质量或者不能诚信履约的，磋商小组可向该供应商提出询问， 要求该供应商作出书面说明并提供相关证明材料。供应商不能合理说明及不能提供相关证明材料的，磋商小组认定该供应商以低于成本价恶意竞标，其投标作废标处理。</w:t>
            </w:r>
          </w:p>
        </w:tc>
      </w:tr>
      <w:tr w14:paraId="2B2320E9">
        <w:tblPrEx>
          <w:tblCellMar>
            <w:top w:w="0" w:type="dxa"/>
            <w:left w:w="108" w:type="dxa"/>
            <w:bottom w:w="0" w:type="dxa"/>
            <w:right w:w="108" w:type="dxa"/>
          </w:tblCellMar>
        </w:tblPrEx>
        <w:trPr>
          <w:trHeight w:val="1690" w:hRule="atLeast"/>
          <w:jc w:val="center"/>
        </w:trPr>
        <w:tc>
          <w:tcPr>
            <w:tcW w:w="1257" w:type="dxa"/>
            <w:vMerge w:val="restart"/>
            <w:tcBorders>
              <w:left w:val="single" w:color="000000" w:sz="4" w:space="0"/>
              <w:right w:val="single" w:color="000000" w:sz="6" w:space="0"/>
            </w:tcBorders>
            <w:vAlign w:val="center"/>
          </w:tcPr>
          <w:p w14:paraId="52451D76">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1"/>
                <w:sz w:val="24"/>
                <w:szCs w:val="24"/>
                <w:highlight w:val="none"/>
                <w:lang w:val="en-US" w:eastAsia="zh-CN"/>
              </w:rPr>
            </w:pPr>
            <w:r>
              <w:rPr>
                <w:rFonts w:hint="eastAsia" w:asciiTheme="minorEastAsia" w:hAnsiTheme="minorEastAsia" w:eastAsiaTheme="minorEastAsia" w:cstheme="minorEastAsia"/>
                <w:color w:val="auto"/>
                <w:kern w:val="1"/>
                <w:sz w:val="24"/>
                <w:szCs w:val="24"/>
                <w:highlight w:val="none"/>
              </w:rPr>
              <w:t>技术</w:t>
            </w:r>
            <w:r>
              <w:rPr>
                <w:rFonts w:hint="eastAsia" w:asciiTheme="minorEastAsia" w:hAnsiTheme="minorEastAsia" w:eastAsiaTheme="minorEastAsia" w:cstheme="minorEastAsia"/>
                <w:color w:val="auto"/>
                <w:kern w:val="1"/>
                <w:sz w:val="24"/>
                <w:szCs w:val="24"/>
                <w:highlight w:val="none"/>
                <w:lang w:val="en-US" w:eastAsia="zh-CN"/>
              </w:rPr>
              <w:t>部分（50分）</w:t>
            </w:r>
          </w:p>
        </w:tc>
        <w:tc>
          <w:tcPr>
            <w:tcW w:w="1527" w:type="dxa"/>
            <w:tcBorders>
              <w:top w:val="single" w:color="000000" w:sz="6" w:space="0"/>
              <w:left w:val="single" w:color="000000" w:sz="4" w:space="0"/>
              <w:bottom w:val="single" w:color="000000" w:sz="6" w:space="0"/>
              <w:right w:val="single" w:color="000000" w:sz="6" w:space="0"/>
            </w:tcBorders>
            <w:vAlign w:val="center"/>
          </w:tcPr>
          <w:p w14:paraId="62FB9246">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技术服务方案（30分）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54B107F7">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根据供应商提供的技术服务方案等，是否科学、合理、可行。</w:t>
            </w:r>
          </w:p>
          <w:p w14:paraId="788657B2">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项目技术服务方案、实施技术力量和实施计划</w:t>
            </w:r>
            <w:r>
              <w:rPr>
                <w:rFonts w:hint="default" w:asciiTheme="minorEastAsia" w:hAnsiTheme="minorEastAsia" w:eastAsiaTheme="minorEastAsia" w:cstheme="minorEastAsia"/>
                <w:color w:val="auto"/>
                <w:kern w:val="0"/>
                <w:sz w:val="24"/>
                <w:szCs w:val="24"/>
                <w:highlight w:val="none"/>
                <w:lang w:val="en-US" w:eastAsia="zh-CN"/>
              </w:rPr>
              <w:t>极致完善，逻辑闭环，与项目需求高度适配，得30分</w:t>
            </w:r>
            <w:r>
              <w:rPr>
                <w:rFonts w:hint="eastAsia" w:asciiTheme="minorEastAsia" w:hAnsiTheme="minorEastAsia" w:eastAsiaTheme="minorEastAsia" w:cstheme="minorEastAsia"/>
                <w:color w:val="auto"/>
                <w:kern w:val="0"/>
                <w:sz w:val="24"/>
                <w:szCs w:val="24"/>
                <w:highlight w:val="none"/>
                <w:lang w:val="en-US" w:eastAsia="zh-CN"/>
              </w:rPr>
              <w:t>；</w:t>
            </w:r>
          </w:p>
          <w:p w14:paraId="0E77AC2D">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项目技术服务方案、技术力量和实施计划</w:t>
            </w:r>
            <w:r>
              <w:rPr>
                <w:rFonts w:hint="default" w:asciiTheme="minorEastAsia" w:hAnsiTheme="minorEastAsia" w:eastAsiaTheme="minorEastAsia" w:cstheme="minorEastAsia"/>
                <w:color w:val="auto"/>
                <w:kern w:val="0"/>
                <w:sz w:val="24"/>
                <w:szCs w:val="24"/>
                <w:highlight w:val="none"/>
                <w:lang w:val="en-US" w:eastAsia="zh-CN"/>
              </w:rPr>
              <w:t>全面细致，逻辑严谨，完全贴合项目实际需求，得25分</w:t>
            </w:r>
            <w:r>
              <w:rPr>
                <w:rFonts w:hint="eastAsia" w:asciiTheme="minorEastAsia" w:hAnsiTheme="minorEastAsia" w:eastAsiaTheme="minorEastAsia" w:cstheme="minorEastAsia"/>
                <w:color w:val="auto"/>
                <w:kern w:val="0"/>
                <w:sz w:val="24"/>
                <w:szCs w:val="24"/>
                <w:highlight w:val="none"/>
                <w:lang w:val="en-US" w:eastAsia="zh-CN"/>
              </w:rPr>
              <w:t>；</w:t>
            </w:r>
          </w:p>
          <w:p w14:paraId="1C5973A8">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项目技术服务方案、技术力量和实施计划</w:t>
            </w:r>
            <w:r>
              <w:rPr>
                <w:rFonts w:hint="default" w:asciiTheme="minorEastAsia" w:hAnsiTheme="minorEastAsia" w:eastAsiaTheme="minorEastAsia" w:cstheme="minorEastAsia"/>
                <w:color w:val="auto"/>
                <w:kern w:val="0"/>
                <w:sz w:val="24"/>
                <w:szCs w:val="24"/>
                <w:highlight w:val="none"/>
                <w:lang w:val="en-US" w:eastAsia="zh-CN"/>
              </w:rPr>
              <w:t>详细完整，合理可行，基本符合项目需求，得20分</w:t>
            </w:r>
            <w:r>
              <w:rPr>
                <w:rFonts w:hint="eastAsia" w:asciiTheme="minorEastAsia" w:hAnsiTheme="minorEastAsia" w:eastAsiaTheme="minorEastAsia" w:cstheme="minorEastAsia"/>
                <w:color w:val="auto"/>
                <w:kern w:val="0"/>
                <w:sz w:val="24"/>
                <w:szCs w:val="24"/>
                <w:highlight w:val="none"/>
                <w:lang w:val="en-US" w:eastAsia="zh-CN"/>
              </w:rPr>
              <w:t>；</w:t>
            </w:r>
          </w:p>
          <w:p w14:paraId="19FF50C1">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项目技术服务方案、技术力量和实施计划</w:t>
            </w:r>
            <w:r>
              <w:rPr>
                <w:rFonts w:hint="default" w:asciiTheme="minorEastAsia" w:hAnsiTheme="minorEastAsia" w:eastAsiaTheme="minorEastAsia" w:cstheme="minorEastAsia"/>
                <w:color w:val="auto"/>
                <w:kern w:val="0"/>
                <w:sz w:val="24"/>
                <w:szCs w:val="24"/>
                <w:highlight w:val="none"/>
                <w:lang w:val="en-US" w:eastAsia="zh-CN"/>
              </w:rPr>
              <w:t>基本合理，具备可行性，能满足项目常规执行要求，得15分</w:t>
            </w:r>
            <w:r>
              <w:rPr>
                <w:rFonts w:hint="eastAsia" w:asciiTheme="minorEastAsia" w:hAnsiTheme="minorEastAsia" w:eastAsiaTheme="minorEastAsia" w:cstheme="minorEastAsia"/>
                <w:color w:val="auto"/>
                <w:kern w:val="0"/>
                <w:sz w:val="24"/>
                <w:szCs w:val="24"/>
                <w:highlight w:val="none"/>
                <w:lang w:val="en-US" w:eastAsia="zh-CN"/>
              </w:rPr>
              <w:t>；</w:t>
            </w:r>
          </w:p>
          <w:p w14:paraId="438C7474">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项目技术服务方案、技术力量或实施计划</w:t>
            </w:r>
            <w:r>
              <w:rPr>
                <w:rFonts w:hint="default" w:asciiTheme="minorEastAsia" w:hAnsiTheme="minorEastAsia" w:eastAsiaTheme="minorEastAsia" w:cstheme="minorEastAsia"/>
                <w:color w:val="auto"/>
                <w:kern w:val="0"/>
                <w:sz w:val="24"/>
                <w:szCs w:val="24"/>
                <w:highlight w:val="none"/>
                <w:lang w:val="en-US" w:eastAsia="zh-CN"/>
              </w:rPr>
              <w:t>存在明显瑕疵，合理性和可行性一般，得10分；​</w:t>
            </w:r>
          </w:p>
          <w:p w14:paraId="2965220D">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项目技术服务方案、实施技术力量或实施计划存在重大缺陷，整体不合理或不可行，得5分。</w:t>
            </w:r>
          </w:p>
          <w:p w14:paraId="6FBD209F">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未提供的不得分。</w:t>
            </w:r>
          </w:p>
          <w:p w14:paraId="2F9A2BE7">
            <w:pPr>
              <w:pageBreakBefore w:val="0"/>
              <w:kinsoku/>
              <w:wordWrap/>
              <w:overflowPunct/>
              <w:topLinePunct w:val="0"/>
              <w:autoSpaceDE/>
              <w:autoSpaceDN/>
              <w:bidi w:val="0"/>
              <w:adjustRightInd w:val="0"/>
              <w:snapToGrid w:val="0"/>
              <w:spacing w:beforeAutospacing="0" w:after="0"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同时“技术标准和要求”中，软件服务、硬件部分出现“负偏离”，每有一处扣1分，扣完为止。</w:t>
            </w:r>
          </w:p>
        </w:tc>
      </w:tr>
      <w:tr w14:paraId="28A438BA">
        <w:tblPrEx>
          <w:tblCellMar>
            <w:top w:w="0" w:type="dxa"/>
            <w:left w:w="108" w:type="dxa"/>
            <w:bottom w:w="0" w:type="dxa"/>
            <w:right w:w="108" w:type="dxa"/>
          </w:tblCellMar>
        </w:tblPrEx>
        <w:trPr>
          <w:trHeight w:val="90" w:hRule="atLeast"/>
          <w:jc w:val="center"/>
        </w:trPr>
        <w:tc>
          <w:tcPr>
            <w:tcW w:w="1257" w:type="dxa"/>
            <w:vMerge w:val="continue"/>
            <w:tcBorders>
              <w:left w:val="single" w:color="000000" w:sz="4" w:space="0"/>
              <w:right w:val="single" w:color="000000" w:sz="6" w:space="0"/>
            </w:tcBorders>
            <w:vAlign w:val="center"/>
          </w:tcPr>
          <w:p w14:paraId="31BE72FE">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07550DDA">
            <w:pPr>
              <w:pageBreakBefore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center"/>
              <w:textAlignment w:val="auto"/>
              <w:rPr>
                <w:rFonts w:hint="eastAsia" w:cs="宋体" w:asciiTheme="minorEastAsia" w:hAnsiTheme="minorEastAsia"/>
                <w:color w:val="auto"/>
                <w:kern w:val="0"/>
                <w:sz w:val="24"/>
                <w:highlight w:val="none"/>
                <w:lang w:bidi="ar"/>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工作进度的安排（5分）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4E29EBFC">
            <w:pPr>
              <w:pageBreakBefore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根据工作进度安排的具体性、合理性、可行性进行比较打分。</w:t>
            </w:r>
          </w:p>
          <w:p w14:paraId="704F0A9A">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工作进度的安排</w:t>
            </w:r>
            <w:r>
              <w:rPr>
                <w:rFonts w:hint="eastAsia" w:asciiTheme="minorEastAsia" w:hAnsiTheme="minorEastAsia" w:eastAsiaTheme="minorEastAsia" w:cstheme="minorEastAsia"/>
                <w:color w:val="auto"/>
                <w:sz w:val="24"/>
                <w:szCs w:val="24"/>
                <w:highlight w:val="none"/>
              </w:rPr>
              <w:t>便于实施、具有针对性、完善程度高得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1BAC73C8">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工作进度的安排</w:t>
            </w:r>
            <w:r>
              <w:rPr>
                <w:rFonts w:hint="eastAsia" w:asciiTheme="minorEastAsia" w:hAnsiTheme="minorEastAsia" w:eastAsiaTheme="minorEastAsia" w:cstheme="minorEastAsia"/>
                <w:color w:val="auto"/>
                <w:sz w:val="24"/>
                <w:szCs w:val="24"/>
                <w:highlight w:val="none"/>
              </w:rPr>
              <w:t>合理便于实施、但完善程度一般不够详尽的得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分；</w:t>
            </w:r>
          </w:p>
          <w:p w14:paraId="554DB455">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工作进度的安排</w:t>
            </w:r>
            <w:r>
              <w:rPr>
                <w:rFonts w:hint="eastAsia" w:asciiTheme="minorEastAsia" w:hAnsiTheme="minorEastAsia" w:eastAsiaTheme="minorEastAsia" w:cstheme="minorEastAsia"/>
                <w:color w:val="auto"/>
                <w:sz w:val="24"/>
                <w:szCs w:val="24"/>
                <w:highlight w:val="none"/>
              </w:rPr>
              <w:t>合理性一般，不便于实施，完善程度一般不够详尽的得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079F3F36">
            <w:pPr>
              <w:pStyle w:val="18"/>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没有提供上述内容，或提供的不完整有缺项的得0 分</w:t>
            </w:r>
            <w:r>
              <w:rPr>
                <w:rFonts w:hint="eastAsia" w:asciiTheme="minorEastAsia" w:hAnsiTheme="minorEastAsia" w:eastAsiaTheme="minorEastAsia" w:cstheme="minorEastAsia"/>
                <w:color w:val="auto"/>
                <w:sz w:val="24"/>
                <w:szCs w:val="24"/>
                <w:highlight w:val="none"/>
                <w:lang w:eastAsia="zh-CN"/>
              </w:rPr>
              <w:t>。</w:t>
            </w:r>
          </w:p>
        </w:tc>
      </w:tr>
      <w:tr w14:paraId="05691EB7">
        <w:tblPrEx>
          <w:tblCellMar>
            <w:top w:w="0" w:type="dxa"/>
            <w:left w:w="108" w:type="dxa"/>
            <w:bottom w:w="0" w:type="dxa"/>
            <w:right w:w="108" w:type="dxa"/>
          </w:tblCellMar>
        </w:tblPrEx>
        <w:trPr>
          <w:trHeight w:val="1690" w:hRule="atLeast"/>
          <w:jc w:val="center"/>
        </w:trPr>
        <w:tc>
          <w:tcPr>
            <w:tcW w:w="1257" w:type="dxa"/>
            <w:vMerge w:val="continue"/>
            <w:tcBorders>
              <w:left w:val="single" w:color="000000" w:sz="4" w:space="0"/>
              <w:right w:val="single" w:color="000000" w:sz="6" w:space="0"/>
            </w:tcBorders>
            <w:vAlign w:val="center"/>
          </w:tcPr>
          <w:p w14:paraId="143448B8">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448E0925">
            <w:pPr>
              <w:pageBreakBefore w:val="0"/>
              <w:kinsoku/>
              <w:wordWrap/>
              <w:overflowPunct/>
              <w:topLinePunct w:val="0"/>
              <w:autoSpaceDE/>
              <w:autoSpaceDN/>
              <w:bidi w:val="0"/>
              <w:adjustRightInd w:val="0"/>
              <w:snapToGrid w:val="0"/>
              <w:spacing w:after="0" w:line="360" w:lineRule="auto"/>
              <w:jc w:val="center"/>
              <w:textAlignment w:val="auto"/>
              <w:rPr>
                <w:rFonts w:hint="eastAsia" w:cs="宋体" w:asciiTheme="minorEastAsia" w:hAnsiTheme="minorEastAsia"/>
                <w:color w:val="auto"/>
                <w:kern w:val="0"/>
                <w:sz w:val="24"/>
                <w:highlight w:val="none"/>
                <w:lang w:bidi="ar"/>
              </w:rPr>
            </w:pPr>
            <w:r>
              <w:rPr>
                <w:rFonts w:hint="eastAsia" w:asciiTheme="minorEastAsia" w:hAnsiTheme="minorEastAsia" w:eastAsiaTheme="minorEastAsia" w:cstheme="minorEastAsia"/>
                <w:color w:val="auto"/>
                <w:sz w:val="24"/>
                <w:szCs w:val="24"/>
                <w:highlight w:val="none"/>
              </w:rPr>
              <w:t>质量保障措施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63553638">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根据供应商提供的质量保障措施是否科学、合理、可行。</w:t>
            </w:r>
          </w:p>
          <w:p w14:paraId="4CA51765">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提供的质量保证措施便于实施、具有针对性、完善程度高得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13F43E73">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提供的质量保证措施合理便于实施、但完善程度一般不够详尽的得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580BEFA8">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提供的质量保证措施合理性一般，不便于实施，完善程度一般不够详尽的得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5C2F7289">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没有提供上述内容，或提供的不完整有缺项的得0 分</w:t>
            </w:r>
            <w:r>
              <w:rPr>
                <w:rFonts w:hint="eastAsia" w:asciiTheme="minorEastAsia" w:hAnsiTheme="minorEastAsia" w:eastAsiaTheme="minorEastAsia" w:cstheme="minorEastAsia"/>
                <w:color w:val="auto"/>
                <w:sz w:val="24"/>
                <w:szCs w:val="24"/>
                <w:highlight w:val="none"/>
                <w:lang w:eastAsia="zh-CN"/>
              </w:rPr>
              <w:t>。</w:t>
            </w:r>
          </w:p>
        </w:tc>
      </w:tr>
      <w:tr w14:paraId="52DD2829">
        <w:tblPrEx>
          <w:tblCellMar>
            <w:top w:w="0" w:type="dxa"/>
            <w:left w:w="108" w:type="dxa"/>
            <w:bottom w:w="0" w:type="dxa"/>
            <w:right w:w="108" w:type="dxa"/>
          </w:tblCellMar>
        </w:tblPrEx>
        <w:trPr>
          <w:trHeight w:val="1690" w:hRule="atLeast"/>
          <w:jc w:val="center"/>
        </w:trPr>
        <w:tc>
          <w:tcPr>
            <w:tcW w:w="1257" w:type="dxa"/>
            <w:vMerge w:val="continue"/>
            <w:tcBorders>
              <w:left w:val="single" w:color="000000" w:sz="4" w:space="0"/>
              <w:right w:val="single" w:color="000000" w:sz="6" w:space="0"/>
            </w:tcBorders>
            <w:vAlign w:val="center"/>
          </w:tcPr>
          <w:p w14:paraId="52ED3FE3">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6DCE9A39">
            <w:pPr>
              <w:pageBreakBefore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center"/>
              <w:textAlignment w:val="auto"/>
              <w:rPr>
                <w:rFonts w:hint="eastAsia" w:cs="宋体" w:asciiTheme="minorEastAsia" w:hAnsiTheme="minorEastAsia"/>
                <w:color w:val="auto"/>
                <w:kern w:val="0"/>
                <w:sz w:val="24"/>
                <w:highlight w:val="none"/>
                <w:lang w:bidi="ar"/>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人员及培训方案（5分）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2719BAD7">
            <w:pPr>
              <w:pageBreakBefore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能够提供详细、科学的培训方案，人员安排合理，管理机构健全，培训方案得当。</w:t>
            </w:r>
          </w:p>
          <w:p w14:paraId="454ABA38">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人员及培训方案</w:t>
            </w:r>
            <w:r>
              <w:rPr>
                <w:rFonts w:hint="eastAsia" w:asciiTheme="minorEastAsia" w:hAnsiTheme="minorEastAsia" w:eastAsiaTheme="minorEastAsia" w:cstheme="minorEastAsia"/>
                <w:color w:val="auto"/>
                <w:sz w:val="24"/>
                <w:szCs w:val="24"/>
                <w:highlight w:val="none"/>
              </w:rPr>
              <w:t>便于实施、具有针对性、完善程度高得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2484D380">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人员及培训方案</w:t>
            </w:r>
            <w:r>
              <w:rPr>
                <w:rFonts w:hint="eastAsia" w:asciiTheme="minorEastAsia" w:hAnsiTheme="minorEastAsia" w:eastAsiaTheme="minorEastAsia" w:cstheme="minorEastAsia"/>
                <w:color w:val="auto"/>
                <w:sz w:val="24"/>
                <w:szCs w:val="24"/>
                <w:highlight w:val="none"/>
              </w:rPr>
              <w:t>合理便于实施、但完善程度一般不够详尽的得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分；</w:t>
            </w:r>
          </w:p>
          <w:p w14:paraId="73959C91">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人员及培训方案</w:t>
            </w:r>
            <w:r>
              <w:rPr>
                <w:rFonts w:hint="eastAsia" w:asciiTheme="minorEastAsia" w:hAnsiTheme="minorEastAsia" w:eastAsiaTheme="minorEastAsia" w:cstheme="minorEastAsia"/>
                <w:color w:val="auto"/>
                <w:sz w:val="24"/>
                <w:szCs w:val="24"/>
                <w:highlight w:val="none"/>
              </w:rPr>
              <w:t>合理性一般，不便于实施，完善程度一般不够详尽的得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526B269E">
            <w:pPr>
              <w:pStyle w:val="18"/>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cs="宋体" w:asciiTheme="minorEastAsia" w:hAnsiTheme="minorEastAsia"/>
                <w:color w:val="auto"/>
                <w:kern w:val="0"/>
                <w:sz w:val="24"/>
                <w:highlight w:val="none"/>
                <w:lang w:bidi="ar"/>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没有提供上述内容，或提供的不完整有缺项的得0 分</w:t>
            </w:r>
            <w:r>
              <w:rPr>
                <w:rFonts w:hint="eastAsia" w:asciiTheme="minorEastAsia" w:hAnsiTheme="minorEastAsia" w:eastAsiaTheme="minorEastAsia" w:cstheme="minorEastAsia"/>
                <w:color w:val="auto"/>
                <w:sz w:val="24"/>
                <w:szCs w:val="24"/>
                <w:highlight w:val="none"/>
                <w:lang w:eastAsia="zh-CN"/>
              </w:rPr>
              <w:t>。</w:t>
            </w:r>
          </w:p>
        </w:tc>
      </w:tr>
      <w:tr w14:paraId="0A96936F">
        <w:tblPrEx>
          <w:tblCellMar>
            <w:top w:w="0" w:type="dxa"/>
            <w:left w:w="108" w:type="dxa"/>
            <w:bottom w:w="0" w:type="dxa"/>
            <w:right w:w="108" w:type="dxa"/>
          </w:tblCellMar>
        </w:tblPrEx>
        <w:trPr>
          <w:trHeight w:val="269" w:hRule="atLeast"/>
          <w:jc w:val="center"/>
        </w:trPr>
        <w:tc>
          <w:tcPr>
            <w:tcW w:w="1257" w:type="dxa"/>
            <w:vMerge w:val="continue"/>
            <w:tcBorders>
              <w:left w:val="single" w:color="000000" w:sz="4" w:space="0"/>
              <w:right w:val="single" w:color="000000" w:sz="6" w:space="0"/>
            </w:tcBorders>
            <w:vAlign w:val="center"/>
          </w:tcPr>
          <w:p w14:paraId="4D6DAACF">
            <w:pPr>
              <w:pageBreakBefore w:val="0"/>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1"/>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2EE0D754">
            <w:pPr>
              <w:pageBreakBefore w:val="0"/>
              <w:kinsoku/>
              <w:wordWrap/>
              <w:overflowPunct/>
              <w:topLinePunct w:val="0"/>
              <w:autoSpaceDE/>
              <w:autoSpaceDN/>
              <w:bidi w:val="0"/>
              <w:adjustRightInd w:val="0"/>
              <w:snapToGrid w:val="0"/>
              <w:spacing w:after="0" w:line="360" w:lineRule="auto"/>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应急处置方案（5分）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1DE2657B">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供应商能够提供应急处置方案是否</w:t>
            </w:r>
            <w:r>
              <w:rPr>
                <w:rFonts w:hint="eastAsia" w:asciiTheme="minorEastAsia" w:hAnsiTheme="minorEastAsia" w:eastAsiaTheme="minorEastAsia" w:cstheme="minorEastAsia"/>
                <w:color w:val="auto"/>
                <w:sz w:val="24"/>
                <w:szCs w:val="24"/>
                <w:highlight w:val="none"/>
              </w:rPr>
              <w:t>响应迅速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处置科学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防控有效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备援到位。</w:t>
            </w:r>
          </w:p>
          <w:p w14:paraId="29D9D59D">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应急处置方案</w:t>
            </w:r>
            <w:r>
              <w:rPr>
                <w:rFonts w:hint="default" w:asciiTheme="minorEastAsia" w:hAnsiTheme="minorEastAsia" w:eastAsiaTheme="minorEastAsia" w:cstheme="minorEastAsia"/>
                <w:color w:val="auto"/>
                <w:sz w:val="24"/>
                <w:szCs w:val="24"/>
                <w:highlight w:val="none"/>
              </w:rPr>
              <w:t>响应极速，处置科学精准，防控全面有效，备援充足到位，得</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分；​</w:t>
            </w:r>
          </w:p>
          <w:p w14:paraId="1EE48E04">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rPr>
              <w:t>应急处置方案响应及时，处置科学合理，防控效果良好，备援基本到位，得</w:t>
            </w: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rPr>
              <w:t>分；​</w:t>
            </w:r>
          </w:p>
          <w:p w14:paraId="3730064D">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rPr>
              <w:t>应急处置方案响应滞后，处置存在疏漏，防控效果一般，备援不够充分，得</w:t>
            </w:r>
            <w:r>
              <w:rPr>
                <w:rFonts w:hint="eastAsia" w:asciiTheme="minorEastAsia" w:hAnsiTheme="minorEastAsia" w:eastAsiaTheme="minorEastAsia" w:cstheme="minorEastAsia"/>
                <w:color w:val="auto"/>
                <w:sz w:val="24"/>
                <w:szCs w:val="24"/>
                <w:highlight w:val="none"/>
                <w:lang w:val="en-US" w:eastAsia="zh-CN"/>
              </w:rPr>
              <w:t>1</w:t>
            </w:r>
            <w:r>
              <w:rPr>
                <w:rFonts w:hint="default" w:asciiTheme="minorEastAsia" w:hAnsiTheme="minorEastAsia" w:eastAsiaTheme="minorEastAsia" w:cstheme="minorEastAsia"/>
                <w:color w:val="auto"/>
                <w:sz w:val="24"/>
                <w:szCs w:val="24"/>
                <w:highlight w:val="none"/>
              </w:rPr>
              <w:t>分。</w:t>
            </w:r>
          </w:p>
          <w:p w14:paraId="121B413C">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未提供的不得分。</w:t>
            </w:r>
          </w:p>
        </w:tc>
      </w:tr>
      <w:tr w14:paraId="68A7EFE0">
        <w:tblPrEx>
          <w:tblCellMar>
            <w:top w:w="0" w:type="dxa"/>
            <w:left w:w="108" w:type="dxa"/>
            <w:bottom w:w="0" w:type="dxa"/>
            <w:right w:w="108" w:type="dxa"/>
          </w:tblCellMar>
        </w:tblPrEx>
        <w:trPr>
          <w:trHeight w:val="90" w:hRule="atLeast"/>
          <w:jc w:val="center"/>
        </w:trPr>
        <w:tc>
          <w:tcPr>
            <w:tcW w:w="1257" w:type="dxa"/>
            <w:vMerge w:val="restart"/>
            <w:tcBorders>
              <w:top w:val="single" w:color="000000" w:sz="6" w:space="0"/>
              <w:left w:val="single" w:color="000000" w:sz="4" w:space="0"/>
              <w:right w:val="single" w:color="000000" w:sz="6" w:space="0"/>
            </w:tcBorders>
            <w:vAlign w:val="center"/>
          </w:tcPr>
          <w:p w14:paraId="482FE7DA">
            <w:pPr>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综合部分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c>
          <w:tcPr>
            <w:tcW w:w="1527" w:type="dxa"/>
            <w:tcBorders>
              <w:top w:val="single" w:color="000000" w:sz="6" w:space="0"/>
              <w:left w:val="single" w:color="000000" w:sz="4" w:space="0"/>
              <w:bottom w:val="single" w:color="000000" w:sz="6" w:space="0"/>
              <w:right w:val="single" w:color="000000" w:sz="6" w:space="0"/>
            </w:tcBorders>
            <w:vAlign w:val="center"/>
          </w:tcPr>
          <w:p w14:paraId="2AF06A5E">
            <w:pPr>
              <w:pageBreakBefore w:val="0"/>
              <w:kinsoku/>
              <w:wordWrap/>
              <w:overflowPunct/>
              <w:topLinePunct w:val="0"/>
              <w:autoSpaceDE/>
              <w:autoSpaceDN/>
              <w:bidi w:val="0"/>
              <w:adjustRightInd w:val="0"/>
              <w:snapToGrid w:val="0"/>
              <w:spacing w:beforeAutospacing="0" w:after="0" w:afterAutospacing="0" w:line="360" w:lineRule="auto"/>
              <w:ind w:left="2" w:leftChars="0" w:right="0" w:hanging="2" w:hangingChars="1"/>
              <w:jc w:val="center"/>
              <w:textAlignment w:val="auto"/>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同类项目业绩(5分）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169FAF91">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供应商自2022年1月1日以来（以合同签订时间为准）承担过水利矩阵建设项目，得1分，最多的5分。注：附中标（成交）通知书和合同协议书的原件扫描件。</w:t>
            </w:r>
          </w:p>
        </w:tc>
      </w:tr>
      <w:tr w14:paraId="2822D2C0">
        <w:tblPrEx>
          <w:tblCellMar>
            <w:top w:w="0" w:type="dxa"/>
            <w:left w:w="108" w:type="dxa"/>
            <w:bottom w:w="0" w:type="dxa"/>
            <w:right w:w="108" w:type="dxa"/>
          </w:tblCellMar>
        </w:tblPrEx>
        <w:trPr>
          <w:trHeight w:val="90" w:hRule="atLeast"/>
          <w:jc w:val="center"/>
        </w:trPr>
        <w:tc>
          <w:tcPr>
            <w:tcW w:w="1257" w:type="dxa"/>
            <w:vMerge w:val="continue"/>
            <w:tcBorders>
              <w:left w:val="single" w:color="000000" w:sz="4" w:space="0"/>
              <w:right w:val="single" w:color="000000" w:sz="6" w:space="0"/>
            </w:tcBorders>
            <w:vAlign w:val="center"/>
          </w:tcPr>
          <w:p w14:paraId="48B29F8D">
            <w:pPr>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7F5F1898">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center"/>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企业实力(5分）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4AB91B7C">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1、供应商具有省部级及以上奖项得2分，市厅级得1分，满分2分，不提供不得分。</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br w:type="textWrapping"/>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注：以响应文件中提供的相关有效证书为准，否则不得分。</w:t>
            </w:r>
          </w:p>
          <w:p w14:paraId="21030005">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2、供应商具有“矩阵”相关的软件著作权证书扫描件，每提供一个得1分，满分3分，不提供不得分。</w:t>
            </w:r>
          </w:p>
          <w:p w14:paraId="5F6D1546">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注：以响应文件中提供的相关有效证书为准，否则不得分。</w:t>
            </w:r>
          </w:p>
        </w:tc>
      </w:tr>
      <w:tr w14:paraId="4A1C24F2">
        <w:tblPrEx>
          <w:tblCellMar>
            <w:top w:w="0" w:type="dxa"/>
            <w:left w:w="108" w:type="dxa"/>
            <w:bottom w:w="0" w:type="dxa"/>
            <w:right w:w="108" w:type="dxa"/>
          </w:tblCellMar>
        </w:tblPrEx>
        <w:trPr>
          <w:trHeight w:val="90" w:hRule="atLeast"/>
          <w:jc w:val="center"/>
        </w:trPr>
        <w:tc>
          <w:tcPr>
            <w:tcW w:w="1257" w:type="dxa"/>
            <w:vMerge w:val="continue"/>
            <w:tcBorders>
              <w:left w:val="single" w:color="000000" w:sz="4" w:space="0"/>
              <w:right w:val="single" w:color="000000" w:sz="6" w:space="0"/>
            </w:tcBorders>
            <w:vAlign w:val="center"/>
          </w:tcPr>
          <w:p w14:paraId="1491D8BB">
            <w:pPr>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5A2339CC">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default"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项目管理机构设置(6分）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35A53392">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项目团队成员（除项目负责人、技术负责人外）具有水利类专业或电子信息工程专业高级技术职称的，每提供1个得1分，本项最多得6分。（需提供资格证书或职称证书等相关证明材料及响应人与其劳动关系证明材料。）</w:t>
            </w:r>
          </w:p>
        </w:tc>
      </w:tr>
      <w:tr w14:paraId="193A2DB3">
        <w:tblPrEx>
          <w:tblCellMar>
            <w:top w:w="0" w:type="dxa"/>
            <w:left w:w="108" w:type="dxa"/>
            <w:bottom w:w="0" w:type="dxa"/>
            <w:right w:w="108" w:type="dxa"/>
          </w:tblCellMar>
        </w:tblPrEx>
        <w:trPr>
          <w:trHeight w:val="90" w:hRule="atLeast"/>
          <w:jc w:val="center"/>
        </w:trPr>
        <w:tc>
          <w:tcPr>
            <w:tcW w:w="1257" w:type="dxa"/>
            <w:vMerge w:val="continue"/>
            <w:tcBorders>
              <w:left w:val="single" w:color="000000" w:sz="4" w:space="0"/>
              <w:right w:val="single" w:color="000000" w:sz="6" w:space="0"/>
            </w:tcBorders>
            <w:vAlign w:val="center"/>
          </w:tcPr>
          <w:p w14:paraId="6505BE6C">
            <w:pPr>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6BB1ED9A">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center"/>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项目负责人和技术负责人资历（4分）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3701F36A">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项目负责人：具有水利类专业或电子信息工程专业副高级及以上高级工程师职称的得2分，否则不得分。</w:t>
            </w:r>
          </w:p>
          <w:p w14:paraId="61D3E122">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技术负责人：具有水利类专业或电子信息工程专业副高级及以上高级工程师职称的得2分，否则不得分。</w:t>
            </w:r>
          </w:p>
        </w:tc>
      </w:tr>
      <w:tr w14:paraId="6E432483">
        <w:tblPrEx>
          <w:tblCellMar>
            <w:top w:w="0" w:type="dxa"/>
            <w:left w:w="108" w:type="dxa"/>
            <w:bottom w:w="0" w:type="dxa"/>
            <w:right w:w="108" w:type="dxa"/>
          </w:tblCellMar>
        </w:tblPrEx>
        <w:trPr>
          <w:trHeight w:val="90" w:hRule="atLeast"/>
          <w:jc w:val="center"/>
        </w:trPr>
        <w:tc>
          <w:tcPr>
            <w:tcW w:w="1257" w:type="dxa"/>
            <w:vMerge w:val="continue"/>
            <w:tcBorders>
              <w:left w:val="single" w:color="000000" w:sz="4" w:space="0"/>
              <w:right w:val="single" w:color="000000" w:sz="6" w:space="0"/>
            </w:tcBorders>
            <w:vAlign w:val="center"/>
          </w:tcPr>
          <w:p w14:paraId="4AC803B2">
            <w:pPr>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527" w:type="dxa"/>
            <w:tcBorders>
              <w:top w:val="single" w:color="000000" w:sz="6" w:space="0"/>
              <w:left w:val="single" w:color="000000" w:sz="4" w:space="0"/>
              <w:bottom w:val="single" w:color="000000" w:sz="6" w:space="0"/>
              <w:right w:val="single" w:color="000000" w:sz="6" w:space="0"/>
            </w:tcBorders>
            <w:vAlign w:val="center"/>
          </w:tcPr>
          <w:p w14:paraId="05503985">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center"/>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售后服务</w:t>
            </w:r>
          </w:p>
          <w:p w14:paraId="5B52291F">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center"/>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（10分）</w:t>
            </w:r>
          </w:p>
        </w:tc>
        <w:tc>
          <w:tcPr>
            <w:tcW w:w="7056" w:type="dxa"/>
            <w:tcBorders>
              <w:top w:val="single" w:color="000000" w:sz="6" w:space="0"/>
              <w:left w:val="single" w:color="000000" w:sz="6" w:space="0"/>
              <w:bottom w:val="single" w:color="000000" w:sz="6" w:space="0"/>
              <w:right w:val="single" w:color="000000" w:sz="12" w:space="0"/>
            </w:tcBorders>
            <w:vAlign w:val="center"/>
          </w:tcPr>
          <w:p w14:paraId="712310BC">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售后服务方案及承诺：从</w:t>
            </w:r>
            <w:r>
              <w:rPr>
                <w:rFonts w:hint="default" w:asciiTheme="minorEastAsia" w:hAnsiTheme="minorEastAsia" w:eastAsiaTheme="minorEastAsia" w:cstheme="minorEastAsia"/>
                <w:b w:val="0"/>
                <w:bCs w:val="0"/>
                <w:snapToGrid w:val="0"/>
                <w:color w:val="auto"/>
                <w:kern w:val="2"/>
                <w:sz w:val="24"/>
                <w:szCs w:val="24"/>
                <w:highlight w:val="none"/>
                <w:lang w:val="en-US" w:eastAsia="zh-CN"/>
              </w:rPr>
              <w:t>从响应时效、服务范围、保障措施、承诺明确性、解决能力</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及其它个性化方案、承诺等；</w:t>
            </w:r>
          </w:p>
          <w:p w14:paraId="5652BA46">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售后服务方案</w:t>
            </w:r>
            <w:r>
              <w:rPr>
                <w:rFonts w:hint="default" w:asciiTheme="minorEastAsia" w:hAnsiTheme="minorEastAsia" w:eastAsiaTheme="minorEastAsia" w:cstheme="minorEastAsia"/>
                <w:b w:val="0"/>
                <w:bCs w:val="0"/>
                <w:snapToGrid w:val="0"/>
                <w:color w:val="auto"/>
                <w:kern w:val="2"/>
                <w:sz w:val="24"/>
                <w:szCs w:val="24"/>
                <w:highlight w:val="none"/>
                <w:lang w:val="en-US" w:eastAsia="zh-CN"/>
              </w:rPr>
              <w:t>详尽周全，承诺清晰明确，响应即时高效，保障全面可靠，得</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10</w:t>
            </w:r>
            <w:r>
              <w:rPr>
                <w:rFonts w:hint="default" w:asciiTheme="minorEastAsia" w:hAnsiTheme="minorEastAsia" w:eastAsiaTheme="minorEastAsia" w:cstheme="minorEastAsia"/>
                <w:b w:val="0"/>
                <w:bCs w:val="0"/>
                <w:snapToGrid w:val="0"/>
                <w:color w:val="auto"/>
                <w:kern w:val="2"/>
                <w:sz w:val="24"/>
                <w:szCs w:val="24"/>
                <w:highlight w:val="none"/>
                <w:lang w:val="en-US" w:eastAsia="zh-CN"/>
              </w:rPr>
              <w:t>分；​</w:t>
            </w:r>
          </w:p>
          <w:p w14:paraId="29DC197B">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default" w:asciiTheme="minorEastAsia" w:hAnsiTheme="minorEastAsia" w:eastAsiaTheme="minorEastAsia" w:cstheme="minorEastAsia"/>
                <w:b w:val="0"/>
                <w:bCs w:val="0"/>
                <w:snapToGrid w:val="0"/>
                <w:color w:val="auto"/>
                <w:kern w:val="2"/>
                <w:sz w:val="24"/>
                <w:szCs w:val="24"/>
                <w:highlight w:val="none"/>
                <w:lang w:val="en-US" w:eastAsia="zh-CN"/>
              </w:rPr>
              <w:t>售后服务方案完整合理，承诺具体可行，响应及时迅速，保障基本到位，得</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7</w:t>
            </w:r>
            <w:r>
              <w:rPr>
                <w:rFonts w:hint="default" w:asciiTheme="minorEastAsia" w:hAnsiTheme="minorEastAsia" w:eastAsiaTheme="minorEastAsia" w:cstheme="minorEastAsia"/>
                <w:b w:val="0"/>
                <w:bCs w:val="0"/>
                <w:snapToGrid w:val="0"/>
                <w:color w:val="auto"/>
                <w:kern w:val="2"/>
                <w:sz w:val="24"/>
                <w:szCs w:val="24"/>
                <w:highlight w:val="none"/>
                <w:lang w:val="en-US" w:eastAsia="zh-CN"/>
              </w:rPr>
              <w:t>分；​</w:t>
            </w:r>
          </w:p>
          <w:p w14:paraId="111C82EF">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default" w:asciiTheme="minorEastAsia" w:hAnsiTheme="minorEastAsia" w:eastAsiaTheme="minorEastAsia" w:cstheme="minorEastAsia"/>
                <w:b w:val="0"/>
                <w:bCs w:val="0"/>
                <w:snapToGrid w:val="0"/>
                <w:color w:val="auto"/>
                <w:kern w:val="2"/>
                <w:sz w:val="24"/>
                <w:szCs w:val="24"/>
                <w:highlight w:val="none"/>
                <w:lang w:val="en-US" w:eastAsia="zh-CN"/>
              </w:rPr>
              <w:t>售后服务方案基本完善，承诺无明显漏洞，响应符合标准，保障能满足需求，得</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4</w:t>
            </w:r>
            <w:r>
              <w:rPr>
                <w:rFonts w:hint="default" w:asciiTheme="minorEastAsia" w:hAnsiTheme="minorEastAsia" w:eastAsiaTheme="minorEastAsia" w:cstheme="minorEastAsia"/>
                <w:b w:val="0"/>
                <w:bCs w:val="0"/>
                <w:snapToGrid w:val="0"/>
                <w:color w:val="auto"/>
                <w:kern w:val="2"/>
                <w:sz w:val="24"/>
                <w:szCs w:val="24"/>
                <w:highlight w:val="none"/>
                <w:lang w:val="en-US" w:eastAsia="zh-CN"/>
              </w:rPr>
              <w:t>分；​</w:t>
            </w:r>
          </w:p>
          <w:p w14:paraId="2D6EDA76">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default" w:asciiTheme="minorEastAsia" w:hAnsiTheme="minorEastAsia" w:eastAsiaTheme="minorEastAsia" w:cstheme="minorEastAsia"/>
                <w:b w:val="0"/>
                <w:bCs w:val="0"/>
                <w:snapToGrid w:val="0"/>
                <w:color w:val="auto"/>
                <w:kern w:val="2"/>
                <w:sz w:val="24"/>
                <w:szCs w:val="24"/>
                <w:highlight w:val="none"/>
                <w:lang w:val="en-US" w:eastAsia="zh-CN"/>
              </w:rPr>
              <w:t>售后服务方案存在疏漏，承诺不够明确，响应时效一般，保障存在不足，得</w:t>
            </w:r>
            <w:r>
              <w:rPr>
                <w:rFonts w:hint="eastAsia" w:asciiTheme="minorEastAsia" w:hAnsiTheme="minorEastAsia" w:eastAsiaTheme="minorEastAsia" w:cstheme="minorEastAsia"/>
                <w:b w:val="0"/>
                <w:bCs w:val="0"/>
                <w:snapToGrid w:val="0"/>
                <w:color w:val="auto"/>
                <w:kern w:val="2"/>
                <w:sz w:val="24"/>
                <w:szCs w:val="24"/>
                <w:highlight w:val="none"/>
                <w:lang w:val="en-US" w:eastAsia="zh-CN"/>
              </w:rPr>
              <w:t>1</w:t>
            </w:r>
            <w:r>
              <w:rPr>
                <w:rFonts w:hint="default" w:asciiTheme="minorEastAsia" w:hAnsiTheme="minorEastAsia" w:eastAsiaTheme="minorEastAsia" w:cstheme="minorEastAsia"/>
                <w:b w:val="0"/>
                <w:bCs w:val="0"/>
                <w:snapToGrid w:val="0"/>
                <w:color w:val="auto"/>
                <w:kern w:val="2"/>
                <w:sz w:val="24"/>
                <w:szCs w:val="24"/>
                <w:highlight w:val="none"/>
                <w:lang w:val="en-US" w:eastAsia="zh-CN"/>
              </w:rPr>
              <w:t>分。​</w:t>
            </w:r>
          </w:p>
          <w:p w14:paraId="162B56EB">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2" w:leftChars="0" w:right="0" w:rightChars="0" w:hanging="2" w:hangingChars="1"/>
              <w:jc w:val="both"/>
              <w:textAlignment w:val="auto"/>
              <w:rPr>
                <w:rFonts w:hint="eastAsia" w:asciiTheme="minorEastAsia" w:hAnsiTheme="minorEastAsia" w:eastAsiaTheme="minorEastAsia" w:cstheme="minorEastAsia"/>
                <w:b w:val="0"/>
                <w:bCs w:val="0"/>
                <w:snapToGrid w:val="0"/>
                <w:color w:val="auto"/>
                <w:kern w:val="2"/>
                <w:sz w:val="24"/>
                <w:szCs w:val="24"/>
                <w:highlight w:val="none"/>
                <w:lang w:val="en-US" w:eastAsia="zh-CN"/>
              </w:rPr>
            </w:pPr>
            <w:r>
              <w:rPr>
                <w:rFonts w:hint="eastAsia" w:asciiTheme="minorEastAsia" w:hAnsiTheme="minorEastAsia" w:eastAsiaTheme="minorEastAsia" w:cstheme="minorEastAsia"/>
                <w:b w:val="0"/>
                <w:bCs w:val="0"/>
                <w:snapToGrid w:val="0"/>
                <w:color w:val="auto"/>
                <w:kern w:val="2"/>
                <w:sz w:val="24"/>
                <w:szCs w:val="24"/>
                <w:highlight w:val="none"/>
                <w:lang w:val="en-US" w:eastAsia="zh-CN"/>
              </w:rPr>
              <w:t>售后承诺不完整或未提供不得分。</w:t>
            </w:r>
          </w:p>
        </w:tc>
      </w:tr>
      <w:tr w14:paraId="4C86977D">
        <w:tblPrEx>
          <w:tblCellMar>
            <w:top w:w="0" w:type="dxa"/>
            <w:left w:w="108" w:type="dxa"/>
            <w:bottom w:w="0" w:type="dxa"/>
            <w:right w:w="108" w:type="dxa"/>
          </w:tblCellMar>
        </w:tblPrEx>
        <w:trPr>
          <w:trHeight w:val="1774" w:hRule="atLeast"/>
          <w:jc w:val="center"/>
        </w:trPr>
        <w:tc>
          <w:tcPr>
            <w:tcW w:w="9840" w:type="dxa"/>
            <w:gridSpan w:val="3"/>
            <w:tcBorders>
              <w:top w:val="single" w:color="000000" w:sz="4" w:space="0"/>
              <w:left w:val="single" w:color="000000" w:sz="12" w:space="0"/>
              <w:bottom w:val="single" w:color="000000" w:sz="12" w:space="0"/>
              <w:right w:val="single" w:color="000000" w:sz="6" w:space="0"/>
            </w:tcBorders>
            <w:vAlign w:val="center"/>
          </w:tcPr>
          <w:p w14:paraId="7C9E3907">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综合得分=技术标得分+商务标得分+综合标得分</w:t>
            </w:r>
          </w:p>
          <w:p w14:paraId="112EC3E3">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的报价应包含</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所承诺的应达到的质量标准及其他承诺应达到的标准所包含的所有费用。</w:t>
            </w:r>
          </w:p>
          <w:p w14:paraId="5436B502">
            <w:pPr>
              <w:pageBreakBefore w:val="0"/>
              <w:kinsoku/>
              <w:wordWrap/>
              <w:overflowPunct/>
              <w:topLinePunct w:val="0"/>
              <w:autoSpaceDE/>
              <w:autoSpaceDN/>
              <w:bidi w:val="0"/>
              <w:adjustRightInd w:val="0"/>
              <w:snapToGrid w:val="0"/>
              <w:spacing w:beforeAutospacing="0" w:after="0"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磋商小组对</w:t>
            </w:r>
            <w:r>
              <w:rPr>
                <w:rFonts w:hint="eastAsia" w:asciiTheme="minorEastAsia" w:hAnsiTheme="minorEastAsia" w:eastAsiaTheme="minorEastAsia" w:cstheme="minorEastAsia"/>
                <w:b/>
                <w:color w:val="auto"/>
                <w:sz w:val="24"/>
                <w:szCs w:val="24"/>
                <w:highlight w:val="none"/>
                <w:lang w:val="en-US" w:eastAsia="zh-CN"/>
              </w:rPr>
              <w:t>实施方案</w:t>
            </w:r>
            <w:r>
              <w:rPr>
                <w:rFonts w:hint="eastAsia" w:asciiTheme="minorEastAsia" w:hAnsiTheme="minorEastAsia" w:eastAsiaTheme="minorEastAsia" w:cstheme="minorEastAsia"/>
                <w:b/>
                <w:color w:val="auto"/>
                <w:sz w:val="24"/>
                <w:szCs w:val="24"/>
                <w:highlight w:val="none"/>
              </w:rPr>
              <w:t>、企业实力、磋商报价、其他因素得分进行汇总，计算过程和最终结果按四舍五入保留两位小数。以各磋商小组打分的算术平均值作为该</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的最终得分。</w:t>
            </w:r>
          </w:p>
        </w:tc>
      </w:tr>
    </w:tbl>
    <w:p w14:paraId="2713A6D2">
      <w:pPr>
        <w:pageBreakBefore w:val="0"/>
        <w:widowControl/>
        <w:kinsoku/>
        <w:wordWrap/>
        <w:overflowPunct/>
        <w:topLinePunct w:val="0"/>
        <w:autoSpaceDE/>
        <w:autoSpaceDN/>
        <w:bidi w:val="0"/>
        <w:adjustRightInd w:val="0"/>
        <w:snapToGrid w:val="0"/>
        <w:spacing w:beforeAutospacing="0" w:after="0" w:line="360" w:lineRule="auto"/>
        <w:ind w:firstLine="241" w:firstLineChars="1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 评标方法</w:t>
      </w:r>
    </w:p>
    <w:p w14:paraId="467FFFF7">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4A35DA92">
      <w:pPr>
        <w:pStyle w:val="3"/>
        <w:pageBreakBefore w:val="0"/>
        <w:widowControl/>
        <w:kinsoku/>
        <w:wordWrap/>
        <w:overflowPunct/>
        <w:topLinePunct w:val="0"/>
        <w:autoSpaceDE/>
        <w:autoSpaceDN/>
        <w:bidi w:val="0"/>
        <w:adjustRightInd w:val="0"/>
        <w:snapToGrid w:val="0"/>
        <w:spacing w:before="0" w:beforeAutospacing="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429" w:name="_Toc247085759"/>
      <w:bookmarkStart w:id="430" w:name="_Toc179632619"/>
      <w:bookmarkStart w:id="431" w:name="_Toc144974568"/>
      <w:bookmarkStart w:id="432" w:name="_Toc246996987"/>
      <w:bookmarkStart w:id="433" w:name="_Toc152045601"/>
      <w:bookmarkStart w:id="434" w:name="_Toc77586955"/>
      <w:bookmarkStart w:id="435" w:name="_Toc152042378"/>
      <w:bookmarkStart w:id="436" w:name="_Toc246996244"/>
      <w:bookmarkStart w:id="437" w:name="_Toc77586861"/>
      <w:bookmarkStart w:id="438" w:name="_Toc296602489"/>
      <w:r>
        <w:rPr>
          <w:rFonts w:hint="eastAsia" w:asciiTheme="minorEastAsia" w:hAnsiTheme="minorEastAsia" w:eastAsiaTheme="minorEastAsia" w:cstheme="minorEastAsia"/>
          <w:color w:val="auto"/>
          <w:sz w:val="24"/>
          <w:szCs w:val="24"/>
          <w:highlight w:val="none"/>
        </w:rPr>
        <w:t>2. 评审标准</w:t>
      </w:r>
      <w:bookmarkEnd w:id="429"/>
      <w:bookmarkEnd w:id="430"/>
      <w:bookmarkEnd w:id="431"/>
      <w:bookmarkEnd w:id="432"/>
      <w:bookmarkEnd w:id="433"/>
      <w:bookmarkEnd w:id="434"/>
      <w:bookmarkEnd w:id="435"/>
      <w:bookmarkEnd w:id="436"/>
      <w:bookmarkEnd w:id="437"/>
      <w:bookmarkEnd w:id="438"/>
      <w:bookmarkStart w:id="439" w:name="_Toc296602490"/>
      <w:bookmarkStart w:id="440" w:name="_Toc144974569"/>
      <w:bookmarkStart w:id="441" w:name="_Toc247085760"/>
      <w:bookmarkStart w:id="442" w:name="_Toc246996988"/>
      <w:bookmarkStart w:id="443" w:name="_Toc179632620"/>
      <w:bookmarkStart w:id="444" w:name="_Toc152042379"/>
      <w:bookmarkStart w:id="445" w:name="_Toc152045602"/>
      <w:bookmarkStart w:id="446" w:name="_Toc246996245"/>
    </w:p>
    <w:p w14:paraId="0E75726A">
      <w:pPr>
        <w:pStyle w:val="3"/>
        <w:pageBreakBefore w:val="0"/>
        <w:widowControl/>
        <w:kinsoku/>
        <w:wordWrap/>
        <w:overflowPunct/>
        <w:topLinePunct w:val="0"/>
        <w:autoSpaceDE/>
        <w:autoSpaceDN/>
        <w:bidi w:val="0"/>
        <w:adjustRightInd w:val="0"/>
        <w:snapToGrid w:val="0"/>
        <w:spacing w:before="0" w:beforeAutospacing="0" w:after="0" w:afterAutospacing="0" w:line="360" w:lineRule="auto"/>
        <w:ind w:firstLine="241" w:firstLineChars="100"/>
        <w:jc w:val="left"/>
        <w:textAlignment w:val="auto"/>
        <w:rPr>
          <w:rFonts w:hint="eastAsia" w:asciiTheme="minorEastAsia" w:hAnsiTheme="minorEastAsia" w:eastAsiaTheme="minorEastAsia" w:cstheme="minorEastAsia"/>
          <w:color w:val="auto"/>
          <w:sz w:val="24"/>
          <w:szCs w:val="24"/>
          <w:highlight w:val="none"/>
        </w:rPr>
      </w:pPr>
      <w:bookmarkStart w:id="447" w:name="_Toc77586956"/>
      <w:bookmarkStart w:id="448" w:name="_Toc77586862"/>
      <w:r>
        <w:rPr>
          <w:rFonts w:hint="eastAsia" w:asciiTheme="minorEastAsia" w:hAnsiTheme="minorEastAsia" w:eastAsiaTheme="minorEastAsia" w:cstheme="minorEastAsia"/>
          <w:color w:val="auto"/>
          <w:sz w:val="24"/>
          <w:szCs w:val="24"/>
          <w:highlight w:val="none"/>
        </w:rPr>
        <w:t>2.1 初步评审标准</w:t>
      </w:r>
      <w:bookmarkEnd w:id="439"/>
      <w:bookmarkEnd w:id="440"/>
      <w:bookmarkEnd w:id="441"/>
      <w:bookmarkEnd w:id="442"/>
      <w:bookmarkEnd w:id="443"/>
      <w:bookmarkEnd w:id="444"/>
      <w:bookmarkEnd w:id="445"/>
      <w:bookmarkEnd w:id="446"/>
      <w:bookmarkEnd w:id="447"/>
      <w:bookmarkEnd w:id="448"/>
    </w:p>
    <w:p w14:paraId="2CB5A513">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形式评审标准：见评标办法前附表。</w:t>
      </w:r>
    </w:p>
    <w:p w14:paraId="4530AF72">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资格评审标准：见评标办法前附表。</w:t>
      </w:r>
    </w:p>
    <w:p w14:paraId="2B3F372F">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 响应性评审标准：见评标办法前附表。</w:t>
      </w:r>
    </w:p>
    <w:p w14:paraId="13F9F489">
      <w:pPr>
        <w:pStyle w:val="4"/>
        <w:pageBreakBefore w:val="0"/>
        <w:widowControl/>
        <w:kinsoku/>
        <w:wordWrap/>
        <w:overflowPunct/>
        <w:topLinePunct w:val="0"/>
        <w:autoSpaceDE/>
        <w:autoSpaceDN/>
        <w:bidi w:val="0"/>
        <w:adjustRightInd w:val="0"/>
        <w:snapToGrid w:val="0"/>
        <w:spacing w:before="0" w:beforeAutospacing="0" w:after="0" w:line="360" w:lineRule="auto"/>
        <w:ind w:firstLine="241" w:firstLineChars="100"/>
        <w:textAlignment w:val="auto"/>
        <w:rPr>
          <w:rFonts w:hint="eastAsia" w:asciiTheme="minorEastAsia" w:hAnsiTheme="minorEastAsia" w:eastAsiaTheme="minorEastAsia" w:cstheme="minorEastAsia"/>
          <w:color w:val="auto"/>
          <w:sz w:val="24"/>
          <w:szCs w:val="24"/>
          <w:highlight w:val="none"/>
        </w:rPr>
      </w:pPr>
      <w:bookmarkStart w:id="449" w:name="_Toc246996246"/>
      <w:bookmarkStart w:id="450" w:name="_Toc246996989"/>
      <w:bookmarkStart w:id="451" w:name="_Toc144974570"/>
      <w:bookmarkStart w:id="452" w:name="_Toc77586863"/>
      <w:bookmarkStart w:id="453" w:name="_Toc296602491"/>
      <w:bookmarkStart w:id="454" w:name="_Toc77586957"/>
      <w:bookmarkStart w:id="455" w:name="_Toc152045603"/>
      <w:bookmarkStart w:id="456" w:name="_Toc247085761"/>
      <w:bookmarkStart w:id="457" w:name="_Toc179632621"/>
      <w:bookmarkStart w:id="458" w:name="_Toc152042380"/>
      <w:r>
        <w:rPr>
          <w:rFonts w:hint="eastAsia" w:asciiTheme="minorEastAsia" w:hAnsiTheme="minorEastAsia" w:eastAsiaTheme="minorEastAsia" w:cstheme="minorEastAsia"/>
          <w:color w:val="auto"/>
          <w:sz w:val="24"/>
          <w:szCs w:val="24"/>
          <w:highlight w:val="none"/>
        </w:rPr>
        <w:t>2.2 分值构成与评分标准</w:t>
      </w:r>
      <w:bookmarkEnd w:id="449"/>
      <w:bookmarkEnd w:id="450"/>
      <w:bookmarkEnd w:id="451"/>
      <w:bookmarkEnd w:id="452"/>
      <w:bookmarkEnd w:id="453"/>
      <w:bookmarkEnd w:id="454"/>
      <w:bookmarkEnd w:id="455"/>
      <w:bookmarkEnd w:id="456"/>
      <w:bookmarkEnd w:id="457"/>
      <w:bookmarkEnd w:id="458"/>
    </w:p>
    <w:p w14:paraId="734E0981">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分值构成</w:t>
      </w:r>
    </w:p>
    <w:p w14:paraId="5D57F21F">
      <w:pPr>
        <w:pageBreakBefore w:val="0"/>
        <w:widowControl/>
        <w:kinsoku/>
        <w:wordWrap/>
        <w:overflowPunct/>
        <w:topLinePunct w:val="0"/>
        <w:autoSpaceDE/>
        <w:autoSpaceDN/>
        <w:bidi w:val="0"/>
        <w:adjustRightInd w:val="0"/>
        <w:snapToGrid w:val="0"/>
        <w:spacing w:beforeAutospacing="0" w:after="0" w:line="360" w:lineRule="auto"/>
        <w:ind w:firstLine="820" w:firstLineChars="34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1）技术标：见评标办法前附表；</w:t>
      </w:r>
    </w:p>
    <w:p w14:paraId="4B976794">
      <w:pPr>
        <w:pageBreakBefore w:val="0"/>
        <w:widowControl/>
        <w:kinsoku/>
        <w:wordWrap/>
        <w:overflowPunct/>
        <w:topLinePunct w:val="0"/>
        <w:autoSpaceDE/>
        <w:autoSpaceDN/>
        <w:bidi w:val="0"/>
        <w:adjustRightInd w:val="0"/>
        <w:snapToGrid w:val="0"/>
        <w:spacing w:beforeAutospacing="0" w:after="0" w:line="360" w:lineRule="auto"/>
        <w:ind w:firstLine="820" w:firstLineChars="34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2）商务标：见评标办法前附表；</w:t>
      </w:r>
    </w:p>
    <w:p w14:paraId="6850AF1C">
      <w:pPr>
        <w:pageBreakBefore w:val="0"/>
        <w:widowControl/>
        <w:kinsoku/>
        <w:wordWrap/>
        <w:overflowPunct/>
        <w:topLinePunct w:val="0"/>
        <w:autoSpaceDE/>
        <w:autoSpaceDN/>
        <w:bidi w:val="0"/>
        <w:adjustRightInd w:val="0"/>
        <w:snapToGrid w:val="0"/>
        <w:spacing w:beforeAutospacing="0" w:after="0" w:line="360" w:lineRule="auto"/>
        <w:ind w:firstLine="820" w:firstLineChars="34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3）综合标：见评标办法前附表。</w:t>
      </w:r>
    </w:p>
    <w:p w14:paraId="0F75C740">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评分标准</w:t>
      </w:r>
    </w:p>
    <w:p w14:paraId="76378E8E">
      <w:pPr>
        <w:pageBreakBefore w:val="0"/>
        <w:widowControl/>
        <w:kinsoku/>
        <w:wordWrap/>
        <w:overflowPunct/>
        <w:topLinePunct w:val="0"/>
        <w:autoSpaceDE/>
        <w:autoSpaceDN/>
        <w:bidi w:val="0"/>
        <w:adjustRightInd w:val="0"/>
        <w:snapToGrid w:val="0"/>
        <w:spacing w:beforeAutospacing="0" w:after="0" w:line="360" w:lineRule="auto"/>
        <w:ind w:firstLine="820" w:firstLineChars="34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1）技术标评分标准：见评标办法前附表；</w:t>
      </w:r>
    </w:p>
    <w:p w14:paraId="577499A2">
      <w:pPr>
        <w:pageBreakBefore w:val="0"/>
        <w:widowControl/>
        <w:kinsoku/>
        <w:wordWrap/>
        <w:overflowPunct/>
        <w:topLinePunct w:val="0"/>
        <w:autoSpaceDE/>
        <w:autoSpaceDN/>
        <w:bidi w:val="0"/>
        <w:adjustRightInd w:val="0"/>
        <w:snapToGrid w:val="0"/>
        <w:spacing w:beforeAutospacing="0" w:after="0" w:line="360" w:lineRule="auto"/>
        <w:ind w:firstLine="820" w:firstLineChars="34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2）商务标评分标准：见评标办法前附表；</w:t>
      </w:r>
    </w:p>
    <w:p w14:paraId="447620D8">
      <w:pPr>
        <w:pageBreakBefore w:val="0"/>
        <w:widowControl/>
        <w:kinsoku/>
        <w:wordWrap/>
        <w:overflowPunct/>
        <w:topLinePunct w:val="0"/>
        <w:autoSpaceDE/>
        <w:autoSpaceDN/>
        <w:bidi w:val="0"/>
        <w:adjustRightInd w:val="0"/>
        <w:snapToGrid w:val="0"/>
        <w:spacing w:beforeAutospacing="0" w:after="0" w:line="360" w:lineRule="auto"/>
        <w:ind w:firstLine="820" w:firstLineChars="34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3）综合标评分标准：见评标办法前附表。</w:t>
      </w:r>
      <w:bookmarkStart w:id="459" w:name="_Toc179632622"/>
      <w:bookmarkStart w:id="460" w:name="_Toc246996247"/>
      <w:bookmarkStart w:id="461" w:name="_Toc152042381"/>
      <w:bookmarkStart w:id="462" w:name="_Toc144974571"/>
      <w:bookmarkStart w:id="463" w:name="_Toc246996990"/>
      <w:bookmarkStart w:id="464" w:name="_Toc152045604"/>
      <w:bookmarkStart w:id="465" w:name="_Toc296602492"/>
      <w:bookmarkStart w:id="466" w:name="_Toc247085762"/>
    </w:p>
    <w:p w14:paraId="548A78AF">
      <w:pPr>
        <w:pageBreakBefore w:val="0"/>
        <w:widowControl/>
        <w:kinsoku/>
        <w:wordWrap/>
        <w:overflowPunct/>
        <w:topLinePunct w:val="0"/>
        <w:autoSpaceDE/>
        <w:autoSpaceDN/>
        <w:bidi w:val="0"/>
        <w:adjustRightInd w:val="0"/>
        <w:snapToGrid w:val="0"/>
        <w:spacing w:beforeAutospacing="0" w:after="0" w:line="360" w:lineRule="auto"/>
        <w:ind w:firstLine="241" w:firstLineChars="1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 评标程序</w:t>
      </w:r>
      <w:bookmarkEnd w:id="459"/>
      <w:bookmarkEnd w:id="460"/>
      <w:bookmarkEnd w:id="461"/>
      <w:bookmarkEnd w:id="462"/>
      <w:bookmarkEnd w:id="463"/>
      <w:bookmarkEnd w:id="464"/>
      <w:bookmarkEnd w:id="465"/>
      <w:bookmarkEnd w:id="466"/>
    </w:p>
    <w:p w14:paraId="5858E95B">
      <w:pPr>
        <w:pStyle w:val="4"/>
        <w:pageBreakBefore w:val="0"/>
        <w:widowControl/>
        <w:kinsoku/>
        <w:wordWrap/>
        <w:overflowPunct/>
        <w:topLinePunct w:val="0"/>
        <w:autoSpaceDE/>
        <w:autoSpaceDN/>
        <w:bidi w:val="0"/>
        <w:adjustRightInd w:val="0"/>
        <w:snapToGrid w:val="0"/>
        <w:spacing w:before="0" w:beforeAutospacing="0" w:after="0" w:line="360" w:lineRule="auto"/>
        <w:ind w:firstLine="241" w:firstLineChars="100"/>
        <w:textAlignment w:val="auto"/>
        <w:rPr>
          <w:rFonts w:hint="eastAsia" w:asciiTheme="minorEastAsia" w:hAnsiTheme="minorEastAsia" w:eastAsiaTheme="minorEastAsia" w:cstheme="minorEastAsia"/>
          <w:color w:val="auto"/>
          <w:sz w:val="24"/>
          <w:szCs w:val="24"/>
          <w:highlight w:val="none"/>
        </w:rPr>
      </w:pPr>
      <w:bookmarkStart w:id="467" w:name="_Toc246996991"/>
      <w:bookmarkStart w:id="468" w:name="_Toc152042382"/>
      <w:bookmarkStart w:id="469" w:name="_Toc152045605"/>
      <w:bookmarkStart w:id="470" w:name="_Toc144974572"/>
      <w:bookmarkStart w:id="471" w:name="_Toc246996248"/>
      <w:bookmarkStart w:id="472" w:name="_Toc179632623"/>
      <w:bookmarkStart w:id="473" w:name="_Toc247085763"/>
      <w:bookmarkStart w:id="474" w:name="_Toc77586864"/>
      <w:bookmarkStart w:id="475" w:name="_Toc77586958"/>
      <w:bookmarkStart w:id="476" w:name="_Toc296602493"/>
      <w:r>
        <w:rPr>
          <w:rFonts w:hint="eastAsia" w:asciiTheme="minorEastAsia" w:hAnsiTheme="minorEastAsia" w:eastAsiaTheme="minorEastAsia" w:cstheme="minorEastAsia"/>
          <w:color w:val="auto"/>
          <w:sz w:val="24"/>
          <w:szCs w:val="24"/>
          <w:highlight w:val="none"/>
        </w:rPr>
        <w:t>3.1 初步评审</w:t>
      </w:r>
      <w:bookmarkEnd w:id="467"/>
      <w:bookmarkEnd w:id="468"/>
      <w:bookmarkEnd w:id="469"/>
      <w:bookmarkEnd w:id="470"/>
      <w:bookmarkEnd w:id="471"/>
      <w:bookmarkEnd w:id="472"/>
      <w:bookmarkEnd w:id="473"/>
      <w:bookmarkEnd w:id="474"/>
      <w:bookmarkEnd w:id="475"/>
      <w:bookmarkEnd w:id="476"/>
    </w:p>
    <w:p w14:paraId="0D786B23">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3.1.1磋商小组依据本章第2.1款规定的标准对磋商响应文件进行初步评审。有一项不符合评审标准的，磋商小组应当否决其投标。</w:t>
      </w:r>
    </w:p>
    <w:p w14:paraId="093768DC">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3.1.2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有以下情形之一的，磋商小组应当否决其投标：</w:t>
      </w:r>
    </w:p>
    <w:p w14:paraId="64A45540">
      <w:pPr>
        <w:pageBreakBefore w:val="0"/>
        <w:widowControl/>
        <w:kinsoku/>
        <w:wordWrap/>
        <w:overflowPunct/>
        <w:topLinePunct w:val="0"/>
        <w:autoSpaceDE/>
        <w:autoSpaceDN/>
        <w:bidi w:val="0"/>
        <w:adjustRightInd w:val="0"/>
        <w:snapToGrid w:val="0"/>
        <w:spacing w:beforeAutospacing="0"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1）第二章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第1.4.2项、第1.4.3项规定的任何一种情形的；</w:t>
      </w:r>
    </w:p>
    <w:p w14:paraId="3D4E1E4C">
      <w:pPr>
        <w:pageBreakBefore w:val="0"/>
        <w:widowControl/>
        <w:kinsoku/>
        <w:wordWrap/>
        <w:overflowPunct/>
        <w:topLinePunct w:val="0"/>
        <w:autoSpaceDE/>
        <w:autoSpaceDN/>
        <w:bidi w:val="0"/>
        <w:adjustRightInd w:val="0"/>
        <w:snapToGrid w:val="0"/>
        <w:spacing w:beforeAutospacing="0"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2）串通投标或弄虚作假或有其他违法行为的；</w:t>
      </w:r>
    </w:p>
    <w:p w14:paraId="7AA54571">
      <w:pPr>
        <w:pageBreakBefore w:val="0"/>
        <w:widowControl/>
        <w:kinsoku/>
        <w:wordWrap/>
        <w:overflowPunct/>
        <w:topLinePunct w:val="0"/>
        <w:autoSpaceDE/>
        <w:autoSpaceDN/>
        <w:bidi w:val="0"/>
        <w:adjustRightInd w:val="0"/>
        <w:snapToGrid w:val="0"/>
        <w:spacing w:beforeAutospacing="0"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3）不按磋商小组要求澄清、说明或补正的。</w:t>
      </w:r>
    </w:p>
    <w:p w14:paraId="2951D134">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3.1.3投标报价有算术错误的，磋商小组按以下原则对投标报价进行修正，修正的价格经</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书面确认后具有约束力。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不接受修正价格的，磋商小组应当否决其投标。</w:t>
      </w:r>
    </w:p>
    <w:p w14:paraId="09069A15">
      <w:pPr>
        <w:pageBreakBefore w:val="0"/>
        <w:widowControl/>
        <w:kinsoku/>
        <w:wordWrap/>
        <w:overflowPunct/>
        <w:topLinePunct w:val="0"/>
        <w:autoSpaceDE/>
        <w:autoSpaceDN/>
        <w:bidi w:val="0"/>
        <w:adjustRightInd w:val="0"/>
        <w:snapToGrid w:val="0"/>
        <w:spacing w:beforeAutospacing="0" w:after="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1）磋商响应文件中的大写金额与小写金额不一致的，以大写金额为准；</w:t>
      </w:r>
    </w:p>
    <w:p w14:paraId="12B2B918">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1F608CA9">
      <w:pPr>
        <w:pStyle w:val="4"/>
        <w:pageBreakBefore w:val="0"/>
        <w:widowControl/>
        <w:kinsoku/>
        <w:wordWrap/>
        <w:overflowPunct/>
        <w:topLinePunct w:val="0"/>
        <w:autoSpaceDE/>
        <w:autoSpaceDN/>
        <w:bidi w:val="0"/>
        <w:adjustRightInd w:val="0"/>
        <w:snapToGrid w:val="0"/>
        <w:spacing w:before="0" w:beforeAutospacing="0" w:after="0" w:line="360" w:lineRule="auto"/>
        <w:textAlignment w:val="auto"/>
        <w:rPr>
          <w:rFonts w:hint="eastAsia" w:asciiTheme="minorEastAsia" w:hAnsiTheme="minorEastAsia" w:eastAsiaTheme="minorEastAsia" w:cstheme="minorEastAsia"/>
          <w:color w:val="auto"/>
          <w:sz w:val="24"/>
          <w:szCs w:val="24"/>
          <w:highlight w:val="none"/>
        </w:rPr>
      </w:pPr>
      <w:bookmarkStart w:id="477" w:name="_Toc246996992"/>
      <w:bookmarkStart w:id="478" w:name="_Toc152042384"/>
      <w:bookmarkStart w:id="479" w:name="_Toc152045606"/>
      <w:bookmarkStart w:id="480" w:name="_Toc246996249"/>
      <w:bookmarkStart w:id="481" w:name="_Toc144974573"/>
      <w:bookmarkStart w:id="482" w:name="_Toc77586865"/>
      <w:bookmarkStart w:id="483" w:name="_Toc77586959"/>
      <w:bookmarkStart w:id="484" w:name="_Toc296602494"/>
      <w:bookmarkStart w:id="485" w:name="_Toc247085764"/>
      <w:bookmarkStart w:id="486" w:name="_Toc179632624"/>
      <w:r>
        <w:rPr>
          <w:rFonts w:hint="eastAsia" w:asciiTheme="minorEastAsia" w:hAnsiTheme="minorEastAsia" w:eastAsiaTheme="minorEastAsia" w:cstheme="minorEastAsia"/>
          <w:color w:val="auto"/>
          <w:sz w:val="24"/>
          <w:szCs w:val="24"/>
          <w:highlight w:val="none"/>
        </w:rPr>
        <w:t>3.2 详细评审</w:t>
      </w:r>
      <w:bookmarkEnd w:id="477"/>
      <w:bookmarkEnd w:id="478"/>
      <w:bookmarkEnd w:id="479"/>
      <w:bookmarkEnd w:id="480"/>
      <w:bookmarkEnd w:id="481"/>
      <w:bookmarkEnd w:id="482"/>
      <w:bookmarkEnd w:id="483"/>
      <w:bookmarkEnd w:id="484"/>
      <w:bookmarkEnd w:id="485"/>
      <w:bookmarkEnd w:id="486"/>
    </w:p>
    <w:p w14:paraId="0F1DAD38">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磋商小组按本章第2.2款规定的量化因素和分值进行打分，并计算出综合评估得分。</w:t>
      </w:r>
    </w:p>
    <w:p w14:paraId="6B4C8E9F">
      <w:pPr>
        <w:pageBreakBefore w:val="0"/>
        <w:widowControl/>
        <w:kinsoku/>
        <w:wordWrap/>
        <w:overflowPunct/>
        <w:topLinePunct w:val="0"/>
        <w:autoSpaceDE/>
        <w:autoSpaceDN/>
        <w:bidi w:val="0"/>
        <w:adjustRightInd w:val="0"/>
        <w:snapToGrid w:val="0"/>
        <w:spacing w:beforeAutospacing="0"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1）按本章第2.2.2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1）目规定的评审因素和分值对技术标计算出得分；</w:t>
      </w:r>
    </w:p>
    <w:p w14:paraId="434B7417">
      <w:pPr>
        <w:pageBreakBefore w:val="0"/>
        <w:widowControl/>
        <w:kinsoku/>
        <w:wordWrap/>
        <w:overflowPunct/>
        <w:topLinePunct w:val="0"/>
        <w:autoSpaceDE/>
        <w:autoSpaceDN/>
        <w:bidi w:val="0"/>
        <w:adjustRightInd w:val="0"/>
        <w:snapToGrid w:val="0"/>
        <w:spacing w:beforeAutospacing="0"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2）按本章第2.2.2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2）目规定的评审因素和分值对商务标计算出得分；</w:t>
      </w:r>
    </w:p>
    <w:p w14:paraId="00CF1C88">
      <w:pPr>
        <w:pageBreakBefore w:val="0"/>
        <w:widowControl/>
        <w:kinsoku/>
        <w:wordWrap/>
        <w:overflowPunct/>
        <w:topLinePunct w:val="0"/>
        <w:autoSpaceDE/>
        <w:autoSpaceDN/>
        <w:bidi w:val="0"/>
        <w:adjustRightInd w:val="0"/>
        <w:snapToGrid w:val="0"/>
        <w:spacing w:beforeAutospacing="0" w:after="0" w:line="360"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3）按本章第2.2.2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3）目规定的评审因素和分值对综合标计算出得分；</w:t>
      </w:r>
    </w:p>
    <w:p w14:paraId="777EC890">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评分分值计算过程中保留小数点后三位，最后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得分汇总时保留小数点后两位，小数点后第三位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四舍五入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7B81A7A">
      <w:pPr>
        <w:pageBreakBefore w:val="0"/>
        <w:widowControl/>
        <w:tabs>
          <w:tab w:val="center" w:pos="4677"/>
        </w:tabs>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3.2.3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得分=技术标+商务标+综合标。</w:t>
      </w:r>
    </w:p>
    <w:p w14:paraId="38768B7A">
      <w:pPr>
        <w:pageBreakBefore w:val="0"/>
        <w:widowControl/>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3.2.4在磋商小组完成对技术标、商务标和综合标的汇总后取平均值，作为该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的最终得分。</w:t>
      </w:r>
    </w:p>
    <w:p w14:paraId="177B38E2">
      <w:pPr>
        <w:pageBreakBefore w:val="0"/>
        <w:widowControl/>
        <w:tabs>
          <w:tab w:val="center" w:pos="4677"/>
        </w:tabs>
        <w:kinsoku/>
        <w:wordWrap w:val="0"/>
        <w:overflowPunct/>
        <w:topLinePunct/>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3.2.5磋商小组发现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的报价明显低于其他投标报价，使得其投标报价可能低于其个别成本的，应当要求该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做出书面说明并提供相应的证明材料。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不能合理说明或者不能提供相应证明材料的，磋商小组应当认定该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以低于成本报价竞标，否决其投标。</w:t>
      </w:r>
    </w:p>
    <w:p w14:paraId="56DD6D58">
      <w:pPr>
        <w:pStyle w:val="4"/>
        <w:pageBreakBefore w:val="0"/>
        <w:widowControl/>
        <w:kinsoku/>
        <w:wordWrap w:val="0"/>
        <w:overflowPunct/>
        <w:topLinePunct/>
        <w:autoSpaceDE/>
        <w:autoSpaceDN/>
        <w:bidi w:val="0"/>
        <w:adjustRightInd w:val="0"/>
        <w:snapToGrid w:val="0"/>
        <w:spacing w:before="0" w:beforeAutospacing="0" w:after="0" w:line="360" w:lineRule="auto"/>
        <w:ind w:firstLine="241" w:firstLineChars="100"/>
        <w:textAlignment w:val="auto"/>
        <w:rPr>
          <w:rFonts w:hint="eastAsia" w:asciiTheme="minorEastAsia" w:hAnsiTheme="minorEastAsia" w:eastAsiaTheme="minorEastAsia" w:cstheme="minorEastAsia"/>
          <w:color w:val="auto"/>
          <w:sz w:val="24"/>
          <w:szCs w:val="24"/>
          <w:highlight w:val="none"/>
        </w:rPr>
      </w:pPr>
      <w:bookmarkStart w:id="487" w:name="_Toc144974575"/>
      <w:bookmarkStart w:id="488" w:name="_Toc247085765"/>
      <w:bookmarkStart w:id="489" w:name="_Toc246996993"/>
      <w:bookmarkStart w:id="490" w:name="_Toc296602495"/>
      <w:bookmarkStart w:id="491" w:name="_Toc246996250"/>
      <w:bookmarkStart w:id="492" w:name="_Toc77586866"/>
      <w:bookmarkStart w:id="493" w:name="_Toc77586960"/>
      <w:bookmarkStart w:id="494" w:name="_Toc152042385"/>
      <w:bookmarkStart w:id="495" w:name="_Toc152045607"/>
      <w:bookmarkStart w:id="496" w:name="_Toc179632625"/>
      <w:r>
        <w:rPr>
          <w:rFonts w:hint="eastAsia" w:asciiTheme="minorEastAsia" w:hAnsiTheme="minorEastAsia" w:eastAsiaTheme="minorEastAsia" w:cstheme="minorEastAsia"/>
          <w:color w:val="auto"/>
          <w:sz w:val="24"/>
          <w:szCs w:val="24"/>
          <w:highlight w:val="none"/>
        </w:rPr>
        <w:t>3.3 磋商响应文件的澄清</w:t>
      </w:r>
      <w:bookmarkEnd w:id="487"/>
      <w:r>
        <w:rPr>
          <w:rFonts w:hint="eastAsia" w:asciiTheme="minorEastAsia" w:hAnsiTheme="minorEastAsia" w:eastAsiaTheme="minorEastAsia" w:cstheme="minorEastAsia"/>
          <w:color w:val="auto"/>
          <w:sz w:val="24"/>
          <w:szCs w:val="24"/>
          <w:highlight w:val="none"/>
        </w:rPr>
        <w:t>和补正</w:t>
      </w:r>
      <w:bookmarkEnd w:id="488"/>
      <w:bookmarkEnd w:id="489"/>
      <w:bookmarkEnd w:id="490"/>
      <w:bookmarkEnd w:id="491"/>
      <w:bookmarkEnd w:id="492"/>
      <w:bookmarkEnd w:id="493"/>
      <w:bookmarkEnd w:id="494"/>
      <w:bookmarkEnd w:id="495"/>
      <w:bookmarkEnd w:id="496"/>
    </w:p>
    <w:p w14:paraId="6773A0DC">
      <w:pPr>
        <w:pageBreakBefore w:val="0"/>
        <w:widowControl/>
        <w:kinsoku/>
        <w:wordWrap w:val="0"/>
        <w:overflowPunct/>
        <w:topLinePunct/>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3.3.1在评标过程中，磋商小组可以书面形式要求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对所提交磋商响应文件中不明确的内容进行书面澄清或说明，或者对细微偏差进行补正。磋商小组不接受</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主动提出的澄清、说明或补正。</w:t>
      </w:r>
    </w:p>
    <w:p w14:paraId="75F413CA">
      <w:pPr>
        <w:pageBreakBefore w:val="0"/>
        <w:widowControl/>
        <w:kinsoku/>
        <w:wordWrap w:val="0"/>
        <w:overflowPunct/>
        <w:topLinePunct/>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 澄清、说明和补正不得改变磋商响应文件的实质性内容。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的书面澄清、说明和补正属于磋商响应文件的组成部分。</w:t>
      </w:r>
    </w:p>
    <w:p w14:paraId="4C19A378">
      <w:pPr>
        <w:pageBreakBefore w:val="0"/>
        <w:widowControl/>
        <w:kinsoku/>
        <w:wordWrap w:val="0"/>
        <w:overflowPunct/>
        <w:topLinePunct/>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磋商小组对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提交的澄清、说明或补正有疑问的，可以要求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进一步澄清、说明或补正，直至满足磋商小组的要求。</w:t>
      </w:r>
    </w:p>
    <w:p w14:paraId="5452688A">
      <w:pPr>
        <w:pStyle w:val="4"/>
        <w:pageBreakBefore w:val="0"/>
        <w:widowControl/>
        <w:kinsoku/>
        <w:wordWrap/>
        <w:overflowPunct/>
        <w:topLinePunct w:val="0"/>
        <w:autoSpaceDE/>
        <w:autoSpaceDN/>
        <w:bidi w:val="0"/>
        <w:adjustRightInd w:val="0"/>
        <w:snapToGrid w:val="0"/>
        <w:spacing w:before="0" w:beforeAutospacing="0" w:after="0" w:line="360" w:lineRule="auto"/>
        <w:textAlignment w:val="auto"/>
        <w:rPr>
          <w:rFonts w:hint="eastAsia" w:asciiTheme="minorEastAsia" w:hAnsiTheme="minorEastAsia" w:eastAsiaTheme="minorEastAsia" w:cstheme="minorEastAsia"/>
          <w:color w:val="auto"/>
          <w:sz w:val="24"/>
          <w:szCs w:val="24"/>
          <w:highlight w:val="none"/>
        </w:rPr>
      </w:pPr>
      <w:bookmarkStart w:id="497" w:name="_Toc77586867"/>
      <w:bookmarkStart w:id="498" w:name="_Toc246996994"/>
      <w:bookmarkStart w:id="499" w:name="_Toc152045608"/>
      <w:bookmarkStart w:id="500" w:name="_Toc179632626"/>
      <w:bookmarkStart w:id="501" w:name="_Toc296602496"/>
      <w:bookmarkStart w:id="502" w:name="_Toc144974576"/>
      <w:bookmarkStart w:id="503" w:name="_Toc247085766"/>
      <w:bookmarkStart w:id="504" w:name="_Toc246996251"/>
      <w:bookmarkStart w:id="505" w:name="_Toc152042386"/>
      <w:bookmarkStart w:id="506" w:name="_Toc77586961"/>
      <w:r>
        <w:rPr>
          <w:rFonts w:hint="eastAsia" w:asciiTheme="minorEastAsia" w:hAnsiTheme="minorEastAsia" w:eastAsiaTheme="minorEastAsia" w:cstheme="minorEastAsia"/>
          <w:color w:val="auto"/>
          <w:sz w:val="24"/>
          <w:szCs w:val="24"/>
          <w:highlight w:val="none"/>
        </w:rPr>
        <w:t>3.4 评标结果</w:t>
      </w:r>
      <w:bookmarkEnd w:id="497"/>
      <w:bookmarkEnd w:id="498"/>
      <w:bookmarkEnd w:id="499"/>
      <w:bookmarkEnd w:id="500"/>
      <w:bookmarkEnd w:id="501"/>
      <w:bookmarkEnd w:id="502"/>
      <w:bookmarkEnd w:id="503"/>
      <w:bookmarkEnd w:id="504"/>
      <w:bookmarkEnd w:id="505"/>
      <w:bookmarkEnd w:id="506"/>
    </w:p>
    <w:p w14:paraId="45B661C8">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3.4.1磋商小组按照得分由高到低的顺序推荐成交候选人。</w:t>
      </w:r>
    </w:p>
    <w:p w14:paraId="64DB52A5">
      <w:pPr>
        <w:pageBreakBefore w:val="0"/>
        <w:widowControl/>
        <w:kinsoku/>
        <w:wordWrap/>
        <w:overflowPunct/>
        <w:topLinePunct w:val="0"/>
        <w:autoSpaceDE/>
        <w:autoSpaceDN/>
        <w:bidi w:val="0"/>
        <w:adjustRightInd w:val="0"/>
        <w:snapToGrid w:val="0"/>
        <w:spacing w:beforeAutospacing="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 磋商小组完成评标后，应当向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提交书面评标报告。</w:t>
      </w:r>
    </w:p>
    <w:p w14:paraId="463DFEC7">
      <w:pPr>
        <w:pStyle w:val="2"/>
        <w:bidi w:val="0"/>
        <w:jc w:val="center"/>
        <w:rPr>
          <w:rFonts w:hint="eastAsia" w:asciiTheme="minorEastAsia" w:hAnsiTheme="minorEastAsia" w:eastAsiaTheme="minorEastAsia" w:cstheme="minorEastAsia"/>
          <w:b/>
          <w:bCs/>
          <w:color w:val="auto"/>
          <w:szCs w:val="32"/>
          <w:highlight w:val="none"/>
        </w:rPr>
      </w:pPr>
      <w:r>
        <w:rPr>
          <w:rFonts w:hint="eastAsia" w:asciiTheme="minorEastAsia" w:hAnsiTheme="minorEastAsia" w:eastAsiaTheme="minorEastAsia" w:cstheme="minorEastAsia"/>
          <w:b/>
          <w:color w:val="auto"/>
          <w:szCs w:val="40"/>
          <w:highlight w:val="none"/>
        </w:rPr>
        <w:br w:type="page"/>
      </w:r>
      <w:bookmarkStart w:id="507" w:name="_Toc1020"/>
      <w:bookmarkStart w:id="508" w:name="_Toc77586962"/>
      <w:r>
        <w:rPr>
          <w:rFonts w:hint="eastAsia" w:asciiTheme="minorEastAsia" w:hAnsiTheme="minorEastAsia" w:eastAsiaTheme="minorEastAsia" w:cstheme="minorEastAsia"/>
          <w:b/>
          <w:color w:val="auto"/>
          <w:szCs w:val="40"/>
          <w:highlight w:val="none"/>
          <w:lang w:val="en-US" w:eastAsia="zh-CN"/>
        </w:rPr>
        <w:t xml:space="preserve"> </w:t>
      </w:r>
      <w:bookmarkStart w:id="509" w:name="_Toc15332"/>
      <w:r>
        <w:rPr>
          <w:rFonts w:hint="eastAsia" w:asciiTheme="minorEastAsia" w:hAnsiTheme="minorEastAsia" w:eastAsiaTheme="minorEastAsia" w:cstheme="minorEastAsia"/>
          <w:color w:val="auto"/>
          <w:highlight w:val="none"/>
        </w:rPr>
        <w:t>第四章  合同条款及格式</w:t>
      </w:r>
      <w:bookmarkEnd w:id="507"/>
      <w:bookmarkEnd w:id="508"/>
      <w:bookmarkEnd w:id="509"/>
    </w:p>
    <w:p w14:paraId="20AB7CEE">
      <w:pPr>
        <w:spacing w:line="440" w:lineRule="exact"/>
        <w:jc w:val="center"/>
        <w:rPr>
          <w:rFonts w:hint="eastAsia" w:asciiTheme="minorEastAsia" w:hAnsiTheme="minorEastAsia" w:eastAsiaTheme="minorEastAsia" w:cstheme="minorEastAsia"/>
          <w:color w:val="auto"/>
          <w:sz w:val="24"/>
          <w:szCs w:val="24"/>
          <w:highlight w:val="none"/>
          <w:lang w:eastAsia="zh-CN"/>
        </w:rPr>
      </w:pPr>
      <w:bookmarkStart w:id="510" w:name="_Toc77586963"/>
      <w:bookmarkStart w:id="511" w:name="_Toc152045782"/>
      <w:bookmarkStart w:id="512" w:name="_Toc247085866"/>
      <w:bookmarkStart w:id="513" w:name="_Toc152042571"/>
      <w:bookmarkStart w:id="514" w:name="_Toc144974851"/>
      <w:bookmarkStart w:id="515" w:name="_Toc247096438"/>
      <w:bookmarkStart w:id="516" w:name="_Toc246997093"/>
      <w:bookmarkStart w:id="517" w:name="_Toc246996350"/>
      <w:bookmarkStart w:id="518" w:name="_Toc296602596"/>
      <w:bookmarkStart w:id="519" w:name="_Toc179632800"/>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成交后双方自行协商</w:t>
      </w:r>
      <w:r>
        <w:rPr>
          <w:rFonts w:hint="eastAsia" w:asciiTheme="minorEastAsia" w:hAnsiTheme="minorEastAsia" w:eastAsiaTheme="minorEastAsia" w:cstheme="minorEastAsia"/>
          <w:color w:val="auto"/>
          <w:sz w:val="24"/>
          <w:szCs w:val="24"/>
          <w:highlight w:val="none"/>
          <w:lang w:eastAsia="zh-CN"/>
        </w:rPr>
        <w:t>）</w:t>
      </w:r>
    </w:p>
    <w:p w14:paraId="3CD8FA0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510"/>
    <w:p w14:paraId="109FEA80">
      <w:pPr>
        <w:pStyle w:val="2"/>
        <w:keepNext/>
        <w:keepLines/>
        <w:pageBreakBefore w:val="0"/>
        <w:widowControl w:val="0"/>
        <w:numPr>
          <w:ilvl w:val="0"/>
          <w:numId w:val="0"/>
        </w:numPr>
        <w:kinsoku/>
        <w:wordWrap/>
        <w:overflowPunct/>
        <w:topLinePunct w:val="0"/>
        <w:autoSpaceDE/>
        <w:autoSpaceDN/>
        <w:bidi w:val="0"/>
        <w:adjustRightInd/>
        <w:snapToGrid/>
        <w:spacing w:before="0" w:after="0" w:line="540" w:lineRule="exact"/>
        <w:jc w:val="center"/>
        <w:textAlignment w:val="auto"/>
        <w:rPr>
          <w:rFonts w:hint="eastAsia" w:asciiTheme="minorEastAsia" w:hAnsiTheme="minorEastAsia" w:eastAsiaTheme="minorEastAsia" w:cstheme="minorEastAsia"/>
          <w:b/>
          <w:bCs/>
          <w:color w:val="auto"/>
          <w:kern w:val="44"/>
          <w:sz w:val="32"/>
          <w:szCs w:val="32"/>
          <w:highlight w:val="none"/>
          <w:lang w:val="en-US" w:eastAsia="zh-CN" w:bidi="ar-SA"/>
        </w:rPr>
      </w:pPr>
      <w:bookmarkStart w:id="520" w:name="_Toc4872"/>
      <w:r>
        <w:rPr>
          <w:rFonts w:hint="eastAsia" w:asciiTheme="minorEastAsia" w:hAnsiTheme="minorEastAsia" w:eastAsiaTheme="minorEastAsia" w:cstheme="minorEastAsia"/>
          <w:b/>
          <w:bCs/>
          <w:color w:val="auto"/>
          <w:kern w:val="44"/>
          <w:sz w:val="32"/>
          <w:szCs w:val="32"/>
          <w:highlight w:val="none"/>
          <w:lang w:val="en-US" w:eastAsia="zh-CN" w:bidi="ar-SA"/>
        </w:rPr>
        <w:t>第五章 技术服务清单</w:t>
      </w:r>
      <w:bookmarkEnd w:id="520"/>
    </w:p>
    <w:p w14:paraId="4484618A">
      <w:pPr>
        <w:numPr>
          <w:ilvl w:val="0"/>
          <w:numId w:val="0"/>
        </w:num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服务清单</w:t>
      </w:r>
    </w:p>
    <w:tbl>
      <w:tblPr>
        <w:tblStyle w:val="20"/>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3654"/>
        <w:gridCol w:w="562"/>
        <w:gridCol w:w="562"/>
        <w:gridCol w:w="1183"/>
        <w:gridCol w:w="1106"/>
        <w:gridCol w:w="692"/>
      </w:tblGrid>
      <w:tr w14:paraId="55E1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698" w:type="dxa"/>
            <w:gridSpan w:val="7"/>
            <w:tcBorders>
              <w:top w:val="nil"/>
              <w:left w:val="nil"/>
              <w:bottom w:val="nil"/>
              <w:right w:val="nil"/>
            </w:tcBorders>
            <w:shd w:val="clear" w:color="auto" w:fill="auto"/>
            <w:vAlign w:val="center"/>
          </w:tcPr>
          <w:p w14:paraId="7C5D7B42">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灵宝市窄口库区事务中心窄口试点水库现代化运行管理矩阵建设项目</w:t>
            </w:r>
          </w:p>
        </w:tc>
      </w:tr>
      <w:tr w14:paraId="4B33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872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B46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5D4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C32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95F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8C1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（万元）</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EA6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0B2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97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F7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矩阵平台建设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1610">
            <w:pPr>
              <w:jc w:val="center"/>
              <w:rPr>
                <w:rFonts w:hint="eastAsia" w:ascii="宋体" w:hAnsi="宋体" w:eastAsia="宋体" w:cs="宋体"/>
                <w:b/>
                <w:bCs/>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CB48">
            <w:pPr>
              <w:jc w:val="center"/>
              <w:rPr>
                <w:rFonts w:hint="eastAsia" w:ascii="宋体" w:hAnsi="宋体" w:eastAsia="宋体" w:cs="宋体"/>
                <w:b/>
                <w:bCs/>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9066">
            <w:pPr>
              <w:jc w:val="center"/>
              <w:rPr>
                <w:rFonts w:hint="eastAsia" w:ascii="宋体" w:hAnsi="宋体" w:eastAsia="宋体" w:cs="宋体"/>
                <w:b/>
                <w:bCs/>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B2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F32A4">
            <w:pPr>
              <w:jc w:val="center"/>
              <w:rPr>
                <w:rFonts w:hint="eastAsia" w:ascii="宋体" w:hAnsi="宋体" w:eastAsia="宋体" w:cs="宋体"/>
                <w:i w:val="0"/>
                <w:iCs w:val="0"/>
                <w:color w:val="auto"/>
                <w:sz w:val="24"/>
                <w:szCs w:val="24"/>
                <w:highlight w:val="none"/>
                <w:u w:val="none"/>
              </w:rPr>
            </w:pPr>
          </w:p>
        </w:tc>
      </w:tr>
      <w:tr w14:paraId="3355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B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87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窄口水库矩阵管理展示模块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C9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45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7DD8">
            <w:pPr>
              <w:jc w:val="center"/>
              <w:rPr>
                <w:rFonts w:hint="eastAsia" w:ascii="宋体" w:hAnsi="宋体" w:eastAsia="宋体" w:cs="宋体"/>
                <w:i w:val="0"/>
                <w:iCs w:val="0"/>
                <w:color w:val="auto"/>
                <w:sz w:val="24"/>
                <w:szCs w:val="24"/>
                <w:highlight w:val="none"/>
                <w:u w:val="none"/>
              </w:rPr>
            </w:pPr>
          </w:p>
        </w:tc>
      </w:tr>
      <w:tr w14:paraId="00AD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F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窄口水库后台业务管理模块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F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5D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7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0E95">
            <w:pPr>
              <w:jc w:val="center"/>
              <w:rPr>
                <w:rFonts w:hint="eastAsia" w:ascii="宋体" w:hAnsi="宋体" w:eastAsia="宋体" w:cs="宋体"/>
                <w:i w:val="0"/>
                <w:iCs w:val="0"/>
                <w:color w:val="auto"/>
                <w:sz w:val="24"/>
                <w:szCs w:val="24"/>
                <w:highlight w:val="none"/>
                <w:u w:val="none"/>
              </w:rPr>
            </w:pPr>
          </w:p>
        </w:tc>
      </w:tr>
      <w:tr w14:paraId="0EC2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0D0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34A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数据底板及数字孪生效果建设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CE81">
            <w:pPr>
              <w:jc w:val="center"/>
              <w:rPr>
                <w:rFonts w:hint="eastAsia" w:ascii="宋体" w:hAnsi="宋体" w:eastAsia="宋体" w:cs="宋体"/>
                <w:b/>
                <w:bCs/>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0C44">
            <w:pPr>
              <w:jc w:val="center"/>
              <w:rPr>
                <w:rFonts w:hint="eastAsia" w:ascii="宋体" w:hAnsi="宋体" w:eastAsia="宋体" w:cs="宋体"/>
                <w:b/>
                <w:bCs/>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893F">
            <w:pPr>
              <w:jc w:val="center"/>
              <w:rPr>
                <w:rFonts w:hint="eastAsia" w:ascii="宋体" w:hAnsi="宋体" w:eastAsia="宋体" w:cs="宋体"/>
                <w:b/>
                <w:bCs/>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AC4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195A">
            <w:pPr>
              <w:jc w:val="center"/>
              <w:rPr>
                <w:rFonts w:hint="eastAsia" w:ascii="宋体" w:hAnsi="宋体" w:eastAsia="宋体" w:cs="宋体"/>
                <w:i w:val="0"/>
                <w:iCs w:val="0"/>
                <w:color w:val="auto"/>
                <w:sz w:val="24"/>
                <w:szCs w:val="24"/>
                <w:highlight w:val="none"/>
                <w:u w:val="none"/>
              </w:rPr>
            </w:pPr>
          </w:p>
        </w:tc>
      </w:tr>
      <w:tr w14:paraId="5086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3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1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地理空间数据采集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93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A5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EC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E5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D77D">
            <w:pPr>
              <w:jc w:val="center"/>
              <w:rPr>
                <w:rFonts w:hint="eastAsia" w:ascii="宋体" w:hAnsi="宋体" w:eastAsia="宋体" w:cs="宋体"/>
                <w:i w:val="0"/>
                <w:iCs w:val="0"/>
                <w:color w:val="auto"/>
                <w:sz w:val="24"/>
                <w:szCs w:val="24"/>
                <w:highlight w:val="none"/>
                <w:u w:val="none"/>
              </w:rPr>
            </w:pPr>
          </w:p>
        </w:tc>
      </w:tr>
      <w:tr w14:paraId="69D3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9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7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数据底板及BIM模型建设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A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FB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A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7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ACD0">
            <w:pPr>
              <w:jc w:val="center"/>
              <w:rPr>
                <w:rFonts w:hint="eastAsia" w:ascii="宋体" w:hAnsi="宋体" w:eastAsia="宋体" w:cs="宋体"/>
                <w:i w:val="0"/>
                <w:iCs w:val="0"/>
                <w:color w:val="auto"/>
                <w:sz w:val="24"/>
                <w:szCs w:val="24"/>
                <w:highlight w:val="none"/>
                <w:u w:val="none"/>
              </w:rPr>
            </w:pPr>
          </w:p>
        </w:tc>
      </w:tr>
      <w:tr w14:paraId="32EF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数字孪生效果建设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22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30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E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F1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24C4">
            <w:pPr>
              <w:jc w:val="center"/>
              <w:rPr>
                <w:rFonts w:hint="eastAsia" w:ascii="宋体" w:hAnsi="宋体" w:eastAsia="宋体" w:cs="宋体"/>
                <w:i w:val="0"/>
                <w:iCs w:val="0"/>
                <w:color w:val="auto"/>
                <w:sz w:val="24"/>
                <w:szCs w:val="24"/>
                <w:highlight w:val="none"/>
                <w:u w:val="none"/>
              </w:rPr>
            </w:pPr>
          </w:p>
        </w:tc>
      </w:tr>
      <w:tr w14:paraId="1029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C3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33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水利专业模型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F3C">
            <w:pPr>
              <w:jc w:val="center"/>
              <w:rPr>
                <w:rFonts w:hint="eastAsia" w:ascii="宋体" w:hAnsi="宋体" w:eastAsia="宋体" w:cs="宋体"/>
                <w:b/>
                <w:bCs/>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1D44">
            <w:pPr>
              <w:jc w:val="center"/>
              <w:rPr>
                <w:rFonts w:hint="eastAsia" w:ascii="宋体" w:hAnsi="宋体" w:eastAsia="宋体" w:cs="宋体"/>
                <w:b/>
                <w:bCs/>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D7D9">
            <w:pPr>
              <w:jc w:val="center"/>
              <w:rPr>
                <w:rFonts w:hint="eastAsia" w:ascii="宋体" w:hAnsi="宋体" w:eastAsia="宋体" w:cs="宋体"/>
                <w:b/>
                <w:bCs/>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33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BB41">
            <w:pPr>
              <w:jc w:val="center"/>
              <w:rPr>
                <w:rFonts w:hint="eastAsia" w:ascii="宋体" w:hAnsi="宋体" w:eastAsia="宋体" w:cs="宋体"/>
                <w:i w:val="0"/>
                <w:iCs w:val="0"/>
                <w:color w:val="auto"/>
                <w:sz w:val="24"/>
                <w:szCs w:val="24"/>
                <w:highlight w:val="none"/>
                <w:u w:val="none"/>
              </w:rPr>
            </w:pPr>
          </w:p>
        </w:tc>
      </w:tr>
      <w:tr w14:paraId="467C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2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E6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水文预报模型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6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4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A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44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7E20">
            <w:pPr>
              <w:jc w:val="center"/>
              <w:rPr>
                <w:rFonts w:hint="eastAsia" w:ascii="宋体" w:hAnsi="宋体" w:eastAsia="宋体" w:cs="宋体"/>
                <w:i w:val="0"/>
                <w:iCs w:val="0"/>
                <w:color w:val="auto"/>
                <w:sz w:val="24"/>
                <w:szCs w:val="24"/>
                <w:highlight w:val="none"/>
                <w:u w:val="none"/>
              </w:rPr>
            </w:pPr>
          </w:p>
        </w:tc>
      </w:tr>
      <w:tr w14:paraId="38AF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9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A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调度模型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D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D8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A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6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2D50">
            <w:pPr>
              <w:jc w:val="center"/>
              <w:rPr>
                <w:rFonts w:hint="eastAsia" w:ascii="宋体" w:hAnsi="宋体" w:eastAsia="宋体" w:cs="宋体"/>
                <w:i w:val="0"/>
                <w:iCs w:val="0"/>
                <w:color w:val="auto"/>
                <w:sz w:val="24"/>
                <w:szCs w:val="24"/>
                <w:highlight w:val="none"/>
                <w:u w:val="none"/>
              </w:rPr>
            </w:pPr>
          </w:p>
        </w:tc>
      </w:tr>
      <w:tr w14:paraId="1D6A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5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E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水动力模型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7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C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5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60DF">
            <w:pPr>
              <w:jc w:val="center"/>
              <w:rPr>
                <w:rFonts w:hint="eastAsia" w:ascii="宋体" w:hAnsi="宋体" w:eastAsia="宋体" w:cs="宋体"/>
                <w:i w:val="0"/>
                <w:iCs w:val="0"/>
                <w:color w:val="auto"/>
                <w:sz w:val="24"/>
                <w:szCs w:val="24"/>
                <w:highlight w:val="none"/>
                <w:u w:val="none"/>
              </w:rPr>
            </w:pPr>
          </w:p>
        </w:tc>
      </w:tr>
      <w:tr w14:paraId="5FA2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D16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BDE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现有系统集成与数据接入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942">
            <w:pPr>
              <w:jc w:val="center"/>
              <w:rPr>
                <w:rFonts w:hint="eastAsia" w:ascii="宋体" w:hAnsi="宋体" w:eastAsia="宋体" w:cs="宋体"/>
                <w:b/>
                <w:bCs/>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E0F">
            <w:pPr>
              <w:jc w:val="center"/>
              <w:rPr>
                <w:rFonts w:hint="eastAsia" w:ascii="宋体" w:hAnsi="宋体" w:eastAsia="宋体" w:cs="宋体"/>
                <w:b/>
                <w:bCs/>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1FB8">
            <w:pPr>
              <w:jc w:val="center"/>
              <w:rPr>
                <w:rFonts w:hint="eastAsia" w:ascii="宋体" w:hAnsi="宋体" w:eastAsia="宋体" w:cs="宋体"/>
                <w:b/>
                <w:bCs/>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40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71AD">
            <w:pPr>
              <w:jc w:val="center"/>
              <w:rPr>
                <w:rFonts w:hint="eastAsia" w:ascii="宋体" w:hAnsi="宋体" w:eastAsia="宋体" w:cs="宋体"/>
                <w:i w:val="0"/>
                <w:iCs w:val="0"/>
                <w:color w:val="auto"/>
                <w:sz w:val="24"/>
                <w:szCs w:val="24"/>
                <w:highlight w:val="none"/>
                <w:u w:val="none"/>
              </w:rPr>
            </w:pPr>
          </w:p>
        </w:tc>
      </w:tr>
      <w:tr w14:paraId="46E2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5A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4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雨水工情数据接入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4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E2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65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5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52E0">
            <w:pPr>
              <w:jc w:val="center"/>
              <w:rPr>
                <w:rFonts w:hint="eastAsia" w:ascii="宋体" w:hAnsi="宋体" w:eastAsia="宋体" w:cs="宋体"/>
                <w:i w:val="0"/>
                <w:iCs w:val="0"/>
                <w:color w:val="auto"/>
                <w:sz w:val="24"/>
                <w:szCs w:val="24"/>
                <w:highlight w:val="none"/>
                <w:u w:val="none"/>
              </w:rPr>
            </w:pPr>
          </w:p>
        </w:tc>
      </w:tr>
      <w:tr w14:paraId="4559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9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B6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安全监测数据接入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8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C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6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F89F">
            <w:pPr>
              <w:jc w:val="center"/>
              <w:rPr>
                <w:rFonts w:hint="eastAsia" w:ascii="宋体" w:hAnsi="宋体" w:eastAsia="宋体" w:cs="宋体"/>
                <w:i w:val="0"/>
                <w:iCs w:val="0"/>
                <w:color w:val="auto"/>
                <w:sz w:val="24"/>
                <w:szCs w:val="24"/>
                <w:highlight w:val="none"/>
                <w:u w:val="none"/>
              </w:rPr>
            </w:pPr>
          </w:p>
        </w:tc>
      </w:tr>
      <w:tr w14:paraId="33BB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6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07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视频监控数据接入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15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DA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E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B126">
            <w:pPr>
              <w:jc w:val="center"/>
              <w:rPr>
                <w:rFonts w:hint="eastAsia" w:ascii="宋体" w:hAnsi="宋体" w:eastAsia="宋体" w:cs="宋体"/>
                <w:i w:val="0"/>
                <w:iCs w:val="0"/>
                <w:color w:val="auto"/>
                <w:sz w:val="24"/>
                <w:szCs w:val="24"/>
                <w:highlight w:val="none"/>
                <w:u w:val="none"/>
              </w:rPr>
            </w:pPr>
          </w:p>
        </w:tc>
      </w:tr>
      <w:tr w14:paraId="2F4B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B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04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省厅及地市水文数据协调与接入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37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50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C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4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3265">
            <w:pPr>
              <w:jc w:val="center"/>
              <w:rPr>
                <w:rFonts w:hint="eastAsia" w:ascii="宋体" w:hAnsi="宋体" w:eastAsia="宋体" w:cs="宋体"/>
                <w:i w:val="0"/>
                <w:iCs w:val="0"/>
                <w:color w:val="auto"/>
                <w:sz w:val="24"/>
                <w:szCs w:val="24"/>
                <w:highlight w:val="none"/>
                <w:u w:val="none"/>
              </w:rPr>
            </w:pPr>
          </w:p>
        </w:tc>
      </w:tr>
      <w:tr w14:paraId="2374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23A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16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硬件设备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8449">
            <w:pPr>
              <w:jc w:val="center"/>
              <w:rPr>
                <w:rFonts w:hint="eastAsia" w:ascii="宋体" w:hAnsi="宋体" w:eastAsia="宋体" w:cs="宋体"/>
                <w:b/>
                <w:bCs/>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223F">
            <w:pPr>
              <w:jc w:val="center"/>
              <w:rPr>
                <w:rFonts w:hint="eastAsia" w:ascii="宋体" w:hAnsi="宋体" w:eastAsia="宋体" w:cs="宋体"/>
                <w:b/>
                <w:bCs/>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745B">
            <w:pPr>
              <w:jc w:val="center"/>
              <w:rPr>
                <w:rFonts w:hint="eastAsia" w:ascii="宋体" w:hAnsi="宋体" w:eastAsia="宋体" w:cs="宋体"/>
                <w:b/>
                <w:bCs/>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6A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3D6E">
            <w:pPr>
              <w:jc w:val="center"/>
              <w:rPr>
                <w:rFonts w:hint="eastAsia" w:ascii="宋体" w:hAnsi="宋体" w:eastAsia="宋体" w:cs="宋体"/>
                <w:i w:val="0"/>
                <w:iCs w:val="0"/>
                <w:color w:val="auto"/>
                <w:sz w:val="24"/>
                <w:szCs w:val="24"/>
                <w:highlight w:val="none"/>
                <w:u w:val="none"/>
              </w:rPr>
            </w:pPr>
          </w:p>
        </w:tc>
      </w:tr>
      <w:tr w14:paraId="535C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9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5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渲染服务器</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46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2C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9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F4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2270">
            <w:pPr>
              <w:jc w:val="center"/>
              <w:rPr>
                <w:rFonts w:hint="eastAsia" w:ascii="宋体" w:hAnsi="宋体" w:eastAsia="宋体" w:cs="宋体"/>
                <w:i w:val="0"/>
                <w:iCs w:val="0"/>
                <w:color w:val="auto"/>
                <w:sz w:val="24"/>
                <w:szCs w:val="24"/>
                <w:highlight w:val="none"/>
                <w:u w:val="none"/>
              </w:rPr>
            </w:pPr>
          </w:p>
        </w:tc>
      </w:tr>
      <w:tr w14:paraId="0B88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2B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E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大屏改造</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0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2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16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DB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73EE">
            <w:pPr>
              <w:jc w:val="center"/>
              <w:rPr>
                <w:rFonts w:hint="eastAsia" w:ascii="宋体" w:hAnsi="宋体" w:eastAsia="宋体" w:cs="宋体"/>
                <w:i w:val="0"/>
                <w:iCs w:val="0"/>
                <w:color w:val="auto"/>
                <w:sz w:val="24"/>
                <w:szCs w:val="24"/>
                <w:highlight w:val="none"/>
                <w:u w:val="none"/>
              </w:rPr>
            </w:pPr>
          </w:p>
        </w:tc>
      </w:tr>
      <w:tr w14:paraId="20BE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5148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0DB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0868">
            <w:pPr>
              <w:jc w:val="center"/>
              <w:rPr>
                <w:rFonts w:hint="eastAsia" w:ascii="宋体" w:hAnsi="宋体" w:eastAsia="宋体" w:cs="宋体"/>
                <w:i w:val="0"/>
                <w:iCs w:val="0"/>
                <w:color w:val="auto"/>
                <w:sz w:val="24"/>
                <w:szCs w:val="24"/>
                <w:highlight w:val="none"/>
                <w:u w:val="none"/>
              </w:rPr>
            </w:pPr>
          </w:p>
        </w:tc>
      </w:tr>
    </w:tbl>
    <w:p w14:paraId="1DF3C646">
      <w:pPr>
        <w:numPr>
          <w:ilvl w:val="0"/>
          <w:numId w:val="0"/>
        </w:numPr>
        <w:rPr>
          <w:rFonts w:hint="eastAsia" w:asciiTheme="minorEastAsia" w:hAnsiTheme="minorEastAsia" w:eastAsiaTheme="minorEastAsia" w:cstheme="minorEastAsia"/>
          <w:color w:val="auto"/>
          <w:highlight w:val="none"/>
          <w:lang w:val="en-US" w:eastAsia="zh-CN"/>
        </w:rPr>
      </w:pPr>
    </w:p>
    <w:p w14:paraId="44A5717E">
      <w:pPr>
        <w:pageBreakBefore w:val="0"/>
        <w:numPr>
          <w:ilvl w:val="0"/>
          <w:numId w:val="0"/>
        </w:numPr>
        <w:kinsoku/>
        <w:wordWrap/>
        <w:overflowPunct/>
        <w:topLinePunct w:val="0"/>
        <w:autoSpaceDE/>
        <w:autoSpaceDN/>
        <w:bidi w:val="0"/>
        <w:spacing w:after="0"/>
        <w:textAlignment w:val="auto"/>
        <w:rPr>
          <w:rFonts w:hint="eastAsia" w:asciiTheme="minorEastAsia" w:hAnsiTheme="minorEastAsia" w:eastAsiaTheme="minorEastAsia" w:cstheme="minorEastAsia"/>
          <w:b/>
          <w:bCs/>
          <w:color w:val="auto"/>
          <w:sz w:val="28"/>
          <w:szCs w:val="28"/>
          <w:highlight w:val="none"/>
          <w:lang w:val="en-US" w:eastAsia="zh-CN"/>
        </w:rPr>
      </w:pPr>
    </w:p>
    <w:p w14:paraId="2802224A">
      <w:pPr>
        <w:pStyle w:val="2"/>
        <w:bidi w:val="0"/>
        <w:spacing w:line="360" w:lineRule="auto"/>
        <w:jc w:val="center"/>
        <w:rPr>
          <w:rFonts w:hint="eastAsia" w:asciiTheme="minorEastAsia" w:hAnsiTheme="minorEastAsia" w:eastAsiaTheme="minorEastAsia" w:cstheme="minorEastAsia"/>
          <w:color w:val="auto"/>
          <w:highlight w:val="none"/>
        </w:rPr>
      </w:pPr>
      <w:bookmarkStart w:id="521" w:name="_Toc5556"/>
      <w:r>
        <w:rPr>
          <w:rFonts w:hint="eastAsia" w:asciiTheme="minorEastAsia" w:hAnsiTheme="minorEastAsia" w:eastAsiaTheme="minorEastAsia" w:cstheme="minorEastAsia"/>
          <w:color w:val="auto"/>
          <w:highlight w:val="none"/>
        </w:rPr>
        <w:t xml:space="preserve">第六章 </w:t>
      </w:r>
      <w:bookmarkStart w:id="522" w:name="_Toc77586966"/>
      <w:r>
        <w:rPr>
          <w:rFonts w:hint="eastAsia" w:asciiTheme="minorEastAsia" w:hAnsiTheme="minorEastAsia" w:eastAsiaTheme="minorEastAsia" w:cstheme="minorEastAsia"/>
          <w:color w:val="auto"/>
          <w:highlight w:val="none"/>
        </w:rPr>
        <w:t>技术标准和要求</w:t>
      </w:r>
      <w:bookmarkEnd w:id="521"/>
      <w:bookmarkEnd w:id="522"/>
    </w:p>
    <w:p w14:paraId="5074116B">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依据技术服务清单</w:t>
      </w:r>
      <w:r>
        <w:rPr>
          <w:rFonts w:hint="eastAsia" w:asciiTheme="minorEastAsia" w:hAnsiTheme="minorEastAsia" w:eastAsiaTheme="minorEastAsia" w:cstheme="minorEastAsia"/>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val="en-US" w:eastAsia="zh-CN"/>
        </w:rPr>
        <w:t>本项目</w:t>
      </w:r>
      <w:r>
        <w:rPr>
          <w:rFonts w:hint="eastAsia" w:asciiTheme="minorEastAsia" w:hAnsiTheme="minorEastAsia" w:eastAsiaTheme="minorEastAsia" w:cstheme="minorEastAsia"/>
          <w:color w:val="auto"/>
          <w:sz w:val="24"/>
          <w:szCs w:val="24"/>
          <w:highlight w:val="none"/>
        </w:rPr>
        <w:t>技术文件要求，本项目的</w:t>
      </w:r>
      <w:r>
        <w:rPr>
          <w:rFonts w:hint="eastAsia" w:asciiTheme="minorEastAsia" w:hAnsiTheme="minorEastAsia" w:eastAsiaTheme="minorEastAsia" w:cstheme="minorEastAsia"/>
          <w:color w:val="auto"/>
          <w:sz w:val="24"/>
          <w:szCs w:val="24"/>
          <w:highlight w:val="none"/>
          <w:lang w:val="en-US" w:eastAsia="zh-CN"/>
        </w:rPr>
        <w:t>服务内容、标准、所用</w:t>
      </w:r>
      <w:r>
        <w:rPr>
          <w:rFonts w:hint="eastAsia" w:asciiTheme="minorEastAsia" w:hAnsiTheme="minorEastAsia" w:eastAsiaTheme="minorEastAsia" w:cstheme="minorEastAsia"/>
          <w:color w:val="auto"/>
          <w:sz w:val="24"/>
          <w:szCs w:val="24"/>
          <w:highlight w:val="none"/>
        </w:rPr>
        <w:t>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设备必须达到现行中华人民共和国及省市行业的一切有关法规、规范的要求。</w:t>
      </w:r>
    </w:p>
    <w:p w14:paraId="1C44D6B8">
      <w:pPr>
        <w:pageBreakBefore w:val="0"/>
        <w:numPr>
          <w:ilvl w:val="0"/>
          <w:numId w:val="0"/>
        </w:numPr>
        <w:kinsoku/>
        <w:wordWrap/>
        <w:overflowPunct/>
        <w:topLinePunct w:val="0"/>
        <w:autoSpaceDE/>
        <w:autoSpaceDN/>
        <w:bidi w:val="0"/>
        <w:spacing w:after="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一、硬件部分技术要求</w:t>
      </w:r>
    </w:p>
    <w:tbl>
      <w:tblPr>
        <w:tblStyle w:val="20"/>
        <w:tblW w:w="85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536"/>
        <w:gridCol w:w="536"/>
        <w:gridCol w:w="6868"/>
      </w:tblGrid>
      <w:tr w14:paraId="4CDC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25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63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类别</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9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具体功能</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4B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4"/>
                <w:szCs w:val="24"/>
                <w:highlight w:val="none"/>
                <w:u w:val="none"/>
                <w:lang w:val="en-US"/>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 xml:space="preserve">功能描述 </w:t>
            </w:r>
          </w:p>
        </w:tc>
      </w:tr>
      <w:tr w14:paraId="5CBE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B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服务器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渲染服务器</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06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处理器 (CPU）：AMD EPYC 9334 (6338N） 处理器（或优于），≥2颗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 (RAM）：≥256GB</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系统存储 (SSD）：≥960GB 企业级 NVMe SSD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数据存储 (HDD）：1块×≥12TB企业级硬盘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RAID 控制器：≥LSI/Broadcom MegaRAID 9361-8i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图形处理器 (GPU）：≥2块 NVIDIA GeForce RTX 4090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 (PSU）：≥4个热插拔冗余电源模块，每个额定功率≥ 2200W</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机柜安装：需满足标准19英寸机柜安装导轨套件。</w:t>
            </w:r>
          </w:p>
        </w:tc>
      </w:tr>
      <w:tr w14:paraId="36E8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E3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5C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大屏</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C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拼接屏</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6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显示尺寸： 55 inch</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背光源类型：D-LED（或优于）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亮度：≤500 ± 10% cd/m²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对比度：≤1200:1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音视频输入接口：需满足（或优于）一路HDMI，一路DVI， 一路USB</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控制接口：需满足（或优于）一路RS-232IN， 一路RS-232 OUT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电源：≤100~240 VAC， 50/60 Hz</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功耗：≤245 W</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待机功耗：≤0.5W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产品尺寸：≤1213.50 (W） mm × 684.50 (H） mm × 48.49 (D） mm</w:t>
            </w:r>
          </w:p>
        </w:tc>
      </w:tr>
      <w:tr w14:paraId="4A5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F5A6">
            <w:pPr>
              <w:jc w:val="center"/>
              <w:rPr>
                <w:rFonts w:hint="eastAsia" w:asciiTheme="minorEastAsia" w:hAnsiTheme="minorEastAsia" w:eastAsiaTheme="minorEastAsia" w:cstheme="minorEastAsia"/>
                <w:i w:val="0"/>
                <w:iCs w:val="0"/>
                <w:color w:val="auto"/>
                <w:sz w:val="24"/>
                <w:szCs w:val="24"/>
                <w:highlight w:val="none"/>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E71B">
            <w:pPr>
              <w:jc w:val="center"/>
              <w:rPr>
                <w:rFonts w:hint="eastAsia" w:asciiTheme="minorEastAsia" w:hAnsiTheme="minorEastAsia" w:eastAsiaTheme="minorEastAsia" w:cstheme="minorEastAsia"/>
                <w:i w:val="0"/>
                <w:iCs w:val="0"/>
                <w:color w:val="auto"/>
                <w:sz w:val="24"/>
                <w:szCs w:val="24"/>
                <w:highlight w:val="none"/>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D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支架</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4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材质：优质冷轧钢板(SPCC）（或优于）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净重：≤13kg/个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表面处理：静电喷塑，涂层厚度&gt;60微米</w:t>
            </w:r>
          </w:p>
        </w:tc>
      </w:tr>
      <w:tr w14:paraId="5C3D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6"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2030">
            <w:pPr>
              <w:jc w:val="center"/>
              <w:rPr>
                <w:rFonts w:hint="eastAsia" w:asciiTheme="minorEastAsia" w:hAnsiTheme="minorEastAsia" w:eastAsiaTheme="minorEastAsia" w:cstheme="minorEastAsia"/>
                <w:i w:val="0"/>
                <w:iCs w:val="0"/>
                <w:color w:val="auto"/>
                <w:sz w:val="24"/>
                <w:szCs w:val="24"/>
                <w:highlight w:val="none"/>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E6A3">
            <w:pPr>
              <w:jc w:val="center"/>
              <w:rPr>
                <w:rFonts w:hint="eastAsia" w:asciiTheme="minorEastAsia" w:hAnsiTheme="minorEastAsia" w:eastAsiaTheme="minorEastAsia" w:cstheme="minorEastAsia"/>
                <w:i w:val="0"/>
                <w:iCs w:val="0"/>
                <w:color w:val="auto"/>
                <w:sz w:val="24"/>
                <w:szCs w:val="24"/>
                <w:highlight w:val="none"/>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0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超高清解码器</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F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视频输入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需满足（或优于）支持网络IPC、NVR等设备类型作为网络信号源输入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视频输出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需满足（或优于）支持HDMI 1.4视频信号输出，支持4K分辨率（3840 × 2160@30 Hz）超高清输出；需满足（或优于）对接LED显示系统，视频输出LED带载能力单口≥260W</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需满足（或优于）两种音频输出方式：HDMI内嵌音频和外置音频输出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视频编解码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需满足（或优于）H.264/H.265编码标准，需满足（或优于）子码流及主码流编码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需满足（或优于）视频解码格式：H.264，H.265，Smart264，Smart265，MJPEG</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解码分辨率：≥3200W像素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视频解码通道：160（或优于）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净重：≤ 6.40 Kg</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功耗：≤110 W </w:t>
            </w:r>
          </w:p>
        </w:tc>
      </w:tr>
      <w:tr w14:paraId="0CBA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C971">
            <w:pPr>
              <w:jc w:val="center"/>
              <w:rPr>
                <w:rFonts w:hint="eastAsia" w:asciiTheme="minorEastAsia" w:hAnsiTheme="minorEastAsia" w:eastAsiaTheme="minorEastAsia" w:cstheme="minorEastAsia"/>
                <w:i w:val="0"/>
                <w:iCs w:val="0"/>
                <w:color w:val="auto"/>
                <w:sz w:val="24"/>
                <w:szCs w:val="24"/>
                <w:highlight w:val="none"/>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E1C9">
            <w:pPr>
              <w:jc w:val="center"/>
              <w:rPr>
                <w:rFonts w:hint="eastAsia" w:asciiTheme="minorEastAsia" w:hAnsiTheme="minorEastAsia" w:eastAsiaTheme="minorEastAsia" w:cstheme="minorEastAsia"/>
                <w:i w:val="0"/>
                <w:iCs w:val="0"/>
                <w:color w:val="auto"/>
                <w:sz w:val="24"/>
                <w:szCs w:val="24"/>
                <w:highlight w:val="none"/>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F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C7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高清线，电源线，插排等辅材</w:t>
            </w:r>
          </w:p>
        </w:tc>
      </w:tr>
    </w:tbl>
    <w:p w14:paraId="6A0388ED">
      <w:pPr>
        <w:rPr>
          <w:rFonts w:hint="eastAsia" w:asciiTheme="minorEastAsia" w:hAnsiTheme="minorEastAsia" w:eastAsiaTheme="minorEastAsia" w:cstheme="minorEastAsia"/>
          <w:b/>
          <w:bCs/>
          <w:color w:val="auto"/>
          <w:sz w:val="28"/>
          <w:szCs w:val="28"/>
          <w:highlight w:val="none"/>
          <w:lang w:val="en-US" w:eastAsia="zh-CN"/>
        </w:rPr>
      </w:pPr>
    </w:p>
    <w:p w14:paraId="1AB1F1FF">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2CD9FF34">
      <w:pPr>
        <w:pageBreakBefore w:val="0"/>
        <w:numPr>
          <w:ilvl w:val="0"/>
          <w:numId w:val="0"/>
        </w:numPr>
        <w:kinsoku/>
        <w:wordWrap/>
        <w:overflowPunct/>
        <w:topLinePunct w:val="0"/>
        <w:autoSpaceDE/>
        <w:autoSpaceDN/>
        <w:bidi w:val="0"/>
        <w:spacing w:after="0"/>
        <w:textAlignment w:val="auto"/>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二、服务（软件部分）</w:t>
      </w:r>
    </w:p>
    <w:bookmarkEnd w:id="511"/>
    <w:bookmarkEnd w:id="512"/>
    <w:bookmarkEnd w:id="513"/>
    <w:bookmarkEnd w:id="514"/>
    <w:bookmarkEnd w:id="515"/>
    <w:bookmarkEnd w:id="516"/>
    <w:bookmarkEnd w:id="517"/>
    <w:bookmarkEnd w:id="518"/>
    <w:bookmarkEnd w:id="519"/>
    <w:p w14:paraId="05F4A1D3">
      <w:pPr>
        <w:keepNext w:val="0"/>
        <w:keepLines w:val="0"/>
        <w:pageBreakBefore w:val="0"/>
        <w:widowControl/>
        <w:kinsoku/>
        <w:wordWrap/>
        <w:overflowPunct/>
        <w:topLinePunct w:val="0"/>
        <w:autoSpaceDE/>
        <w:autoSpaceDN/>
        <w:bidi w:val="0"/>
        <w:adjustRightInd w:val="0"/>
        <w:snapToGrid w:val="0"/>
        <w:spacing w:after="0" w:line="360" w:lineRule="auto"/>
        <w:ind w:left="0" w:right="0" w:firstLine="500" w:firstLineChars="200"/>
        <w:textAlignment w:val="auto"/>
        <w:rPr>
          <w:rFonts w:hint="default" w:ascii="Times New Roman" w:hAnsi="Times New Roman" w:eastAsia="宋体" w:cs="Times New Roman"/>
          <w:color w:val="auto"/>
          <w:spacing w:val="5"/>
          <w:sz w:val="24"/>
          <w:szCs w:val="24"/>
          <w:highlight w:val="none"/>
          <w:lang w:val="en-US" w:eastAsia="zh-CN"/>
        </w:rPr>
      </w:pPr>
      <w:bookmarkStart w:id="523" w:name="_Toc247085870"/>
      <w:bookmarkStart w:id="524" w:name="_Toc77586965"/>
      <w:bookmarkStart w:id="525" w:name="_Toc246996353"/>
      <w:bookmarkStart w:id="526" w:name="_Toc152042574"/>
      <w:bookmarkStart w:id="527" w:name="_Toc144974854"/>
      <w:bookmarkStart w:id="528" w:name="_Toc152045785"/>
      <w:bookmarkStart w:id="529" w:name="_Toc179632804"/>
      <w:bookmarkStart w:id="530" w:name="_Toc246997096"/>
      <w:bookmarkStart w:id="531" w:name="_Toc296602599"/>
      <w:r>
        <w:rPr>
          <w:rFonts w:hint="default" w:ascii="Times New Roman" w:hAnsi="Times New Roman" w:eastAsia="宋体" w:cs="Times New Roman"/>
          <w:color w:val="auto"/>
          <w:spacing w:val="5"/>
          <w:sz w:val="24"/>
          <w:szCs w:val="24"/>
          <w:highlight w:val="none"/>
          <w:lang w:val="en-US" w:eastAsia="zh-CN"/>
        </w:rPr>
        <w:t>矩阵建设内容主要包含业务应用系统、信息资源建设和基础能力建设三方面，</w:t>
      </w:r>
      <w:r>
        <w:rPr>
          <w:rFonts w:hint="eastAsia" w:ascii="Times New Roman" w:hAnsi="Times New Roman" w:eastAsia="宋体" w:cs="Times New Roman"/>
          <w:b w:val="0"/>
          <w:bCs w:val="0"/>
          <w:color w:val="auto"/>
          <w:kern w:val="2"/>
          <w:sz w:val="24"/>
          <w:szCs w:val="24"/>
          <w:highlight w:val="none"/>
          <w:lang w:val="en-US" w:eastAsia="zh-CN" w:bidi="ar-SA"/>
        </w:rPr>
        <w:t>需</w:t>
      </w:r>
      <w:r>
        <w:rPr>
          <w:rFonts w:hint="default" w:ascii="Times New Roman" w:hAnsi="Times New Roman" w:eastAsia="宋体" w:cs="Times New Roman"/>
          <w:color w:val="auto"/>
          <w:spacing w:val="5"/>
          <w:sz w:val="24"/>
          <w:szCs w:val="24"/>
          <w:highlight w:val="none"/>
          <w:lang w:val="en-US" w:eastAsia="zh-CN"/>
        </w:rPr>
        <w:t>将系统建设中的信息化基础设施、业务支撑平台和业务应用平台囊括其中。</w:t>
      </w:r>
    </w:p>
    <w:p w14:paraId="5335D69D">
      <w:pPr>
        <w:keepNext w:val="0"/>
        <w:keepLines w:val="0"/>
        <w:pageBreakBefore w:val="0"/>
        <w:widowControl/>
        <w:kinsoku/>
        <w:wordWrap/>
        <w:overflowPunct/>
        <w:topLinePunct w:val="0"/>
        <w:autoSpaceDE/>
        <w:autoSpaceDN/>
        <w:bidi w:val="0"/>
        <w:adjustRightInd w:val="0"/>
        <w:snapToGrid w:val="0"/>
        <w:spacing w:after="0" w:line="360" w:lineRule="auto"/>
        <w:ind w:left="0" w:right="0" w:firstLine="506" w:firstLineChars="200"/>
        <w:textAlignment w:val="auto"/>
        <w:outlineLvl w:val="1"/>
        <w:rPr>
          <w:rFonts w:hint="default" w:ascii="Times New Roman" w:hAnsi="Times New Roman" w:eastAsia="宋体" w:cs="Times New Roman"/>
          <w:b/>
          <w:bCs/>
          <w:strike w:val="0"/>
          <w:dstrike w:val="0"/>
          <w:color w:val="auto"/>
          <w:spacing w:val="6"/>
          <w:sz w:val="24"/>
          <w:szCs w:val="24"/>
          <w:highlight w:val="none"/>
        </w:rPr>
      </w:pPr>
      <w:bookmarkStart w:id="532" w:name="_Toc14340"/>
      <w:bookmarkStart w:id="533" w:name="_Toc11506"/>
      <w:bookmarkStart w:id="534" w:name="_Toc28709"/>
      <w:r>
        <w:rPr>
          <w:rFonts w:hint="default" w:ascii="Times New Roman" w:hAnsi="Times New Roman" w:eastAsia="宋体" w:cs="Times New Roman"/>
          <w:b/>
          <w:bCs/>
          <w:strike w:val="0"/>
          <w:dstrike w:val="0"/>
          <w:color w:val="auto"/>
          <w:spacing w:val="6"/>
          <w:sz w:val="24"/>
          <w:szCs w:val="24"/>
          <w:highlight w:val="none"/>
        </w:rPr>
        <w:t>业务应用系统建设</w:t>
      </w:r>
      <w:bookmarkEnd w:id="532"/>
      <w:bookmarkEnd w:id="533"/>
      <w:bookmarkEnd w:id="534"/>
    </w:p>
    <w:p w14:paraId="4272D0BB">
      <w:pPr>
        <w:keepNext w:val="0"/>
        <w:keepLines w:val="0"/>
        <w:pageBreakBefore w:val="0"/>
        <w:widowControl/>
        <w:kinsoku/>
        <w:wordWrap/>
        <w:overflowPunct/>
        <w:topLinePunct w:val="0"/>
        <w:autoSpaceDE/>
        <w:autoSpaceDN/>
        <w:bidi w:val="0"/>
        <w:adjustRightInd w:val="0"/>
        <w:snapToGrid w:val="0"/>
        <w:spacing w:after="0" w:line="360" w:lineRule="auto"/>
        <w:ind w:left="0" w:right="0" w:firstLine="504" w:firstLineChars="200"/>
        <w:textAlignment w:val="auto"/>
        <w:rPr>
          <w:rFonts w:hint="default" w:ascii="Times New Roman" w:hAnsi="Times New Roman" w:eastAsia="宋体" w:cs="Times New Roman"/>
          <w:strike w:val="0"/>
          <w:dstrike w:val="0"/>
          <w:color w:val="auto"/>
          <w:spacing w:val="6"/>
          <w:sz w:val="24"/>
          <w:szCs w:val="24"/>
          <w:highlight w:val="none"/>
          <w:lang w:val="en-US" w:eastAsia="zh-CN"/>
        </w:rPr>
      </w:pPr>
      <w:r>
        <w:rPr>
          <w:rFonts w:hint="default" w:ascii="Times New Roman" w:hAnsi="Times New Roman" w:eastAsia="宋体" w:cs="Times New Roman"/>
          <w:strike w:val="0"/>
          <w:dstrike w:val="0"/>
          <w:color w:val="auto"/>
          <w:spacing w:val="6"/>
          <w:sz w:val="24"/>
          <w:szCs w:val="24"/>
          <w:highlight w:val="none"/>
          <w:lang w:val="en-US" w:eastAsia="zh-CN"/>
        </w:rPr>
        <w:t>业务应用系统主要包含综合监视舱、业务管理系统两部分，是本次矩阵建设提升的核心部分和具体应用部分，综合监视舱主要是呈现现有的数据信息，</w:t>
      </w:r>
      <w:r>
        <w:rPr>
          <w:rFonts w:hint="eastAsia" w:ascii="Times New Roman" w:hAnsi="Times New Roman" w:eastAsia="宋体" w:cs="Times New Roman"/>
          <w:b w:val="0"/>
          <w:bCs w:val="0"/>
          <w:color w:val="auto"/>
          <w:kern w:val="2"/>
          <w:sz w:val="24"/>
          <w:szCs w:val="24"/>
          <w:highlight w:val="none"/>
          <w:lang w:val="en-US" w:eastAsia="zh-CN" w:bidi="ar-SA"/>
        </w:rPr>
        <w:t>需</w:t>
      </w:r>
      <w:r>
        <w:rPr>
          <w:rFonts w:hint="default" w:ascii="Times New Roman" w:hAnsi="Times New Roman" w:eastAsia="宋体" w:cs="Times New Roman"/>
          <w:strike w:val="0"/>
          <w:dstrike w:val="0"/>
          <w:color w:val="auto"/>
          <w:spacing w:val="6"/>
          <w:sz w:val="24"/>
          <w:szCs w:val="24"/>
          <w:highlight w:val="none"/>
          <w:lang w:val="en-US" w:eastAsia="zh-CN"/>
        </w:rPr>
        <w:t>结合数字孪生效果，引入水利专业模型，全面提升防汛预警水平；业务管理系统主要是下沉到业务层面，针对调度运行、运行管护和管理保障等部分，聚焦实际业务。</w:t>
      </w:r>
    </w:p>
    <w:p w14:paraId="36B4C6E9">
      <w:pPr>
        <w:pageBreakBefore w:val="0"/>
        <w:kinsoku/>
        <w:wordWrap/>
        <w:overflowPunct/>
        <w:topLinePunct w:val="0"/>
        <w:autoSpaceDE/>
        <w:autoSpaceDN/>
        <w:bidi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rPr>
      </w:pPr>
      <w:bookmarkStart w:id="535" w:name="_Toc6401"/>
      <w:bookmarkStart w:id="536" w:name="_Toc23892"/>
      <w:bookmarkStart w:id="537" w:name="_Toc2117"/>
      <w:r>
        <w:rPr>
          <w:rFonts w:hint="default" w:ascii="Times New Roman" w:hAnsi="Times New Roman" w:eastAsia="宋体" w:cs="Times New Roman"/>
          <w:b/>
          <w:bCs/>
          <w:strike w:val="0"/>
          <w:dstrike w:val="0"/>
          <w:color w:val="auto"/>
          <w:spacing w:val="-3"/>
          <w:sz w:val="24"/>
          <w:szCs w:val="24"/>
          <w:highlight w:val="none"/>
        </w:rPr>
        <w:t>模型平台</w:t>
      </w:r>
      <w:bookmarkEnd w:id="535"/>
      <w:bookmarkEnd w:id="536"/>
      <w:bookmarkEnd w:id="537"/>
    </w:p>
    <w:p w14:paraId="391BA9F2">
      <w:pPr>
        <w:pageBreakBefore w:val="0"/>
        <w:kinsoku/>
        <w:wordWrap/>
        <w:overflowPunct/>
        <w:topLinePunct w:val="0"/>
        <w:autoSpaceDE/>
        <w:autoSpaceDN/>
        <w:bidi w:val="0"/>
        <w:spacing w:after="0" w:line="360" w:lineRule="auto"/>
        <w:ind w:left="0" w:right="0" w:firstLine="504" w:firstLineChars="200"/>
        <w:textAlignment w:val="auto"/>
        <w:rPr>
          <w:rFonts w:hint="default" w:ascii="Times New Roman" w:hAnsi="Times New Roman" w:eastAsia="宋体" w:cs="Times New Roman"/>
          <w:strike w:val="0"/>
          <w:dstrike w:val="0"/>
          <w:color w:val="auto"/>
          <w:spacing w:val="6"/>
          <w:sz w:val="24"/>
          <w:szCs w:val="24"/>
          <w:highlight w:val="none"/>
          <w:lang w:val="en-US" w:eastAsia="zh-CN"/>
        </w:rPr>
      </w:pPr>
      <w:r>
        <w:rPr>
          <w:rFonts w:hint="default" w:ascii="Times New Roman" w:hAnsi="Times New Roman" w:eastAsia="宋体" w:cs="Times New Roman"/>
          <w:strike w:val="0"/>
          <w:dstrike w:val="0"/>
          <w:color w:val="auto"/>
          <w:spacing w:val="6"/>
          <w:sz w:val="24"/>
          <w:szCs w:val="24"/>
          <w:highlight w:val="none"/>
          <w:lang w:val="en-US" w:eastAsia="zh-CN"/>
        </w:rPr>
        <w:t>模型平台主要包含水利专业模型、可视化模型。</w:t>
      </w:r>
    </w:p>
    <w:p w14:paraId="7DDE58D8">
      <w:pPr>
        <w:keepNext/>
        <w:keepLines/>
        <w:pageBreakBefore w:val="0"/>
        <w:widowControl w:val="0"/>
        <w:numPr>
          <w:ilvl w:val="3"/>
          <w:numId w:val="0"/>
        </w:numPr>
        <w:kinsoku/>
        <w:wordWrap/>
        <w:overflowPunct/>
        <w:topLinePunct w:val="0"/>
        <w:autoSpaceDE/>
        <w:autoSpaceDN/>
        <w:bidi w:val="0"/>
        <w:spacing w:after="0" w:line="360" w:lineRule="auto"/>
        <w:ind w:left="0" w:leftChars="0" w:right="0" w:firstLine="482" w:firstLineChars="200"/>
        <w:jc w:val="both"/>
        <w:textAlignment w:val="auto"/>
        <w:outlineLvl w:val="3"/>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水利专业模型</w:t>
      </w:r>
    </w:p>
    <w:p w14:paraId="46DAE178">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bookmarkStart w:id="538" w:name="OLE_LINK23"/>
      <w:bookmarkStart w:id="539" w:name="OLE_LINK6"/>
      <w:bookmarkStart w:id="540" w:name="OLE_LINK1"/>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一）</w:t>
      </w:r>
      <w:r>
        <w:rPr>
          <w:rFonts w:hint="default" w:ascii="Times New Roman" w:hAnsi="Times New Roman" w:eastAsia="宋体" w:cs="Times New Roman"/>
          <w:b/>
          <w:bCs/>
          <w:color w:val="auto"/>
          <w:sz w:val="24"/>
          <w:szCs w:val="24"/>
          <w:highlight w:val="none"/>
        </w:rPr>
        <w:t>水文预报模型</w:t>
      </w:r>
    </w:p>
    <w:bookmarkEnd w:id="538"/>
    <w:bookmarkEnd w:id="539"/>
    <w:p w14:paraId="617DB4D6">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bookmarkStart w:id="541" w:name="OLE_LINK30"/>
      <w:bookmarkStart w:id="542" w:name="OLE_LINK16"/>
      <w:r>
        <w:rPr>
          <w:rFonts w:hint="default"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sz w:val="24"/>
          <w:szCs w:val="24"/>
          <w:highlight w:val="none"/>
        </w:rPr>
        <w:t>构建预报拓扑</w:t>
      </w:r>
    </w:p>
    <w:bookmarkEnd w:id="541"/>
    <w:p w14:paraId="65356C4D">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bookmarkStart w:id="543" w:name="OLE_LINK33"/>
      <w:r>
        <w:rPr>
          <w:rFonts w:hint="default" w:ascii="Times New Roman" w:hAnsi="Times New Roman" w:eastAsia="宋体" w:cs="Times New Roman"/>
          <w:b w:val="0"/>
          <w:bCs w:val="0"/>
          <w:color w:val="auto"/>
          <w:kern w:val="2"/>
          <w:sz w:val="24"/>
          <w:szCs w:val="24"/>
          <w:highlight w:val="none"/>
          <w:lang w:val="en-US" w:eastAsia="zh-CN" w:bidi="ar-SA"/>
        </w:rPr>
        <w:t>根据预报任务，以流域为单元，以水文测站、水利工程、影响区域等为节点构建预报拓扑关系。</w:t>
      </w:r>
      <w:r>
        <w:rPr>
          <w:rFonts w:hint="eastAsia" w:ascii="Times New Roman" w:hAnsi="Times New Roman" w:eastAsia="宋体" w:cs="Times New Roman"/>
          <w:b w:val="0"/>
          <w:bCs w:val="0"/>
          <w:color w:val="auto"/>
          <w:kern w:val="2"/>
          <w:sz w:val="24"/>
          <w:szCs w:val="24"/>
          <w:highlight w:val="none"/>
          <w:lang w:val="en-US" w:eastAsia="zh-CN" w:bidi="ar-SA"/>
        </w:rPr>
        <w:t>需</w:t>
      </w:r>
      <w:r>
        <w:rPr>
          <w:rFonts w:hint="default" w:ascii="Times New Roman" w:hAnsi="Times New Roman" w:eastAsia="宋体" w:cs="Times New Roman"/>
          <w:b w:val="0"/>
          <w:bCs w:val="0"/>
          <w:color w:val="auto"/>
          <w:kern w:val="2"/>
          <w:sz w:val="24"/>
          <w:szCs w:val="24"/>
          <w:highlight w:val="none"/>
          <w:lang w:val="en-US" w:eastAsia="zh-CN" w:bidi="ar-SA"/>
        </w:rPr>
        <w:t>明确各节点的水力联系。主要包括数据收集与处理、流域概化、建立拓扑关系、验证优化、</w:t>
      </w:r>
      <w:bookmarkStart w:id="544" w:name="OLE_LINK38"/>
      <w:r>
        <w:rPr>
          <w:rFonts w:hint="default" w:ascii="Times New Roman" w:hAnsi="Times New Roman" w:eastAsia="宋体" w:cs="Times New Roman"/>
          <w:b w:val="0"/>
          <w:bCs w:val="0"/>
          <w:color w:val="auto"/>
          <w:kern w:val="2"/>
          <w:sz w:val="24"/>
          <w:szCs w:val="24"/>
          <w:highlight w:val="none"/>
          <w:lang w:val="en-US" w:eastAsia="zh-CN" w:bidi="ar-SA"/>
        </w:rPr>
        <w:t>动态调整</w:t>
      </w:r>
      <w:bookmarkEnd w:id="544"/>
      <w:r>
        <w:rPr>
          <w:rFonts w:hint="default" w:ascii="Times New Roman" w:hAnsi="Times New Roman" w:eastAsia="宋体" w:cs="Times New Roman"/>
          <w:b w:val="0"/>
          <w:bCs w:val="0"/>
          <w:color w:val="auto"/>
          <w:kern w:val="2"/>
          <w:sz w:val="24"/>
          <w:szCs w:val="24"/>
          <w:highlight w:val="none"/>
          <w:lang w:val="en-US" w:eastAsia="zh-CN" w:bidi="ar-SA"/>
        </w:rPr>
        <w:t>等步骤。</w:t>
      </w:r>
    </w:p>
    <w:bookmarkEnd w:id="543"/>
    <w:p w14:paraId="5739676E">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bookmarkStart w:id="545" w:name="OLE_LINK43"/>
      <w:bookmarkStart w:id="546" w:name="OLE_LINK27"/>
      <w:bookmarkStart w:id="547" w:name="OLE_LINK39"/>
      <w:r>
        <w:rPr>
          <w:rFonts w:hint="default" w:ascii="Times New Roman" w:hAnsi="Times New Roman" w:eastAsia="宋体" w:cs="Times New Roman"/>
          <w:b w:val="0"/>
          <w:bCs w:val="0"/>
          <w:color w:val="auto"/>
          <w:kern w:val="2"/>
          <w:sz w:val="24"/>
          <w:szCs w:val="24"/>
          <w:highlight w:val="none"/>
          <w:lang w:val="en-US" w:eastAsia="zh-CN" w:bidi="ar-SA"/>
        </w:rPr>
        <w:t>2．</w:t>
      </w:r>
      <w:r>
        <w:rPr>
          <w:rFonts w:hint="default" w:ascii="Times New Roman" w:hAnsi="Times New Roman" w:eastAsia="宋体" w:cs="Times New Roman"/>
          <w:b w:val="0"/>
          <w:bCs w:val="0"/>
          <w:color w:val="auto"/>
          <w:sz w:val="24"/>
          <w:szCs w:val="24"/>
          <w:highlight w:val="none"/>
        </w:rPr>
        <w:t>选择模型</w:t>
      </w:r>
    </w:p>
    <w:bookmarkEnd w:id="545"/>
    <w:p w14:paraId="1506E69B">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bookmarkStart w:id="548" w:name="OLE_LINK2"/>
      <w:bookmarkStart w:id="549" w:name="OLE_LINK47"/>
      <w:r>
        <w:rPr>
          <w:rFonts w:hint="default" w:ascii="Times New Roman" w:hAnsi="Times New Roman" w:eastAsia="宋体" w:cs="Times New Roman"/>
          <w:b w:val="0"/>
          <w:bCs w:val="0"/>
          <w:color w:val="auto"/>
          <w:kern w:val="2"/>
          <w:sz w:val="24"/>
          <w:szCs w:val="24"/>
          <w:highlight w:val="none"/>
          <w:lang w:val="en-US" w:eastAsia="zh-CN" w:bidi="ar-SA"/>
        </w:rPr>
        <w:t>结合窄口水库实际需求、流域特性、现有资料、模型精度等原因，</w:t>
      </w:r>
      <w:bookmarkStart w:id="550" w:name="OLE_LINK41"/>
      <w:r>
        <w:rPr>
          <w:rFonts w:hint="default" w:ascii="Times New Roman" w:hAnsi="Times New Roman" w:eastAsia="宋体" w:cs="Times New Roman"/>
          <w:b w:val="0"/>
          <w:bCs w:val="0"/>
          <w:color w:val="auto"/>
          <w:kern w:val="2"/>
          <w:sz w:val="24"/>
          <w:szCs w:val="24"/>
          <w:highlight w:val="none"/>
          <w:lang w:val="en-US" w:eastAsia="zh-CN" w:bidi="ar-SA"/>
        </w:rPr>
        <w:t>选取适当模型</w:t>
      </w:r>
      <w:bookmarkEnd w:id="550"/>
      <w:r>
        <w:rPr>
          <w:rFonts w:hint="default" w:ascii="Times New Roman" w:hAnsi="Times New Roman" w:eastAsia="宋体" w:cs="Times New Roman"/>
          <w:b w:val="0"/>
          <w:bCs w:val="0"/>
          <w:color w:val="auto"/>
          <w:kern w:val="2"/>
          <w:sz w:val="24"/>
          <w:szCs w:val="24"/>
          <w:highlight w:val="none"/>
          <w:lang w:val="en-US" w:eastAsia="zh-CN" w:bidi="ar-SA"/>
        </w:rPr>
        <w:t>进行水文预报</w:t>
      </w:r>
      <w:bookmarkEnd w:id="548"/>
      <w:bookmarkStart w:id="551" w:name="OLE_LINK56"/>
      <w:r>
        <w:rPr>
          <w:rFonts w:hint="default" w:ascii="Times New Roman" w:hAnsi="Times New Roman" w:eastAsia="宋体" w:cs="Times New Roman"/>
          <w:b w:val="0"/>
          <w:bCs w:val="0"/>
          <w:color w:val="auto"/>
          <w:kern w:val="2"/>
          <w:sz w:val="24"/>
          <w:szCs w:val="24"/>
          <w:highlight w:val="none"/>
          <w:lang w:val="en-US" w:eastAsia="zh-CN" w:bidi="ar-SA"/>
        </w:rPr>
        <w:t>。</w:t>
      </w:r>
      <w:bookmarkEnd w:id="551"/>
    </w:p>
    <w:bookmarkEnd w:id="540"/>
    <w:bookmarkEnd w:id="542"/>
    <w:bookmarkEnd w:id="546"/>
    <w:bookmarkEnd w:id="547"/>
    <w:bookmarkEnd w:id="549"/>
    <w:p w14:paraId="14C676FC">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bookmarkStart w:id="552" w:name="OLE_LINK217"/>
      <w:bookmarkStart w:id="553" w:name="OLE_LINK174"/>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二）</w:t>
      </w:r>
      <w:r>
        <w:rPr>
          <w:rFonts w:hint="default" w:ascii="Times New Roman" w:hAnsi="Times New Roman" w:eastAsia="宋体" w:cs="Times New Roman"/>
          <w:b/>
          <w:bCs/>
          <w:color w:val="auto"/>
          <w:sz w:val="24"/>
          <w:szCs w:val="24"/>
          <w:highlight w:val="none"/>
        </w:rPr>
        <w:t>洪水调度模型</w:t>
      </w:r>
    </w:p>
    <w:bookmarkEnd w:id="552"/>
    <w:p w14:paraId="1A93D5DC">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从水库防洪角度考虑，建立水库的防洪调度模型，开发水库常用调度方案，将水库调度方案程序化，形成常规水库调度方法库。</w:t>
      </w:r>
    </w:p>
    <w:p w14:paraId="4E499F37">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水库预报调度系统应使用以下几种调度方式进行调度，根据未来水库来水情况包括规程控制调度、预泄控制调度、出库控制调度、综合控制调度、期末水位控制调度。其中有闸门水库采用规程控制调度、预泄控制调度、出库控制调度、综合控制调度、期末水位控制调度等调度方式进行调度。</w:t>
      </w:r>
    </w:p>
    <w:p w14:paraId="0B7FB748">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三）</w:t>
      </w:r>
      <w:r>
        <w:rPr>
          <w:rFonts w:hint="default" w:ascii="Times New Roman" w:hAnsi="Times New Roman" w:eastAsia="宋体" w:cs="Times New Roman"/>
          <w:b/>
          <w:bCs/>
          <w:color w:val="auto"/>
          <w:sz w:val="24"/>
          <w:szCs w:val="24"/>
          <w:highlight w:val="none"/>
        </w:rPr>
        <w:t>洪水演进模型</w:t>
      </w:r>
    </w:p>
    <w:bookmarkEnd w:id="553"/>
    <w:p w14:paraId="6C939547">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构建洪水影响范围内的演进方案。</w:t>
      </w:r>
      <w:r>
        <w:rPr>
          <w:rFonts w:hint="eastAsia" w:ascii="Times New Roman" w:hAnsi="Times New Roman" w:eastAsia="宋体" w:cs="Times New Roman"/>
          <w:b w:val="0"/>
          <w:bCs w:val="0"/>
          <w:color w:val="auto"/>
          <w:kern w:val="2"/>
          <w:sz w:val="24"/>
          <w:szCs w:val="24"/>
          <w:highlight w:val="none"/>
          <w:lang w:val="en-US" w:eastAsia="zh-CN" w:bidi="ar-SA"/>
        </w:rPr>
        <w:t>需</w:t>
      </w:r>
      <w:r>
        <w:rPr>
          <w:rFonts w:hint="eastAsia" w:ascii="Times New Roman" w:hAnsi="Times New Roman" w:eastAsia="宋体" w:cs="Times New Roman"/>
          <w:color w:val="auto"/>
          <w:kern w:val="2"/>
          <w:sz w:val="24"/>
          <w:szCs w:val="24"/>
          <w:highlight w:val="none"/>
          <w:lang w:val="en-US" w:eastAsia="zh-CN" w:bidi="ar-SA"/>
        </w:rPr>
        <w:t>满足</w:t>
      </w:r>
      <w:r>
        <w:rPr>
          <w:rFonts w:hint="default" w:ascii="Times New Roman" w:hAnsi="Times New Roman" w:eastAsia="宋体" w:cs="Times New Roman"/>
          <w:color w:val="auto"/>
          <w:kern w:val="2"/>
          <w:sz w:val="24"/>
          <w:szCs w:val="24"/>
          <w:highlight w:val="none"/>
          <w:lang w:val="en-US" w:eastAsia="zh-CN" w:bidi="ar-SA"/>
        </w:rPr>
        <w:t>进行实时洪水计算、历史洪水复演、设计洪水仿真，满足洪水预演需求。</w:t>
      </w:r>
    </w:p>
    <w:p w14:paraId="6352ADC3">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sz w:val="24"/>
          <w:szCs w:val="24"/>
          <w:highlight w:val="none"/>
        </w:rPr>
        <w:t>一维水动力模型构建</w:t>
      </w:r>
    </w:p>
    <w:p w14:paraId="1FE46D39">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bookmarkStart w:id="554" w:name="OLE_LINK181"/>
      <w:r>
        <w:rPr>
          <w:rFonts w:hint="default" w:ascii="Times New Roman" w:hAnsi="Times New Roman" w:eastAsia="宋体" w:cs="Times New Roman"/>
          <w:b w:val="0"/>
          <w:bCs w:val="0"/>
          <w:color w:val="auto"/>
          <w:kern w:val="2"/>
          <w:sz w:val="24"/>
          <w:szCs w:val="24"/>
          <w:highlight w:val="none"/>
          <w:lang w:val="en-US" w:eastAsia="zh-CN" w:bidi="ar-SA"/>
        </w:rPr>
        <w:t>一维水动力模型构建主要</w:t>
      </w:r>
      <w:r>
        <w:rPr>
          <w:rFonts w:hint="eastAsia" w:ascii="Times New Roman" w:hAnsi="Times New Roman" w:eastAsia="宋体" w:cs="Times New Roman"/>
          <w:b w:val="0"/>
          <w:bCs w:val="0"/>
          <w:color w:val="auto"/>
          <w:kern w:val="2"/>
          <w:sz w:val="24"/>
          <w:szCs w:val="24"/>
          <w:highlight w:val="none"/>
          <w:lang w:val="en-US" w:eastAsia="zh-CN" w:bidi="ar-SA"/>
        </w:rPr>
        <w:t>需要</w:t>
      </w:r>
      <w:r>
        <w:rPr>
          <w:rFonts w:hint="default" w:ascii="Times New Roman" w:hAnsi="Times New Roman" w:eastAsia="宋体" w:cs="Times New Roman"/>
          <w:b w:val="0"/>
          <w:bCs w:val="0"/>
          <w:color w:val="auto"/>
          <w:kern w:val="2"/>
          <w:sz w:val="24"/>
          <w:szCs w:val="24"/>
          <w:highlight w:val="none"/>
          <w:lang w:val="en-US" w:eastAsia="zh-CN" w:bidi="ar-SA"/>
        </w:rPr>
        <w:t>包括窄口流域水系概化、干支流河道断面数据处理与输入、水利工程概化、调度规则设置等工作。</w:t>
      </w:r>
    </w:p>
    <w:bookmarkEnd w:id="554"/>
    <w:p w14:paraId="0C878B08">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bookmarkStart w:id="555" w:name="OLE_LINK192"/>
      <w:r>
        <w:rPr>
          <w:rFonts w:hint="default" w:ascii="Times New Roman" w:hAnsi="Times New Roman" w:eastAsia="宋体" w:cs="Times New Roman"/>
          <w:b w:val="0"/>
          <w:bCs w:val="0"/>
          <w:color w:val="auto"/>
          <w:kern w:val="2"/>
          <w:sz w:val="24"/>
          <w:szCs w:val="24"/>
          <w:highlight w:val="none"/>
          <w:lang w:val="en-US" w:eastAsia="zh-CN" w:bidi="ar-SA"/>
        </w:rPr>
        <w:t>2．</w:t>
      </w:r>
      <w:r>
        <w:rPr>
          <w:rFonts w:hint="default" w:ascii="Times New Roman" w:hAnsi="Times New Roman" w:eastAsia="宋体" w:cs="Times New Roman"/>
          <w:b w:val="0"/>
          <w:bCs w:val="0"/>
          <w:color w:val="auto"/>
          <w:sz w:val="24"/>
          <w:szCs w:val="24"/>
          <w:highlight w:val="none"/>
        </w:rPr>
        <w:t>二维水动力模型构建</w:t>
      </w:r>
    </w:p>
    <w:bookmarkEnd w:id="555"/>
    <w:p w14:paraId="6326DBF6">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bookmarkStart w:id="556" w:name="OLE_LINK193"/>
      <w:r>
        <w:rPr>
          <w:rFonts w:hint="default" w:ascii="Times New Roman" w:hAnsi="Times New Roman" w:eastAsia="宋体" w:cs="Times New Roman"/>
          <w:b w:val="0"/>
          <w:bCs w:val="0"/>
          <w:color w:val="auto"/>
          <w:kern w:val="2"/>
          <w:sz w:val="24"/>
          <w:szCs w:val="24"/>
          <w:highlight w:val="none"/>
          <w:lang w:val="en-US" w:eastAsia="zh-CN" w:bidi="ar-SA"/>
        </w:rPr>
        <w:t>二维水动力模型构建考虑应整个流域范围，主要包含以下工作:</w:t>
      </w:r>
    </w:p>
    <w:p w14:paraId="49CAEBDE">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网格划分，</w:t>
      </w:r>
      <w:r>
        <w:rPr>
          <w:rFonts w:hint="eastAsia" w:ascii="Times New Roman" w:hAnsi="Times New Roman" w:eastAsia="宋体" w:cs="Times New Roman"/>
          <w:b w:val="0"/>
          <w:bCs w:val="0"/>
          <w:color w:val="auto"/>
          <w:kern w:val="2"/>
          <w:sz w:val="24"/>
          <w:szCs w:val="24"/>
          <w:highlight w:val="none"/>
          <w:lang w:val="en-US" w:eastAsia="zh-CN" w:bidi="ar-SA"/>
        </w:rPr>
        <w:t>需</w:t>
      </w:r>
      <w:r>
        <w:rPr>
          <w:rFonts w:hint="default" w:ascii="Times New Roman" w:hAnsi="Times New Roman" w:eastAsia="宋体" w:cs="Times New Roman"/>
          <w:b w:val="0"/>
          <w:bCs w:val="0"/>
          <w:color w:val="auto"/>
          <w:kern w:val="2"/>
          <w:sz w:val="24"/>
          <w:szCs w:val="24"/>
          <w:highlight w:val="none"/>
          <w:lang w:val="en-US" w:eastAsia="zh-CN" w:bidi="ar-SA"/>
        </w:rPr>
        <w:t>综合考虑二维建模范围边界</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外边界）、内部线型阻水建筑物</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高速公路、铁路）、河道堤防等，</w:t>
      </w:r>
      <w:r>
        <w:rPr>
          <w:rFonts w:hint="eastAsia" w:ascii="Times New Roman" w:hAnsi="Times New Roman" w:eastAsia="宋体" w:cs="Times New Roman"/>
          <w:b w:val="0"/>
          <w:bCs w:val="0"/>
          <w:color w:val="auto"/>
          <w:kern w:val="2"/>
          <w:sz w:val="24"/>
          <w:szCs w:val="24"/>
          <w:highlight w:val="none"/>
          <w:lang w:val="en-US" w:eastAsia="zh-CN" w:bidi="ar-SA"/>
        </w:rPr>
        <w:t>并</w:t>
      </w:r>
      <w:r>
        <w:rPr>
          <w:rFonts w:hint="default" w:ascii="Times New Roman" w:hAnsi="Times New Roman" w:eastAsia="宋体" w:cs="Times New Roman"/>
          <w:b w:val="0"/>
          <w:bCs w:val="0"/>
          <w:color w:val="auto"/>
          <w:kern w:val="2"/>
          <w:sz w:val="24"/>
          <w:szCs w:val="24"/>
          <w:highlight w:val="none"/>
          <w:lang w:val="en-US" w:eastAsia="zh-CN" w:bidi="ar-SA"/>
        </w:rPr>
        <w:t>划分二维网格。</w:t>
      </w:r>
    </w:p>
    <w:p w14:paraId="4B37FB1A">
      <w:pPr>
        <w:pageBreakBefore w:val="0"/>
        <w:widowControl/>
        <w:kinsoku/>
        <w:wordWrap/>
        <w:overflowPunct/>
        <w:topLinePunct w:val="0"/>
        <w:autoSpaceDE/>
        <w:autoSpaceDN/>
        <w:bidi w:val="0"/>
        <w:spacing w:after="0" w:line="360" w:lineRule="auto"/>
        <w:ind w:left="0" w:righ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2"/>
          <w:sz w:val="24"/>
          <w:szCs w:val="24"/>
          <w:highlight w:val="none"/>
          <w:lang w:val="en-US" w:eastAsia="zh-CN" w:bidi="ar-SA"/>
        </w:rPr>
        <w:t>(2</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参数设置，二维模型参数设置</w:t>
      </w:r>
      <w:r>
        <w:rPr>
          <w:rFonts w:hint="eastAsia" w:ascii="Times New Roman" w:hAnsi="Times New Roman" w:eastAsia="宋体" w:cs="Times New Roman"/>
          <w:b w:val="0"/>
          <w:bCs w:val="0"/>
          <w:color w:val="auto"/>
          <w:kern w:val="2"/>
          <w:sz w:val="24"/>
          <w:szCs w:val="24"/>
          <w:highlight w:val="none"/>
          <w:lang w:val="en-US" w:eastAsia="zh-CN" w:bidi="ar-SA"/>
        </w:rPr>
        <w:t>需</w:t>
      </w:r>
      <w:r>
        <w:rPr>
          <w:rFonts w:hint="default" w:ascii="Times New Roman" w:hAnsi="Times New Roman" w:eastAsia="宋体" w:cs="Times New Roman"/>
          <w:b w:val="0"/>
          <w:bCs w:val="0"/>
          <w:color w:val="auto"/>
          <w:kern w:val="2"/>
          <w:sz w:val="24"/>
          <w:szCs w:val="24"/>
          <w:highlight w:val="none"/>
          <w:lang w:val="en-US" w:eastAsia="zh-CN" w:bidi="ar-SA"/>
        </w:rPr>
        <w:t>主要包括地表糙率，将根据下垫面类型</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草地、林地、裸土等）进行</w:t>
      </w:r>
      <w:r>
        <w:rPr>
          <w:rFonts w:hint="default" w:ascii="Times New Roman" w:hAnsi="Times New Roman" w:eastAsia="宋体" w:cs="Times New Roman"/>
          <w:b w:val="0"/>
          <w:bCs w:val="0"/>
          <w:color w:val="auto"/>
          <w:sz w:val="24"/>
          <w:szCs w:val="24"/>
          <w:highlight w:val="none"/>
        </w:rPr>
        <w:t>分类设置。</w:t>
      </w:r>
      <w:bookmarkEnd w:id="556"/>
    </w:p>
    <w:p w14:paraId="29AAA773">
      <w:pPr>
        <w:keepNext/>
        <w:keepLines/>
        <w:pageBreakBefore w:val="0"/>
        <w:widowControl w:val="0"/>
        <w:numPr>
          <w:ilvl w:val="3"/>
          <w:numId w:val="0"/>
        </w:numPr>
        <w:kinsoku/>
        <w:wordWrap/>
        <w:overflowPunct/>
        <w:topLinePunct w:val="0"/>
        <w:autoSpaceDE/>
        <w:autoSpaceDN/>
        <w:bidi w:val="0"/>
        <w:spacing w:after="0" w:line="360" w:lineRule="auto"/>
        <w:ind w:left="0" w:leftChars="0" w:right="0" w:firstLine="482" w:firstLineChars="200"/>
        <w:jc w:val="both"/>
        <w:textAlignment w:val="auto"/>
        <w:outlineLvl w:val="3"/>
        <w:rPr>
          <w:rFonts w:hint="default" w:ascii="Times New Roman" w:hAnsi="Times New Roman" w:eastAsia="宋体" w:cs="Times New Roman"/>
          <w:b/>
          <w:bCs w:val="0"/>
          <w:color w:val="auto"/>
          <w:kern w:val="2"/>
          <w:sz w:val="24"/>
          <w:szCs w:val="24"/>
          <w:highlight w:val="none"/>
          <w:lang w:val="en-US" w:eastAsia="zh-CN" w:bidi="ar-SA"/>
        </w:rPr>
      </w:pPr>
    </w:p>
    <w:p w14:paraId="3004B485">
      <w:pPr>
        <w:keepNext/>
        <w:keepLines/>
        <w:pageBreakBefore w:val="0"/>
        <w:widowControl w:val="0"/>
        <w:numPr>
          <w:ilvl w:val="3"/>
          <w:numId w:val="0"/>
        </w:numPr>
        <w:kinsoku/>
        <w:wordWrap/>
        <w:overflowPunct/>
        <w:topLinePunct w:val="0"/>
        <w:autoSpaceDE/>
        <w:autoSpaceDN/>
        <w:bidi w:val="0"/>
        <w:spacing w:after="0" w:line="360" w:lineRule="auto"/>
        <w:ind w:left="0" w:leftChars="0" w:right="0" w:firstLine="482" w:firstLineChars="200"/>
        <w:jc w:val="both"/>
        <w:textAlignment w:val="auto"/>
        <w:outlineLvl w:val="3"/>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可视化模型</w:t>
      </w:r>
    </w:p>
    <w:p w14:paraId="2EBBC019">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1．</w:t>
      </w:r>
      <w:r>
        <w:rPr>
          <w:rFonts w:hint="default" w:ascii="Times New Roman" w:hAnsi="Times New Roman" w:eastAsia="宋体" w:cs="Times New Roman"/>
          <w:b/>
          <w:bCs/>
          <w:color w:val="auto"/>
          <w:sz w:val="24"/>
          <w:szCs w:val="24"/>
          <w:highlight w:val="none"/>
        </w:rPr>
        <w:t>三维可视化模型</w:t>
      </w:r>
    </w:p>
    <w:p w14:paraId="170BDD46">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rPr>
        <w:t>全场景中精度可视化模型</w:t>
      </w:r>
    </w:p>
    <w:p w14:paraId="7B756E6E">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选取库区及</w:t>
      </w:r>
      <w:r>
        <w:rPr>
          <w:rFonts w:hint="default" w:ascii="Times New Roman" w:hAnsi="Times New Roman" w:eastAsia="宋体" w:cs="Times New Roman"/>
          <w:color w:val="auto"/>
          <w:sz w:val="24"/>
          <w:szCs w:val="24"/>
          <w:highlight w:val="none"/>
          <w:lang w:val="en-US" w:eastAsia="zh-CN"/>
        </w:rPr>
        <w:t>下游</w:t>
      </w:r>
      <w:r>
        <w:rPr>
          <w:rFonts w:hint="default" w:ascii="Times New Roman" w:hAnsi="Times New Roman" w:eastAsia="宋体" w:cs="Times New Roman"/>
          <w:color w:val="auto"/>
          <w:sz w:val="24"/>
          <w:szCs w:val="24"/>
          <w:highlight w:val="none"/>
        </w:rPr>
        <w:t>范围共计</w:t>
      </w:r>
      <w:r>
        <w:rPr>
          <w:rFonts w:hint="default" w:ascii="Times New Roman" w:hAnsi="Times New Roman" w:eastAsia="宋体" w:cs="Times New Roman"/>
          <w:color w:val="auto"/>
          <w:sz w:val="24"/>
          <w:szCs w:val="24"/>
          <w:highlight w:val="none"/>
          <w:lang w:val="en-US" w:eastAsia="zh-CN"/>
        </w:rPr>
        <w:t>150</w:t>
      </w:r>
      <w:r>
        <w:rPr>
          <w:rFonts w:hint="default" w:ascii="Times New Roman" w:hAnsi="Times New Roman" w:eastAsia="宋体" w:cs="Times New Roman"/>
          <w:color w:val="auto"/>
          <w:sz w:val="24"/>
          <w:szCs w:val="24"/>
          <w:highlight w:val="none"/>
        </w:rPr>
        <w:t>km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进行全场景的中精度建模，精度</w:t>
      </w:r>
      <w:r>
        <w:rPr>
          <w:rFonts w:hint="default"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达到L2.0级别。</w:t>
      </w:r>
    </w:p>
    <w:p w14:paraId="6F3AF69D">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）重点场景高精度可视化建模</w:t>
      </w:r>
    </w:p>
    <w:p w14:paraId="587B3167">
      <w:pPr>
        <w:pStyle w:val="29"/>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对</w:t>
      </w:r>
      <w:r>
        <w:rPr>
          <w:rFonts w:hint="default" w:ascii="Times New Roman" w:hAnsi="Times New Roman" w:eastAsia="宋体" w:cs="Times New Roman"/>
          <w:color w:val="auto"/>
          <w:sz w:val="24"/>
          <w:szCs w:val="24"/>
          <w:highlight w:val="none"/>
          <w:lang w:val="en-US" w:eastAsia="zh-CN"/>
        </w:rPr>
        <w:t>窄口水库</w:t>
      </w:r>
      <w:r>
        <w:rPr>
          <w:rFonts w:hint="default" w:ascii="Times New Roman" w:hAnsi="Times New Roman" w:eastAsia="宋体" w:cs="Times New Roman"/>
          <w:color w:val="auto"/>
          <w:sz w:val="24"/>
          <w:szCs w:val="24"/>
          <w:highlight w:val="none"/>
        </w:rPr>
        <w:t>库区及大坝</w:t>
      </w:r>
      <w:r>
        <w:rPr>
          <w:rFonts w:hint="eastAsia" w:ascii="Times New Roman" w:hAnsi="Times New Roman" w:eastAsia="宋体" w:cs="Times New Roman"/>
          <w:color w:val="auto"/>
          <w:sz w:val="24"/>
          <w:szCs w:val="24"/>
          <w:highlight w:val="none"/>
          <w:lang w:val="en-US" w:eastAsia="zh-CN"/>
        </w:rPr>
        <w:t>约2</w:t>
      </w:r>
      <w:r>
        <w:rPr>
          <w:rFonts w:hint="default" w:ascii="Times New Roman" w:hAnsi="Times New Roman" w:eastAsia="宋体" w:cs="Times New Roman"/>
          <w:color w:val="auto"/>
          <w:sz w:val="24"/>
          <w:szCs w:val="24"/>
          <w:highlight w:val="none"/>
        </w:rPr>
        <w:t>km</w:t>
      </w:r>
      <w:r>
        <w:rPr>
          <w:rFonts w:hint="default" w:ascii="Times New Roman" w:hAnsi="Times New Roman" w:eastAsia="宋体" w:cs="Times New Roman"/>
          <w:color w:val="auto"/>
          <w:sz w:val="24"/>
          <w:szCs w:val="24"/>
          <w:highlight w:val="none"/>
          <w:vertAlign w:val="superscript"/>
        </w:rPr>
        <w:t>2</w:t>
      </w:r>
      <w:r>
        <w:rPr>
          <w:rFonts w:hint="eastAsia" w:ascii="Times New Roman" w:hAnsi="Times New Roman" w:eastAsia="宋体" w:cs="Times New Roman"/>
          <w:color w:val="auto"/>
          <w:sz w:val="24"/>
          <w:szCs w:val="24"/>
          <w:highlight w:val="none"/>
          <w:vertAlign w:val="baseline"/>
          <w:lang w:val="en-US" w:eastAsia="zh-CN"/>
        </w:rPr>
        <w:t>范围</w:t>
      </w:r>
      <w:r>
        <w:rPr>
          <w:rFonts w:hint="default" w:ascii="Times New Roman" w:hAnsi="Times New Roman" w:eastAsia="宋体" w:cs="Times New Roman"/>
          <w:color w:val="auto"/>
          <w:sz w:val="24"/>
          <w:szCs w:val="24"/>
          <w:highlight w:val="none"/>
        </w:rPr>
        <w:t>进行倾斜摄影数据生产及场景融合处理，精度需保持与原始数据一致</w:t>
      </w:r>
      <w:r>
        <w:rPr>
          <w:rFonts w:hint="eastAsia" w:ascii="Times New Roman" w:hAnsi="Times New Roman" w:eastAsia="宋体" w:cs="Times New Roman"/>
          <w:color w:val="auto"/>
          <w:sz w:val="24"/>
          <w:szCs w:val="24"/>
          <w:highlight w:val="none"/>
          <w:lang w:eastAsia="zh-CN"/>
        </w:rPr>
        <w:t>。</w:t>
      </w:r>
    </w:p>
    <w:p w14:paraId="1F8E881C">
      <w:pPr>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rPr>
        <w:t>淹没热力图/淹没真实水体图</w:t>
      </w:r>
    </w:p>
    <w:p w14:paraId="21D1A6B9">
      <w:pPr>
        <w:pageBreakBefore w:val="0"/>
        <w:numPr>
          <w:ilvl w:val="0"/>
          <w:numId w:val="0"/>
        </w:numPr>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随时间播放淹没水深变化情况，以热力图/真实水体的形式进行展示</w:t>
      </w:r>
      <w:r>
        <w:rPr>
          <w:rFonts w:hint="default" w:ascii="Times New Roman" w:hAnsi="Times New Roman" w:eastAsia="宋体" w:cs="Times New Roman"/>
          <w:color w:val="auto"/>
          <w:sz w:val="24"/>
          <w:szCs w:val="24"/>
          <w:highlight w:val="none"/>
          <w:lang w:eastAsia="zh-CN"/>
        </w:rPr>
        <w:t>。</w:t>
      </w:r>
    </w:p>
    <w:p w14:paraId="1B346C47">
      <w:pPr>
        <w:pageBreakBefore w:val="0"/>
        <w:kinsoku/>
        <w:wordWrap/>
        <w:overflowPunct/>
        <w:topLinePunct w:val="0"/>
        <w:autoSpaceDE/>
        <w:autoSpaceDN/>
        <w:bidi w:val="0"/>
        <w:spacing w:after="0" w:line="360" w:lineRule="auto"/>
        <w:ind w:left="0" w:right="0" w:firstLine="470" w:firstLineChars="200"/>
        <w:textAlignment w:val="auto"/>
        <w:outlineLvl w:val="9"/>
        <w:rPr>
          <w:rFonts w:hint="default" w:ascii="Times New Roman" w:hAnsi="Times New Roman" w:eastAsia="宋体" w:cs="Times New Roman"/>
          <w:b/>
          <w:bCs/>
          <w:strike w:val="0"/>
          <w:dstrike w:val="0"/>
          <w:color w:val="auto"/>
          <w:spacing w:val="-3"/>
          <w:sz w:val="24"/>
          <w:szCs w:val="24"/>
          <w:highlight w:val="none"/>
          <w:lang w:val="en-US" w:eastAsia="zh-CN"/>
        </w:rPr>
      </w:pPr>
      <w:bookmarkStart w:id="557" w:name="_Toc24178"/>
      <w:bookmarkStart w:id="558" w:name="_Toc16087"/>
    </w:p>
    <w:p w14:paraId="7411EB61">
      <w:pPr>
        <w:pageBreakBefore w:val="0"/>
        <w:kinsoku/>
        <w:wordWrap/>
        <w:overflowPunct/>
        <w:topLinePunct w:val="0"/>
        <w:autoSpaceDE/>
        <w:autoSpaceDN/>
        <w:bidi w:val="0"/>
        <w:spacing w:after="0" w:line="360" w:lineRule="auto"/>
        <w:ind w:left="0" w:right="0" w:firstLine="470" w:firstLineChars="200"/>
        <w:textAlignment w:val="auto"/>
        <w:outlineLvl w:val="9"/>
        <w:rPr>
          <w:rFonts w:hint="default" w:ascii="Times New Roman" w:hAnsi="Times New Roman" w:eastAsia="宋体" w:cs="Times New Roman"/>
          <w:b/>
          <w:bCs/>
          <w:strike w:val="0"/>
          <w:dstrike w:val="0"/>
          <w:color w:val="auto"/>
          <w:spacing w:val="-3"/>
          <w:sz w:val="24"/>
          <w:szCs w:val="24"/>
          <w:highlight w:val="none"/>
          <w:lang w:val="en-US" w:eastAsia="zh-CN"/>
        </w:rPr>
      </w:pPr>
      <w:r>
        <w:rPr>
          <w:rFonts w:hint="default" w:ascii="Times New Roman" w:hAnsi="Times New Roman" w:eastAsia="宋体" w:cs="Times New Roman"/>
          <w:b/>
          <w:bCs/>
          <w:strike w:val="0"/>
          <w:dstrike w:val="0"/>
          <w:color w:val="auto"/>
          <w:spacing w:val="-3"/>
          <w:sz w:val="24"/>
          <w:szCs w:val="24"/>
          <w:highlight w:val="none"/>
          <w:lang w:val="en-US" w:eastAsia="zh-CN"/>
        </w:rPr>
        <w:t>综合监视舱</w:t>
      </w:r>
      <w:bookmarkEnd w:id="557"/>
      <w:bookmarkEnd w:id="558"/>
    </w:p>
    <w:p w14:paraId="5DFCE488">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综合监视舱模块，</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实现基础地理信息数据、业务数据、专题数据等多源异构数据融合，对管理</w:t>
      </w:r>
      <w:r>
        <w:rPr>
          <w:rFonts w:hint="default" w:ascii="Times New Roman" w:hAnsi="Times New Roman" w:eastAsia="宋体" w:cs="Times New Roman"/>
          <w:color w:val="auto"/>
          <w:sz w:val="24"/>
          <w:szCs w:val="24"/>
          <w:highlight w:val="none"/>
          <w:lang w:val="en-US" w:eastAsia="zh-CN"/>
        </w:rPr>
        <w:t>矩阵建设</w:t>
      </w:r>
      <w:r>
        <w:rPr>
          <w:rFonts w:hint="default" w:ascii="Times New Roman" w:hAnsi="Times New Roman" w:eastAsia="宋体" w:cs="Times New Roman"/>
          <w:color w:val="auto"/>
          <w:sz w:val="24"/>
          <w:szCs w:val="24"/>
          <w:highlight w:val="none"/>
        </w:rPr>
        <w:t>各业务版块的核心数据、关键指标进行一屏统揽。</w:t>
      </w:r>
    </w:p>
    <w:p w14:paraId="50307AAA">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1．</w:t>
      </w:r>
      <w:r>
        <w:rPr>
          <w:rFonts w:hint="default" w:ascii="Times New Roman" w:hAnsi="Times New Roman" w:eastAsia="宋体" w:cs="Times New Roman"/>
          <w:b/>
          <w:bCs/>
          <w:color w:val="auto"/>
          <w:sz w:val="24"/>
          <w:szCs w:val="24"/>
          <w:highlight w:val="none"/>
        </w:rPr>
        <w:t>防汛信息一览</w:t>
      </w:r>
    </w:p>
    <w:p w14:paraId="690E227E">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全面呈现</w:t>
      </w:r>
      <w:r>
        <w:rPr>
          <w:rFonts w:hint="default" w:ascii="Times New Roman" w:hAnsi="Times New Roman" w:eastAsia="宋体" w:cs="Times New Roman"/>
          <w:color w:val="auto"/>
          <w:sz w:val="24"/>
          <w:szCs w:val="24"/>
          <w:highlight w:val="none"/>
          <w:lang w:val="en-US" w:eastAsia="zh-CN"/>
        </w:rPr>
        <w:t>矩阵建设</w:t>
      </w:r>
      <w:r>
        <w:rPr>
          <w:rFonts w:hint="default" w:ascii="Times New Roman" w:hAnsi="Times New Roman" w:eastAsia="宋体" w:cs="Times New Roman"/>
          <w:color w:val="auto"/>
          <w:sz w:val="24"/>
          <w:szCs w:val="24"/>
          <w:highlight w:val="none"/>
        </w:rPr>
        <w:t>的建设成果，</w:t>
      </w:r>
      <w:r>
        <w:rPr>
          <w:rFonts w:hint="default" w:ascii="Times New Roman" w:hAnsi="Times New Roman" w:eastAsia="宋体" w:cs="Times New Roman"/>
          <w:color w:val="auto"/>
          <w:sz w:val="24"/>
          <w:szCs w:val="24"/>
          <w:highlight w:val="none"/>
          <w:lang w:val="en-US" w:eastAsia="zh-CN"/>
        </w:rPr>
        <w:t>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四全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管理、</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四制</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治</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体系、</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四预</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措施、</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四管</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等工作成果</w:t>
      </w:r>
      <w:r>
        <w:rPr>
          <w:rFonts w:hint="default" w:ascii="Times New Roman" w:hAnsi="Times New Roman" w:eastAsia="宋体" w:cs="Times New Roman"/>
          <w:color w:val="auto"/>
          <w:sz w:val="24"/>
          <w:szCs w:val="24"/>
          <w:highlight w:val="none"/>
        </w:rPr>
        <w:t>呈现在</w:t>
      </w:r>
      <w:r>
        <w:rPr>
          <w:rFonts w:hint="default" w:ascii="Times New Roman" w:hAnsi="Times New Roman" w:eastAsia="宋体" w:cs="Times New Roman"/>
          <w:color w:val="auto"/>
          <w:sz w:val="24"/>
          <w:szCs w:val="24"/>
          <w:highlight w:val="none"/>
          <w:lang w:val="en-US" w:eastAsia="zh-CN"/>
        </w:rPr>
        <w:t>矩阵首页大屏中</w:t>
      </w:r>
      <w:r>
        <w:rPr>
          <w:rFonts w:hint="default" w:ascii="Times New Roman" w:hAnsi="Times New Roman" w:eastAsia="宋体" w:cs="Times New Roman"/>
          <w:color w:val="auto"/>
          <w:sz w:val="24"/>
          <w:szCs w:val="24"/>
          <w:highlight w:val="none"/>
        </w:rPr>
        <w:t>。</w:t>
      </w:r>
    </w:p>
    <w:p w14:paraId="230B586D">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将</w:t>
      </w:r>
      <w:r>
        <w:rPr>
          <w:rFonts w:hint="default" w:ascii="Times New Roman" w:hAnsi="Times New Roman" w:eastAsia="宋体" w:cs="Times New Roman"/>
          <w:color w:val="auto"/>
          <w:sz w:val="24"/>
          <w:szCs w:val="24"/>
          <w:highlight w:val="none"/>
          <w:lang w:val="en-US" w:eastAsia="zh-CN"/>
        </w:rPr>
        <w:t>窄口</w:t>
      </w:r>
      <w:r>
        <w:rPr>
          <w:rFonts w:hint="default" w:ascii="Times New Roman" w:hAnsi="Times New Roman" w:eastAsia="宋体" w:cs="Times New Roman"/>
          <w:color w:val="auto"/>
          <w:sz w:val="24"/>
          <w:szCs w:val="24"/>
          <w:highlight w:val="none"/>
        </w:rPr>
        <w:t>水库相关的各类数据整合到三维场景中，建立基于高精度模型</w:t>
      </w:r>
      <w:r>
        <w:rPr>
          <w:rFonts w:hint="eastAsia"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rPr>
        <w:t>B/S</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浏览器/服务器）运行模式的智慧化仿真功能，通过合理的功能模块化设计，将流域管理工作中复杂的管理要素进行整合，化繁为简，提升</w:t>
      </w:r>
      <w:r>
        <w:rPr>
          <w:rFonts w:hint="eastAsia" w:ascii="Times New Roman" w:hAnsi="Times New Roman" w:eastAsia="宋体" w:cs="Times New Roman"/>
          <w:color w:val="auto"/>
          <w:sz w:val="24"/>
          <w:szCs w:val="24"/>
          <w:highlight w:val="none"/>
          <w:lang w:eastAsia="zh-CN"/>
        </w:rPr>
        <w:t>我</w:t>
      </w:r>
      <w:r>
        <w:rPr>
          <w:rFonts w:hint="eastAsia" w:ascii="Times New Roman" w:hAnsi="Times New Roman" w:eastAsia="宋体" w:cs="Times New Roman"/>
          <w:color w:val="auto"/>
          <w:sz w:val="24"/>
          <w:szCs w:val="24"/>
          <w:highlight w:val="none"/>
          <w:lang w:val="en-US" w:eastAsia="zh-CN"/>
        </w:rPr>
        <w:t>库区</w:t>
      </w:r>
      <w:r>
        <w:rPr>
          <w:rFonts w:hint="default" w:ascii="Times New Roman" w:hAnsi="Times New Roman" w:eastAsia="宋体" w:cs="Times New Roman"/>
          <w:color w:val="auto"/>
          <w:sz w:val="24"/>
          <w:szCs w:val="24"/>
          <w:highlight w:val="none"/>
        </w:rPr>
        <w:t>管理人员的管理效率。</w:t>
      </w:r>
    </w:p>
    <w:p w14:paraId="5AEE32AB">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2．</w:t>
      </w:r>
      <w:r>
        <w:rPr>
          <w:rFonts w:hint="default" w:ascii="Times New Roman" w:hAnsi="Times New Roman" w:eastAsia="宋体" w:cs="Times New Roman"/>
          <w:b/>
          <w:bCs/>
          <w:color w:val="auto"/>
          <w:sz w:val="24"/>
          <w:szCs w:val="24"/>
          <w:highlight w:val="none"/>
        </w:rPr>
        <w:t>四全模块</w:t>
      </w:r>
    </w:p>
    <w:p w14:paraId="44D04885">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四全综合监视舱</w:t>
      </w:r>
      <w:r>
        <w:rPr>
          <w:rFonts w:hint="eastAsia" w:ascii="Times New Roman" w:hAnsi="Times New Roman" w:eastAsia="宋体" w:cs="Times New Roman"/>
          <w:color w:val="auto"/>
          <w:sz w:val="24"/>
          <w:szCs w:val="24"/>
          <w:highlight w:val="none"/>
          <w:lang w:val="en-US" w:eastAsia="zh-CN"/>
        </w:rPr>
        <w:t>可以</w:t>
      </w:r>
      <w:r>
        <w:rPr>
          <w:rFonts w:hint="default" w:ascii="Times New Roman" w:hAnsi="Times New Roman" w:eastAsia="宋体" w:cs="Times New Roman"/>
          <w:color w:val="auto"/>
          <w:sz w:val="24"/>
          <w:szCs w:val="24"/>
          <w:highlight w:val="none"/>
        </w:rPr>
        <w:t>以数字渲染场景为底图，把库区、上下游、左右岸要素与数字渲染场景相融合，在场景中接入大量的监测信息、例如视频、大坝安全等。大屏两侧主要呈现水雨工情、水质、大坝安全、安防等关键实时数据，</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以图表等呈现形式直观展现。</w:t>
      </w:r>
    </w:p>
    <w:p w14:paraId="3575A941">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3．</w:t>
      </w:r>
      <w:r>
        <w:rPr>
          <w:rFonts w:hint="default" w:ascii="Times New Roman" w:hAnsi="Times New Roman" w:eastAsia="宋体" w:cs="Times New Roman"/>
          <w:b/>
          <w:bCs/>
          <w:color w:val="auto"/>
          <w:sz w:val="24"/>
          <w:szCs w:val="24"/>
          <w:highlight w:val="none"/>
        </w:rPr>
        <w:t>四制</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治</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模块</w:t>
      </w:r>
    </w:p>
    <w:p w14:paraId="5D10EFF2">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四制</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治）综合监视舱</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将水库现有的法律法规</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组织人事、</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三个责任人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、制度管理、组织培训等重点内容进行数字化存档和呈现。</w:t>
      </w:r>
    </w:p>
    <w:p w14:paraId="69B9725E">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4．</w:t>
      </w:r>
      <w:r>
        <w:rPr>
          <w:rFonts w:hint="default" w:ascii="Times New Roman" w:hAnsi="Times New Roman" w:eastAsia="宋体" w:cs="Times New Roman"/>
          <w:b/>
          <w:bCs/>
          <w:color w:val="auto"/>
          <w:sz w:val="24"/>
          <w:szCs w:val="24"/>
          <w:highlight w:val="none"/>
        </w:rPr>
        <w:t>四预模块</w:t>
      </w:r>
    </w:p>
    <w:p w14:paraId="2C437142">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四预综合监视舱</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融合气象、水文等多源数据，</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动态生成水库水位、入库流量等精准预报</w:t>
      </w:r>
      <w:r>
        <w:rPr>
          <w:rFonts w:hint="default" w:ascii="Times New Roman" w:hAnsi="Times New Roman" w:eastAsia="宋体" w:cs="Times New Roman"/>
          <w:color w:val="auto"/>
          <w:sz w:val="24"/>
          <w:szCs w:val="24"/>
          <w:highlight w:val="none"/>
          <w:lang w:val="en-US" w:eastAsia="zh-CN"/>
        </w:rPr>
        <w:t>数据</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实时监测库区风险阈值</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如超汛限水位），</w:t>
      </w:r>
      <w:r>
        <w:rPr>
          <w:rFonts w:hint="eastAsia"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rPr>
        <w:t>自动触发分级预警并向管理端推送；</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支持</w:t>
      </w:r>
      <w:r>
        <w:rPr>
          <w:rFonts w:hint="default" w:ascii="Times New Roman" w:hAnsi="Times New Roman" w:eastAsia="宋体" w:cs="Times New Roman"/>
          <w:color w:val="auto"/>
          <w:sz w:val="24"/>
          <w:szCs w:val="24"/>
          <w:highlight w:val="none"/>
          <w:lang w:val="en-US" w:eastAsia="zh-CN"/>
        </w:rPr>
        <w:t>洪水</w:t>
      </w:r>
      <w:r>
        <w:rPr>
          <w:rFonts w:hint="default" w:ascii="Times New Roman" w:hAnsi="Times New Roman" w:eastAsia="宋体" w:cs="Times New Roman"/>
          <w:color w:val="auto"/>
          <w:sz w:val="24"/>
          <w:szCs w:val="24"/>
          <w:highlight w:val="none"/>
        </w:rPr>
        <w:t>调度等三维仿真推演，模拟不同应急方案下的</w:t>
      </w:r>
      <w:r>
        <w:rPr>
          <w:rFonts w:hint="default" w:ascii="Times New Roman" w:hAnsi="Times New Roman" w:eastAsia="宋体" w:cs="Times New Roman"/>
          <w:color w:val="auto"/>
          <w:sz w:val="24"/>
          <w:szCs w:val="24"/>
          <w:highlight w:val="none"/>
          <w:lang w:val="en-US" w:eastAsia="zh-CN"/>
        </w:rPr>
        <w:t>洪水演进情况</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关联防汛预案库，一键启动泄洪调度、人员转移等应急指令，联动闸门、物资等资源协同响应。</w:t>
      </w:r>
    </w:p>
    <w:p w14:paraId="355B1BA6">
      <w:pPr>
        <w:pageBreakBefore w:val="0"/>
        <w:numPr>
          <w:ilvl w:val="0"/>
          <w:numId w:val="0"/>
        </w:numPr>
        <w:kinsoku/>
        <w:wordWrap/>
        <w:overflowPunct/>
        <w:topLinePunct w:val="0"/>
        <w:autoSpaceDE/>
        <w:autoSpaceDN/>
        <w:bidi w:val="0"/>
        <w:spacing w:after="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5．</w:t>
      </w:r>
      <w:r>
        <w:rPr>
          <w:rFonts w:hint="default" w:ascii="Times New Roman" w:hAnsi="Times New Roman" w:eastAsia="宋体" w:cs="Times New Roman"/>
          <w:b/>
          <w:bCs/>
          <w:color w:val="auto"/>
          <w:sz w:val="24"/>
          <w:szCs w:val="24"/>
          <w:highlight w:val="none"/>
        </w:rPr>
        <w:t>四管模块</w:t>
      </w:r>
    </w:p>
    <w:p w14:paraId="5ED57ACE">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四管综合监视舱</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呈现水库在安全鉴定、保护管理、工程巡查、安全管理、应急保障、维修养护等各项重点工作的成果</w:t>
      </w:r>
      <w:r>
        <w:rPr>
          <w:rFonts w:hint="default" w:ascii="Times New Roman" w:hAnsi="Times New Roman" w:eastAsia="宋体" w:cs="Times New Roman"/>
          <w:color w:val="auto"/>
          <w:sz w:val="24"/>
          <w:szCs w:val="24"/>
          <w:highlight w:val="none"/>
          <w:lang w:eastAsia="zh-CN"/>
        </w:rPr>
        <w:t>。</w:t>
      </w:r>
    </w:p>
    <w:p w14:paraId="682E2AC9">
      <w:pPr>
        <w:pageBreakBefore w:val="0"/>
        <w:kinsoku/>
        <w:wordWrap/>
        <w:overflowPunct/>
        <w:topLinePunct w:val="0"/>
        <w:autoSpaceDE/>
        <w:autoSpaceDN/>
        <w:bidi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bookmarkStart w:id="559" w:name="_Toc17675"/>
      <w:bookmarkStart w:id="560" w:name="_Toc32266"/>
      <w:bookmarkStart w:id="561" w:name="_Toc29620"/>
    </w:p>
    <w:p w14:paraId="0C9A8D15">
      <w:pPr>
        <w:pageBreakBefore w:val="0"/>
        <w:kinsoku/>
        <w:wordWrap/>
        <w:overflowPunct/>
        <w:topLinePunct w:val="0"/>
        <w:autoSpaceDE/>
        <w:autoSpaceDN/>
        <w:bidi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r>
        <w:rPr>
          <w:rFonts w:hint="default" w:ascii="Times New Roman" w:hAnsi="Times New Roman" w:eastAsia="宋体" w:cs="Times New Roman"/>
          <w:b/>
          <w:bCs/>
          <w:strike w:val="0"/>
          <w:dstrike w:val="0"/>
          <w:color w:val="auto"/>
          <w:spacing w:val="-3"/>
          <w:sz w:val="24"/>
          <w:szCs w:val="24"/>
          <w:highlight w:val="none"/>
          <w:lang w:val="en-US" w:eastAsia="zh-CN"/>
        </w:rPr>
        <w:t>业务管理平台</w:t>
      </w:r>
      <w:bookmarkEnd w:id="559"/>
      <w:bookmarkEnd w:id="560"/>
      <w:bookmarkEnd w:id="561"/>
    </w:p>
    <w:p w14:paraId="23D70B13">
      <w:pPr>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业务管理平台</w:t>
      </w:r>
      <w:r>
        <w:rPr>
          <w:rFonts w:hint="eastAsia" w:ascii="Times New Roman" w:hAnsi="Times New Roman" w:eastAsia="宋体" w:cs="Times New Roman"/>
          <w:color w:val="auto"/>
          <w:sz w:val="24"/>
          <w:szCs w:val="24"/>
          <w:highlight w:val="none"/>
          <w:lang w:eastAsia="zh-CN"/>
        </w:rPr>
        <w:t>是</w:t>
      </w:r>
      <w:r>
        <w:rPr>
          <w:rFonts w:hint="default" w:ascii="Times New Roman" w:hAnsi="Times New Roman" w:eastAsia="宋体" w:cs="Times New Roman"/>
          <w:color w:val="auto"/>
          <w:sz w:val="24"/>
          <w:szCs w:val="24"/>
          <w:highlight w:val="none"/>
        </w:rPr>
        <w:t>主要围绕</w:t>
      </w:r>
      <w:r>
        <w:rPr>
          <w:rFonts w:hint="default" w:ascii="Times New Roman" w:hAnsi="Times New Roman" w:eastAsia="宋体" w:cs="Times New Roman"/>
          <w:color w:val="auto"/>
          <w:sz w:val="24"/>
          <w:szCs w:val="24"/>
          <w:highlight w:val="none"/>
          <w:lang w:eastAsia="zh-CN"/>
        </w:rPr>
        <w:t>窄口</w:t>
      </w:r>
      <w:r>
        <w:rPr>
          <w:rFonts w:hint="default" w:ascii="Times New Roman" w:hAnsi="Times New Roman" w:eastAsia="宋体" w:cs="Times New Roman"/>
          <w:color w:val="auto"/>
          <w:sz w:val="24"/>
          <w:szCs w:val="24"/>
          <w:highlight w:val="none"/>
        </w:rPr>
        <w:t>水库</w:t>
      </w:r>
      <w:r>
        <w:rPr>
          <w:rFonts w:hint="default" w:ascii="Times New Roman" w:hAnsi="Times New Roman" w:eastAsia="宋体" w:cs="Times New Roman"/>
          <w:color w:val="auto"/>
          <w:sz w:val="24"/>
          <w:szCs w:val="24"/>
          <w:highlight w:val="none"/>
          <w:lang w:val="en-US" w:eastAsia="zh-CN"/>
        </w:rPr>
        <w:t>矩阵建设</w:t>
      </w:r>
      <w:r>
        <w:rPr>
          <w:rFonts w:hint="default" w:ascii="Times New Roman" w:hAnsi="Times New Roman" w:eastAsia="宋体" w:cs="Times New Roman"/>
          <w:color w:val="auto"/>
          <w:sz w:val="24"/>
          <w:szCs w:val="24"/>
          <w:highlight w:val="none"/>
        </w:rPr>
        <w:t>为核心，</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为基础、以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四制</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为前提、以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四预</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为决策支撑和以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四管</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为保障等四个方面，</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从前端感知设备的覆盖、到制度落实的保障、预报</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预警-预演-预案的体系支撑、再到标准化运行管理的现状支撑，全面提升</w:t>
      </w:r>
      <w:r>
        <w:rPr>
          <w:rFonts w:hint="default" w:ascii="Times New Roman" w:hAnsi="Times New Roman" w:eastAsia="宋体" w:cs="Times New Roman"/>
          <w:color w:val="auto"/>
          <w:sz w:val="24"/>
          <w:szCs w:val="24"/>
          <w:highlight w:val="none"/>
          <w:lang w:val="en-US" w:eastAsia="zh-CN"/>
        </w:rPr>
        <w:t>窄口</w:t>
      </w:r>
      <w:r>
        <w:rPr>
          <w:rFonts w:hint="default" w:ascii="Times New Roman" w:hAnsi="Times New Roman" w:eastAsia="宋体" w:cs="Times New Roman"/>
          <w:color w:val="auto"/>
          <w:sz w:val="24"/>
          <w:szCs w:val="24"/>
          <w:highlight w:val="none"/>
        </w:rPr>
        <w:t>水库运行管理精准化、信息化、现代化</w:t>
      </w:r>
      <w:r>
        <w:rPr>
          <w:rFonts w:hint="default" w:ascii="Times New Roman" w:hAnsi="Times New Roman" w:eastAsia="宋体" w:cs="Times New Roman"/>
          <w:color w:val="auto"/>
          <w:sz w:val="24"/>
          <w:szCs w:val="24"/>
          <w:highlight w:val="none"/>
          <w:lang w:val="en-US" w:eastAsia="zh-CN"/>
        </w:rPr>
        <w:t>水平</w:t>
      </w:r>
      <w:r>
        <w:rPr>
          <w:rFonts w:hint="default" w:ascii="Times New Roman" w:hAnsi="Times New Roman" w:eastAsia="宋体" w:cs="Times New Roman"/>
          <w:color w:val="auto"/>
          <w:sz w:val="24"/>
          <w:szCs w:val="24"/>
          <w:highlight w:val="none"/>
        </w:rPr>
        <w:t>。</w:t>
      </w:r>
    </w:p>
    <w:p w14:paraId="7BDBDDF6">
      <w:pPr>
        <w:rPr>
          <w:rFonts w:hint="default" w:ascii="Times New Roman" w:hAnsi="Times New Roman" w:eastAsia="宋体" w:cs="Times New Roman"/>
          <w:b/>
          <w:bCs/>
          <w:strike w:val="0"/>
          <w:dstrike w:val="0"/>
          <w:color w:val="auto"/>
          <w:spacing w:val="6"/>
          <w:sz w:val="24"/>
          <w:szCs w:val="24"/>
          <w:highlight w:val="none"/>
          <w:lang w:val="en-US" w:eastAsia="zh-CN"/>
        </w:rPr>
      </w:pPr>
      <w:bookmarkStart w:id="562" w:name="_Toc12371"/>
      <w:bookmarkStart w:id="563" w:name="_Toc10040"/>
      <w:bookmarkStart w:id="564" w:name="_Toc24971"/>
      <w:bookmarkStart w:id="565" w:name="_Toc14821"/>
      <w:r>
        <w:rPr>
          <w:rFonts w:hint="default" w:ascii="Times New Roman" w:hAnsi="Times New Roman" w:eastAsia="宋体" w:cs="Times New Roman"/>
          <w:b/>
          <w:bCs/>
          <w:strike w:val="0"/>
          <w:dstrike w:val="0"/>
          <w:color w:val="auto"/>
          <w:spacing w:val="6"/>
          <w:sz w:val="24"/>
          <w:szCs w:val="24"/>
          <w:highlight w:val="none"/>
          <w:lang w:val="en-US" w:eastAsia="zh-CN"/>
        </w:rPr>
        <w:br w:type="page"/>
      </w:r>
    </w:p>
    <w:p w14:paraId="43B2D564">
      <w:pPr>
        <w:keepNext w:val="0"/>
        <w:keepLines w:val="0"/>
        <w:pageBreakBefore w:val="0"/>
        <w:kinsoku/>
        <w:wordWrap/>
        <w:overflowPunct/>
        <w:topLinePunct w:val="0"/>
        <w:autoSpaceDE/>
        <w:autoSpaceDN/>
        <w:bidi w:val="0"/>
        <w:spacing w:after="0" w:line="360" w:lineRule="auto"/>
        <w:ind w:left="0" w:right="0" w:firstLine="506" w:firstLineChars="200"/>
        <w:textAlignment w:val="auto"/>
        <w:outlineLvl w:val="1"/>
        <w:rPr>
          <w:rFonts w:hint="default" w:ascii="Times New Roman" w:hAnsi="Times New Roman" w:eastAsia="宋体" w:cs="Times New Roman"/>
          <w:b/>
          <w:bCs/>
          <w:strike w:val="0"/>
          <w:dstrike w:val="0"/>
          <w:color w:val="auto"/>
          <w:spacing w:val="6"/>
          <w:sz w:val="24"/>
          <w:szCs w:val="24"/>
          <w:highlight w:val="none"/>
          <w:lang w:val="en-US" w:eastAsia="zh-CN"/>
        </w:rPr>
      </w:pPr>
      <w:r>
        <w:rPr>
          <w:rFonts w:hint="default" w:ascii="Times New Roman" w:hAnsi="Times New Roman" w:eastAsia="宋体" w:cs="Times New Roman"/>
          <w:b/>
          <w:bCs/>
          <w:strike w:val="0"/>
          <w:dstrike w:val="0"/>
          <w:color w:val="auto"/>
          <w:spacing w:val="6"/>
          <w:sz w:val="24"/>
          <w:szCs w:val="24"/>
          <w:highlight w:val="none"/>
          <w:lang w:val="en-US" w:eastAsia="zh-CN"/>
        </w:rPr>
        <w:t>信息资源建设</w:t>
      </w:r>
      <w:bookmarkEnd w:id="562"/>
      <w:bookmarkEnd w:id="563"/>
      <w:bookmarkEnd w:id="564"/>
      <w:bookmarkEnd w:id="565"/>
    </w:p>
    <w:p w14:paraId="2C1C4155">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信息化资源建设主要包含数据底板收集、系统集成、信息资源共享等部分。</w:t>
      </w:r>
    </w:p>
    <w:p w14:paraId="266C18D6">
      <w:pPr>
        <w:keepNext w:val="0"/>
        <w:keepLines w:val="0"/>
        <w:pageBreakBefore w:val="0"/>
        <w:kinsoku/>
        <w:wordWrap/>
        <w:overflowPunct/>
        <w:topLinePunct w:val="0"/>
        <w:autoSpaceDE/>
        <w:autoSpaceDN/>
        <w:bidi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bookmarkStart w:id="566" w:name="_Toc18720"/>
      <w:bookmarkStart w:id="567" w:name="_Toc2671"/>
      <w:bookmarkStart w:id="568" w:name="_Toc29746"/>
      <w:r>
        <w:rPr>
          <w:rFonts w:hint="default" w:ascii="Times New Roman" w:hAnsi="Times New Roman" w:eastAsia="宋体" w:cs="Times New Roman"/>
          <w:b/>
          <w:bCs/>
          <w:strike w:val="0"/>
          <w:dstrike w:val="0"/>
          <w:color w:val="auto"/>
          <w:spacing w:val="-3"/>
          <w:sz w:val="24"/>
          <w:szCs w:val="24"/>
          <w:highlight w:val="none"/>
          <w:lang w:val="en-US" w:eastAsia="zh-CN"/>
        </w:rPr>
        <w:t>数据底板</w:t>
      </w:r>
      <w:bookmarkEnd w:id="566"/>
      <w:bookmarkEnd w:id="567"/>
      <w:bookmarkEnd w:id="568"/>
    </w:p>
    <w:p w14:paraId="7A2489D9">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数据底板</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包括地理空间数据采集、基础数据、业务管理数据与外部共享数据；</w:t>
      </w:r>
    </w:p>
    <w:p w14:paraId="1D21E383">
      <w:pPr>
        <w:keepNext w:val="0"/>
        <w:keepLines w:val="0"/>
        <w:pageBreakBefore w:val="0"/>
        <w:numPr>
          <w:ilvl w:val="0"/>
          <w:numId w:val="0"/>
        </w:numPr>
        <w:kinsoku/>
        <w:wordWrap/>
        <w:overflowPunct/>
        <w:topLinePunct w:val="0"/>
        <w:autoSpaceDE/>
        <w:autoSpaceDN/>
        <w:bidi w:val="0"/>
        <w:spacing w:after="0" w:line="360" w:lineRule="auto"/>
        <w:ind w:left="0" w:right="0"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一）</w:t>
      </w:r>
      <w:r>
        <w:rPr>
          <w:rFonts w:hint="default" w:ascii="Times New Roman" w:hAnsi="Times New Roman" w:eastAsia="宋体" w:cs="Times New Roman"/>
          <w:b/>
          <w:bCs/>
          <w:color w:val="auto"/>
          <w:sz w:val="24"/>
          <w:szCs w:val="24"/>
          <w:highlight w:val="none"/>
        </w:rPr>
        <w:t>地理空间数据采集</w:t>
      </w:r>
    </w:p>
    <w:p w14:paraId="365C8843">
      <w:pPr>
        <w:keepNext w:val="0"/>
        <w:keepLines w:val="0"/>
        <w:pageBreakBefore w:val="0"/>
        <w:numPr>
          <w:ilvl w:val="0"/>
          <w:numId w:val="0"/>
        </w:numPr>
        <w:kinsoku/>
        <w:wordWrap/>
        <w:overflowPunct/>
        <w:topLinePunct w:val="0"/>
        <w:autoSpaceDE/>
        <w:autoSpaceDN/>
        <w:bidi w:val="0"/>
        <w:spacing w:after="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bookmarkStart w:id="569" w:name="_Hlk164750486"/>
      <w:r>
        <w:rPr>
          <w:rFonts w:hint="default"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sz w:val="24"/>
          <w:szCs w:val="24"/>
          <w:highlight w:val="none"/>
        </w:rPr>
        <w:t>工作内容</w:t>
      </w:r>
    </w:p>
    <w:p w14:paraId="35FE35ED">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本次数据底板建设主要分为两个部分：</w:t>
      </w:r>
      <w:r>
        <w:rPr>
          <w:rFonts w:hint="default" w:ascii="Times New Roman" w:hAnsi="Times New Roman" w:eastAsia="宋体" w:cs="Times New Roman"/>
          <w:b w:val="0"/>
          <w:bCs w:val="0"/>
          <w:color w:val="auto"/>
          <w:sz w:val="24"/>
          <w:szCs w:val="24"/>
          <w:highlight w:val="none"/>
          <w:lang w:val="en-US" w:eastAsia="zh-CN"/>
        </w:rPr>
        <w:t>地理空间数据采集以及数据底板建设。</w:t>
      </w:r>
    </w:p>
    <w:p w14:paraId="0513E1B0">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地理空间数据采集</w:t>
      </w:r>
      <w:r>
        <w:rPr>
          <w:rFonts w:hint="eastAsia" w:ascii="Times New Roman" w:hAnsi="Times New Roman" w:eastAsia="宋体" w:cs="Times New Roman"/>
          <w:b w:val="0"/>
          <w:bCs w:val="0"/>
          <w:color w:val="auto"/>
          <w:sz w:val="24"/>
          <w:szCs w:val="24"/>
          <w:highlight w:val="none"/>
          <w:lang w:val="en-US" w:eastAsia="zh-CN"/>
        </w:rPr>
        <w:t>是</w:t>
      </w:r>
      <w:r>
        <w:rPr>
          <w:rFonts w:hint="default" w:ascii="Times New Roman" w:hAnsi="Times New Roman" w:eastAsia="宋体" w:cs="Times New Roman"/>
          <w:b w:val="0"/>
          <w:bCs w:val="0"/>
          <w:color w:val="auto"/>
          <w:sz w:val="24"/>
          <w:szCs w:val="24"/>
          <w:highlight w:val="none"/>
          <w:lang w:val="en-US" w:eastAsia="zh-CN"/>
        </w:rPr>
        <w:t>主要对窄口水库下游约36km²的DEM数据进行采集；并对大坝周边约2km²的倾斜摄影数据进行采集。</w:t>
      </w:r>
    </w:p>
    <w:p w14:paraId="01B43102">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数据底板建设</w:t>
      </w:r>
      <w:r>
        <w:rPr>
          <w:rFonts w:hint="eastAsia" w:ascii="Times New Roman" w:hAnsi="Times New Roman" w:eastAsia="宋体" w:cs="Times New Roman"/>
          <w:b w:val="0"/>
          <w:bCs w:val="0"/>
          <w:color w:val="auto"/>
          <w:sz w:val="24"/>
          <w:szCs w:val="24"/>
          <w:highlight w:val="none"/>
          <w:lang w:val="en-US" w:eastAsia="zh-CN"/>
        </w:rPr>
        <w:t>是</w:t>
      </w:r>
      <w:r>
        <w:rPr>
          <w:rFonts w:hint="default" w:ascii="Times New Roman" w:hAnsi="Times New Roman" w:eastAsia="宋体" w:cs="Times New Roman"/>
          <w:b w:val="0"/>
          <w:bCs w:val="0"/>
          <w:color w:val="auto"/>
          <w:sz w:val="24"/>
          <w:szCs w:val="24"/>
          <w:highlight w:val="none"/>
          <w:lang w:val="en-US" w:eastAsia="zh-CN"/>
        </w:rPr>
        <w:t>主要包括对窄口水库库区及下游约1000km²的范围构建L1级别数据底板，并对窄口水库重点区域约150km²的范围构建L2级别数据底板，对库区及大坝进行倾斜摄影数据生产及场景融合处理，精度</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b w:val="0"/>
          <w:bCs w:val="0"/>
          <w:color w:val="auto"/>
          <w:sz w:val="24"/>
          <w:szCs w:val="24"/>
          <w:highlight w:val="none"/>
          <w:lang w:val="en-US" w:eastAsia="zh-CN"/>
        </w:rPr>
        <w:t>保持与原始数据一致。</w:t>
      </w:r>
    </w:p>
    <w:p w14:paraId="671A39DA">
      <w:pPr>
        <w:keepNext w:val="0"/>
        <w:keepLines w:val="0"/>
        <w:pageBreakBefore w:val="0"/>
        <w:numPr>
          <w:ilvl w:val="0"/>
          <w:numId w:val="0"/>
        </w:numPr>
        <w:kinsoku/>
        <w:wordWrap/>
        <w:overflowPunct/>
        <w:topLinePunct w:val="0"/>
        <w:autoSpaceDE/>
        <w:autoSpaceDN/>
        <w:bidi w:val="0"/>
        <w:spacing w:after="0" w:line="360" w:lineRule="auto"/>
        <w:ind w:left="0" w:right="0"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二）</w:t>
      </w:r>
      <w:r>
        <w:rPr>
          <w:rFonts w:hint="default" w:ascii="Times New Roman" w:hAnsi="Times New Roman" w:eastAsia="宋体" w:cs="Times New Roman"/>
          <w:b/>
          <w:bCs/>
          <w:color w:val="auto"/>
          <w:sz w:val="24"/>
          <w:szCs w:val="24"/>
          <w:highlight w:val="none"/>
        </w:rPr>
        <w:t>其余数据</w:t>
      </w:r>
    </w:p>
    <w:p w14:paraId="48975A21">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color w:val="auto"/>
          <w:sz w:val="24"/>
          <w:szCs w:val="24"/>
          <w:highlight w:val="none"/>
        </w:rPr>
        <w:t>其余数据包括业务管理数据、监测数据和对外共享数据，</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从现有建设系</w:t>
      </w:r>
      <w:r>
        <w:rPr>
          <w:rFonts w:hint="default" w:ascii="Times New Roman" w:hAnsi="Times New Roman" w:eastAsia="宋体" w:cs="Times New Roman"/>
          <w:b w:val="0"/>
          <w:bCs w:val="0"/>
          <w:color w:val="auto"/>
          <w:sz w:val="24"/>
          <w:szCs w:val="24"/>
          <w:highlight w:val="none"/>
        </w:rPr>
        <w:t>统、纸质材料和相关系统完善数据。</w:t>
      </w:r>
    </w:p>
    <w:bookmarkEnd w:id="569"/>
    <w:p w14:paraId="3CBBB838">
      <w:pPr>
        <w:keepNext w:val="0"/>
        <w:keepLines w:val="0"/>
        <w:pageBreakBefore w:val="0"/>
        <w:kinsoku/>
        <w:wordWrap/>
        <w:overflowPunct/>
        <w:topLinePunct w:val="0"/>
        <w:autoSpaceDE/>
        <w:autoSpaceDN/>
        <w:bidi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bookmarkStart w:id="570" w:name="_Toc8862"/>
      <w:bookmarkStart w:id="571" w:name="_Toc28783"/>
      <w:bookmarkStart w:id="572" w:name="_Toc30358"/>
      <w:bookmarkStart w:id="573" w:name="_Toc27473"/>
      <w:bookmarkStart w:id="574" w:name="_Toc26192"/>
      <w:bookmarkStart w:id="575" w:name="_Toc2703"/>
      <w:r>
        <w:rPr>
          <w:rFonts w:hint="default" w:ascii="Times New Roman" w:hAnsi="Times New Roman" w:eastAsia="宋体" w:cs="Times New Roman"/>
          <w:b/>
          <w:bCs/>
          <w:strike w:val="0"/>
          <w:dstrike w:val="0"/>
          <w:color w:val="auto"/>
          <w:spacing w:val="-3"/>
          <w:sz w:val="24"/>
          <w:szCs w:val="24"/>
          <w:highlight w:val="none"/>
          <w:lang w:val="en-US" w:eastAsia="zh-CN"/>
        </w:rPr>
        <w:t>系统集成</w:t>
      </w:r>
      <w:bookmarkEnd w:id="570"/>
      <w:bookmarkEnd w:id="571"/>
      <w:bookmarkEnd w:id="572"/>
    </w:p>
    <w:p w14:paraId="5E51E4D3">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bookmarkStart w:id="576" w:name="bookmark309"/>
      <w:bookmarkEnd w:id="576"/>
      <w:bookmarkStart w:id="577" w:name="bookmark310"/>
      <w:bookmarkEnd w:id="577"/>
      <w:r>
        <w:rPr>
          <w:rFonts w:hint="default" w:ascii="Times New Roman" w:hAnsi="Times New Roman" w:eastAsia="宋体" w:cs="Times New Roman"/>
          <w:color w:val="auto"/>
          <w:sz w:val="24"/>
          <w:szCs w:val="24"/>
          <w:highlight w:val="none"/>
          <w:lang w:eastAsia="zh-CN"/>
        </w:rPr>
        <w:t>窄口</w:t>
      </w:r>
      <w:r>
        <w:rPr>
          <w:rFonts w:hint="default" w:ascii="Times New Roman" w:hAnsi="Times New Roman" w:eastAsia="宋体" w:cs="Times New Roman"/>
          <w:color w:val="auto"/>
          <w:sz w:val="24"/>
          <w:szCs w:val="24"/>
          <w:highlight w:val="none"/>
        </w:rPr>
        <w:t>水库</w:t>
      </w:r>
      <w:r>
        <w:rPr>
          <w:rFonts w:hint="default" w:ascii="Times New Roman" w:hAnsi="Times New Roman" w:eastAsia="宋体" w:cs="Times New Roman"/>
          <w:color w:val="auto"/>
          <w:sz w:val="24"/>
          <w:szCs w:val="24"/>
          <w:highlight w:val="none"/>
          <w:lang w:val="en-US" w:eastAsia="zh-CN"/>
        </w:rPr>
        <w:t>现代化水库运行管理矩阵建设</w:t>
      </w:r>
      <w:r>
        <w:rPr>
          <w:rFonts w:hint="default" w:ascii="Times New Roman" w:hAnsi="Times New Roman" w:eastAsia="宋体" w:cs="Times New Roman"/>
          <w:color w:val="auto"/>
          <w:sz w:val="24"/>
          <w:szCs w:val="24"/>
          <w:highlight w:val="none"/>
        </w:rPr>
        <w:t>项目建设集成范围包括系统内部的集成以及与外部系统的集成。系统内部集成主要是对本次建设的数据底板、模型平台、知识库等部分进行集成；外部集成主要包括与外部相关系统的集成。</w:t>
      </w:r>
    </w:p>
    <w:p w14:paraId="0FDCFE02">
      <w:pPr>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软件部分</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采用集成方式，</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将现有系统平台进行接入整合，同时将雨水工情数据进行收集接入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已建的视频监控点建有视频监控平台的，</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通过对接入到视频监控平台的视频监控设备，</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采用标准的平台域互联或者SDK集成方式实现现场视频监控信息的同步采集。</w:t>
      </w:r>
    </w:p>
    <w:p w14:paraId="0B8E6865">
      <w:pPr>
        <w:keepNext w:val="0"/>
        <w:keepLines w:val="0"/>
        <w:pageBreakBefore w:val="0"/>
        <w:widowControl/>
        <w:kinsoku/>
        <w:wordWrap/>
        <w:overflowPunct/>
        <w:topLinePunct w:val="0"/>
        <w:autoSpaceDE/>
        <w:autoSpaceDN/>
        <w:bidi w:val="0"/>
        <w:adjustRightInd w:val="0"/>
        <w:snapToGrid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bookmarkStart w:id="578" w:name="_Toc7493"/>
      <w:bookmarkStart w:id="579" w:name="_Toc22144"/>
      <w:bookmarkStart w:id="580" w:name="_Toc12957"/>
    </w:p>
    <w:p w14:paraId="35580BB1">
      <w:pPr>
        <w:keepNext w:val="0"/>
        <w:keepLines w:val="0"/>
        <w:pageBreakBefore w:val="0"/>
        <w:widowControl/>
        <w:kinsoku/>
        <w:wordWrap/>
        <w:overflowPunct/>
        <w:topLinePunct w:val="0"/>
        <w:autoSpaceDE/>
        <w:autoSpaceDN/>
        <w:bidi w:val="0"/>
        <w:adjustRightInd w:val="0"/>
        <w:snapToGrid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r>
        <w:rPr>
          <w:rFonts w:hint="default" w:ascii="Times New Roman" w:hAnsi="Times New Roman" w:eastAsia="宋体" w:cs="Times New Roman"/>
          <w:b/>
          <w:bCs/>
          <w:strike w:val="0"/>
          <w:dstrike w:val="0"/>
          <w:color w:val="auto"/>
          <w:spacing w:val="-3"/>
          <w:sz w:val="24"/>
          <w:szCs w:val="24"/>
          <w:highlight w:val="none"/>
          <w:lang w:val="en-US" w:eastAsia="zh-CN"/>
        </w:rPr>
        <w:t>信息资源共享</w:t>
      </w:r>
      <w:bookmarkEnd w:id="578"/>
      <w:bookmarkEnd w:id="579"/>
      <w:bookmarkEnd w:id="580"/>
    </w:p>
    <w:p w14:paraId="048AEE3D">
      <w:pPr>
        <w:keepNext w:val="0"/>
        <w:keepLines w:val="0"/>
        <w:pageBreakBefore w:val="0"/>
        <w:widowControl/>
        <w:kinsoku/>
        <w:wordWrap/>
        <w:overflowPunct/>
        <w:topLinePunct w:val="0"/>
        <w:autoSpaceDE/>
        <w:autoSpaceDN/>
        <w:bidi w:val="0"/>
        <w:adjustRightInd w:val="0"/>
        <w:snapToGrid w:val="0"/>
        <w:spacing w:after="0" w:line="360" w:lineRule="auto"/>
        <w:ind w:left="0" w:right="0" w:firstLine="484" w:firstLineChars="200"/>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1"/>
          <w:sz w:val="24"/>
          <w:szCs w:val="24"/>
          <w:highlight w:val="none"/>
          <w:lang w:eastAsia="zh-CN"/>
        </w:rPr>
        <w:t>窄口</w:t>
      </w:r>
      <w:r>
        <w:rPr>
          <w:rFonts w:hint="default" w:ascii="Times New Roman" w:hAnsi="Times New Roman" w:eastAsia="宋体" w:cs="Times New Roman"/>
          <w:color w:val="auto"/>
          <w:spacing w:val="1"/>
          <w:sz w:val="24"/>
          <w:szCs w:val="24"/>
          <w:highlight w:val="none"/>
        </w:rPr>
        <w:t>水库</w:t>
      </w:r>
      <w:r>
        <w:rPr>
          <w:rFonts w:hint="default" w:ascii="Times New Roman" w:hAnsi="Times New Roman" w:eastAsia="宋体" w:cs="Times New Roman"/>
          <w:color w:val="auto"/>
          <w:spacing w:val="1"/>
          <w:sz w:val="24"/>
          <w:szCs w:val="24"/>
          <w:highlight w:val="none"/>
          <w:lang w:val="en-US" w:eastAsia="zh-CN"/>
        </w:rPr>
        <w:t>现代化运行管理矩阵建设</w:t>
      </w:r>
      <w:r>
        <w:rPr>
          <w:rFonts w:hint="default" w:ascii="Times New Roman" w:hAnsi="Times New Roman" w:eastAsia="宋体" w:cs="Times New Roman"/>
          <w:color w:val="auto"/>
          <w:spacing w:val="1"/>
          <w:sz w:val="24"/>
          <w:szCs w:val="24"/>
          <w:highlight w:val="none"/>
        </w:rPr>
        <w:t>项目系统建成后，将主要形成数据</w:t>
      </w:r>
      <w:r>
        <w:rPr>
          <w:rFonts w:hint="default" w:ascii="Times New Roman" w:hAnsi="Times New Roman" w:eastAsia="宋体" w:cs="Times New Roman"/>
          <w:color w:val="auto"/>
          <w:sz w:val="24"/>
          <w:szCs w:val="24"/>
          <w:highlight w:val="none"/>
        </w:rPr>
        <w:t>底板、模型平台、</w:t>
      </w:r>
      <w:r>
        <w:rPr>
          <w:rFonts w:hint="default" w:ascii="Times New Roman" w:hAnsi="Times New Roman" w:eastAsia="宋体" w:cs="Times New Roman"/>
          <w:color w:val="auto"/>
          <w:spacing w:val="-2"/>
          <w:sz w:val="24"/>
          <w:szCs w:val="24"/>
          <w:highlight w:val="none"/>
        </w:rPr>
        <w:t>业务应用系统，在符合数据保密安全管理要求的前提下，遵循水利部、流域机构和省级</w:t>
      </w:r>
      <w:r>
        <w:rPr>
          <w:rFonts w:hint="default" w:ascii="Times New Roman" w:hAnsi="Times New Roman" w:eastAsia="宋体" w:cs="Times New Roman"/>
          <w:color w:val="auto"/>
          <w:spacing w:val="-6"/>
          <w:sz w:val="24"/>
          <w:szCs w:val="24"/>
          <w:highlight w:val="none"/>
        </w:rPr>
        <w:t>统一规定的接口规范，</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pacing w:val="-6"/>
          <w:sz w:val="24"/>
          <w:szCs w:val="24"/>
          <w:highlight w:val="none"/>
        </w:rPr>
        <w:t>通过数据交换接口、服务调用的方式，实现</w:t>
      </w:r>
      <w:r>
        <w:rPr>
          <w:rFonts w:hint="default" w:ascii="Times New Roman" w:hAnsi="Times New Roman" w:eastAsia="宋体" w:cs="Times New Roman"/>
          <w:color w:val="auto"/>
          <w:spacing w:val="-6"/>
          <w:sz w:val="24"/>
          <w:szCs w:val="24"/>
          <w:highlight w:val="none"/>
          <w:lang w:eastAsia="zh-CN"/>
        </w:rPr>
        <w:t>窄口</w:t>
      </w:r>
      <w:r>
        <w:rPr>
          <w:rFonts w:hint="default" w:ascii="Times New Roman" w:hAnsi="Times New Roman" w:eastAsia="宋体" w:cs="Times New Roman"/>
          <w:color w:val="auto"/>
          <w:spacing w:val="-6"/>
          <w:sz w:val="24"/>
          <w:szCs w:val="24"/>
          <w:highlight w:val="none"/>
        </w:rPr>
        <w:t>水库</w:t>
      </w:r>
      <w:r>
        <w:rPr>
          <w:rFonts w:hint="default" w:ascii="Times New Roman" w:hAnsi="Times New Roman" w:eastAsia="宋体" w:cs="Times New Roman"/>
          <w:color w:val="auto"/>
          <w:spacing w:val="-6"/>
          <w:sz w:val="24"/>
          <w:szCs w:val="24"/>
          <w:highlight w:val="none"/>
          <w:lang w:val="en-US" w:eastAsia="zh-CN"/>
        </w:rPr>
        <w:t>矩阵建设</w:t>
      </w:r>
      <w:r>
        <w:rPr>
          <w:rFonts w:hint="default" w:ascii="Times New Roman" w:hAnsi="Times New Roman" w:eastAsia="宋体" w:cs="Times New Roman"/>
          <w:color w:val="auto"/>
          <w:spacing w:val="-5"/>
          <w:sz w:val="24"/>
          <w:szCs w:val="24"/>
          <w:highlight w:val="none"/>
        </w:rPr>
        <w:t>项目系统与省水利厅、流域机构等相关数字孪生</w:t>
      </w:r>
      <w:r>
        <w:rPr>
          <w:rFonts w:hint="default" w:ascii="Times New Roman" w:hAnsi="Times New Roman" w:eastAsia="宋体" w:cs="Times New Roman"/>
          <w:color w:val="auto"/>
          <w:spacing w:val="-6"/>
          <w:sz w:val="24"/>
          <w:szCs w:val="24"/>
          <w:highlight w:val="none"/>
        </w:rPr>
        <w:t>系统的数据和应用互联互通、数据共享。</w:t>
      </w:r>
      <w:bookmarkEnd w:id="573"/>
      <w:bookmarkEnd w:id="574"/>
      <w:bookmarkEnd w:id="575"/>
      <w:bookmarkStart w:id="581" w:name="bookmark277"/>
      <w:bookmarkEnd w:id="581"/>
      <w:bookmarkStart w:id="582" w:name="bookmark278"/>
      <w:bookmarkEnd w:id="582"/>
    </w:p>
    <w:p w14:paraId="62E48298">
      <w:pPr>
        <w:keepNext w:val="0"/>
        <w:keepLines w:val="0"/>
        <w:pageBreakBefore w:val="0"/>
        <w:widowControl/>
        <w:kinsoku/>
        <w:wordWrap/>
        <w:overflowPunct/>
        <w:topLinePunct w:val="0"/>
        <w:autoSpaceDE/>
        <w:autoSpaceDN/>
        <w:bidi w:val="0"/>
        <w:adjustRightInd w:val="0"/>
        <w:snapToGrid w:val="0"/>
        <w:spacing w:after="0" w:line="360" w:lineRule="auto"/>
        <w:ind w:left="0" w:right="0" w:firstLine="506" w:firstLineChars="200"/>
        <w:textAlignment w:val="auto"/>
        <w:rPr>
          <w:rFonts w:hint="default" w:ascii="Times New Roman" w:hAnsi="Times New Roman" w:eastAsia="宋体" w:cs="Times New Roman"/>
          <w:b/>
          <w:bCs/>
          <w:strike w:val="0"/>
          <w:dstrike w:val="0"/>
          <w:color w:val="auto"/>
          <w:spacing w:val="6"/>
          <w:sz w:val="24"/>
          <w:szCs w:val="24"/>
          <w:highlight w:val="none"/>
          <w:lang w:val="en-US" w:eastAsia="zh-CN"/>
        </w:rPr>
      </w:pPr>
      <w:r>
        <w:rPr>
          <w:rFonts w:hint="default" w:ascii="Times New Roman" w:hAnsi="Times New Roman" w:eastAsia="宋体" w:cs="Times New Roman"/>
          <w:b/>
          <w:bCs/>
          <w:strike w:val="0"/>
          <w:dstrike w:val="0"/>
          <w:color w:val="auto"/>
          <w:spacing w:val="6"/>
          <w:sz w:val="24"/>
          <w:szCs w:val="24"/>
          <w:highlight w:val="none"/>
          <w:lang w:val="en-US" w:eastAsia="zh-CN"/>
        </w:rPr>
        <w:t>基础支撑能力建设</w:t>
      </w:r>
    </w:p>
    <w:p w14:paraId="242694E0">
      <w:pPr>
        <w:keepNext w:val="0"/>
        <w:keepLines w:val="0"/>
        <w:pageBreakBefore w:val="0"/>
        <w:widowControl/>
        <w:kinsoku/>
        <w:wordWrap/>
        <w:overflowPunct/>
        <w:topLinePunct w:val="0"/>
        <w:autoSpaceDE/>
        <w:autoSpaceDN/>
        <w:bidi w:val="0"/>
        <w:adjustRightInd w:val="0"/>
        <w:snapToGrid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基础支撑力量主要由网络环境、系统支撑环境</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系统运行维护等部分构成。</w:t>
      </w:r>
    </w:p>
    <w:p w14:paraId="377A7E52">
      <w:pPr>
        <w:keepNext w:val="0"/>
        <w:keepLines w:val="0"/>
        <w:pageBreakBefore w:val="0"/>
        <w:widowControl/>
        <w:kinsoku/>
        <w:wordWrap/>
        <w:overflowPunct/>
        <w:topLinePunct w:val="0"/>
        <w:autoSpaceDE/>
        <w:autoSpaceDN/>
        <w:bidi w:val="0"/>
        <w:adjustRightInd w:val="0"/>
        <w:snapToGrid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zh-CN" w:eastAsia="zh-CN"/>
        </w:rPr>
      </w:pPr>
      <w:bookmarkStart w:id="583" w:name="_Toc25813"/>
      <w:bookmarkStart w:id="584" w:name="_Toc22795"/>
      <w:bookmarkStart w:id="585" w:name="_Toc20270"/>
      <w:r>
        <w:rPr>
          <w:rFonts w:hint="default" w:ascii="Times New Roman" w:hAnsi="Times New Roman" w:eastAsia="宋体" w:cs="Times New Roman"/>
          <w:b/>
          <w:bCs/>
          <w:strike w:val="0"/>
          <w:dstrike w:val="0"/>
          <w:color w:val="auto"/>
          <w:spacing w:val="-3"/>
          <w:sz w:val="24"/>
          <w:szCs w:val="24"/>
          <w:highlight w:val="none"/>
          <w:lang w:val="en-US" w:eastAsia="zh-CN"/>
        </w:rPr>
        <w:t>网络环境</w:t>
      </w:r>
      <w:bookmarkEnd w:id="583"/>
      <w:bookmarkEnd w:id="584"/>
      <w:bookmarkEnd w:id="585"/>
    </w:p>
    <w:p w14:paraId="254980A8">
      <w:pPr>
        <w:keepNext w:val="0"/>
        <w:keepLines w:val="0"/>
        <w:pageBreakBefore w:val="0"/>
        <w:widowControl/>
        <w:kinsoku/>
        <w:wordWrap/>
        <w:overflowPunct/>
        <w:topLinePunct w:val="0"/>
        <w:autoSpaceDE/>
        <w:autoSpaceDN/>
        <w:bidi w:val="0"/>
        <w:adjustRightInd w:val="0"/>
        <w:snapToGrid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窄口</w:t>
      </w:r>
      <w:r>
        <w:rPr>
          <w:rFonts w:hint="default" w:ascii="Times New Roman" w:hAnsi="Times New Roman" w:eastAsia="宋体" w:cs="Times New Roman"/>
          <w:color w:val="auto"/>
          <w:sz w:val="24"/>
          <w:szCs w:val="24"/>
          <w:highlight w:val="none"/>
        </w:rPr>
        <w:t>水库</w:t>
      </w:r>
      <w:r>
        <w:rPr>
          <w:rFonts w:hint="default" w:ascii="Times New Roman" w:hAnsi="Times New Roman" w:eastAsia="宋体" w:cs="Times New Roman"/>
          <w:color w:val="auto"/>
          <w:sz w:val="24"/>
          <w:szCs w:val="24"/>
          <w:highlight w:val="none"/>
          <w:lang w:val="en-US" w:eastAsia="zh-CN"/>
        </w:rPr>
        <w:t>现代化水库运行管理矩阵建设</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部署在</w:t>
      </w:r>
      <w:r>
        <w:rPr>
          <w:rFonts w:hint="default" w:ascii="Times New Roman" w:hAnsi="Times New Roman" w:eastAsia="宋体" w:cs="Times New Roman"/>
          <w:color w:val="auto"/>
          <w:sz w:val="24"/>
          <w:szCs w:val="24"/>
          <w:highlight w:val="none"/>
          <w:lang w:val="en-US" w:eastAsia="zh-CN"/>
        </w:rPr>
        <w:t>本地</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采用</w:t>
      </w:r>
      <w:r>
        <w:rPr>
          <w:rFonts w:hint="default" w:ascii="Times New Roman" w:hAnsi="Times New Roman" w:eastAsia="宋体" w:cs="Times New Roman"/>
          <w:color w:val="auto"/>
          <w:sz w:val="24"/>
          <w:szCs w:val="24"/>
          <w:highlight w:val="none"/>
          <w:lang w:val="en-US" w:eastAsia="zh-CN"/>
        </w:rPr>
        <w:t>水利专网形式，</w:t>
      </w:r>
      <w:r>
        <w:rPr>
          <w:rFonts w:hint="default" w:ascii="Times New Roman" w:hAnsi="Times New Roman" w:eastAsia="宋体" w:cs="Times New Roman"/>
          <w:color w:val="auto"/>
          <w:sz w:val="24"/>
          <w:szCs w:val="24"/>
          <w:highlight w:val="none"/>
        </w:rPr>
        <w:t>通过水利信息网，使用浏览器进行</w:t>
      </w:r>
      <w:r>
        <w:rPr>
          <w:rFonts w:hint="default" w:ascii="Times New Roman" w:hAnsi="Times New Roman" w:eastAsia="宋体" w:cs="Times New Roman"/>
          <w:color w:val="auto"/>
          <w:sz w:val="24"/>
          <w:szCs w:val="24"/>
          <w:highlight w:val="none"/>
          <w:lang w:val="en-US" w:eastAsia="zh-CN"/>
        </w:rPr>
        <w:t>访问</w:t>
      </w:r>
      <w:r>
        <w:rPr>
          <w:rFonts w:hint="default" w:ascii="Times New Roman" w:hAnsi="Times New Roman" w:eastAsia="宋体" w:cs="Times New Roman"/>
          <w:color w:val="auto"/>
          <w:sz w:val="24"/>
          <w:szCs w:val="24"/>
          <w:highlight w:val="none"/>
        </w:rPr>
        <w:t>现有建成系统</w:t>
      </w:r>
      <w:r>
        <w:rPr>
          <w:rFonts w:hint="default" w:ascii="Times New Roman" w:hAnsi="Times New Roman" w:eastAsia="宋体" w:cs="Times New Roman"/>
          <w:color w:val="auto"/>
          <w:sz w:val="24"/>
          <w:szCs w:val="24"/>
          <w:highlight w:val="none"/>
          <w:lang w:eastAsia="zh-CN"/>
        </w:rPr>
        <w:t>。</w:t>
      </w:r>
    </w:p>
    <w:p w14:paraId="7281BC6C">
      <w:pPr>
        <w:keepNext w:val="0"/>
        <w:keepLines w:val="0"/>
        <w:pageBreakBefore w:val="0"/>
        <w:widowControl/>
        <w:kinsoku/>
        <w:wordWrap/>
        <w:overflowPunct/>
        <w:topLinePunct w:val="0"/>
        <w:autoSpaceDE/>
        <w:autoSpaceDN/>
        <w:bidi w:val="0"/>
        <w:adjustRightInd w:val="0"/>
        <w:snapToGrid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zh-CN" w:eastAsia="zh-CN"/>
        </w:rPr>
      </w:pPr>
      <w:bookmarkStart w:id="586" w:name="_Toc20557"/>
      <w:bookmarkStart w:id="587" w:name="_Toc17078"/>
      <w:bookmarkStart w:id="588" w:name="_Toc16211"/>
      <w:r>
        <w:rPr>
          <w:rFonts w:hint="default" w:ascii="Times New Roman" w:hAnsi="Times New Roman" w:eastAsia="宋体" w:cs="Times New Roman"/>
          <w:b/>
          <w:bCs/>
          <w:strike w:val="0"/>
          <w:dstrike w:val="0"/>
          <w:color w:val="auto"/>
          <w:spacing w:val="-3"/>
          <w:sz w:val="24"/>
          <w:szCs w:val="24"/>
          <w:highlight w:val="none"/>
          <w:lang w:val="en-US" w:eastAsia="zh-CN"/>
        </w:rPr>
        <w:t>系统支撑环境</w:t>
      </w:r>
      <w:bookmarkEnd w:id="586"/>
      <w:bookmarkEnd w:id="587"/>
      <w:bookmarkEnd w:id="588"/>
    </w:p>
    <w:p w14:paraId="10CEEFAA">
      <w:pPr>
        <w:keepNext w:val="0"/>
        <w:keepLines w:val="0"/>
        <w:pageBreakBefore w:val="0"/>
        <w:widowControl/>
        <w:kinsoku/>
        <w:wordWrap/>
        <w:overflowPunct/>
        <w:topLinePunct w:val="0"/>
        <w:autoSpaceDE/>
        <w:autoSpaceDN/>
        <w:bidi w:val="0"/>
        <w:adjustRightInd w:val="0"/>
        <w:snapToGrid w:val="0"/>
        <w:spacing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增设</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台渲染服务器填充GPU资源的不足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用于加载三维可视化场景，并进行前后端渲染。</w:t>
      </w:r>
    </w:p>
    <w:p w14:paraId="6DBC86F3">
      <w:pPr>
        <w:keepNext w:val="0"/>
        <w:keepLines w:val="0"/>
        <w:pageBreakBefore w:val="0"/>
        <w:widowControl/>
        <w:kinsoku/>
        <w:wordWrap/>
        <w:overflowPunct/>
        <w:topLinePunct w:val="0"/>
        <w:autoSpaceDE/>
        <w:autoSpaceDN/>
        <w:bidi w:val="0"/>
        <w:adjustRightInd w:val="0"/>
        <w:snapToGrid w:val="0"/>
        <w:spacing w:after="0" w:line="360" w:lineRule="auto"/>
        <w:ind w:left="0" w:right="0" w:firstLine="470" w:firstLineChars="200"/>
        <w:textAlignment w:val="auto"/>
        <w:outlineLvl w:val="2"/>
        <w:rPr>
          <w:rFonts w:hint="default" w:ascii="Times New Roman" w:hAnsi="Times New Roman" w:eastAsia="宋体" w:cs="Times New Roman"/>
          <w:b/>
          <w:bCs/>
          <w:strike w:val="0"/>
          <w:dstrike w:val="0"/>
          <w:color w:val="auto"/>
          <w:spacing w:val="-3"/>
          <w:sz w:val="24"/>
          <w:szCs w:val="24"/>
          <w:highlight w:val="none"/>
          <w:lang w:val="en-US" w:eastAsia="zh-CN"/>
        </w:rPr>
      </w:pPr>
      <w:bookmarkStart w:id="589" w:name="_Toc28629"/>
      <w:bookmarkStart w:id="590" w:name="_Toc23271"/>
      <w:bookmarkStart w:id="591" w:name="_Toc20859"/>
      <w:r>
        <w:rPr>
          <w:rFonts w:hint="default" w:ascii="Times New Roman" w:hAnsi="Times New Roman" w:eastAsia="宋体" w:cs="Times New Roman"/>
          <w:b/>
          <w:bCs/>
          <w:strike w:val="0"/>
          <w:dstrike w:val="0"/>
          <w:color w:val="auto"/>
          <w:spacing w:val="-3"/>
          <w:sz w:val="24"/>
          <w:szCs w:val="24"/>
          <w:highlight w:val="none"/>
          <w:lang w:val="en-US" w:eastAsia="zh-CN"/>
        </w:rPr>
        <w:t>系统运行维护</w:t>
      </w:r>
      <w:bookmarkEnd w:id="589"/>
      <w:bookmarkEnd w:id="590"/>
      <w:bookmarkEnd w:id="591"/>
    </w:p>
    <w:p w14:paraId="428A9DD7">
      <w:pPr>
        <w:keepNext w:val="0"/>
        <w:keepLines w:val="0"/>
        <w:pageBreakBefore w:val="0"/>
        <w:widowControl/>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default" w:ascii="Times New Roman" w:hAnsi="Times New Roman" w:eastAsia="宋体" w:cs="Times New Roman"/>
          <w:color w:val="auto"/>
          <w:sz w:val="24"/>
          <w:szCs w:val="24"/>
          <w:highlight w:val="none"/>
        </w:rPr>
        <w:t>本项目的平台整体交付后</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年内由</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rPr>
        <w:t>负责运行维护管理工作，运行维护内容包括整个项目涉及的软件升级、技术培训、运行维护方案的制定等，并配备专人进行具体工作的实施。</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年维护期结束后</w:t>
      </w:r>
      <w:r>
        <w:rPr>
          <w:rFonts w:hint="eastAsia" w:ascii="Times New Roman" w:hAnsi="Times New Roman" w:eastAsia="宋体" w:cs="Times New Roman"/>
          <w:color w:val="auto"/>
          <w:sz w:val="24"/>
          <w:szCs w:val="24"/>
          <w:highlight w:val="none"/>
          <w:lang w:val="en-US" w:eastAsia="zh-CN"/>
        </w:rPr>
        <w:t>移交至</w:t>
      </w:r>
      <w:r>
        <w:rPr>
          <w:rFonts w:hint="default" w:ascii="Times New Roman" w:hAnsi="Times New Roman" w:eastAsia="宋体" w:cs="Times New Roman"/>
          <w:color w:val="auto"/>
          <w:sz w:val="24"/>
          <w:szCs w:val="24"/>
          <w:highlight w:val="none"/>
          <w:lang w:eastAsia="zh-CN"/>
        </w:rPr>
        <w:t>窄口</w:t>
      </w:r>
      <w:r>
        <w:rPr>
          <w:rFonts w:hint="default" w:ascii="Times New Roman" w:hAnsi="Times New Roman" w:eastAsia="宋体" w:cs="Times New Roman"/>
          <w:color w:val="auto"/>
          <w:sz w:val="24"/>
          <w:szCs w:val="24"/>
          <w:highlight w:val="none"/>
        </w:rPr>
        <w:t>水库</w:t>
      </w:r>
      <w:r>
        <w:rPr>
          <w:rFonts w:hint="default" w:ascii="Times New Roman" w:hAnsi="Times New Roman" w:eastAsia="宋体" w:cs="Times New Roman"/>
          <w:color w:val="auto"/>
          <w:sz w:val="24"/>
          <w:szCs w:val="24"/>
          <w:highlight w:val="none"/>
          <w:lang w:val="en-US" w:eastAsia="zh-CN"/>
        </w:rPr>
        <w:t>事务</w:t>
      </w:r>
      <w:r>
        <w:rPr>
          <w:rFonts w:hint="default" w:ascii="Times New Roman" w:hAnsi="Times New Roman" w:eastAsia="宋体" w:cs="Times New Roman"/>
          <w:color w:val="auto"/>
          <w:sz w:val="24"/>
          <w:szCs w:val="24"/>
          <w:highlight w:val="none"/>
        </w:rPr>
        <w:t>中心。</w:t>
      </w:r>
    </w:p>
    <w:bookmarkEnd w:id="523"/>
    <w:bookmarkEnd w:id="524"/>
    <w:bookmarkEnd w:id="525"/>
    <w:bookmarkEnd w:id="526"/>
    <w:bookmarkEnd w:id="527"/>
    <w:bookmarkEnd w:id="528"/>
    <w:bookmarkEnd w:id="529"/>
    <w:bookmarkEnd w:id="530"/>
    <w:bookmarkEnd w:id="531"/>
    <w:p w14:paraId="0C0F73B8">
      <w:pPr>
        <w:pStyle w:val="2"/>
        <w:bidi w:val="0"/>
        <w:jc w:val="both"/>
        <w:rPr>
          <w:rFonts w:hint="eastAsia" w:asciiTheme="minorEastAsia" w:hAnsiTheme="minorEastAsia" w:eastAsiaTheme="minorEastAsia" w:cstheme="minorEastAsia"/>
          <w:color w:val="auto"/>
          <w:highlight w:val="none"/>
        </w:rPr>
        <w:sectPr>
          <w:headerReference r:id="rId5" w:type="default"/>
          <w:footerReference r:id="rId6" w:type="default"/>
          <w:pgSz w:w="11905" w:h="16838"/>
          <w:pgMar w:top="1361" w:right="1474" w:bottom="1361" w:left="1474" w:header="720" w:footer="720" w:gutter="0"/>
          <w:pgBorders>
            <w:top w:val="none" w:sz="0" w:space="0"/>
            <w:left w:val="none" w:sz="0" w:space="0"/>
            <w:bottom w:val="none" w:sz="0" w:space="0"/>
            <w:right w:val="none" w:sz="0" w:space="0"/>
          </w:pgBorders>
          <w:pgNumType w:fmt="decimal"/>
          <w:cols w:space="0" w:num="1"/>
          <w:rtlGutter w:val="0"/>
          <w:docGrid w:linePitch="0" w:charSpace="0"/>
        </w:sectPr>
      </w:pPr>
      <w:bookmarkStart w:id="592" w:name="bookmark41"/>
      <w:bookmarkEnd w:id="592"/>
      <w:bookmarkStart w:id="593" w:name="bookmark42"/>
      <w:bookmarkEnd w:id="593"/>
      <w:bookmarkStart w:id="594" w:name="_Toc20505"/>
      <w:bookmarkStart w:id="595" w:name="_Toc77586967"/>
      <w:bookmarkStart w:id="596" w:name="_Toc152045786"/>
      <w:bookmarkStart w:id="597" w:name="_Toc179632806"/>
      <w:bookmarkStart w:id="598" w:name="_Toc296602600"/>
      <w:bookmarkStart w:id="599" w:name="_Toc247085872"/>
      <w:bookmarkStart w:id="600" w:name="_Toc144974855"/>
      <w:bookmarkStart w:id="601" w:name="_Toc246996354"/>
      <w:bookmarkStart w:id="602" w:name="_Toc77586869"/>
      <w:bookmarkStart w:id="603" w:name="_Toc152042575"/>
      <w:bookmarkStart w:id="604" w:name="_Toc24304"/>
      <w:bookmarkStart w:id="605" w:name="_Toc246997097"/>
    </w:p>
    <w:p w14:paraId="20D6A40B">
      <w:pPr>
        <w:pStyle w:val="2"/>
        <w:bidi w:val="0"/>
        <w:jc w:val="center"/>
        <w:rPr>
          <w:rFonts w:hint="eastAsia" w:asciiTheme="minorEastAsia" w:hAnsiTheme="minorEastAsia" w:eastAsiaTheme="minorEastAsia" w:cstheme="minorEastAsia"/>
          <w:color w:val="auto"/>
          <w:szCs w:val="36"/>
          <w:highlight w:val="none"/>
        </w:rPr>
      </w:pPr>
      <w:r>
        <w:rPr>
          <w:rFonts w:hint="eastAsia" w:asciiTheme="minorEastAsia" w:hAnsiTheme="minorEastAsia" w:eastAsiaTheme="minorEastAsia" w:cstheme="minorEastAsia"/>
          <w:color w:val="auto"/>
          <w:highlight w:val="none"/>
        </w:rPr>
        <w:t>第七章  响应文件格式</w:t>
      </w:r>
      <w:bookmarkEnd w:id="594"/>
      <w:bookmarkEnd w:id="595"/>
      <w:bookmarkEnd w:id="596"/>
      <w:bookmarkEnd w:id="597"/>
      <w:bookmarkEnd w:id="598"/>
      <w:bookmarkEnd w:id="599"/>
      <w:bookmarkEnd w:id="600"/>
      <w:bookmarkEnd w:id="601"/>
      <w:bookmarkEnd w:id="602"/>
      <w:bookmarkEnd w:id="603"/>
      <w:bookmarkEnd w:id="604"/>
      <w:bookmarkEnd w:id="605"/>
    </w:p>
    <w:p w14:paraId="43B55EEC">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此格式仅供参考）</w:t>
      </w:r>
    </w:p>
    <w:p w14:paraId="1A3C3B21">
      <w:pPr>
        <w:spacing w:line="400" w:lineRule="exact"/>
        <w:rPr>
          <w:rFonts w:hint="eastAsia" w:asciiTheme="minorEastAsia" w:hAnsiTheme="minorEastAsia" w:eastAsiaTheme="minorEastAsia" w:cstheme="minorEastAsia"/>
          <w:color w:val="auto"/>
          <w:highlight w:val="none"/>
        </w:rPr>
      </w:pPr>
    </w:p>
    <w:p w14:paraId="09EFABE4">
      <w:pPr>
        <w:spacing w:line="360" w:lineRule="auto"/>
        <w:ind w:firstLine="200"/>
        <w:jc w:val="center"/>
        <w:rPr>
          <w:rFonts w:hint="eastAsia" w:asciiTheme="minorEastAsia" w:hAnsiTheme="minorEastAsia" w:eastAsiaTheme="minorEastAsia" w:cstheme="minorEastAsia"/>
          <w:b/>
          <w:color w:val="auto"/>
          <w:sz w:val="30"/>
          <w:szCs w:val="30"/>
          <w:highlight w:val="none"/>
          <w:u w:val="single"/>
        </w:rPr>
      </w:pPr>
      <w:bookmarkStart w:id="606" w:name="_Toc247085873"/>
      <w:bookmarkStart w:id="607" w:name="_Toc246996355"/>
      <w:bookmarkStart w:id="608" w:name="_Toc144974856"/>
      <w:bookmarkStart w:id="609" w:name="_Toc152045787"/>
      <w:bookmarkStart w:id="610" w:name="_Toc152042576"/>
      <w:bookmarkStart w:id="611" w:name="_Toc296602601"/>
      <w:bookmarkStart w:id="612" w:name="_Toc246997098"/>
      <w:bookmarkStart w:id="613" w:name="_Toc179632807"/>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rPr>
        <w:t>项目名称）</w:t>
      </w:r>
    </w:p>
    <w:p w14:paraId="0024651E">
      <w:pPr>
        <w:jc w:val="center"/>
        <w:rPr>
          <w:rFonts w:hint="eastAsia" w:asciiTheme="minorEastAsia" w:hAnsiTheme="minorEastAsia" w:eastAsiaTheme="minorEastAsia" w:cstheme="minorEastAsia"/>
          <w:b/>
          <w:bCs/>
          <w:color w:val="auto"/>
          <w:sz w:val="56"/>
          <w:szCs w:val="56"/>
          <w:highlight w:val="none"/>
        </w:rPr>
      </w:pPr>
    </w:p>
    <w:p w14:paraId="38BFC3B8">
      <w:pPr>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56"/>
          <w:szCs w:val="56"/>
          <w:highlight w:val="none"/>
        </w:rPr>
        <w:t>竞争性磋商响应文件</w:t>
      </w:r>
    </w:p>
    <w:p w14:paraId="13FB07F5">
      <w:pPr>
        <w:spacing w:line="7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 xml:space="preserve">项目编号： </w:t>
      </w:r>
    </w:p>
    <w:p w14:paraId="3B71A48F">
      <w:pPr>
        <w:spacing w:line="700" w:lineRule="exact"/>
        <w:ind w:left="3534" w:hanging="3534" w:hangingChars="1100"/>
        <w:jc w:val="center"/>
        <w:rPr>
          <w:rFonts w:hint="eastAsia" w:asciiTheme="minorEastAsia" w:hAnsiTheme="minorEastAsia" w:eastAsiaTheme="minorEastAsia" w:cstheme="minorEastAsia"/>
          <w:b/>
          <w:color w:val="auto"/>
          <w:sz w:val="32"/>
          <w:szCs w:val="32"/>
          <w:highlight w:val="none"/>
        </w:rPr>
      </w:pPr>
    </w:p>
    <w:p w14:paraId="38D7AF17">
      <w:pPr>
        <w:spacing w:line="700" w:lineRule="exact"/>
        <w:rPr>
          <w:rFonts w:hint="eastAsia" w:asciiTheme="minorEastAsia" w:hAnsiTheme="minorEastAsia" w:eastAsiaTheme="minorEastAsia" w:cstheme="minorEastAsia"/>
          <w:b/>
          <w:color w:val="auto"/>
          <w:sz w:val="32"/>
          <w:szCs w:val="32"/>
          <w:highlight w:val="none"/>
        </w:rPr>
      </w:pPr>
    </w:p>
    <w:p w14:paraId="5D9FBE1C">
      <w:pPr>
        <w:spacing w:line="700" w:lineRule="exact"/>
        <w:rPr>
          <w:rFonts w:hint="eastAsia" w:asciiTheme="minorEastAsia" w:hAnsiTheme="minorEastAsia" w:eastAsiaTheme="minorEastAsia" w:cstheme="minorEastAsia"/>
          <w:b/>
          <w:bCs/>
          <w:color w:val="auto"/>
          <w:sz w:val="32"/>
          <w:szCs w:val="32"/>
          <w:highlight w:val="none"/>
        </w:rPr>
      </w:pPr>
    </w:p>
    <w:p w14:paraId="64164189">
      <w:pPr>
        <w:pStyle w:val="18"/>
        <w:ind w:firstLine="0"/>
        <w:rPr>
          <w:rFonts w:hint="eastAsia" w:asciiTheme="minorEastAsia" w:hAnsiTheme="minorEastAsia" w:eastAsiaTheme="minorEastAsia" w:cstheme="minorEastAsia"/>
          <w:color w:val="auto"/>
          <w:highlight w:val="none"/>
        </w:rPr>
      </w:pPr>
    </w:p>
    <w:p w14:paraId="2205AA02">
      <w:pPr>
        <w:rPr>
          <w:rFonts w:hint="eastAsia" w:asciiTheme="minorEastAsia" w:hAnsiTheme="minorEastAsia" w:eastAsiaTheme="minorEastAsia" w:cstheme="minorEastAsia"/>
          <w:color w:val="auto"/>
          <w:sz w:val="28"/>
          <w:szCs w:val="28"/>
          <w:highlight w:val="none"/>
        </w:rPr>
      </w:pPr>
    </w:p>
    <w:p w14:paraId="3803F5FA">
      <w:pPr>
        <w:ind w:firstLine="1280" w:firstLineChars="400"/>
        <w:rPr>
          <w:rFonts w:hint="eastAsia" w:asciiTheme="minorEastAsia" w:hAnsiTheme="minorEastAsia" w:eastAsiaTheme="minorEastAsia" w:cstheme="minorEastAsia"/>
          <w:color w:val="auto"/>
          <w:sz w:val="32"/>
          <w:szCs w:val="32"/>
          <w:highlight w:val="none"/>
        </w:rPr>
      </w:pPr>
    </w:p>
    <w:p w14:paraId="7FAA7EE1">
      <w:pPr>
        <w:ind w:firstLine="1280" w:firstLineChars="400"/>
        <w:rPr>
          <w:rFonts w:hint="eastAsia" w:asciiTheme="minorEastAsia" w:hAnsiTheme="minorEastAsia" w:eastAsiaTheme="minorEastAsia" w:cstheme="minorEastAsia"/>
          <w:color w:val="auto"/>
          <w:sz w:val="32"/>
          <w:szCs w:val="32"/>
          <w:highlight w:val="none"/>
        </w:rPr>
      </w:pPr>
    </w:p>
    <w:p w14:paraId="2F9F01D5">
      <w:pPr>
        <w:jc w:val="center"/>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lang w:val="en-US" w:eastAsia="zh-CN"/>
        </w:rPr>
        <w:t>供  应  商</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电子签章）</w:t>
      </w:r>
    </w:p>
    <w:p w14:paraId="116A8487">
      <w:pPr>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法定代表人或其委托代理人：</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电子签章）</w:t>
      </w:r>
    </w:p>
    <w:p w14:paraId="124C29F6">
      <w:pPr>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日      期：</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rPr>
        <w:t>日</w:t>
      </w:r>
    </w:p>
    <w:p w14:paraId="78F383B3">
      <w:pPr>
        <w:jc w:val="center"/>
        <w:rPr>
          <w:rFonts w:hint="eastAsia" w:asciiTheme="minorEastAsia" w:hAnsiTheme="minorEastAsia" w:eastAsiaTheme="minorEastAsia" w:cstheme="minorEastAsia"/>
          <w:color w:val="auto"/>
          <w:sz w:val="44"/>
          <w:szCs w:val="44"/>
          <w:highlight w:val="none"/>
        </w:rPr>
      </w:pPr>
    </w:p>
    <w:p w14:paraId="60BFC90A">
      <w:pPr>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color w:val="auto"/>
          <w:sz w:val="30"/>
          <w:szCs w:val="30"/>
          <w:highlight w:val="none"/>
        </w:rPr>
        <w:t>目   录</w:t>
      </w:r>
      <w:bookmarkEnd w:id="606"/>
      <w:bookmarkEnd w:id="607"/>
      <w:bookmarkEnd w:id="608"/>
      <w:bookmarkEnd w:id="609"/>
      <w:bookmarkEnd w:id="610"/>
      <w:bookmarkEnd w:id="611"/>
      <w:bookmarkEnd w:id="612"/>
      <w:bookmarkEnd w:id="613"/>
    </w:p>
    <w:p w14:paraId="39C4F10C">
      <w:pPr>
        <w:spacing w:line="5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自拟）</w:t>
      </w:r>
    </w:p>
    <w:p w14:paraId="4A7711F2">
      <w:pPr>
        <w:spacing w:line="540" w:lineRule="exact"/>
        <w:rPr>
          <w:rFonts w:hint="eastAsia" w:asciiTheme="minorEastAsia" w:hAnsiTheme="minorEastAsia" w:eastAsiaTheme="minorEastAsia" w:cstheme="minorEastAsia"/>
          <w:color w:val="auto"/>
          <w:sz w:val="20"/>
          <w:szCs w:val="20"/>
          <w:highlight w:val="none"/>
        </w:rPr>
      </w:pPr>
    </w:p>
    <w:p w14:paraId="314E2997">
      <w:pPr>
        <w:spacing w:line="540" w:lineRule="exact"/>
        <w:rPr>
          <w:rFonts w:hint="eastAsia" w:asciiTheme="minorEastAsia" w:hAnsiTheme="minorEastAsia" w:eastAsiaTheme="minorEastAsia" w:cstheme="minorEastAsia"/>
          <w:color w:val="auto"/>
          <w:sz w:val="20"/>
          <w:szCs w:val="20"/>
          <w:highlight w:val="none"/>
        </w:rPr>
      </w:pPr>
    </w:p>
    <w:p w14:paraId="0BC0474C">
      <w:pPr>
        <w:spacing w:line="540" w:lineRule="exact"/>
        <w:rPr>
          <w:rFonts w:hint="eastAsia" w:asciiTheme="minorEastAsia" w:hAnsiTheme="minorEastAsia" w:eastAsiaTheme="minorEastAsia" w:cstheme="minorEastAsia"/>
          <w:color w:val="auto"/>
          <w:sz w:val="20"/>
          <w:szCs w:val="20"/>
          <w:highlight w:val="none"/>
        </w:rPr>
      </w:pPr>
    </w:p>
    <w:p w14:paraId="686987FE">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color w:val="auto"/>
          <w:highlight w:val="none"/>
        </w:rPr>
      </w:pPr>
      <w:bookmarkStart w:id="614" w:name="_Toc179632809"/>
      <w:bookmarkStart w:id="615" w:name="_Toc77586870"/>
      <w:bookmarkStart w:id="616" w:name="_Toc152042578"/>
      <w:bookmarkStart w:id="617" w:name="_Toc296602603"/>
      <w:bookmarkStart w:id="618" w:name="_Toc246996357"/>
      <w:bookmarkStart w:id="619" w:name="_Toc246997100"/>
      <w:bookmarkStart w:id="620" w:name="_Toc152045789"/>
      <w:bookmarkStart w:id="621" w:name="_Toc247085875"/>
      <w:bookmarkStart w:id="622" w:name="_Toc77586968"/>
      <w:bookmarkStart w:id="623" w:name="_Toc144974858"/>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一、磋商响应函</w:t>
      </w:r>
      <w:bookmarkEnd w:id="614"/>
      <w:bookmarkEnd w:id="615"/>
      <w:bookmarkEnd w:id="616"/>
      <w:bookmarkEnd w:id="617"/>
      <w:bookmarkEnd w:id="618"/>
      <w:bookmarkEnd w:id="619"/>
      <w:bookmarkEnd w:id="620"/>
      <w:bookmarkEnd w:id="621"/>
      <w:bookmarkEnd w:id="622"/>
      <w:bookmarkEnd w:id="623"/>
    </w:p>
    <w:p w14:paraId="55438BD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eastAsia="zh-CN"/>
        </w:rPr>
        <w:t>（采购人</w:t>
      </w:r>
      <w:r>
        <w:rPr>
          <w:rFonts w:hint="eastAsia" w:asciiTheme="minorEastAsia" w:hAnsiTheme="minorEastAsia" w:eastAsiaTheme="minorEastAsia" w:cstheme="minorEastAsia"/>
          <w:color w:val="auto"/>
          <w:kern w:val="0"/>
          <w:sz w:val="24"/>
          <w:szCs w:val="24"/>
          <w:highlight w:val="none"/>
          <w:u w:val="single"/>
        </w:rPr>
        <w:t xml:space="preserve">名称）      </w:t>
      </w:r>
    </w:p>
    <w:p w14:paraId="5922127D">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根据你方招标项目编号为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eastAsia="zh-CN"/>
        </w:rPr>
        <w:t>（</w:t>
      </w:r>
      <w:r>
        <w:rPr>
          <w:rFonts w:hint="eastAsia" w:asciiTheme="minorEastAsia" w:hAnsiTheme="minorEastAsia" w:eastAsiaTheme="minorEastAsia" w:cstheme="minorEastAsia"/>
          <w:color w:val="auto"/>
          <w:kern w:val="0"/>
          <w:sz w:val="24"/>
          <w:szCs w:val="24"/>
          <w:highlight w:val="none"/>
          <w:u w:val="single"/>
        </w:rPr>
        <w:t xml:space="preserve">项目编号） </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eastAsia="zh-CN"/>
        </w:rPr>
        <w:t>（</w:t>
      </w:r>
      <w:r>
        <w:rPr>
          <w:rFonts w:hint="eastAsia" w:asciiTheme="minorEastAsia" w:hAnsiTheme="minorEastAsia" w:eastAsiaTheme="minorEastAsia" w:cstheme="minorEastAsia"/>
          <w:color w:val="auto"/>
          <w:kern w:val="0"/>
          <w:sz w:val="24"/>
          <w:szCs w:val="24"/>
          <w:highlight w:val="none"/>
          <w:u w:val="single"/>
        </w:rPr>
        <w:t xml:space="preserve">项目名称）        </w:t>
      </w:r>
      <w:r>
        <w:rPr>
          <w:rFonts w:hint="eastAsia" w:asciiTheme="minorEastAsia" w:hAnsiTheme="minorEastAsia" w:eastAsiaTheme="minorEastAsia" w:cstheme="minorEastAsia"/>
          <w:color w:val="auto"/>
          <w:kern w:val="0"/>
          <w:sz w:val="24"/>
          <w:szCs w:val="24"/>
          <w:highlight w:val="none"/>
        </w:rPr>
        <w:t>的竞争性磋商文件，遵照《中华人民共和国政府采购法》《政府采购竞争性磋商采购方式暂行办法》等有关规定，经研究上述竞争性磋商文件的投标须知、合同条款及其他有关文件后，我方愿以磋商总报价人民币</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小写）：</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元(大写</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的磋商报价，</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日历天，系统保障运营期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承包上述项目的</w:t>
      </w:r>
      <w:r>
        <w:rPr>
          <w:rFonts w:hint="eastAsia" w:asciiTheme="minorEastAsia" w:hAnsiTheme="minorEastAsia" w:eastAsiaTheme="minorEastAsia" w:cstheme="minorEastAsia"/>
          <w:color w:val="auto"/>
          <w:kern w:val="0"/>
          <w:sz w:val="24"/>
          <w:szCs w:val="24"/>
          <w:highlight w:val="none"/>
          <w:lang w:val="en-US" w:eastAsia="zh-CN"/>
        </w:rPr>
        <w:t>服务内容、服务质量、软硬件</w:t>
      </w:r>
      <w:r>
        <w:rPr>
          <w:rFonts w:hint="eastAsia" w:asciiTheme="minorEastAsia" w:hAnsiTheme="minorEastAsia" w:eastAsiaTheme="minorEastAsia" w:cstheme="minorEastAsia"/>
          <w:color w:val="auto"/>
          <w:kern w:val="0"/>
          <w:sz w:val="24"/>
          <w:szCs w:val="24"/>
          <w:highlight w:val="none"/>
        </w:rPr>
        <w:t>安装、调试、验收、培训、质保期服务、与货物有关的运输和保险及其他伴随服务。</w:t>
      </w:r>
    </w:p>
    <w:p w14:paraId="09DB6E06">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1、我方已详细审核全部招标文件，包括修改文件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737E8A0E">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2、我方承认投标函附表是我方投标函的组成部分。</w:t>
      </w:r>
    </w:p>
    <w:p w14:paraId="2576B53E">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3、如我方中标，我方承诺在收到中标通知书后，在中标通知书规定的期限内，根据招标文件、我方的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及有关澄清承诺书的要求，与采购人订立书面合同，并按照合同约定承担完成合同的责任和义务。</w:t>
      </w:r>
    </w:p>
    <w:p w14:paraId="4A12CA44">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4、我方同意自本项目招标文件中规定的投标有效期内有效，并承诺在投标有效期内不修改、撤销</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w:t>
      </w:r>
    </w:p>
    <w:p w14:paraId="625BACA1">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5、我方完全理解贵方不一定接受投标报价最低的供应商为中标供应商的行为。</w:t>
      </w:r>
    </w:p>
    <w:p w14:paraId="0FD04E4A">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6、我方在此声明，所递交的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及有关资料内容完整、真实和准确。</w:t>
      </w:r>
    </w:p>
    <w:p w14:paraId="373105E1">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本项目的联系人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031C1CB1">
      <w:pPr>
        <w:keepNext w:val="0"/>
        <w:keepLines w:val="0"/>
        <w:pageBreakBefore w:val="0"/>
        <w:widowControl/>
        <w:kinsoku/>
        <w:wordWrap/>
        <w:overflowPunct/>
        <w:topLinePunct w:val="0"/>
        <w:autoSpaceDE/>
        <w:autoSpaceDN/>
        <w:bidi w:val="0"/>
        <w:adjustRightInd w:val="0"/>
        <w:snapToGrid w:val="0"/>
        <w:spacing w:after="0" w:line="360" w:lineRule="auto"/>
        <w:ind w:firstLine="628" w:firstLineChars="262"/>
        <w:jc w:val="left"/>
        <w:textAlignment w:val="auto"/>
        <w:rPr>
          <w:rFonts w:hint="eastAsia" w:asciiTheme="minorEastAsia" w:hAnsiTheme="minorEastAsia" w:eastAsiaTheme="minorEastAsia" w:cstheme="minorEastAsia"/>
          <w:color w:val="auto"/>
          <w:kern w:val="0"/>
          <w:sz w:val="24"/>
          <w:szCs w:val="24"/>
          <w:highlight w:val="none"/>
        </w:rPr>
      </w:pPr>
    </w:p>
    <w:p w14:paraId="564AFCD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72FCF1A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018C138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69BBB64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电话：</w:t>
      </w:r>
      <w:r>
        <w:rPr>
          <w:rFonts w:hint="eastAsia" w:asciiTheme="minorEastAsia" w:hAnsiTheme="minorEastAsia" w:eastAsiaTheme="minorEastAsia" w:cstheme="minorEastAsia"/>
          <w:color w:val="auto"/>
          <w:kern w:val="0"/>
          <w:sz w:val="24"/>
          <w:szCs w:val="24"/>
          <w:highlight w:val="none"/>
          <w:u w:val="single"/>
          <w:lang w:val="en-US" w:eastAsia="zh-CN"/>
        </w:rPr>
        <w:t xml:space="preserve">           （填写能联系到的电话号码，方便通知二次报价）</w:t>
      </w:r>
    </w:p>
    <w:p w14:paraId="3F884D6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年</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日</w:t>
      </w:r>
    </w:p>
    <w:p w14:paraId="210F8BC9">
      <w:pPr>
        <w:pStyle w:val="4"/>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2"/>
          <w:szCs w:val="22"/>
          <w:highlight w:val="none"/>
        </w:rPr>
        <w:br w:type="page"/>
      </w:r>
      <w:bookmarkStart w:id="624" w:name="_Toc77586871"/>
      <w:bookmarkStart w:id="625" w:name="_Toc77586969"/>
      <w:r>
        <w:rPr>
          <w:rFonts w:hint="eastAsia" w:asciiTheme="minorEastAsia" w:hAnsiTheme="minorEastAsia" w:eastAsiaTheme="minorEastAsia" w:cstheme="minorEastAsia"/>
          <w:color w:val="auto"/>
          <w:highlight w:val="none"/>
        </w:rPr>
        <w:t>二、</w:t>
      </w:r>
      <w:bookmarkEnd w:id="624"/>
      <w:bookmarkEnd w:id="625"/>
      <w:r>
        <w:rPr>
          <w:rFonts w:hint="eastAsia" w:asciiTheme="minorEastAsia" w:hAnsiTheme="minorEastAsia" w:eastAsiaTheme="minorEastAsia" w:cstheme="minorEastAsia"/>
          <w:color w:val="auto"/>
          <w:highlight w:val="none"/>
        </w:rPr>
        <w:t>磋商报价表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第一轮）</w:t>
      </w:r>
    </w:p>
    <w:tbl>
      <w:tblPr>
        <w:tblStyle w:val="20"/>
        <w:tblpPr w:leftFromText="181" w:rightFromText="181" w:vertAnchor="text" w:horzAnchor="margin" w:tblpXSpec="center" w:tblpY="128"/>
        <w:tblOverlap w:val="never"/>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6998"/>
      </w:tblGrid>
      <w:tr w14:paraId="7819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641" w:type="dxa"/>
            <w:vAlign w:val="center"/>
          </w:tcPr>
          <w:p w14:paraId="213BCA21">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名称</w:t>
            </w:r>
          </w:p>
        </w:tc>
        <w:tc>
          <w:tcPr>
            <w:tcW w:w="6998" w:type="dxa"/>
            <w:vAlign w:val="center"/>
          </w:tcPr>
          <w:p w14:paraId="30A1710E">
            <w:pPr>
              <w:spacing w:line="0" w:lineRule="atLeast"/>
              <w:jc w:val="center"/>
              <w:rPr>
                <w:rFonts w:hint="eastAsia" w:asciiTheme="minorEastAsia" w:hAnsiTheme="minorEastAsia" w:eastAsiaTheme="minorEastAsia" w:cstheme="minorEastAsia"/>
                <w:color w:val="auto"/>
                <w:sz w:val="24"/>
                <w:szCs w:val="24"/>
                <w:highlight w:val="none"/>
              </w:rPr>
            </w:pPr>
          </w:p>
        </w:tc>
      </w:tr>
      <w:tr w14:paraId="0010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jc w:val="center"/>
        </w:trPr>
        <w:tc>
          <w:tcPr>
            <w:tcW w:w="1641" w:type="dxa"/>
            <w:vAlign w:val="center"/>
          </w:tcPr>
          <w:p w14:paraId="0A01F39B">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p>
        </w:tc>
        <w:tc>
          <w:tcPr>
            <w:tcW w:w="6998" w:type="dxa"/>
            <w:vAlign w:val="center"/>
          </w:tcPr>
          <w:p w14:paraId="3C2B57F6">
            <w:pPr>
              <w:spacing w:line="0" w:lineRule="atLeast"/>
              <w:jc w:val="center"/>
              <w:rPr>
                <w:rFonts w:hint="eastAsia" w:asciiTheme="minorEastAsia" w:hAnsiTheme="minorEastAsia" w:eastAsiaTheme="minorEastAsia" w:cstheme="minorEastAsia"/>
                <w:color w:val="auto"/>
                <w:sz w:val="24"/>
                <w:szCs w:val="24"/>
                <w:highlight w:val="none"/>
              </w:rPr>
            </w:pPr>
          </w:p>
        </w:tc>
      </w:tr>
      <w:tr w14:paraId="3C37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1641" w:type="dxa"/>
            <w:vAlign w:val="center"/>
          </w:tcPr>
          <w:p w14:paraId="56249EC7">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范围</w:t>
            </w:r>
          </w:p>
        </w:tc>
        <w:tc>
          <w:tcPr>
            <w:tcW w:w="6998" w:type="dxa"/>
            <w:vAlign w:val="center"/>
          </w:tcPr>
          <w:p w14:paraId="7ACCDB4A">
            <w:pPr>
              <w:spacing w:line="0" w:lineRule="atLeast"/>
              <w:jc w:val="center"/>
              <w:rPr>
                <w:rFonts w:hint="eastAsia" w:asciiTheme="minorEastAsia" w:hAnsiTheme="minorEastAsia" w:eastAsiaTheme="minorEastAsia" w:cstheme="minorEastAsia"/>
                <w:color w:val="auto"/>
                <w:sz w:val="24"/>
                <w:szCs w:val="24"/>
                <w:highlight w:val="none"/>
              </w:rPr>
            </w:pPr>
          </w:p>
        </w:tc>
      </w:tr>
      <w:tr w14:paraId="4B15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1641" w:type="dxa"/>
            <w:vAlign w:val="center"/>
          </w:tcPr>
          <w:p w14:paraId="24987EFE">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磋商总报价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元）</w:t>
            </w:r>
          </w:p>
        </w:tc>
        <w:tc>
          <w:tcPr>
            <w:tcW w:w="6998" w:type="dxa"/>
            <w:vAlign w:val="center"/>
          </w:tcPr>
          <w:p w14:paraId="51EB0BC5">
            <w:pPr>
              <w:spacing w:line="0" w:lineRule="atLeas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 xml:space="preserve">大写）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 xml:space="preserve">小写）                    </w:t>
            </w:r>
          </w:p>
        </w:tc>
      </w:tr>
      <w:tr w14:paraId="29AF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641" w:type="dxa"/>
            <w:vAlign w:val="center"/>
          </w:tcPr>
          <w:p w14:paraId="6403F21D">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 xml:space="preserve">要求  </w:t>
            </w:r>
          </w:p>
        </w:tc>
        <w:tc>
          <w:tcPr>
            <w:tcW w:w="6998" w:type="dxa"/>
            <w:vAlign w:val="center"/>
          </w:tcPr>
          <w:p w14:paraId="32AA23C2">
            <w:pPr>
              <w:spacing w:line="0" w:lineRule="atLeast"/>
              <w:jc w:val="center"/>
              <w:rPr>
                <w:rFonts w:hint="eastAsia" w:asciiTheme="minorEastAsia" w:hAnsiTheme="minorEastAsia" w:eastAsiaTheme="minorEastAsia" w:cstheme="minorEastAsia"/>
                <w:color w:val="auto"/>
                <w:sz w:val="24"/>
                <w:szCs w:val="24"/>
                <w:highlight w:val="none"/>
              </w:rPr>
            </w:pPr>
          </w:p>
        </w:tc>
      </w:tr>
      <w:tr w14:paraId="03AC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641" w:type="dxa"/>
            <w:vAlign w:val="center"/>
          </w:tcPr>
          <w:p w14:paraId="080BFBA3">
            <w:pPr>
              <w:spacing w:line="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服务期</w:t>
            </w:r>
          </w:p>
        </w:tc>
        <w:tc>
          <w:tcPr>
            <w:tcW w:w="6998" w:type="dxa"/>
            <w:vAlign w:val="center"/>
          </w:tcPr>
          <w:p w14:paraId="5DCD4B1E">
            <w:pPr>
              <w:spacing w:line="0" w:lineRule="atLeast"/>
              <w:jc w:val="center"/>
              <w:rPr>
                <w:rFonts w:hint="eastAsia" w:asciiTheme="minorEastAsia" w:hAnsiTheme="minorEastAsia" w:eastAsiaTheme="minorEastAsia" w:cstheme="minorEastAsia"/>
                <w:color w:val="auto"/>
                <w:sz w:val="24"/>
                <w:szCs w:val="24"/>
                <w:highlight w:val="none"/>
              </w:rPr>
            </w:pPr>
          </w:p>
        </w:tc>
      </w:tr>
      <w:tr w14:paraId="701F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641" w:type="dxa"/>
            <w:vAlign w:val="center"/>
          </w:tcPr>
          <w:p w14:paraId="1521A87E">
            <w:pPr>
              <w:spacing w:line="0" w:lineRule="atLeas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系统保障运营期</w:t>
            </w:r>
          </w:p>
        </w:tc>
        <w:tc>
          <w:tcPr>
            <w:tcW w:w="6998" w:type="dxa"/>
            <w:vAlign w:val="center"/>
          </w:tcPr>
          <w:p w14:paraId="31DE7123">
            <w:pPr>
              <w:spacing w:line="0" w:lineRule="atLeast"/>
              <w:jc w:val="center"/>
              <w:rPr>
                <w:rFonts w:hint="eastAsia" w:asciiTheme="minorEastAsia" w:hAnsiTheme="minorEastAsia" w:eastAsiaTheme="minorEastAsia" w:cstheme="minorEastAsia"/>
                <w:color w:val="auto"/>
                <w:sz w:val="24"/>
                <w:szCs w:val="24"/>
                <w:highlight w:val="none"/>
              </w:rPr>
            </w:pPr>
          </w:p>
        </w:tc>
      </w:tr>
      <w:tr w14:paraId="6B1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641" w:type="dxa"/>
            <w:vAlign w:val="center"/>
          </w:tcPr>
          <w:p w14:paraId="1CBE2D57">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w:t>
            </w:r>
          </w:p>
        </w:tc>
        <w:tc>
          <w:tcPr>
            <w:tcW w:w="6998" w:type="dxa"/>
            <w:vAlign w:val="center"/>
          </w:tcPr>
          <w:p w14:paraId="00F6F0FF">
            <w:pPr>
              <w:spacing w:line="0" w:lineRule="atLeast"/>
              <w:jc w:val="center"/>
              <w:rPr>
                <w:rFonts w:hint="eastAsia" w:asciiTheme="minorEastAsia" w:hAnsiTheme="minorEastAsia" w:eastAsiaTheme="minorEastAsia" w:cstheme="minorEastAsia"/>
                <w:color w:val="auto"/>
                <w:sz w:val="24"/>
                <w:szCs w:val="24"/>
                <w:highlight w:val="none"/>
              </w:rPr>
            </w:pPr>
          </w:p>
        </w:tc>
      </w:tr>
      <w:tr w14:paraId="5FB6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41" w:type="dxa"/>
            <w:vAlign w:val="center"/>
          </w:tcPr>
          <w:p w14:paraId="651CA576">
            <w:pPr>
              <w:spacing w:line="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998" w:type="dxa"/>
            <w:vAlign w:val="center"/>
          </w:tcPr>
          <w:p w14:paraId="0E2500E8">
            <w:pPr>
              <w:spacing w:line="0" w:lineRule="atLeast"/>
              <w:rPr>
                <w:rFonts w:hint="eastAsia" w:asciiTheme="minorEastAsia" w:hAnsiTheme="minorEastAsia" w:eastAsiaTheme="minorEastAsia" w:cstheme="minorEastAsia"/>
                <w:color w:val="auto"/>
                <w:sz w:val="24"/>
                <w:szCs w:val="24"/>
                <w:highlight w:val="none"/>
              </w:rPr>
            </w:pPr>
          </w:p>
        </w:tc>
      </w:tr>
    </w:tbl>
    <w:p w14:paraId="3E6B2034">
      <w:pPr>
        <w:widowControl/>
        <w:adjustRightInd w:val="0"/>
        <w:spacing w:line="165" w:lineRule="atLeast"/>
        <w:jc w:val="left"/>
        <w:rPr>
          <w:rFonts w:hint="eastAsia" w:asciiTheme="minorEastAsia" w:hAnsiTheme="minorEastAsia" w:eastAsiaTheme="minorEastAsia" w:cstheme="minorEastAsia"/>
          <w:color w:val="auto"/>
          <w:kern w:val="0"/>
          <w:sz w:val="24"/>
          <w:szCs w:val="24"/>
          <w:highlight w:val="none"/>
        </w:rPr>
      </w:pPr>
    </w:p>
    <w:p w14:paraId="0DE7ED9D">
      <w:pPr>
        <w:widowControl/>
        <w:adjustRightIn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24BAAD30">
      <w:pPr>
        <w:pStyle w:val="18"/>
        <w:spacing w:line="240" w:lineRule="auto"/>
        <w:rPr>
          <w:rFonts w:hint="eastAsia" w:asciiTheme="minorEastAsia" w:hAnsiTheme="minorEastAsia" w:eastAsiaTheme="minorEastAsia" w:cstheme="minorEastAsia"/>
          <w:color w:val="auto"/>
          <w:sz w:val="24"/>
          <w:szCs w:val="24"/>
          <w:highlight w:val="none"/>
        </w:rPr>
      </w:pPr>
    </w:p>
    <w:p w14:paraId="4B00EA06">
      <w:pPr>
        <w:widowControl/>
        <w:adjustRightIn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5CE95F57">
      <w:pPr>
        <w:pStyle w:val="18"/>
        <w:spacing w:line="240" w:lineRule="auto"/>
        <w:rPr>
          <w:rFonts w:hint="eastAsia" w:asciiTheme="minorEastAsia" w:hAnsiTheme="minorEastAsia" w:eastAsiaTheme="minorEastAsia" w:cstheme="minorEastAsia"/>
          <w:color w:val="auto"/>
          <w:sz w:val="24"/>
          <w:szCs w:val="24"/>
          <w:highlight w:val="none"/>
        </w:rPr>
      </w:pPr>
    </w:p>
    <w:p w14:paraId="36CE2A5E">
      <w:pPr>
        <w:widowControl/>
        <w:adjustRightIn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日</w:t>
      </w:r>
      <w:bookmarkStart w:id="626" w:name="_Toc179632811"/>
      <w:bookmarkStart w:id="627" w:name="_Toc246997102"/>
      <w:bookmarkStart w:id="628" w:name="_Toc296602605"/>
      <w:bookmarkStart w:id="629" w:name="_Toc247085877"/>
      <w:bookmarkStart w:id="630" w:name="_Toc144974860"/>
      <w:bookmarkStart w:id="631" w:name="_Toc152042580"/>
      <w:bookmarkStart w:id="632" w:name="_Toc246996359"/>
      <w:bookmarkStart w:id="633" w:name="_Toc152045791"/>
    </w:p>
    <w:p w14:paraId="59252ACC">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634" w:name="_Toc77586970"/>
      <w:bookmarkStart w:id="635" w:name="_Toc77586872"/>
      <w:r>
        <w:rPr>
          <w:rFonts w:hint="eastAsia" w:asciiTheme="minorEastAsia" w:hAnsiTheme="minorEastAsia" w:eastAsiaTheme="minorEastAsia" w:cstheme="minorEastAsia"/>
          <w:color w:val="auto"/>
          <w:highlight w:val="none"/>
        </w:rPr>
        <w:t>三、法定代表人身份证明</w:t>
      </w:r>
      <w:bookmarkEnd w:id="626"/>
      <w:bookmarkEnd w:id="627"/>
      <w:bookmarkEnd w:id="628"/>
      <w:bookmarkEnd w:id="629"/>
      <w:bookmarkEnd w:id="630"/>
      <w:bookmarkEnd w:id="631"/>
      <w:bookmarkEnd w:id="632"/>
      <w:bookmarkEnd w:id="633"/>
      <w:bookmarkEnd w:id="634"/>
      <w:bookmarkEnd w:id="635"/>
    </w:p>
    <w:p w14:paraId="4F273C7C">
      <w:pPr>
        <w:spacing w:line="440" w:lineRule="exact"/>
        <w:rPr>
          <w:rFonts w:hint="eastAsia" w:asciiTheme="minorEastAsia" w:hAnsiTheme="minorEastAsia" w:eastAsiaTheme="minorEastAsia" w:cstheme="minorEastAsia"/>
          <w:color w:val="auto"/>
          <w:highlight w:val="none"/>
        </w:rPr>
      </w:pPr>
    </w:p>
    <w:p w14:paraId="503A9AEC">
      <w:pPr>
        <w:spacing w:line="540" w:lineRule="exact"/>
        <w:ind w:left="444" w:leftChars="202"/>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573050">
      <w:pPr>
        <w:spacing w:line="540" w:lineRule="exact"/>
        <w:ind w:left="444" w:leftChars="202"/>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BC59E25">
      <w:pPr>
        <w:spacing w:line="540" w:lineRule="exact"/>
        <w:ind w:left="444" w:leftChars="202"/>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D869553">
      <w:pPr>
        <w:spacing w:line="540" w:lineRule="exact"/>
        <w:ind w:left="444" w:left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023BD594">
      <w:pPr>
        <w:spacing w:line="540" w:lineRule="exact"/>
        <w:ind w:left="444" w:leftChars="202"/>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F04DC91">
      <w:pPr>
        <w:spacing w:line="540" w:lineRule="exact"/>
        <w:ind w:left="444" w:leftChars="202"/>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BE73A9">
      <w:pPr>
        <w:spacing w:line="540" w:lineRule="exact"/>
        <w:ind w:left="444" w:left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系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的法定代表人。</w:t>
      </w:r>
    </w:p>
    <w:p w14:paraId="3CE98008">
      <w:pPr>
        <w:spacing w:line="540" w:lineRule="exact"/>
        <w:ind w:left="444" w:leftChars="20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B959915">
      <w:pPr>
        <w:spacing w:line="440" w:lineRule="exact"/>
        <w:rPr>
          <w:rFonts w:hint="eastAsia" w:asciiTheme="minorEastAsia" w:hAnsiTheme="minorEastAsia" w:eastAsiaTheme="minorEastAsia" w:cstheme="minorEastAsia"/>
          <w:color w:val="auto"/>
          <w:sz w:val="24"/>
          <w:szCs w:val="24"/>
          <w:highlight w:val="none"/>
        </w:rPr>
      </w:pPr>
    </w:p>
    <w:p w14:paraId="322F4B6D">
      <w:pPr>
        <w:pStyle w:val="18"/>
        <w:rPr>
          <w:rFonts w:hint="eastAsia" w:asciiTheme="minorEastAsia" w:hAnsiTheme="minorEastAsia" w:eastAsiaTheme="minorEastAsia" w:cstheme="minorEastAsia"/>
          <w:color w:val="auto"/>
          <w:highlight w:val="none"/>
        </w:rPr>
      </w:pPr>
    </w:p>
    <w:p w14:paraId="18CCBBDD">
      <w:pPr>
        <w:snapToGrid w:val="0"/>
        <w:rPr>
          <w:rFonts w:hint="eastAsia" w:asciiTheme="minorEastAsia" w:hAnsiTheme="minorEastAsia" w:eastAsiaTheme="minorEastAsia" w:cstheme="minorEastAsia"/>
          <w:b/>
          <w:color w:val="auto"/>
          <w:kern w:val="10"/>
          <w:sz w:val="28"/>
          <w:szCs w:val="28"/>
          <w:highlight w:val="none"/>
        </w:rPr>
      </w:pPr>
      <w:r>
        <w:rPr>
          <w:rFonts w:hint="eastAsia" w:asciiTheme="minorEastAsia" w:hAnsiTheme="minorEastAsia" w:eastAsiaTheme="minorEastAsia" w:cstheme="minorEastAsia"/>
          <w:b/>
          <w:color w:val="auto"/>
          <w:kern w:val="10"/>
          <w:sz w:val="28"/>
          <w:szCs w:val="28"/>
          <w:highlight w:val="none"/>
        </w:rPr>
        <w:t>附：</w:t>
      </w:r>
      <w:r>
        <w:rPr>
          <w:rFonts w:hint="eastAsia" w:asciiTheme="minorEastAsia" w:hAnsiTheme="minorEastAsia" w:eastAsiaTheme="minorEastAsia" w:cstheme="minorEastAsia"/>
          <w:b/>
          <w:color w:val="auto"/>
          <w:kern w:val="10"/>
          <w:sz w:val="28"/>
          <w:szCs w:val="28"/>
          <w:highlight w:val="none"/>
          <w:lang w:eastAsia="zh-CN"/>
        </w:rPr>
        <w:t>（</w:t>
      </w:r>
      <w:r>
        <w:rPr>
          <w:rFonts w:hint="eastAsia" w:asciiTheme="minorEastAsia" w:hAnsiTheme="minorEastAsia" w:eastAsiaTheme="minorEastAsia" w:cstheme="minorEastAsia"/>
          <w:b/>
          <w:color w:val="auto"/>
          <w:kern w:val="10"/>
          <w:sz w:val="28"/>
          <w:szCs w:val="28"/>
          <w:highlight w:val="none"/>
        </w:rPr>
        <w:t>法定代表人身份证正反面原件扫描件）</w:t>
      </w:r>
    </w:p>
    <w:p w14:paraId="443BD49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若为联合体，联合体牵头人提供）</w:t>
      </w:r>
    </w:p>
    <w:p w14:paraId="74CE687E">
      <w:pPr>
        <w:spacing w:line="440" w:lineRule="exact"/>
        <w:rPr>
          <w:rFonts w:hint="eastAsia" w:asciiTheme="minorEastAsia" w:hAnsiTheme="minorEastAsia" w:eastAsiaTheme="minorEastAsia" w:cstheme="minorEastAsia"/>
          <w:color w:val="auto"/>
          <w:sz w:val="24"/>
          <w:szCs w:val="24"/>
          <w:highlight w:val="none"/>
        </w:rPr>
      </w:pPr>
    </w:p>
    <w:p w14:paraId="47AD88D1">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电子签章）</w:t>
      </w:r>
    </w:p>
    <w:p w14:paraId="274E5807">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2"/>
          <w:szCs w:val="22"/>
          <w:highlight w:val="none"/>
          <w:u w:val="single"/>
          <w:lang w:val="en-US" w:eastAsia="zh-CN"/>
        </w:rPr>
        <w:t xml:space="preserve">      </w:t>
      </w:r>
      <w:r>
        <w:rPr>
          <w:rFonts w:hint="eastAsia" w:asciiTheme="minorEastAsia" w:hAnsiTheme="minorEastAsia" w:eastAsiaTheme="minorEastAsia" w:cstheme="minorEastAsia"/>
          <w:color w:val="auto"/>
          <w:kern w:val="0"/>
          <w:sz w:val="22"/>
          <w:szCs w:val="22"/>
          <w:highlight w:val="none"/>
        </w:rPr>
        <w:t>年</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r>
        <w:rPr>
          <w:rFonts w:hint="eastAsia" w:asciiTheme="minorEastAsia" w:hAnsiTheme="minorEastAsia" w:eastAsiaTheme="minorEastAsia" w:cstheme="minorEastAsia"/>
          <w:color w:val="auto"/>
          <w:kern w:val="0"/>
          <w:sz w:val="22"/>
          <w:szCs w:val="22"/>
          <w:highlight w:val="none"/>
        </w:rPr>
        <w:t>月</w:t>
      </w:r>
      <w:r>
        <w:rPr>
          <w:rFonts w:hint="eastAsia" w:asciiTheme="minorEastAsia" w:hAnsiTheme="minorEastAsia" w:eastAsiaTheme="minorEastAsia" w:cstheme="minorEastAsia"/>
          <w:color w:val="auto"/>
          <w:kern w:val="0"/>
          <w:sz w:val="22"/>
          <w:szCs w:val="22"/>
          <w:highlight w:val="none"/>
          <w:lang w:val="en-US" w:eastAsia="zh-CN"/>
        </w:rPr>
        <w:t xml:space="preserve"> </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r>
        <w:rPr>
          <w:rFonts w:hint="eastAsia" w:asciiTheme="minorEastAsia" w:hAnsiTheme="minorEastAsia" w:eastAsiaTheme="minorEastAsia" w:cstheme="minorEastAsia"/>
          <w:color w:val="auto"/>
          <w:kern w:val="0"/>
          <w:sz w:val="22"/>
          <w:szCs w:val="22"/>
          <w:highlight w:val="none"/>
        </w:rPr>
        <w:t>日</w:t>
      </w:r>
      <w:r>
        <w:rPr>
          <w:rFonts w:hint="eastAsia" w:asciiTheme="minorEastAsia" w:hAnsiTheme="minorEastAsia" w:eastAsiaTheme="minorEastAsia" w:cstheme="minorEastAsia"/>
          <w:color w:val="auto"/>
          <w:sz w:val="24"/>
          <w:szCs w:val="24"/>
          <w:highlight w:val="none"/>
        </w:rPr>
        <w:t xml:space="preserve">  </w:t>
      </w:r>
    </w:p>
    <w:p w14:paraId="508BA155">
      <w:pPr>
        <w:spacing w:line="440" w:lineRule="exact"/>
        <w:jc w:val="center"/>
        <w:rPr>
          <w:rFonts w:hint="eastAsia" w:asciiTheme="minorEastAsia" w:hAnsiTheme="minorEastAsia" w:eastAsiaTheme="minorEastAsia" w:cstheme="minorEastAsia"/>
          <w:color w:val="auto"/>
          <w:sz w:val="24"/>
          <w:szCs w:val="24"/>
          <w:highlight w:val="none"/>
        </w:rPr>
      </w:pPr>
    </w:p>
    <w:p w14:paraId="196195BF">
      <w:pPr>
        <w:spacing w:line="440" w:lineRule="exact"/>
        <w:jc w:val="center"/>
        <w:rPr>
          <w:rFonts w:hint="eastAsia" w:asciiTheme="minorEastAsia" w:hAnsiTheme="minorEastAsia" w:eastAsiaTheme="minorEastAsia" w:cstheme="minorEastAsia"/>
          <w:color w:val="auto"/>
          <w:sz w:val="24"/>
          <w:szCs w:val="24"/>
          <w:highlight w:val="none"/>
        </w:rPr>
      </w:pPr>
    </w:p>
    <w:p w14:paraId="3F5B60A8">
      <w:pPr>
        <w:pStyle w:val="2"/>
        <w:jc w:val="center"/>
        <w:rPr>
          <w:rFonts w:hint="eastAsia" w:asciiTheme="minorEastAsia" w:hAnsiTheme="minorEastAsia" w:eastAsiaTheme="minorEastAsia" w:cstheme="minorEastAsia"/>
          <w:color w:val="auto"/>
          <w:highlight w:val="none"/>
        </w:rPr>
      </w:pPr>
      <w:bookmarkStart w:id="636" w:name="_Toc247085880"/>
      <w:bookmarkStart w:id="637" w:name="_Toc179632814"/>
      <w:bookmarkStart w:id="638" w:name="_Toc296602607"/>
      <w:bookmarkStart w:id="639" w:name="_Toc246996362"/>
      <w:bookmarkStart w:id="640" w:name="_Toc152042583"/>
      <w:bookmarkStart w:id="641" w:name="_Toc144974862"/>
      <w:bookmarkStart w:id="642" w:name="_Toc152045794"/>
      <w:bookmarkStart w:id="643" w:name="_Toc246997105"/>
      <w:r>
        <w:rPr>
          <w:rFonts w:hint="eastAsia" w:asciiTheme="minorEastAsia" w:hAnsiTheme="minorEastAsia" w:eastAsiaTheme="minorEastAsia" w:cstheme="minorEastAsia"/>
          <w:b w:val="0"/>
          <w:color w:val="auto"/>
          <w:sz w:val="32"/>
          <w:highlight w:val="none"/>
        </w:rPr>
        <w:br w:type="page"/>
      </w:r>
      <w:bookmarkStart w:id="644" w:name="_Toc2457"/>
      <w:bookmarkStart w:id="645" w:name="_Toc2206"/>
      <w:bookmarkStart w:id="646" w:name="_Toc7418"/>
      <w:r>
        <w:rPr>
          <w:rFonts w:hint="eastAsia" w:asciiTheme="minorEastAsia" w:hAnsiTheme="minorEastAsia" w:eastAsiaTheme="minorEastAsia" w:cstheme="minorEastAsia"/>
          <w:color w:val="auto"/>
          <w:kern w:val="28"/>
          <w:sz w:val="30"/>
          <w:szCs w:val="30"/>
          <w:highlight w:val="none"/>
        </w:rPr>
        <w:t>四、授权委托书</w:t>
      </w:r>
      <w:bookmarkEnd w:id="644"/>
      <w:bookmarkEnd w:id="645"/>
      <w:bookmarkEnd w:id="646"/>
    </w:p>
    <w:p w14:paraId="0FB1C43E">
      <w:pPr>
        <w:spacing w:line="5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的法定代表人，现委托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为我方代理人。代理人根据授权，以我方名义签署、澄清、说明、补正、递交、撤回、修改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、签订合同和处理有关事宜，其法律后果由我方承担。</w:t>
      </w:r>
    </w:p>
    <w:p w14:paraId="095BDEB0">
      <w:pPr>
        <w:pStyle w:val="18"/>
        <w:spacing w:line="540" w:lineRule="exact"/>
        <w:rPr>
          <w:rFonts w:hint="eastAsia" w:asciiTheme="minorEastAsia" w:hAnsiTheme="minorEastAsia" w:eastAsiaTheme="minorEastAsia" w:cstheme="minorEastAsia"/>
          <w:color w:val="auto"/>
          <w:sz w:val="24"/>
          <w:szCs w:val="24"/>
          <w:highlight w:val="none"/>
        </w:rPr>
      </w:pPr>
    </w:p>
    <w:p w14:paraId="75A46C06">
      <w:pPr>
        <w:pStyle w:val="18"/>
        <w:spacing w:line="5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w:t>
      </w:r>
      <w:r>
        <w:rPr>
          <w:rFonts w:hint="eastAsia" w:asciiTheme="minorEastAsia" w:hAnsiTheme="minorEastAsia" w:eastAsiaTheme="minorEastAsia" w:cstheme="minorEastAsia"/>
          <w:color w:val="auto"/>
          <w:sz w:val="24"/>
          <w:szCs w:val="24"/>
          <w:highlight w:val="none"/>
          <w:u w:val="single"/>
        </w:rPr>
        <w:t xml:space="preserve">                       。</w:t>
      </w:r>
    </w:p>
    <w:p w14:paraId="3E6ECC95">
      <w:pPr>
        <w:spacing w:beforeLines="100" w:afterLines="100" w:line="5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w:t>
      </w:r>
    </w:p>
    <w:p w14:paraId="770BBE78">
      <w:pPr>
        <w:spacing w:afterLines="100" w:line="5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附：法定代表人身份证及授权委托代理人身份证正反面原件扫描件</w:t>
      </w:r>
    </w:p>
    <w:p w14:paraId="5C0C9813">
      <w:pPr>
        <w:spacing w:line="5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若为联合体，联合体牵头人提供）</w:t>
      </w:r>
    </w:p>
    <w:p w14:paraId="32FD7883">
      <w:pPr>
        <w:spacing w:line="540" w:lineRule="exact"/>
        <w:ind w:firstLine="2700" w:firstLineChars="11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电子签章）</w:t>
      </w:r>
    </w:p>
    <w:p w14:paraId="3A9B98A3">
      <w:pPr>
        <w:spacing w:line="540" w:lineRule="exact"/>
        <w:ind w:firstLine="2700" w:firstLineChars="11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r>
        <w:rPr>
          <w:rFonts w:hint="eastAsia" w:asciiTheme="minorEastAsia" w:hAnsiTheme="minorEastAsia" w:eastAsiaTheme="minorEastAsia" w:cstheme="minorEastAsia"/>
          <w:color w:val="auto"/>
          <w:sz w:val="24"/>
          <w:szCs w:val="24"/>
          <w:highlight w:val="none"/>
        </w:rPr>
        <w:t>）</w:t>
      </w:r>
    </w:p>
    <w:p w14:paraId="2B057EF3">
      <w:pPr>
        <w:spacing w:line="540" w:lineRule="exact"/>
        <w:ind w:firstLine="2700" w:firstLineChars="112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25CF6933">
      <w:pPr>
        <w:spacing w:line="540" w:lineRule="exact"/>
        <w:ind w:firstLine="2700" w:firstLineChars="11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电子签章）</w:t>
      </w:r>
    </w:p>
    <w:p w14:paraId="05FBEACC">
      <w:pPr>
        <w:spacing w:line="540" w:lineRule="exact"/>
        <w:ind w:firstLine="2700" w:firstLineChars="1125"/>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5219830">
      <w:pPr>
        <w:spacing w:line="540" w:lineRule="exact"/>
        <w:ind w:firstLine="2700" w:firstLineChars="1125"/>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B52371D">
      <w:pPr>
        <w:spacing w:line="540" w:lineRule="exact"/>
        <w:ind w:firstLine="2640" w:firstLineChars="1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58B8251E">
      <w:pPr>
        <w:spacing w:line="540" w:lineRule="exact"/>
        <w:jc w:val="left"/>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bCs/>
          <w:color w:val="auto"/>
          <w:sz w:val="24"/>
          <w:szCs w:val="24"/>
          <w:highlight w:val="none"/>
        </w:rPr>
        <w:t>注：因</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中授权委托书授权代理人无法手写签字及盖章，可以以印刷体代替</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印刷体为电脑打出的字体）。</w:t>
      </w:r>
      <w:r>
        <w:rPr>
          <w:rFonts w:hint="eastAsia" w:asciiTheme="minorEastAsia" w:hAnsiTheme="minorEastAsia" w:eastAsiaTheme="minorEastAsia" w:cstheme="minorEastAsia"/>
          <w:b/>
          <w:color w:val="auto"/>
          <w:sz w:val="32"/>
          <w:highlight w:val="none"/>
        </w:rPr>
        <w:br w:type="page"/>
      </w:r>
    </w:p>
    <w:p w14:paraId="3A18199F">
      <w:pPr>
        <w:spacing w:line="360" w:lineRule="auto"/>
        <w:jc w:val="center"/>
        <w:rPr>
          <w:rFonts w:hint="eastAsia" w:asciiTheme="minorEastAsia" w:hAnsiTheme="minorEastAsia" w:eastAsiaTheme="minorEastAsia" w:cstheme="minorEastAsia"/>
          <w:b/>
          <w:bCs/>
          <w:color w:val="auto"/>
          <w:kern w:val="28"/>
          <w:sz w:val="30"/>
          <w:szCs w:val="30"/>
          <w:highlight w:val="none"/>
          <w:lang w:val="en-US" w:eastAsia="zh-CN" w:bidi="ar-SA"/>
        </w:rPr>
      </w:pPr>
      <w:r>
        <w:rPr>
          <w:rFonts w:hint="eastAsia" w:asciiTheme="minorEastAsia" w:hAnsiTheme="minorEastAsia" w:eastAsiaTheme="minorEastAsia" w:cstheme="minorEastAsia"/>
          <w:b/>
          <w:bCs/>
          <w:color w:val="auto"/>
          <w:kern w:val="28"/>
          <w:sz w:val="30"/>
          <w:szCs w:val="30"/>
          <w:highlight w:val="none"/>
          <w:lang w:val="en-US" w:eastAsia="zh-CN" w:bidi="ar-SA"/>
        </w:rPr>
        <w:t>五、联合体协议书</w:t>
      </w:r>
    </w:p>
    <w:p w14:paraId="11F8AF69">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牵头人名称：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98D68A3">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0C7686F">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成员名称：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7A60868">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F71DB64">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鉴于上述各成员单位经过友好协商，自愿组成</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联合体名称）联合体，共同参加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以下简称本</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）的投标。现就联合体投标事宜订立如下协议：</w:t>
      </w:r>
    </w:p>
    <w:p w14:paraId="00592AF0">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某成员单位名称）为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联合体名称）牵头人。</w:t>
      </w:r>
    </w:p>
    <w:p w14:paraId="14F6E142">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2．在本</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投标阶段，联合体牵头人合法代表联合体各成员负责本</w:t>
      </w:r>
      <w:r>
        <w:rPr>
          <w:rFonts w:hint="eastAsia" w:asciiTheme="minorEastAsia" w:hAnsiTheme="minorEastAsia" w:eastAsiaTheme="minorEastAsia" w:cstheme="minorEastAsia"/>
          <w:color w:val="auto"/>
          <w:sz w:val="24"/>
          <w:szCs w:val="24"/>
          <w:highlight w:val="none"/>
          <w:lang w:val="en-US" w:eastAsia="zh-CN"/>
        </w:rPr>
        <w:t>项目响应</w:t>
      </w:r>
      <w:r>
        <w:rPr>
          <w:rFonts w:hint="eastAsia" w:asciiTheme="minorEastAsia" w:hAnsiTheme="minorEastAsia" w:eastAsiaTheme="minorEastAsia" w:cstheme="minorEastAsia"/>
          <w:color w:val="auto"/>
          <w:sz w:val="24"/>
          <w:szCs w:val="24"/>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34E70A1D">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3．联合体将严格按照</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文件的各项要求，递交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文件，履行投标义务和中标后的合同，共同承担合同规定的一切义务和责任，联合体各成员单位按照内部职责的划分，承担各自所负的责任和风险，并向</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人承担连带责任。</w:t>
      </w:r>
    </w:p>
    <w:p w14:paraId="06027187">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4.联合体各成员单位内部的职责分工如下：</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573885FA">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按照本条上述分工。</w:t>
      </w:r>
    </w:p>
    <w:p w14:paraId="22E087A9">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．联合体中标后，本联合体协议是合同的附件，对联合体各成员单位有合同约束力。</w:t>
      </w:r>
    </w:p>
    <w:p w14:paraId="7412F28D">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．本协议书自签署之日起生效，联合体未中标或者中标时合同履行完毕后自动失效。</w:t>
      </w:r>
    </w:p>
    <w:p w14:paraId="723353F8">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．本协议书一式</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份，联合体成员和招标人各执一份。</w:t>
      </w:r>
    </w:p>
    <w:p w14:paraId="6303A0EC">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牵头人名称：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盖单位公章）</w:t>
      </w:r>
    </w:p>
    <w:p w14:paraId="373BCB7C">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法定代表人签字或盖章）</w:t>
      </w:r>
    </w:p>
    <w:p w14:paraId="3BCD61AC">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成员名称：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盖单位公章）</w:t>
      </w:r>
    </w:p>
    <w:p w14:paraId="7FE1CFE7">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法定代表人签字或盖章）</w:t>
      </w:r>
    </w:p>
    <w:p w14:paraId="3E83F912">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4C362E6C">
      <w:pPr>
        <w:keepNext w:val="0"/>
        <w:keepLines w:val="0"/>
        <w:pageBreakBefore w:val="0"/>
        <w:widowControl/>
        <w:kinsoku/>
        <w:wordWrap/>
        <w:overflowPunct/>
        <w:topLinePunct w:val="0"/>
        <w:autoSpaceDE/>
        <w:autoSpaceDN/>
        <w:bidi w:val="0"/>
        <w:adjustRightInd w:val="0"/>
        <w:snapToGrid w:val="0"/>
        <w:spacing w:after="0" w:line="48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4826AFE5">
      <w:pPr>
        <w:keepNext w:val="0"/>
        <w:keepLines w:val="0"/>
        <w:pageBreakBefore w:val="0"/>
        <w:widowControl/>
        <w:kinsoku/>
        <w:wordWrap/>
        <w:overflowPunct/>
        <w:topLinePunct w:val="0"/>
        <w:autoSpaceDE/>
        <w:autoSpaceDN/>
        <w:bidi w:val="0"/>
        <w:adjustRightInd w:val="0"/>
        <w:snapToGrid w:val="0"/>
        <w:spacing w:after="0" w:line="48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注：1.联合投标时需签本协议，联合体各方成员应在本协议上共同盖章确认。</w:t>
      </w:r>
    </w:p>
    <w:p w14:paraId="25618860">
      <w:pPr>
        <w:keepNext w:val="0"/>
        <w:keepLines w:val="0"/>
        <w:pageBreakBefore w:val="0"/>
        <w:widowControl/>
        <w:kinsoku/>
        <w:wordWrap/>
        <w:overflowPunct/>
        <w:topLinePunct w:val="0"/>
        <w:autoSpaceDE/>
        <w:autoSpaceDN/>
        <w:bidi w:val="0"/>
        <w:adjustRightInd w:val="0"/>
        <w:snapToGrid w:val="0"/>
        <w:spacing w:after="0" w:line="48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sectPr>
          <w:headerReference r:id="rId7" w:type="default"/>
          <w:pgSz w:w="11905" w:h="16838"/>
          <w:pgMar w:top="1361" w:right="1474" w:bottom="1361" w:left="1474" w:header="720" w:footer="7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Theme="minorEastAsia" w:hAnsiTheme="minorEastAsia" w:eastAsiaTheme="minorEastAsia" w:cstheme="minorEastAsia"/>
          <w:b/>
          <w:bCs/>
          <w:color w:val="auto"/>
          <w:sz w:val="24"/>
          <w:szCs w:val="24"/>
          <w:highlight w:val="none"/>
        </w:rPr>
        <w:t>2.本协议书格式仅供参考，具体内容或格式以联合体成员签订的协议书为准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需附原件扫描件</w:t>
      </w:r>
      <w:r>
        <w:rPr>
          <w:rFonts w:hint="eastAsia" w:asciiTheme="minorEastAsia" w:hAnsiTheme="minorEastAsia" w:eastAsiaTheme="minorEastAsia" w:cstheme="minorEastAsia"/>
          <w:b/>
          <w:bCs/>
          <w:color w:val="auto"/>
          <w:sz w:val="24"/>
          <w:szCs w:val="24"/>
          <w:highlight w:val="none"/>
          <w:lang w:eastAsia="zh-CN"/>
        </w:rPr>
        <w:t>）。</w:t>
      </w:r>
    </w:p>
    <w:p w14:paraId="30E82CD7">
      <w:pPr>
        <w:spacing w:line="54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0"/>
          <w:highlight w:val="none"/>
          <w:lang w:val="en-US" w:eastAsia="zh-CN"/>
        </w:rPr>
        <w:t>六</w:t>
      </w:r>
      <w:r>
        <w:rPr>
          <w:rFonts w:hint="eastAsia" w:asciiTheme="minorEastAsia" w:hAnsiTheme="minorEastAsia" w:eastAsiaTheme="minorEastAsia" w:cstheme="minorEastAsia"/>
          <w:b/>
          <w:bCs/>
          <w:color w:val="auto"/>
          <w:kern w:val="28"/>
          <w:sz w:val="30"/>
          <w:szCs w:val="30"/>
          <w:highlight w:val="none"/>
        </w:rPr>
        <w:t>、</w:t>
      </w:r>
      <w:bookmarkEnd w:id="636"/>
      <w:bookmarkEnd w:id="637"/>
      <w:bookmarkEnd w:id="638"/>
      <w:bookmarkEnd w:id="639"/>
      <w:bookmarkEnd w:id="640"/>
      <w:bookmarkEnd w:id="641"/>
      <w:bookmarkEnd w:id="642"/>
      <w:bookmarkEnd w:id="643"/>
      <w:r>
        <w:rPr>
          <w:rFonts w:hint="eastAsia" w:asciiTheme="minorEastAsia" w:hAnsiTheme="minorEastAsia" w:eastAsiaTheme="minorEastAsia" w:cstheme="minorEastAsia"/>
          <w:b/>
          <w:bCs/>
          <w:color w:val="auto"/>
          <w:kern w:val="28"/>
          <w:sz w:val="30"/>
          <w:szCs w:val="30"/>
          <w:highlight w:val="none"/>
        </w:rPr>
        <w:t>投标承诺函</w:t>
      </w:r>
    </w:p>
    <w:p w14:paraId="63699700">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采购人及采购代理机构）： </w:t>
      </w:r>
    </w:p>
    <w:p w14:paraId="0924D8E9">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我公司作为本次采购项目的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，根据招标文件要求，现郑重承诺如下：</w:t>
      </w:r>
    </w:p>
    <w:p w14:paraId="3F3495EF">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1.我方完全接受和满足本项目招标文件中规定的实质性要求，不存在对招标文件有异议的同时参加本次采购活动。</w:t>
      </w:r>
    </w:p>
    <w:p w14:paraId="548138D8">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2.参加本次采购活动，不存在与单位负责人为同一人或者存在直接控股、管理关系的其他供应商参与同一合同项下的政府采购活动的行为。</w:t>
      </w:r>
    </w:p>
    <w:p w14:paraId="12001552">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3.我方参加政府采购活动无商业贿赂和不正当竞争行为。</w:t>
      </w:r>
    </w:p>
    <w:p w14:paraId="0AF61647">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4.存在以下行为之一的愿意接受相关部门的处理：</w:t>
      </w:r>
    </w:p>
    <w:p w14:paraId="6C7CE688">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1）投标有效期内撤回</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w:t>
      </w:r>
    </w:p>
    <w:p w14:paraId="1FBAC097">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2）在采购人确定中标供应商以前放弃中标候选资格的；</w:t>
      </w:r>
    </w:p>
    <w:p w14:paraId="799FF938">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3）除不可抗力的因素外，由于中标供应商的原因未能按照招标文件的规定与采购人签订合同；</w:t>
      </w:r>
    </w:p>
    <w:p w14:paraId="26E98D3A">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4）在招标文件中提供虚假材料谋取中标；</w:t>
      </w:r>
    </w:p>
    <w:p w14:paraId="63A50E5A">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5）与采购人、其他供应商或者采购代理机构恶意串通的；</w:t>
      </w:r>
    </w:p>
    <w:p w14:paraId="3E461D65">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6）投标有效期内，</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在政府采购活动中有违法、违规、违纪行为。</w:t>
      </w:r>
    </w:p>
    <w:p w14:paraId="4703C265">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由此产生的一切法律后果和责任由我公司承担。我公司声明放弃对此提出任何异议和追索的权利。</w:t>
      </w:r>
    </w:p>
    <w:p w14:paraId="038F292E">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195EA3CF">
      <w:pPr>
        <w:keepNext w:val="0"/>
        <w:keepLines w:val="0"/>
        <w:pageBreakBefore w:val="0"/>
        <w:widowControl/>
        <w:kinsoku/>
        <w:wordWrap/>
        <w:overflowPunct/>
        <w:topLinePunct w:val="0"/>
        <w:autoSpaceDE/>
        <w:autoSpaceDN/>
        <w:bidi w:val="0"/>
        <w:adjustRightInd w:val="0"/>
        <w:snapToGrid w:val="0"/>
        <w:spacing w:after="0" w:line="540" w:lineRule="exact"/>
        <w:ind w:firstLine="480"/>
        <w:textAlignment w:val="auto"/>
        <w:rPr>
          <w:rFonts w:hint="eastAsia" w:asciiTheme="minorEastAsia" w:hAnsiTheme="minorEastAsia" w:eastAsiaTheme="minorEastAsia" w:cstheme="minorEastAsia"/>
          <w:color w:val="auto"/>
          <w:sz w:val="24"/>
          <w:szCs w:val="24"/>
          <w:highlight w:val="none"/>
        </w:rPr>
      </w:pPr>
    </w:p>
    <w:p w14:paraId="5CB7C9E1">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02B31A34">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5A438E2C">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bookmarkStart w:id="647" w:name="_Toc179632816"/>
      <w:bookmarkStart w:id="648" w:name="_Toc296602609"/>
      <w:bookmarkStart w:id="649" w:name="_Toc246997107"/>
      <w:bookmarkStart w:id="650" w:name="_Toc152045796"/>
      <w:bookmarkStart w:id="651" w:name="_Toc144974864"/>
      <w:bookmarkStart w:id="652" w:name="_Toc152042585"/>
      <w:bookmarkStart w:id="653" w:name="_Toc246996364"/>
      <w:bookmarkStart w:id="654" w:name="_Toc247085882"/>
    </w:p>
    <w:p w14:paraId="057D679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0D13877">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Theme="minorEastAsia" w:hAnsiTheme="minorEastAsia" w:eastAsiaTheme="minorEastAsia" w:cstheme="minorEastAsia"/>
          <w:b/>
          <w:bCs/>
          <w:color w:val="auto"/>
          <w:sz w:val="32"/>
          <w:szCs w:val="30"/>
          <w:highlight w:val="none"/>
        </w:rPr>
      </w:pPr>
      <w:r>
        <w:rPr>
          <w:rFonts w:hint="eastAsia" w:asciiTheme="minorEastAsia" w:hAnsiTheme="minorEastAsia" w:eastAsiaTheme="minorEastAsia" w:cstheme="minorEastAsia"/>
          <w:b/>
          <w:color w:val="auto"/>
          <w:sz w:val="32"/>
          <w:szCs w:val="32"/>
          <w:highlight w:val="none"/>
        </w:rPr>
        <w:t>七</w:t>
      </w:r>
      <w:r>
        <w:rPr>
          <w:rFonts w:hint="eastAsia" w:asciiTheme="minorEastAsia" w:hAnsiTheme="minorEastAsia" w:eastAsiaTheme="minorEastAsia" w:cstheme="minorEastAsia"/>
          <w:b/>
          <w:bCs/>
          <w:color w:val="auto"/>
          <w:sz w:val="32"/>
          <w:szCs w:val="30"/>
          <w:highlight w:val="none"/>
          <w:lang w:val="en-US" w:eastAsia="zh-CN"/>
        </w:rPr>
        <w:t>、技术服务清单</w:t>
      </w:r>
      <w:r>
        <w:rPr>
          <w:rFonts w:hint="eastAsia" w:asciiTheme="minorEastAsia" w:hAnsiTheme="minorEastAsia" w:eastAsiaTheme="minorEastAsia" w:cstheme="minorEastAsia"/>
          <w:b/>
          <w:bCs/>
          <w:color w:val="auto"/>
          <w:sz w:val="32"/>
          <w:szCs w:val="30"/>
          <w:highlight w:val="none"/>
        </w:rPr>
        <w:t>报价表</w:t>
      </w:r>
    </w:p>
    <w:p w14:paraId="19ED3094">
      <w:pPr>
        <w:keepNext w:val="0"/>
        <w:keepLines w:val="0"/>
        <w:widowControl w:val="0"/>
        <w:suppressLineNumbers w:val="0"/>
        <w:autoSpaceDE w:val="0"/>
        <w:autoSpaceDN w:val="0"/>
        <w:spacing w:before="0" w:beforeAutospacing="0" w:after="0" w:afterAutospacing="0"/>
        <w:ind w:left="0" w:right="0"/>
        <w:jc w:val="left"/>
        <w:rPr>
          <w:color w:val="auto"/>
          <w:highlight w:val="none"/>
          <w:lang w:val="en-US" w:eastAsia="zh-CN"/>
        </w:rPr>
      </w:pPr>
    </w:p>
    <w:p w14:paraId="0EEC0805">
      <w:pPr>
        <w:keepNext w:val="0"/>
        <w:keepLines w:val="0"/>
        <w:widowControl w:val="0"/>
        <w:suppressLineNumbers w:val="0"/>
        <w:autoSpaceDE w:val="0"/>
        <w:autoSpaceDN w:val="0"/>
        <w:spacing w:before="0" w:beforeAutospacing="0" w:after="240" w:afterLines="100" w:afterAutospacing="0"/>
        <w:ind w:left="0" w:right="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单位：人民币</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92"/>
        <w:gridCol w:w="1721"/>
        <w:gridCol w:w="1665"/>
        <w:gridCol w:w="1779"/>
        <w:gridCol w:w="1665"/>
      </w:tblGrid>
      <w:tr w14:paraId="3513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30887CA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序号</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68F9FE1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费用分项名称</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190817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计算依据</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06FCB58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金额（元）</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5E2EE60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备注</w:t>
            </w:r>
          </w:p>
        </w:tc>
      </w:tr>
      <w:tr w14:paraId="1454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2AC5A18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72DC7D7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3C49E6F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42BEAE7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73CDA7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2CBF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37B4A97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21956EB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18E163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793AB1F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0F9E233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2FC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3030536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6E3AD94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0B086DB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461C282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3FA2216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3A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14FD474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190C9BA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580A637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37ACE28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039B5B5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37B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2975F97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41CFE3D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6B1935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434A4A1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AD08A7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1B98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5B116E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0710E0E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D88867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6BC0E91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A7133B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2FC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550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439DCE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合计（元）</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6832509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0E02677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bl>
    <w:p w14:paraId="7F9ECF83">
      <w:pPr>
        <w:keepNext w:val="0"/>
        <w:keepLines w:val="0"/>
        <w:widowControl w:val="0"/>
        <w:suppressLineNumbers w:val="0"/>
        <w:tabs>
          <w:tab w:val="left" w:pos="2293"/>
          <w:tab w:val="right" w:pos="10190"/>
        </w:tabs>
        <w:wordWrap w:val="0"/>
        <w:autoSpaceDE w:val="0"/>
        <w:autoSpaceDN w:val="0"/>
        <w:spacing w:before="720" w:beforeLines="300" w:beforeAutospacing="0" w:after="0" w:afterAutospacing="0" w:line="440" w:lineRule="exact"/>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注：单价包含材料、人工费（基本工资+加班+补贴+社保等）、机械费、耗材费、管理费、税金、社保、风险费、利润等费用</w:t>
      </w:r>
      <w:r>
        <w:rPr>
          <w:rFonts w:hint="eastAsia" w:ascii="宋体" w:hAnsi="宋体" w:eastAsia="宋体" w:cs="宋体"/>
          <w:color w:val="auto"/>
          <w:kern w:val="0"/>
          <w:sz w:val="24"/>
          <w:szCs w:val="24"/>
          <w:highlight w:val="none"/>
          <w:lang w:val="en-US" w:eastAsia="zh-CN" w:bidi="ar"/>
        </w:rPr>
        <w:tab/>
      </w:r>
    </w:p>
    <w:p w14:paraId="558626C2">
      <w:pPr>
        <w:spacing w:line="480" w:lineRule="exact"/>
        <w:ind w:firstLine="120" w:firstLineChars="50"/>
        <w:rPr>
          <w:rFonts w:hint="eastAsia" w:ascii="宋体" w:hAnsi="宋体" w:eastAsia="宋体" w:cs="宋体"/>
          <w:color w:val="auto"/>
          <w:sz w:val="24"/>
          <w:szCs w:val="24"/>
          <w:highlight w:val="none"/>
        </w:rPr>
      </w:pPr>
    </w:p>
    <w:p w14:paraId="4204CFA4">
      <w:pPr>
        <w:spacing w:line="480" w:lineRule="exact"/>
        <w:ind w:firstLine="120" w:firstLineChars="50"/>
        <w:rPr>
          <w:rFonts w:hint="eastAsia" w:ascii="宋体" w:hAnsi="宋体" w:eastAsia="宋体" w:cs="宋体"/>
          <w:color w:val="auto"/>
          <w:sz w:val="24"/>
          <w:szCs w:val="24"/>
          <w:highlight w:val="none"/>
        </w:rPr>
      </w:pPr>
    </w:p>
    <w:p w14:paraId="1B569975">
      <w:pPr>
        <w:spacing w:line="480" w:lineRule="exact"/>
        <w:ind w:firstLine="120" w:firstLineChars="50"/>
        <w:rPr>
          <w:rFonts w:hint="eastAsia" w:ascii="宋体" w:hAnsi="宋体" w:eastAsia="宋体" w:cs="宋体"/>
          <w:color w:val="auto"/>
          <w:sz w:val="24"/>
          <w:szCs w:val="24"/>
          <w:highlight w:val="none"/>
        </w:rPr>
      </w:pPr>
    </w:p>
    <w:p w14:paraId="3C35B9EA">
      <w:pPr>
        <w:keepNext w:val="0"/>
        <w:keepLines w:val="0"/>
        <w:pageBreakBefore w:val="0"/>
        <w:widowControl/>
        <w:kinsoku/>
        <w:wordWrap/>
        <w:overflowPunct/>
        <w:topLinePunct w:val="0"/>
        <w:autoSpaceDE/>
        <w:autoSpaceDN/>
        <w:bidi w:val="0"/>
        <w:adjustRightInd w:val="0"/>
        <w:snapToGrid w:val="0"/>
        <w:spacing w:after="0" w:line="48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5ADD8D1C">
      <w:pPr>
        <w:keepNext w:val="0"/>
        <w:keepLines w:val="0"/>
        <w:pageBreakBefore w:val="0"/>
        <w:widowControl/>
        <w:kinsoku/>
        <w:wordWrap/>
        <w:overflowPunct/>
        <w:topLinePunct w:val="0"/>
        <w:autoSpaceDE/>
        <w:autoSpaceDN/>
        <w:bidi w:val="0"/>
        <w:adjustRightInd w:val="0"/>
        <w:snapToGrid w:val="0"/>
        <w:spacing w:after="0" w:line="480" w:lineRule="auto"/>
        <w:jc w:val="righ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3CD79239">
      <w:pPr>
        <w:keepNext w:val="0"/>
        <w:keepLines w:val="0"/>
        <w:pageBreakBefore w:val="0"/>
        <w:widowControl/>
        <w:kinsoku/>
        <w:wordWrap/>
        <w:overflowPunct/>
        <w:topLinePunct w:val="0"/>
        <w:autoSpaceDE/>
        <w:autoSpaceDN/>
        <w:bidi w:val="0"/>
        <w:adjustRightInd w:val="0"/>
        <w:snapToGrid w:val="0"/>
        <w:spacing w:after="0" w:line="480" w:lineRule="auto"/>
        <w:jc w:val="right"/>
        <w:textAlignment w:val="auto"/>
        <w:rPr>
          <w:rFonts w:hint="eastAsia" w:asciiTheme="minorEastAsia" w:hAnsiTheme="minorEastAsia" w:eastAsiaTheme="minorEastAsia" w:cstheme="minorEastAsia"/>
          <w:color w:val="auto"/>
          <w:sz w:val="24"/>
          <w:szCs w:val="24"/>
          <w:highlight w:val="none"/>
        </w:rPr>
        <w:sectPr>
          <w:headerReference r:id="rId8"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05D5F3B8">
      <w:pPr>
        <w:keepNext w:val="0"/>
        <w:keepLines w:val="0"/>
        <w:pageBreakBefore w:val="0"/>
        <w:widowControl w:val="0"/>
        <w:kinsoku/>
        <w:wordWrap/>
        <w:overflowPunct/>
        <w:topLinePunct w:val="0"/>
        <w:autoSpaceDE/>
        <w:autoSpaceDN/>
        <w:bidi w:val="0"/>
        <w:adjustRightInd/>
        <w:snapToGrid/>
        <w:spacing w:before="120" w:beforeLines="50" w:line="480" w:lineRule="exact"/>
        <w:jc w:val="center"/>
        <w:textAlignment w:val="auto"/>
        <w:rPr>
          <w:rFonts w:hint="eastAsia" w:asciiTheme="minorEastAsia" w:hAnsiTheme="minorEastAsia" w:eastAsiaTheme="minorEastAsia" w:cstheme="minorEastAsia"/>
          <w:b/>
          <w:bCs/>
          <w:color w:val="auto"/>
          <w:sz w:val="24"/>
          <w:szCs w:val="24"/>
          <w:highlight w:val="none"/>
        </w:rPr>
      </w:pPr>
      <w:bookmarkStart w:id="655" w:name="_Toc246996363"/>
      <w:bookmarkStart w:id="656" w:name="_Toc152042584"/>
      <w:bookmarkStart w:id="657" w:name="_Toc296602608"/>
      <w:bookmarkStart w:id="658" w:name="_Toc247085881"/>
      <w:bookmarkStart w:id="659" w:name="_Toc144974863"/>
      <w:bookmarkStart w:id="660" w:name="_Toc246997106"/>
      <w:bookmarkStart w:id="661" w:name="_Toc152045795"/>
      <w:bookmarkStart w:id="662" w:name="_Toc179632815"/>
      <w:r>
        <w:rPr>
          <w:rFonts w:hint="eastAsia" w:asciiTheme="minorEastAsia" w:hAnsiTheme="minorEastAsia" w:eastAsiaTheme="minorEastAsia" w:cstheme="minorEastAsia"/>
          <w:b/>
          <w:bCs/>
          <w:color w:val="auto"/>
          <w:sz w:val="32"/>
          <w:szCs w:val="32"/>
          <w:highlight w:val="none"/>
        </w:rPr>
        <w:t>八</w:t>
      </w:r>
      <w:r>
        <w:rPr>
          <w:rFonts w:hint="eastAsia" w:asciiTheme="minorEastAsia" w:hAnsiTheme="minorEastAsia" w:eastAsiaTheme="minorEastAsia" w:cstheme="minorEastAsia"/>
          <w:b/>
          <w:color w:val="auto"/>
          <w:sz w:val="32"/>
          <w:szCs w:val="32"/>
          <w:highlight w:val="none"/>
        </w:rPr>
        <w:t>、</w:t>
      </w:r>
      <w:bookmarkStart w:id="663" w:name="_Toc77586971"/>
      <w:bookmarkStart w:id="664" w:name="_Toc77586873"/>
      <w:r>
        <w:rPr>
          <w:rFonts w:hint="eastAsia" w:asciiTheme="minorEastAsia" w:hAnsiTheme="minorEastAsia" w:eastAsiaTheme="minorEastAsia" w:cstheme="minorEastAsia"/>
          <w:b/>
          <w:color w:val="auto"/>
          <w:sz w:val="32"/>
          <w:szCs w:val="32"/>
          <w:highlight w:val="none"/>
        </w:rPr>
        <w:t>技术参数偏离表</w:t>
      </w:r>
    </w:p>
    <w:tbl>
      <w:tblPr>
        <w:tblStyle w:val="20"/>
        <w:tblW w:w="9281" w:type="dxa"/>
        <w:jc w:val="center"/>
        <w:tblLayout w:type="fixed"/>
        <w:tblCellMar>
          <w:top w:w="0" w:type="dxa"/>
          <w:left w:w="108" w:type="dxa"/>
          <w:bottom w:w="0" w:type="dxa"/>
          <w:right w:w="108" w:type="dxa"/>
        </w:tblCellMar>
      </w:tblPr>
      <w:tblGrid>
        <w:gridCol w:w="810"/>
        <w:gridCol w:w="1281"/>
        <w:gridCol w:w="2077"/>
        <w:gridCol w:w="1774"/>
        <w:gridCol w:w="2088"/>
        <w:gridCol w:w="1251"/>
      </w:tblGrid>
      <w:tr w14:paraId="5FF28EDE">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B0C6C4B">
            <w:pPr>
              <w:spacing w:line="4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281" w:type="dxa"/>
            <w:tcBorders>
              <w:top w:val="single" w:color="auto" w:sz="4" w:space="0"/>
              <w:left w:val="nil"/>
              <w:bottom w:val="single" w:color="auto" w:sz="4" w:space="0"/>
              <w:right w:val="single" w:color="auto" w:sz="4" w:space="0"/>
            </w:tcBorders>
            <w:noWrap w:val="0"/>
            <w:vAlign w:val="top"/>
          </w:tcPr>
          <w:p w14:paraId="39447795">
            <w:pPr>
              <w:spacing w:line="4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产品名称</w:t>
            </w:r>
          </w:p>
        </w:tc>
        <w:tc>
          <w:tcPr>
            <w:tcW w:w="2077" w:type="dxa"/>
            <w:tcBorders>
              <w:top w:val="single" w:color="auto" w:sz="4" w:space="0"/>
              <w:left w:val="nil"/>
              <w:bottom w:val="single" w:color="auto" w:sz="4" w:space="0"/>
              <w:right w:val="single" w:color="auto" w:sz="4" w:space="0"/>
            </w:tcBorders>
            <w:noWrap w:val="0"/>
            <w:vAlign w:val="top"/>
          </w:tcPr>
          <w:p w14:paraId="076BDE0C">
            <w:pPr>
              <w:spacing w:line="4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招标技术参数要求</w:t>
            </w:r>
          </w:p>
        </w:tc>
        <w:tc>
          <w:tcPr>
            <w:tcW w:w="1774" w:type="dxa"/>
            <w:tcBorders>
              <w:top w:val="single" w:color="auto" w:sz="4" w:space="0"/>
              <w:left w:val="nil"/>
              <w:bottom w:val="single" w:color="auto" w:sz="4" w:space="0"/>
              <w:right w:val="single" w:color="auto" w:sz="4" w:space="0"/>
            </w:tcBorders>
            <w:noWrap w:val="0"/>
            <w:vAlign w:val="top"/>
          </w:tcPr>
          <w:p w14:paraId="24C0FAB9">
            <w:pPr>
              <w:spacing w:line="48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投标品牌和型号</w:t>
            </w:r>
          </w:p>
        </w:tc>
        <w:tc>
          <w:tcPr>
            <w:tcW w:w="2088" w:type="dxa"/>
            <w:tcBorders>
              <w:top w:val="single" w:color="auto" w:sz="4" w:space="0"/>
              <w:left w:val="nil"/>
              <w:bottom w:val="single" w:color="auto" w:sz="4" w:space="0"/>
              <w:right w:val="single" w:color="auto" w:sz="4" w:space="0"/>
            </w:tcBorders>
            <w:noWrap w:val="0"/>
            <w:vAlign w:val="top"/>
          </w:tcPr>
          <w:p w14:paraId="02F3AD45">
            <w:pPr>
              <w:spacing w:line="4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投标产品技术参数</w:t>
            </w:r>
          </w:p>
        </w:tc>
        <w:tc>
          <w:tcPr>
            <w:tcW w:w="1251" w:type="dxa"/>
            <w:tcBorders>
              <w:top w:val="single" w:color="auto" w:sz="4" w:space="0"/>
              <w:left w:val="nil"/>
              <w:bottom w:val="single" w:color="auto" w:sz="4" w:space="0"/>
              <w:right w:val="single" w:color="auto" w:sz="4" w:space="0"/>
            </w:tcBorders>
            <w:noWrap w:val="0"/>
            <w:vAlign w:val="top"/>
          </w:tcPr>
          <w:p w14:paraId="5249B103">
            <w:pPr>
              <w:spacing w:line="4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偏离说明</w:t>
            </w:r>
          </w:p>
        </w:tc>
      </w:tr>
      <w:tr w14:paraId="32C966F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18049E3">
            <w:pPr>
              <w:spacing w:line="480" w:lineRule="exact"/>
              <w:rPr>
                <w:rFonts w:hint="eastAsia" w:asciiTheme="minorEastAsia" w:hAnsiTheme="minorEastAsia" w:eastAsiaTheme="minorEastAsia" w:cstheme="minorEastAsia"/>
                <w:color w:val="auto"/>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14:paraId="2ED4277B">
            <w:pPr>
              <w:spacing w:line="480" w:lineRule="exact"/>
              <w:rPr>
                <w:rFonts w:hint="eastAsia" w:asciiTheme="minorEastAsia" w:hAnsiTheme="minorEastAsia" w:eastAsiaTheme="minorEastAsia" w:cstheme="minorEastAsia"/>
                <w:color w:val="auto"/>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14:paraId="36C4E802">
            <w:pPr>
              <w:spacing w:line="480" w:lineRule="exact"/>
              <w:rPr>
                <w:rFonts w:hint="eastAsia" w:asciiTheme="minorEastAsia" w:hAnsiTheme="minorEastAsia" w:eastAsiaTheme="minorEastAsia" w:cstheme="minorEastAsia"/>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top"/>
          </w:tcPr>
          <w:p w14:paraId="60A31DB4">
            <w:pPr>
              <w:spacing w:line="480" w:lineRule="exact"/>
              <w:rPr>
                <w:rFonts w:hint="eastAsia" w:asciiTheme="minorEastAsia" w:hAnsiTheme="minorEastAsia" w:eastAsiaTheme="minorEastAsia" w:cstheme="minorEastAsia"/>
                <w:color w:val="auto"/>
                <w:sz w:val="24"/>
                <w:szCs w:val="24"/>
                <w:highlight w:val="none"/>
              </w:rPr>
            </w:pPr>
          </w:p>
        </w:tc>
        <w:tc>
          <w:tcPr>
            <w:tcW w:w="2088" w:type="dxa"/>
            <w:tcBorders>
              <w:top w:val="single" w:color="auto" w:sz="4" w:space="0"/>
              <w:left w:val="nil"/>
              <w:bottom w:val="single" w:color="auto" w:sz="4" w:space="0"/>
              <w:right w:val="single" w:color="auto" w:sz="4" w:space="0"/>
            </w:tcBorders>
            <w:noWrap w:val="0"/>
            <w:vAlign w:val="top"/>
          </w:tcPr>
          <w:p w14:paraId="47A4F8E8">
            <w:pPr>
              <w:spacing w:line="480" w:lineRule="exact"/>
              <w:rPr>
                <w:rFonts w:hint="eastAsia" w:asciiTheme="minorEastAsia" w:hAnsiTheme="minorEastAsia" w:eastAsiaTheme="minorEastAsia" w:cstheme="minorEastAsia"/>
                <w:color w:val="auto"/>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14:paraId="03076FFB">
            <w:pPr>
              <w:spacing w:line="480" w:lineRule="exact"/>
              <w:rPr>
                <w:rFonts w:hint="eastAsia" w:asciiTheme="minorEastAsia" w:hAnsiTheme="minorEastAsia" w:eastAsiaTheme="minorEastAsia" w:cstheme="minorEastAsia"/>
                <w:color w:val="auto"/>
                <w:sz w:val="24"/>
                <w:szCs w:val="24"/>
                <w:highlight w:val="none"/>
              </w:rPr>
            </w:pPr>
          </w:p>
        </w:tc>
      </w:tr>
      <w:tr w14:paraId="1E11F72E">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7612CE0">
            <w:pPr>
              <w:spacing w:line="480" w:lineRule="exact"/>
              <w:rPr>
                <w:rFonts w:hint="eastAsia" w:asciiTheme="minorEastAsia" w:hAnsiTheme="minorEastAsia" w:eastAsiaTheme="minorEastAsia" w:cstheme="minorEastAsia"/>
                <w:color w:val="auto"/>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14:paraId="6F397107">
            <w:pPr>
              <w:spacing w:line="480" w:lineRule="exact"/>
              <w:rPr>
                <w:rFonts w:hint="eastAsia" w:asciiTheme="minorEastAsia" w:hAnsiTheme="minorEastAsia" w:eastAsiaTheme="minorEastAsia" w:cstheme="minorEastAsia"/>
                <w:color w:val="auto"/>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14:paraId="32AA2B05">
            <w:pPr>
              <w:spacing w:line="480" w:lineRule="exact"/>
              <w:rPr>
                <w:rFonts w:hint="eastAsia" w:asciiTheme="minorEastAsia" w:hAnsiTheme="minorEastAsia" w:eastAsiaTheme="minorEastAsia" w:cstheme="minorEastAsia"/>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top"/>
          </w:tcPr>
          <w:p w14:paraId="4F6A3474">
            <w:pPr>
              <w:spacing w:line="480" w:lineRule="exact"/>
              <w:rPr>
                <w:rFonts w:hint="eastAsia" w:asciiTheme="minorEastAsia" w:hAnsiTheme="minorEastAsia" w:eastAsiaTheme="minorEastAsia" w:cstheme="minorEastAsia"/>
                <w:color w:val="auto"/>
                <w:sz w:val="24"/>
                <w:szCs w:val="24"/>
                <w:highlight w:val="none"/>
              </w:rPr>
            </w:pPr>
          </w:p>
        </w:tc>
        <w:tc>
          <w:tcPr>
            <w:tcW w:w="2088" w:type="dxa"/>
            <w:tcBorders>
              <w:top w:val="single" w:color="auto" w:sz="4" w:space="0"/>
              <w:left w:val="nil"/>
              <w:bottom w:val="single" w:color="auto" w:sz="4" w:space="0"/>
              <w:right w:val="single" w:color="auto" w:sz="4" w:space="0"/>
            </w:tcBorders>
            <w:noWrap w:val="0"/>
            <w:vAlign w:val="top"/>
          </w:tcPr>
          <w:p w14:paraId="43E16CBA">
            <w:pPr>
              <w:spacing w:line="480" w:lineRule="exact"/>
              <w:rPr>
                <w:rFonts w:hint="eastAsia" w:asciiTheme="minorEastAsia" w:hAnsiTheme="minorEastAsia" w:eastAsiaTheme="minorEastAsia" w:cstheme="minorEastAsia"/>
                <w:color w:val="auto"/>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14:paraId="131C88B6">
            <w:pPr>
              <w:spacing w:line="480" w:lineRule="exact"/>
              <w:rPr>
                <w:rFonts w:hint="eastAsia" w:asciiTheme="minorEastAsia" w:hAnsiTheme="minorEastAsia" w:eastAsiaTheme="minorEastAsia" w:cstheme="minorEastAsia"/>
                <w:color w:val="auto"/>
                <w:sz w:val="24"/>
                <w:szCs w:val="24"/>
                <w:highlight w:val="none"/>
              </w:rPr>
            </w:pPr>
          </w:p>
        </w:tc>
      </w:tr>
      <w:tr w14:paraId="6063E4C3">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B44B2FA">
            <w:pPr>
              <w:spacing w:line="480" w:lineRule="exact"/>
              <w:rPr>
                <w:rFonts w:hint="eastAsia" w:asciiTheme="minorEastAsia" w:hAnsiTheme="minorEastAsia" w:eastAsiaTheme="minorEastAsia" w:cstheme="minorEastAsia"/>
                <w:color w:val="auto"/>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14:paraId="40F26366">
            <w:pPr>
              <w:spacing w:line="480" w:lineRule="exact"/>
              <w:rPr>
                <w:rFonts w:hint="eastAsia" w:asciiTheme="minorEastAsia" w:hAnsiTheme="minorEastAsia" w:eastAsiaTheme="minorEastAsia" w:cstheme="minorEastAsia"/>
                <w:color w:val="auto"/>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14:paraId="03125917">
            <w:pPr>
              <w:spacing w:line="480" w:lineRule="exact"/>
              <w:rPr>
                <w:rFonts w:hint="eastAsia" w:asciiTheme="minorEastAsia" w:hAnsiTheme="minorEastAsia" w:eastAsiaTheme="minorEastAsia" w:cstheme="minorEastAsia"/>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top"/>
          </w:tcPr>
          <w:p w14:paraId="5EA2AEA9">
            <w:pPr>
              <w:spacing w:line="480" w:lineRule="exact"/>
              <w:rPr>
                <w:rFonts w:hint="eastAsia" w:asciiTheme="minorEastAsia" w:hAnsiTheme="minorEastAsia" w:eastAsiaTheme="minorEastAsia" w:cstheme="minorEastAsia"/>
                <w:color w:val="auto"/>
                <w:sz w:val="24"/>
                <w:szCs w:val="24"/>
                <w:highlight w:val="none"/>
              </w:rPr>
            </w:pPr>
          </w:p>
        </w:tc>
        <w:tc>
          <w:tcPr>
            <w:tcW w:w="2088" w:type="dxa"/>
            <w:tcBorders>
              <w:top w:val="single" w:color="auto" w:sz="4" w:space="0"/>
              <w:left w:val="nil"/>
              <w:bottom w:val="single" w:color="auto" w:sz="4" w:space="0"/>
              <w:right w:val="single" w:color="auto" w:sz="4" w:space="0"/>
            </w:tcBorders>
            <w:noWrap w:val="0"/>
            <w:vAlign w:val="top"/>
          </w:tcPr>
          <w:p w14:paraId="61236140">
            <w:pPr>
              <w:spacing w:line="480" w:lineRule="exact"/>
              <w:rPr>
                <w:rFonts w:hint="eastAsia" w:asciiTheme="minorEastAsia" w:hAnsiTheme="minorEastAsia" w:eastAsiaTheme="minorEastAsia" w:cstheme="minorEastAsia"/>
                <w:color w:val="auto"/>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14:paraId="7330C19C">
            <w:pPr>
              <w:spacing w:line="480" w:lineRule="exact"/>
              <w:rPr>
                <w:rFonts w:hint="eastAsia" w:asciiTheme="minorEastAsia" w:hAnsiTheme="minorEastAsia" w:eastAsiaTheme="minorEastAsia" w:cstheme="minorEastAsia"/>
                <w:color w:val="auto"/>
                <w:sz w:val="24"/>
                <w:szCs w:val="24"/>
                <w:highlight w:val="none"/>
              </w:rPr>
            </w:pPr>
          </w:p>
        </w:tc>
      </w:tr>
      <w:tr w14:paraId="47E7CC72">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55DF5F6">
            <w:pPr>
              <w:spacing w:line="480" w:lineRule="exact"/>
              <w:rPr>
                <w:rFonts w:hint="eastAsia" w:asciiTheme="minorEastAsia" w:hAnsiTheme="minorEastAsia" w:eastAsiaTheme="minorEastAsia" w:cstheme="minorEastAsia"/>
                <w:color w:val="auto"/>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14:paraId="6374B78E">
            <w:pPr>
              <w:spacing w:line="480" w:lineRule="exact"/>
              <w:rPr>
                <w:rFonts w:hint="eastAsia" w:asciiTheme="minorEastAsia" w:hAnsiTheme="minorEastAsia" w:eastAsiaTheme="minorEastAsia" w:cstheme="minorEastAsia"/>
                <w:color w:val="auto"/>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14:paraId="0B6E7592">
            <w:pPr>
              <w:spacing w:line="480" w:lineRule="exact"/>
              <w:rPr>
                <w:rFonts w:hint="eastAsia" w:asciiTheme="minorEastAsia" w:hAnsiTheme="minorEastAsia" w:eastAsiaTheme="minorEastAsia" w:cstheme="minorEastAsia"/>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top"/>
          </w:tcPr>
          <w:p w14:paraId="4C1E8264">
            <w:pPr>
              <w:spacing w:line="480" w:lineRule="exact"/>
              <w:rPr>
                <w:rFonts w:hint="eastAsia" w:asciiTheme="minorEastAsia" w:hAnsiTheme="minorEastAsia" w:eastAsiaTheme="minorEastAsia" w:cstheme="minorEastAsia"/>
                <w:color w:val="auto"/>
                <w:sz w:val="24"/>
                <w:szCs w:val="24"/>
                <w:highlight w:val="none"/>
              </w:rPr>
            </w:pPr>
          </w:p>
        </w:tc>
        <w:tc>
          <w:tcPr>
            <w:tcW w:w="2088" w:type="dxa"/>
            <w:tcBorders>
              <w:top w:val="single" w:color="auto" w:sz="4" w:space="0"/>
              <w:left w:val="nil"/>
              <w:bottom w:val="single" w:color="auto" w:sz="4" w:space="0"/>
              <w:right w:val="single" w:color="auto" w:sz="4" w:space="0"/>
            </w:tcBorders>
            <w:noWrap w:val="0"/>
            <w:vAlign w:val="top"/>
          </w:tcPr>
          <w:p w14:paraId="7652BEA6">
            <w:pPr>
              <w:spacing w:line="480" w:lineRule="exact"/>
              <w:rPr>
                <w:rFonts w:hint="eastAsia" w:asciiTheme="minorEastAsia" w:hAnsiTheme="minorEastAsia" w:eastAsiaTheme="minorEastAsia" w:cstheme="minorEastAsia"/>
                <w:color w:val="auto"/>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14:paraId="127DD75D">
            <w:pPr>
              <w:spacing w:line="480" w:lineRule="exact"/>
              <w:rPr>
                <w:rFonts w:hint="eastAsia" w:asciiTheme="minorEastAsia" w:hAnsiTheme="minorEastAsia" w:eastAsiaTheme="minorEastAsia" w:cstheme="minorEastAsia"/>
                <w:color w:val="auto"/>
                <w:sz w:val="24"/>
                <w:szCs w:val="24"/>
                <w:highlight w:val="none"/>
              </w:rPr>
            </w:pPr>
          </w:p>
        </w:tc>
      </w:tr>
      <w:tr w14:paraId="738CEA9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B0B053E">
            <w:pPr>
              <w:spacing w:line="480" w:lineRule="exact"/>
              <w:rPr>
                <w:rFonts w:hint="eastAsia" w:asciiTheme="minorEastAsia" w:hAnsiTheme="minorEastAsia" w:eastAsiaTheme="minorEastAsia" w:cstheme="minorEastAsia"/>
                <w:color w:val="auto"/>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14:paraId="7B3133C6">
            <w:pPr>
              <w:spacing w:line="480" w:lineRule="exact"/>
              <w:rPr>
                <w:rFonts w:hint="eastAsia" w:asciiTheme="minorEastAsia" w:hAnsiTheme="minorEastAsia" w:eastAsiaTheme="minorEastAsia" w:cstheme="minorEastAsia"/>
                <w:color w:val="auto"/>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14:paraId="4E9F013F">
            <w:pPr>
              <w:spacing w:line="480" w:lineRule="exact"/>
              <w:rPr>
                <w:rFonts w:hint="eastAsia" w:asciiTheme="minorEastAsia" w:hAnsiTheme="minorEastAsia" w:eastAsiaTheme="minorEastAsia" w:cstheme="minorEastAsia"/>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top"/>
          </w:tcPr>
          <w:p w14:paraId="7D674469">
            <w:pPr>
              <w:spacing w:line="480" w:lineRule="exact"/>
              <w:rPr>
                <w:rFonts w:hint="eastAsia" w:asciiTheme="minorEastAsia" w:hAnsiTheme="minorEastAsia" w:eastAsiaTheme="minorEastAsia" w:cstheme="minorEastAsia"/>
                <w:color w:val="auto"/>
                <w:sz w:val="24"/>
                <w:szCs w:val="24"/>
                <w:highlight w:val="none"/>
              </w:rPr>
            </w:pPr>
          </w:p>
        </w:tc>
        <w:tc>
          <w:tcPr>
            <w:tcW w:w="2088" w:type="dxa"/>
            <w:tcBorders>
              <w:top w:val="single" w:color="auto" w:sz="4" w:space="0"/>
              <w:left w:val="nil"/>
              <w:bottom w:val="single" w:color="auto" w:sz="4" w:space="0"/>
              <w:right w:val="single" w:color="auto" w:sz="4" w:space="0"/>
            </w:tcBorders>
            <w:noWrap w:val="0"/>
            <w:vAlign w:val="top"/>
          </w:tcPr>
          <w:p w14:paraId="38D9ACC3">
            <w:pPr>
              <w:spacing w:line="480" w:lineRule="exact"/>
              <w:rPr>
                <w:rFonts w:hint="eastAsia" w:asciiTheme="minorEastAsia" w:hAnsiTheme="minorEastAsia" w:eastAsiaTheme="minorEastAsia" w:cstheme="minorEastAsia"/>
                <w:color w:val="auto"/>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14:paraId="691CA7FE">
            <w:pPr>
              <w:spacing w:line="480" w:lineRule="exact"/>
              <w:rPr>
                <w:rFonts w:hint="eastAsia" w:asciiTheme="minorEastAsia" w:hAnsiTheme="minorEastAsia" w:eastAsiaTheme="minorEastAsia" w:cstheme="minorEastAsia"/>
                <w:color w:val="auto"/>
                <w:sz w:val="24"/>
                <w:szCs w:val="24"/>
                <w:highlight w:val="none"/>
              </w:rPr>
            </w:pPr>
          </w:p>
        </w:tc>
      </w:tr>
      <w:tr w14:paraId="46BC44A2">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63908EC0">
            <w:pPr>
              <w:spacing w:line="480" w:lineRule="exact"/>
              <w:rPr>
                <w:rFonts w:hint="eastAsia" w:asciiTheme="minorEastAsia" w:hAnsiTheme="minorEastAsia" w:eastAsiaTheme="minorEastAsia" w:cstheme="minorEastAsia"/>
                <w:color w:val="auto"/>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14:paraId="52762DAC">
            <w:pPr>
              <w:spacing w:line="480" w:lineRule="exact"/>
              <w:rPr>
                <w:rFonts w:hint="eastAsia" w:asciiTheme="minorEastAsia" w:hAnsiTheme="minorEastAsia" w:eastAsiaTheme="minorEastAsia" w:cstheme="minorEastAsia"/>
                <w:color w:val="auto"/>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14:paraId="7FE596DA">
            <w:pPr>
              <w:spacing w:line="480" w:lineRule="exact"/>
              <w:rPr>
                <w:rFonts w:hint="eastAsia" w:asciiTheme="minorEastAsia" w:hAnsiTheme="minorEastAsia" w:eastAsiaTheme="minorEastAsia" w:cstheme="minorEastAsia"/>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top"/>
          </w:tcPr>
          <w:p w14:paraId="64E646F8">
            <w:pPr>
              <w:spacing w:line="480" w:lineRule="exact"/>
              <w:rPr>
                <w:rFonts w:hint="eastAsia" w:asciiTheme="minorEastAsia" w:hAnsiTheme="minorEastAsia" w:eastAsiaTheme="minorEastAsia" w:cstheme="minorEastAsia"/>
                <w:color w:val="auto"/>
                <w:sz w:val="24"/>
                <w:szCs w:val="24"/>
                <w:highlight w:val="none"/>
              </w:rPr>
            </w:pPr>
          </w:p>
        </w:tc>
        <w:tc>
          <w:tcPr>
            <w:tcW w:w="2088" w:type="dxa"/>
            <w:tcBorders>
              <w:top w:val="single" w:color="auto" w:sz="4" w:space="0"/>
              <w:left w:val="nil"/>
              <w:bottom w:val="single" w:color="auto" w:sz="4" w:space="0"/>
              <w:right w:val="single" w:color="auto" w:sz="4" w:space="0"/>
            </w:tcBorders>
            <w:noWrap w:val="0"/>
            <w:vAlign w:val="top"/>
          </w:tcPr>
          <w:p w14:paraId="1918A369">
            <w:pPr>
              <w:spacing w:line="480" w:lineRule="exact"/>
              <w:rPr>
                <w:rFonts w:hint="eastAsia" w:asciiTheme="minorEastAsia" w:hAnsiTheme="minorEastAsia" w:eastAsiaTheme="minorEastAsia" w:cstheme="minorEastAsia"/>
                <w:color w:val="auto"/>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14:paraId="30723088">
            <w:pPr>
              <w:spacing w:line="480" w:lineRule="exact"/>
              <w:rPr>
                <w:rFonts w:hint="eastAsia" w:asciiTheme="minorEastAsia" w:hAnsiTheme="minorEastAsia" w:eastAsiaTheme="minorEastAsia" w:cstheme="minorEastAsia"/>
                <w:color w:val="auto"/>
                <w:sz w:val="24"/>
                <w:szCs w:val="24"/>
                <w:highlight w:val="none"/>
              </w:rPr>
            </w:pPr>
          </w:p>
        </w:tc>
      </w:tr>
    </w:tbl>
    <w:p w14:paraId="1CEEB045">
      <w:pPr>
        <w:spacing w:line="48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注：供应商应根据</w:t>
      </w:r>
      <w:r>
        <w:rPr>
          <w:rFonts w:hint="eastAsia" w:asciiTheme="minorEastAsia" w:hAnsiTheme="minorEastAsia" w:eastAsiaTheme="minorEastAsia" w:cstheme="minorEastAsia"/>
          <w:color w:val="auto"/>
          <w:sz w:val="24"/>
          <w:szCs w:val="24"/>
          <w:highlight w:val="none"/>
          <w:lang w:val="en-US" w:eastAsia="zh-CN"/>
        </w:rPr>
        <w:t>服务内容及所投标设备</w:t>
      </w:r>
      <w:r>
        <w:rPr>
          <w:rFonts w:hint="eastAsia" w:asciiTheme="minorEastAsia" w:hAnsiTheme="minorEastAsia" w:eastAsiaTheme="minorEastAsia" w:cstheme="minorEastAsia"/>
          <w:color w:val="auto"/>
          <w:sz w:val="24"/>
          <w:szCs w:val="24"/>
          <w:highlight w:val="none"/>
        </w:rPr>
        <w:t>技术参数对照</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文件要求对比偏离情况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自行修改编写、扩展“本技术偏离表”；服务内容、</w:t>
      </w:r>
      <w:r>
        <w:rPr>
          <w:rFonts w:hint="eastAsia" w:asciiTheme="minorEastAsia" w:hAnsiTheme="minorEastAsia" w:eastAsiaTheme="minorEastAsia" w:cstheme="minorEastAsia"/>
          <w:color w:val="auto"/>
          <w:sz w:val="24"/>
          <w:szCs w:val="24"/>
          <w:highlight w:val="none"/>
        </w:rPr>
        <w:t>重要参数及正偏离参数必须提供相关证明材料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否则按不满足要求项不予认可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kern w:val="0"/>
          <w:sz w:val="24"/>
          <w:szCs w:val="24"/>
          <w:highlight w:val="none"/>
          <w:lang w:val="en-US" w:eastAsia="zh-CN"/>
        </w:rPr>
        <w:t>“技术服务方案”评分标准中进行扣分；</w:t>
      </w:r>
      <w:r>
        <w:rPr>
          <w:rFonts w:hint="eastAsia" w:asciiTheme="minorEastAsia" w:hAnsiTheme="minorEastAsia" w:eastAsiaTheme="minorEastAsia" w:cstheme="minorEastAsia"/>
          <w:color w:val="auto"/>
          <w:sz w:val="24"/>
          <w:szCs w:val="24"/>
          <w:highlight w:val="none"/>
          <w:lang w:val="en-US" w:eastAsia="zh-CN"/>
        </w:rPr>
        <w:t>未在本偏离表填写的“负偏离”内容，则视为完全响应、满足且履行本项目服务内容、参数；</w:t>
      </w:r>
    </w:p>
    <w:p w14:paraId="49274A8E">
      <w:pPr>
        <w:spacing w:line="480" w:lineRule="exact"/>
        <w:rPr>
          <w:rFonts w:hint="eastAsia" w:asciiTheme="minorEastAsia" w:hAnsiTheme="minorEastAsia" w:eastAsiaTheme="minorEastAsia" w:cstheme="minorEastAsia"/>
          <w:color w:val="auto"/>
          <w:sz w:val="32"/>
          <w:szCs w:val="32"/>
          <w:highlight w:val="none"/>
        </w:rPr>
      </w:pPr>
    </w:p>
    <w:p w14:paraId="7F5020FB">
      <w:pPr>
        <w:spacing w:line="480" w:lineRule="exact"/>
        <w:ind w:firstLine="110" w:firstLineChars="50"/>
        <w:rPr>
          <w:rFonts w:hint="eastAsia" w:asciiTheme="minorEastAsia" w:hAnsiTheme="minorEastAsia" w:eastAsiaTheme="minorEastAsia" w:cstheme="minorEastAsia"/>
          <w:color w:val="auto"/>
          <w:highlight w:val="none"/>
        </w:rPr>
      </w:pPr>
    </w:p>
    <w:p w14:paraId="20D116F9">
      <w:pPr>
        <w:keepNext w:val="0"/>
        <w:keepLines w:val="0"/>
        <w:pageBreakBefore w:val="0"/>
        <w:widowControl/>
        <w:kinsoku/>
        <w:wordWrap/>
        <w:overflowPunct/>
        <w:topLinePunct w:val="0"/>
        <w:autoSpaceDE/>
        <w:autoSpaceDN/>
        <w:bidi w:val="0"/>
        <w:adjustRightInd w:val="0"/>
        <w:snapToGrid w:val="0"/>
        <w:spacing w:after="0" w:line="48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16598A76">
      <w:pPr>
        <w:keepNext w:val="0"/>
        <w:keepLines w:val="0"/>
        <w:pageBreakBefore w:val="0"/>
        <w:widowControl/>
        <w:kinsoku/>
        <w:wordWrap/>
        <w:overflowPunct/>
        <w:topLinePunct w:val="0"/>
        <w:autoSpaceDE/>
        <w:autoSpaceDN/>
        <w:bidi w:val="0"/>
        <w:adjustRightInd w:val="0"/>
        <w:snapToGrid w:val="0"/>
        <w:spacing w:after="0" w:line="480" w:lineRule="auto"/>
        <w:jc w:val="righ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7013A258">
      <w:pPr>
        <w:keepNext w:val="0"/>
        <w:keepLines w:val="0"/>
        <w:pageBreakBefore w:val="0"/>
        <w:widowControl/>
        <w:kinsoku/>
        <w:wordWrap/>
        <w:overflowPunct/>
        <w:topLinePunct w:val="0"/>
        <w:autoSpaceDE/>
        <w:autoSpaceDN/>
        <w:bidi w:val="0"/>
        <w:adjustRightInd w:val="0"/>
        <w:snapToGrid w:val="0"/>
        <w:spacing w:after="0" w:line="480" w:lineRule="auto"/>
        <w:jc w:val="right"/>
        <w:textAlignment w:val="auto"/>
        <w:rPr>
          <w:rFonts w:hint="eastAsia" w:asciiTheme="minorEastAsia" w:hAnsiTheme="minorEastAsia" w:eastAsiaTheme="minorEastAsia" w:cstheme="minorEastAsia"/>
          <w:color w:val="auto"/>
          <w:sz w:val="24"/>
          <w:szCs w:val="24"/>
          <w:highlight w:val="none"/>
        </w:rPr>
        <w:sectPr>
          <w:headerReference r:id="rId9"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1CEE5E06">
      <w:pPr>
        <w:snapToGrid w:val="0"/>
        <w:spacing w:line="360" w:lineRule="auto"/>
        <w:jc w:val="center"/>
        <w:rPr>
          <w:rStyle w:val="27"/>
          <w:rFonts w:ascii="宋体" w:hAnsi="宋体"/>
          <w:bCs w:val="0"/>
          <w:color w:val="auto"/>
          <w:sz w:val="30"/>
          <w:szCs w:val="30"/>
          <w:highlight w:val="none"/>
        </w:rPr>
      </w:pPr>
      <w:bookmarkStart w:id="665" w:name="_Toc40390837"/>
      <w:r>
        <w:rPr>
          <w:rFonts w:hint="eastAsia" w:asciiTheme="minorEastAsia" w:hAnsiTheme="minorEastAsia" w:eastAsiaTheme="minorEastAsia" w:cstheme="minorEastAsia"/>
          <w:b/>
          <w:color w:val="auto"/>
          <w:sz w:val="32"/>
          <w:szCs w:val="32"/>
          <w:highlight w:val="none"/>
          <w:lang w:val="en-US" w:eastAsia="zh-CN"/>
        </w:rPr>
        <w:t>九、项目管理机构</w:t>
      </w:r>
      <w:bookmarkEnd w:id="665"/>
      <w:bookmarkStart w:id="666" w:name="_Toc380592871"/>
      <w:bookmarkEnd w:id="666"/>
    </w:p>
    <w:p w14:paraId="67B3DAE8">
      <w:pPr>
        <w:pStyle w:val="28"/>
        <w:spacing w:after="240" w:line="360" w:lineRule="auto"/>
        <w:ind w:firstLine="235"/>
        <w:jc w:val="center"/>
        <w:rPr>
          <w:rFonts w:hint="eastAsia" w:asciiTheme="minorEastAsia" w:hAnsiTheme="minorEastAsia" w:eastAsiaTheme="minorEastAsia" w:cstheme="minorEastAsia"/>
          <w:b/>
          <w:bCs/>
          <w:color w:val="auto"/>
          <w:sz w:val="28"/>
          <w:szCs w:val="30"/>
          <w:highlight w:val="none"/>
          <w:lang w:val="en-US" w:eastAsia="zh-CN" w:bidi="ar-SA"/>
        </w:rPr>
      </w:pPr>
      <w:bookmarkStart w:id="667" w:name="_Toc40390838"/>
      <w:r>
        <w:rPr>
          <w:rFonts w:hint="eastAsia" w:asciiTheme="minorEastAsia" w:hAnsiTheme="minorEastAsia" w:eastAsiaTheme="minorEastAsia" w:cstheme="minorEastAsia"/>
          <w:b/>
          <w:bCs/>
          <w:color w:val="auto"/>
          <w:sz w:val="28"/>
          <w:szCs w:val="30"/>
          <w:highlight w:val="none"/>
          <w:lang w:val="en-US" w:eastAsia="zh-CN" w:bidi="ar-SA"/>
        </w:rPr>
        <w:t>（一）项目部组成表</w:t>
      </w:r>
      <w:bookmarkEnd w:id="667"/>
    </w:p>
    <w:tbl>
      <w:tblPr>
        <w:tblStyle w:val="20"/>
        <w:tblW w:w="864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0"/>
        <w:gridCol w:w="1020"/>
        <w:gridCol w:w="1260"/>
        <w:gridCol w:w="900"/>
        <w:gridCol w:w="900"/>
        <w:gridCol w:w="720"/>
        <w:gridCol w:w="904"/>
        <w:gridCol w:w="900"/>
      </w:tblGrid>
      <w:tr w14:paraId="326B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20" w:type="dxa"/>
            <w:vMerge w:val="restart"/>
            <w:tcBorders>
              <w:tl2br w:val="nil"/>
              <w:tr2bl w:val="nil"/>
            </w:tcBorders>
            <w:noWrap w:val="0"/>
            <w:vAlign w:val="center"/>
          </w:tcPr>
          <w:p w14:paraId="4C57FDC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020" w:type="dxa"/>
            <w:vMerge w:val="restart"/>
            <w:tcBorders>
              <w:tl2br w:val="nil"/>
              <w:tr2bl w:val="nil"/>
            </w:tcBorders>
            <w:noWrap w:val="0"/>
            <w:vAlign w:val="center"/>
          </w:tcPr>
          <w:p w14:paraId="4E101B70">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020" w:type="dxa"/>
            <w:vMerge w:val="restart"/>
            <w:tcBorders>
              <w:tl2br w:val="nil"/>
              <w:tr2bl w:val="nil"/>
            </w:tcBorders>
            <w:noWrap w:val="0"/>
            <w:vAlign w:val="center"/>
          </w:tcPr>
          <w:p w14:paraId="6FE084DB">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4684" w:type="dxa"/>
            <w:gridSpan w:val="5"/>
            <w:tcBorders>
              <w:tl2br w:val="nil"/>
              <w:tr2bl w:val="nil"/>
            </w:tcBorders>
            <w:noWrap w:val="0"/>
            <w:vAlign w:val="center"/>
          </w:tcPr>
          <w:p w14:paraId="79AD34A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执业或职业资格证明</w:t>
            </w:r>
          </w:p>
        </w:tc>
        <w:tc>
          <w:tcPr>
            <w:tcW w:w="900" w:type="dxa"/>
            <w:vMerge w:val="restart"/>
            <w:tcBorders>
              <w:tl2br w:val="nil"/>
              <w:tr2bl w:val="nil"/>
            </w:tcBorders>
            <w:noWrap w:val="0"/>
            <w:vAlign w:val="center"/>
          </w:tcPr>
          <w:p w14:paraId="31E85A4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7FF5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20" w:type="dxa"/>
            <w:vMerge w:val="continue"/>
            <w:tcBorders>
              <w:tl2br w:val="nil"/>
              <w:tr2bl w:val="nil"/>
            </w:tcBorders>
            <w:noWrap w:val="0"/>
            <w:vAlign w:val="center"/>
          </w:tcPr>
          <w:p w14:paraId="2E9C3150">
            <w:pPr>
              <w:widowControl/>
              <w:spacing w:line="360" w:lineRule="auto"/>
              <w:jc w:val="left"/>
              <w:rPr>
                <w:rFonts w:hint="eastAsia" w:asciiTheme="minorEastAsia" w:hAnsiTheme="minorEastAsia" w:eastAsiaTheme="minorEastAsia" w:cstheme="minorEastAsia"/>
                <w:color w:val="auto"/>
                <w:sz w:val="24"/>
                <w:szCs w:val="24"/>
                <w:highlight w:val="none"/>
              </w:rPr>
            </w:pPr>
          </w:p>
        </w:tc>
        <w:tc>
          <w:tcPr>
            <w:tcW w:w="1020" w:type="dxa"/>
            <w:vMerge w:val="continue"/>
            <w:tcBorders>
              <w:tl2br w:val="nil"/>
              <w:tr2bl w:val="nil"/>
            </w:tcBorders>
            <w:noWrap w:val="0"/>
            <w:vAlign w:val="center"/>
          </w:tcPr>
          <w:p w14:paraId="093C4E41">
            <w:pPr>
              <w:widowControl/>
              <w:spacing w:line="360" w:lineRule="auto"/>
              <w:jc w:val="left"/>
              <w:rPr>
                <w:rFonts w:hint="eastAsia" w:asciiTheme="minorEastAsia" w:hAnsiTheme="minorEastAsia" w:eastAsiaTheme="minorEastAsia" w:cstheme="minorEastAsia"/>
                <w:color w:val="auto"/>
                <w:sz w:val="24"/>
                <w:szCs w:val="24"/>
                <w:highlight w:val="none"/>
              </w:rPr>
            </w:pPr>
          </w:p>
        </w:tc>
        <w:tc>
          <w:tcPr>
            <w:tcW w:w="1020" w:type="dxa"/>
            <w:vMerge w:val="continue"/>
            <w:tcBorders>
              <w:tl2br w:val="nil"/>
              <w:tr2bl w:val="nil"/>
            </w:tcBorders>
            <w:noWrap w:val="0"/>
            <w:vAlign w:val="center"/>
          </w:tcPr>
          <w:p w14:paraId="10C3BAB1">
            <w:pPr>
              <w:widowControl/>
              <w:spacing w:line="360" w:lineRule="auto"/>
              <w:jc w:val="left"/>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44C773DC">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证书名称</w:t>
            </w:r>
          </w:p>
        </w:tc>
        <w:tc>
          <w:tcPr>
            <w:tcW w:w="900" w:type="dxa"/>
            <w:tcBorders>
              <w:tl2br w:val="nil"/>
              <w:tr2bl w:val="nil"/>
            </w:tcBorders>
            <w:noWrap w:val="0"/>
            <w:vAlign w:val="center"/>
          </w:tcPr>
          <w:p w14:paraId="71F8793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级别</w:t>
            </w:r>
          </w:p>
        </w:tc>
        <w:tc>
          <w:tcPr>
            <w:tcW w:w="900" w:type="dxa"/>
            <w:tcBorders>
              <w:tl2br w:val="nil"/>
              <w:tr2bl w:val="nil"/>
            </w:tcBorders>
            <w:noWrap w:val="0"/>
            <w:vAlign w:val="center"/>
          </w:tcPr>
          <w:p w14:paraId="7A54AC9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证号</w:t>
            </w:r>
          </w:p>
        </w:tc>
        <w:tc>
          <w:tcPr>
            <w:tcW w:w="720" w:type="dxa"/>
            <w:tcBorders>
              <w:tl2br w:val="nil"/>
              <w:tr2bl w:val="nil"/>
            </w:tcBorders>
            <w:noWrap w:val="0"/>
            <w:vAlign w:val="center"/>
          </w:tcPr>
          <w:p w14:paraId="39E2331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904" w:type="dxa"/>
            <w:tcBorders>
              <w:tl2br w:val="nil"/>
              <w:tr2bl w:val="nil"/>
            </w:tcBorders>
            <w:noWrap w:val="0"/>
            <w:vAlign w:val="center"/>
          </w:tcPr>
          <w:p w14:paraId="5D953E4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养老保险</w:t>
            </w:r>
          </w:p>
        </w:tc>
        <w:tc>
          <w:tcPr>
            <w:tcW w:w="900" w:type="dxa"/>
            <w:vMerge w:val="continue"/>
            <w:tcBorders>
              <w:tl2br w:val="nil"/>
              <w:tr2bl w:val="nil"/>
            </w:tcBorders>
            <w:noWrap w:val="0"/>
            <w:vAlign w:val="center"/>
          </w:tcPr>
          <w:p w14:paraId="4B0AB5DD">
            <w:pPr>
              <w:widowControl/>
              <w:spacing w:line="360" w:lineRule="auto"/>
              <w:jc w:val="left"/>
              <w:rPr>
                <w:rFonts w:hint="eastAsia" w:asciiTheme="minorEastAsia" w:hAnsiTheme="minorEastAsia" w:eastAsiaTheme="minorEastAsia" w:cstheme="minorEastAsia"/>
                <w:color w:val="auto"/>
                <w:sz w:val="24"/>
                <w:szCs w:val="24"/>
                <w:highlight w:val="none"/>
              </w:rPr>
            </w:pPr>
          </w:p>
        </w:tc>
      </w:tr>
      <w:tr w14:paraId="0590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20" w:type="dxa"/>
            <w:tcBorders>
              <w:tl2br w:val="nil"/>
              <w:tr2bl w:val="nil"/>
            </w:tcBorders>
            <w:noWrap w:val="0"/>
            <w:vAlign w:val="center"/>
          </w:tcPr>
          <w:p w14:paraId="4F05765F">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124DCC06">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29F1FFF7">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3A562807">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3BB2122A">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2371E987">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2D3C510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6F326DA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378549E">
            <w:pPr>
              <w:spacing w:line="360" w:lineRule="auto"/>
              <w:jc w:val="center"/>
              <w:rPr>
                <w:rFonts w:hint="eastAsia" w:asciiTheme="minorEastAsia" w:hAnsiTheme="minorEastAsia" w:eastAsiaTheme="minorEastAsia" w:cstheme="minorEastAsia"/>
                <w:color w:val="auto"/>
                <w:sz w:val="24"/>
                <w:szCs w:val="24"/>
                <w:highlight w:val="none"/>
              </w:rPr>
            </w:pPr>
          </w:p>
        </w:tc>
      </w:tr>
      <w:tr w14:paraId="2C2E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20" w:type="dxa"/>
            <w:tcBorders>
              <w:tl2br w:val="nil"/>
              <w:tr2bl w:val="nil"/>
            </w:tcBorders>
            <w:noWrap w:val="0"/>
            <w:vAlign w:val="center"/>
          </w:tcPr>
          <w:p w14:paraId="59DF2EFF">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1E0F8B75">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559FF454">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766AABBD">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34880AA1">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00779355">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10E6801F">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5DE79B24">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1653550D">
            <w:pPr>
              <w:spacing w:line="360" w:lineRule="auto"/>
              <w:jc w:val="center"/>
              <w:rPr>
                <w:rFonts w:hint="eastAsia" w:asciiTheme="minorEastAsia" w:hAnsiTheme="minorEastAsia" w:eastAsiaTheme="minorEastAsia" w:cstheme="minorEastAsia"/>
                <w:color w:val="auto"/>
                <w:sz w:val="24"/>
                <w:szCs w:val="24"/>
                <w:highlight w:val="none"/>
              </w:rPr>
            </w:pPr>
          </w:p>
        </w:tc>
      </w:tr>
      <w:tr w14:paraId="4A87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20" w:type="dxa"/>
            <w:tcBorders>
              <w:tl2br w:val="nil"/>
              <w:tr2bl w:val="nil"/>
            </w:tcBorders>
            <w:noWrap w:val="0"/>
            <w:vAlign w:val="center"/>
          </w:tcPr>
          <w:p w14:paraId="5D7771DD">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4B393B30">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6FD984E4">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51F26C39">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16F248A2">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5935C65">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568AB6C3">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74B4F51F">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01494793">
            <w:pPr>
              <w:spacing w:line="360" w:lineRule="auto"/>
              <w:jc w:val="center"/>
              <w:rPr>
                <w:rFonts w:hint="eastAsia" w:asciiTheme="minorEastAsia" w:hAnsiTheme="minorEastAsia" w:eastAsiaTheme="minorEastAsia" w:cstheme="minorEastAsia"/>
                <w:color w:val="auto"/>
                <w:sz w:val="24"/>
                <w:szCs w:val="24"/>
                <w:highlight w:val="none"/>
              </w:rPr>
            </w:pPr>
          </w:p>
        </w:tc>
      </w:tr>
      <w:tr w14:paraId="0BA1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20" w:type="dxa"/>
            <w:tcBorders>
              <w:tl2br w:val="nil"/>
              <w:tr2bl w:val="nil"/>
            </w:tcBorders>
            <w:noWrap w:val="0"/>
            <w:vAlign w:val="center"/>
          </w:tcPr>
          <w:p w14:paraId="2AE785E8">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6C0560E4">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4D97600B">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5073ABDA">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5768B55D">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4ED0A32">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175DFB61">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6A034566">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46D044E9">
            <w:pPr>
              <w:spacing w:line="360" w:lineRule="auto"/>
              <w:jc w:val="center"/>
              <w:rPr>
                <w:rFonts w:hint="eastAsia" w:asciiTheme="minorEastAsia" w:hAnsiTheme="minorEastAsia" w:eastAsiaTheme="minorEastAsia" w:cstheme="minorEastAsia"/>
                <w:color w:val="auto"/>
                <w:sz w:val="24"/>
                <w:szCs w:val="24"/>
                <w:highlight w:val="none"/>
              </w:rPr>
            </w:pPr>
          </w:p>
        </w:tc>
      </w:tr>
      <w:tr w14:paraId="377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20" w:type="dxa"/>
            <w:tcBorders>
              <w:tl2br w:val="nil"/>
              <w:tr2bl w:val="nil"/>
            </w:tcBorders>
            <w:noWrap w:val="0"/>
            <w:vAlign w:val="center"/>
          </w:tcPr>
          <w:p w14:paraId="648AE896">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7EDE20B5">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645BB7A0">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5A4D26BF">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15C6B71F">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65AA91FF">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77D67BD1">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71C9D3D1">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6C6FAA21">
            <w:pPr>
              <w:spacing w:line="360" w:lineRule="auto"/>
              <w:jc w:val="center"/>
              <w:rPr>
                <w:rFonts w:hint="eastAsia" w:asciiTheme="minorEastAsia" w:hAnsiTheme="minorEastAsia" w:eastAsiaTheme="minorEastAsia" w:cstheme="minorEastAsia"/>
                <w:color w:val="auto"/>
                <w:sz w:val="24"/>
                <w:szCs w:val="24"/>
                <w:highlight w:val="none"/>
              </w:rPr>
            </w:pPr>
          </w:p>
        </w:tc>
      </w:tr>
      <w:tr w14:paraId="58C0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20" w:type="dxa"/>
            <w:tcBorders>
              <w:tl2br w:val="nil"/>
              <w:tr2bl w:val="nil"/>
            </w:tcBorders>
            <w:noWrap w:val="0"/>
            <w:vAlign w:val="center"/>
          </w:tcPr>
          <w:p w14:paraId="7B6C031F">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179588C1">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295387FF">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4A7CDCA3">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4C9B57BE">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512615B2">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0CCC4BF7">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4DEB06E2">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1C31869B">
            <w:pPr>
              <w:spacing w:line="360" w:lineRule="auto"/>
              <w:jc w:val="center"/>
              <w:rPr>
                <w:rFonts w:hint="eastAsia" w:asciiTheme="minorEastAsia" w:hAnsiTheme="minorEastAsia" w:eastAsiaTheme="minorEastAsia" w:cstheme="minorEastAsia"/>
                <w:color w:val="auto"/>
                <w:sz w:val="24"/>
                <w:szCs w:val="24"/>
                <w:highlight w:val="none"/>
              </w:rPr>
            </w:pPr>
          </w:p>
        </w:tc>
      </w:tr>
      <w:tr w14:paraId="2487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20" w:type="dxa"/>
            <w:tcBorders>
              <w:tl2br w:val="nil"/>
              <w:tr2bl w:val="nil"/>
            </w:tcBorders>
            <w:noWrap w:val="0"/>
            <w:vAlign w:val="center"/>
          </w:tcPr>
          <w:p w14:paraId="61682AE0">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2125BF63">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0E3F326B">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74C4E9BA">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D4FDB55">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5BE52483">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2C5E77C6">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44BF17C2">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51947C62">
            <w:pPr>
              <w:spacing w:line="360" w:lineRule="auto"/>
              <w:jc w:val="center"/>
              <w:rPr>
                <w:rFonts w:hint="eastAsia" w:asciiTheme="minorEastAsia" w:hAnsiTheme="minorEastAsia" w:eastAsiaTheme="minorEastAsia" w:cstheme="minorEastAsia"/>
                <w:color w:val="auto"/>
                <w:sz w:val="24"/>
                <w:szCs w:val="24"/>
                <w:highlight w:val="none"/>
              </w:rPr>
            </w:pPr>
          </w:p>
        </w:tc>
      </w:tr>
      <w:tr w14:paraId="5A27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20" w:type="dxa"/>
            <w:tcBorders>
              <w:tl2br w:val="nil"/>
              <w:tr2bl w:val="nil"/>
            </w:tcBorders>
            <w:noWrap w:val="0"/>
            <w:vAlign w:val="center"/>
          </w:tcPr>
          <w:p w14:paraId="21B9461A">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19821338">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2886DF16">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572256AA">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E5C2FAC">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152338EE">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63CECF2E">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76BDAE31">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4692DE4">
            <w:pPr>
              <w:spacing w:line="360" w:lineRule="auto"/>
              <w:jc w:val="center"/>
              <w:rPr>
                <w:rFonts w:hint="eastAsia" w:asciiTheme="minorEastAsia" w:hAnsiTheme="minorEastAsia" w:eastAsiaTheme="minorEastAsia" w:cstheme="minorEastAsia"/>
                <w:color w:val="auto"/>
                <w:sz w:val="24"/>
                <w:szCs w:val="24"/>
                <w:highlight w:val="none"/>
              </w:rPr>
            </w:pPr>
          </w:p>
        </w:tc>
      </w:tr>
      <w:tr w14:paraId="1325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20" w:type="dxa"/>
            <w:tcBorders>
              <w:tl2br w:val="nil"/>
              <w:tr2bl w:val="nil"/>
            </w:tcBorders>
            <w:noWrap w:val="0"/>
            <w:vAlign w:val="center"/>
          </w:tcPr>
          <w:p w14:paraId="1C024B6A">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5A403CE4">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3E81A14A">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14F13827">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0548F76D">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5204DB4">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00B06C60">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7908AFE6">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47FCC72">
            <w:pPr>
              <w:spacing w:line="360" w:lineRule="auto"/>
              <w:jc w:val="center"/>
              <w:rPr>
                <w:rFonts w:hint="eastAsia" w:asciiTheme="minorEastAsia" w:hAnsiTheme="minorEastAsia" w:eastAsiaTheme="minorEastAsia" w:cstheme="minorEastAsia"/>
                <w:color w:val="auto"/>
                <w:sz w:val="24"/>
                <w:szCs w:val="24"/>
                <w:highlight w:val="none"/>
              </w:rPr>
            </w:pPr>
          </w:p>
        </w:tc>
      </w:tr>
      <w:tr w14:paraId="7E68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20" w:type="dxa"/>
            <w:tcBorders>
              <w:tl2br w:val="nil"/>
              <w:tr2bl w:val="nil"/>
            </w:tcBorders>
            <w:noWrap w:val="0"/>
            <w:vAlign w:val="center"/>
          </w:tcPr>
          <w:p w14:paraId="606F19F7">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3D93D856">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5FDF89FE">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0739EE8B">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630FE6D5">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3573A49">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7B92629F">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4BA4A2B7">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5C56905E">
            <w:pPr>
              <w:spacing w:line="360" w:lineRule="auto"/>
              <w:jc w:val="center"/>
              <w:rPr>
                <w:rFonts w:hint="eastAsia" w:asciiTheme="minorEastAsia" w:hAnsiTheme="minorEastAsia" w:eastAsiaTheme="minorEastAsia" w:cstheme="minorEastAsia"/>
                <w:color w:val="auto"/>
                <w:sz w:val="24"/>
                <w:szCs w:val="24"/>
                <w:highlight w:val="none"/>
              </w:rPr>
            </w:pPr>
          </w:p>
        </w:tc>
      </w:tr>
      <w:tr w14:paraId="0DAC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20" w:type="dxa"/>
            <w:tcBorders>
              <w:tl2br w:val="nil"/>
              <w:tr2bl w:val="nil"/>
            </w:tcBorders>
            <w:noWrap w:val="0"/>
            <w:vAlign w:val="center"/>
          </w:tcPr>
          <w:p w14:paraId="4C51DA69">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3A07852A">
            <w:pPr>
              <w:spacing w:line="360" w:lineRule="auto"/>
              <w:jc w:val="center"/>
              <w:rPr>
                <w:rFonts w:hint="eastAsia" w:asciiTheme="minorEastAsia" w:hAnsiTheme="minorEastAsia" w:eastAsiaTheme="minorEastAsia" w:cstheme="minorEastAsia"/>
                <w:color w:val="auto"/>
                <w:sz w:val="24"/>
                <w:szCs w:val="24"/>
                <w:highlight w:val="none"/>
              </w:rPr>
            </w:pPr>
          </w:p>
        </w:tc>
        <w:tc>
          <w:tcPr>
            <w:tcW w:w="1020" w:type="dxa"/>
            <w:tcBorders>
              <w:tl2br w:val="nil"/>
              <w:tr2bl w:val="nil"/>
            </w:tcBorders>
            <w:noWrap w:val="0"/>
            <w:vAlign w:val="center"/>
          </w:tcPr>
          <w:p w14:paraId="753F31D7">
            <w:pPr>
              <w:spacing w:line="360" w:lineRule="auto"/>
              <w:jc w:val="center"/>
              <w:rPr>
                <w:rFonts w:hint="eastAsia" w:asciiTheme="minorEastAsia" w:hAnsiTheme="minorEastAsia" w:eastAsiaTheme="minorEastAsia" w:cstheme="minorEastAsia"/>
                <w:color w:val="auto"/>
                <w:sz w:val="24"/>
                <w:szCs w:val="24"/>
                <w:highlight w:val="none"/>
              </w:rPr>
            </w:pPr>
          </w:p>
        </w:tc>
        <w:tc>
          <w:tcPr>
            <w:tcW w:w="1260" w:type="dxa"/>
            <w:tcBorders>
              <w:tl2br w:val="nil"/>
              <w:tr2bl w:val="nil"/>
            </w:tcBorders>
            <w:noWrap w:val="0"/>
            <w:vAlign w:val="center"/>
          </w:tcPr>
          <w:p w14:paraId="05854BAF">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7F7E885">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7FC5BAD5">
            <w:pPr>
              <w:spacing w:line="360" w:lineRule="auto"/>
              <w:jc w:val="center"/>
              <w:rPr>
                <w:rFonts w:hint="eastAsia" w:asciiTheme="minorEastAsia" w:hAnsiTheme="minorEastAsia" w:eastAsiaTheme="minorEastAsia" w:cstheme="minorEastAsia"/>
                <w:color w:val="auto"/>
                <w:sz w:val="24"/>
                <w:szCs w:val="24"/>
                <w:highlight w:val="none"/>
              </w:rPr>
            </w:pPr>
          </w:p>
        </w:tc>
        <w:tc>
          <w:tcPr>
            <w:tcW w:w="720" w:type="dxa"/>
            <w:tcBorders>
              <w:tl2br w:val="nil"/>
              <w:tr2bl w:val="nil"/>
            </w:tcBorders>
            <w:noWrap w:val="0"/>
            <w:vAlign w:val="center"/>
          </w:tcPr>
          <w:p w14:paraId="1EA543D1">
            <w:pPr>
              <w:spacing w:line="360" w:lineRule="auto"/>
              <w:jc w:val="center"/>
              <w:rPr>
                <w:rFonts w:hint="eastAsia" w:asciiTheme="minorEastAsia" w:hAnsiTheme="minorEastAsia" w:eastAsiaTheme="minorEastAsia" w:cstheme="minorEastAsia"/>
                <w:color w:val="auto"/>
                <w:sz w:val="24"/>
                <w:szCs w:val="24"/>
                <w:highlight w:val="none"/>
              </w:rPr>
            </w:pPr>
          </w:p>
        </w:tc>
        <w:tc>
          <w:tcPr>
            <w:tcW w:w="904" w:type="dxa"/>
            <w:tcBorders>
              <w:tl2br w:val="nil"/>
              <w:tr2bl w:val="nil"/>
            </w:tcBorders>
            <w:noWrap w:val="0"/>
            <w:vAlign w:val="center"/>
          </w:tcPr>
          <w:p w14:paraId="2BF53C08">
            <w:pPr>
              <w:spacing w:line="360" w:lineRule="auto"/>
              <w:jc w:val="center"/>
              <w:rPr>
                <w:rFonts w:hint="eastAsia" w:asciiTheme="minorEastAsia" w:hAnsiTheme="minorEastAsia" w:eastAsiaTheme="minorEastAsia" w:cstheme="minorEastAsia"/>
                <w:color w:val="auto"/>
                <w:sz w:val="24"/>
                <w:szCs w:val="24"/>
                <w:highlight w:val="none"/>
              </w:rPr>
            </w:pPr>
          </w:p>
        </w:tc>
        <w:tc>
          <w:tcPr>
            <w:tcW w:w="900" w:type="dxa"/>
            <w:tcBorders>
              <w:tl2br w:val="nil"/>
              <w:tr2bl w:val="nil"/>
            </w:tcBorders>
            <w:noWrap w:val="0"/>
            <w:vAlign w:val="center"/>
          </w:tcPr>
          <w:p w14:paraId="1428F353">
            <w:pPr>
              <w:spacing w:line="360" w:lineRule="auto"/>
              <w:jc w:val="center"/>
              <w:rPr>
                <w:rFonts w:hint="eastAsia" w:asciiTheme="minorEastAsia" w:hAnsiTheme="minorEastAsia" w:eastAsiaTheme="minorEastAsia" w:cstheme="minorEastAsia"/>
                <w:color w:val="auto"/>
                <w:sz w:val="24"/>
                <w:szCs w:val="24"/>
                <w:highlight w:val="none"/>
              </w:rPr>
            </w:pPr>
          </w:p>
        </w:tc>
      </w:tr>
    </w:tbl>
    <w:p w14:paraId="20FFDC7B">
      <w:pPr>
        <w:spacing w:line="360" w:lineRule="auto"/>
        <w:rPr>
          <w:rFonts w:hint="eastAsia" w:asciiTheme="minorEastAsia" w:hAnsiTheme="minorEastAsia" w:eastAsiaTheme="minorEastAsia" w:cstheme="minorEastAsia"/>
          <w:bCs/>
          <w:color w:val="auto"/>
          <w:sz w:val="24"/>
          <w:szCs w:val="24"/>
          <w:highlight w:val="none"/>
        </w:rPr>
      </w:pPr>
      <w:bookmarkStart w:id="668" w:name="_Toc380592872"/>
      <w:bookmarkEnd w:id="668"/>
    </w:p>
    <w:p w14:paraId="5C9358DF">
      <w:pPr>
        <w:pStyle w:val="6"/>
        <w:spacing w:before="91" w:line="344"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注：项目管理机构人员至少应包括项目</w:t>
      </w:r>
      <w:r>
        <w:rPr>
          <w:rFonts w:hint="eastAsia" w:asciiTheme="minorEastAsia" w:hAnsiTheme="minorEastAsia" w:eastAsiaTheme="minorEastAsia" w:cstheme="minorEastAsia"/>
          <w:color w:val="auto"/>
          <w:sz w:val="24"/>
          <w:szCs w:val="24"/>
          <w:highlight w:val="none"/>
          <w:lang w:val="en-US" w:eastAsia="zh-CN"/>
        </w:rPr>
        <w:t>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技术</w:t>
      </w:r>
      <w:r>
        <w:rPr>
          <w:rFonts w:hint="eastAsia" w:asciiTheme="minorEastAsia" w:hAnsiTheme="minorEastAsia" w:eastAsiaTheme="minorEastAsia" w:cstheme="minorEastAsia"/>
          <w:color w:val="auto"/>
          <w:spacing w:val="-1"/>
          <w:sz w:val="24"/>
          <w:szCs w:val="24"/>
          <w:highlight w:val="none"/>
        </w:rPr>
        <w:t>负责人</w:t>
      </w:r>
      <w:r>
        <w:rPr>
          <w:rFonts w:hint="eastAsia" w:asciiTheme="minorEastAsia" w:hAnsiTheme="minorEastAsia" w:eastAsiaTheme="minorEastAsia" w:cstheme="minorEastAsia"/>
          <w:color w:val="auto"/>
          <w:spacing w:val="-2"/>
          <w:sz w:val="24"/>
          <w:szCs w:val="24"/>
          <w:highlight w:val="none"/>
        </w:rPr>
        <w:t>及管理人员</w:t>
      </w:r>
      <w:r>
        <w:rPr>
          <w:rFonts w:hint="eastAsia" w:asciiTheme="minorEastAsia" w:hAnsiTheme="minorEastAsia" w:eastAsiaTheme="minorEastAsia" w:cstheme="minorEastAsia"/>
          <w:color w:val="auto"/>
          <w:spacing w:val="-2"/>
          <w:sz w:val="24"/>
          <w:szCs w:val="24"/>
          <w:highlight w:val="none"/>
          <w:lang w:val="en-US" w:eastAsia="zh-CN"/>
        </w:rPr>
        <w:t>等</w:t>
      </w:r>
      <w:r>
        <w:rPr>
          <w:rFonts w:hint="eastAsia" w:asciiTheme="minorEastAsia" w:hAnsiTheme="minorEastAsia" w:eastAsiaTheme="minorEastAsia" w:cstheme="minorEastAsia"/>
          <w:color w:val="auto"/>
          <w:spacing w:val="-2"/>
          <w:sz w:val="24"/>
          <w:szCs w:val="24"/>
          <w:highlight w:val="none"/>
        </w:rPr>
        <w:t>。</w:t>
      </w:r>
    </w:p>
    <w:p w14:paraId="42BE5EA8">
      <w:pPr>
        <w:pStyle w:val="28"/>
        <w:spacing w:after="240" w:line="360" w:lineRule="auto"/>
        <w:ind w:firstLine="235"/>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bookmarkStart w:id="669" w:name="_Toc40390839"/>
      <w:r>
        <w:rPr>
          <w:rFonts w:hint="eastAsia" w:asciiTheme="minorEastAsia" w:hAnsiTheme="minorEastAsia" w:eastAsiaTheme="minorEastAsia" w:cstheme="minorEastAsia"/>
          <w:b/>
          <w:bCs/>
          <w:color w:val="auto"/>
          <w:sz w:val="28"/>
          <w:szCs w:val="30"/>
          <w:highlight w:val="none"/>
          <w:lang w:val="en-US" w:eastAsia="zh-CN" w:bidi="ar-SA"/>
        </w:rPr>
        <w:t>（二）主要人员简历表</w:t>
      </w:r>
      <w:bookmarkEnd w:id="669"/>
    </w:p>
    <w:p w14:paraId="04CC197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主要人员简历表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中的</w:t>
      </w:r>
      <w:r>
        <w:rPr>
          <w:rFonts w:hint="eastAsia" w:asciiTheme="minorEastAsia" w:hAnsiTheme="minorEastAsia" w:eastAsiaTheme="minorEastAsia" w:cstheme="minorEastAsia"/>
          <w:color w:val="auto"/>
          <w:sz w:val="24"/>
          <w:szCs w:val="24"/>
          <w:highlight w:val="none"/>
          <w:lang w:val="en-US" w:eastAsia="zh-CN"/>
        </w:rPr>
        <w:t>项目负责人</w:t>
      </w:r>
      <w:r>
        <w:rPr>
          <w:rFonts w:hint="eastAsia" w:asciiTheme="minorEastAsia" w:hAnsiTheme="minorEastAsia" w:eastAsiaTheme="minorEastAsia" w:cstheme="minorEastAsia"/>
          <w:color w:val="auto"/>
          <w:sz w:val="24"/>
          <w:szCs w:val="24"/>
          <w:highlight w:val="none"/>
        </w:rPr>
        <w:t>应附</w:t>
      </w:r>
      <w:r>
        <w:rPr>
          <w:rFonts w:hint="eastAsia" w:asciiTheme="minorEastAsia" w:hAnsiTheme="minorEastAsia" w:eastAsiaTheme="minorEastAsia" w:cstheme="minorEastAsia"/>
          <w:color w:val="auto"/>
          <w:sz w:val="24"/>
          <w:szCs w:val="24"/>
          <w:highlight w:val="none"/>
          <w:lang w:val="en-US" w:eastAsia="zh-CN"/>
        </w:rPr>
        <w:t>职称证</w:t>
      </w:r>
      <w:r>
        <w:rPr>
          <w:rFonts w:hint="eastAsia" w:asciiTheme="minorEastAsia" w:hAnsiTheme="minorEastAsia" w:eastAsiaTheme="minorEastAsia" w:cstheme="minorEastAsia"/>
          <w:color w:val="auto"/>
          <w:sz w:val="24"/>
          <w:szCs w:val="24"/>
          <w:highlight w:val="none"/>
        </w:rPr>
        <w:t>、身份证、</w:t>
      </w:r>
      <w:r>
        <w:rPr>
          <w:rFonts w:hint="eastAsia" w:asciiTheme="minorEastAsia" w:hAnsiTheme="minorEastAsia" w:eastAsiaTheme="minorEastAsia" w:cstheme="minorEastAsia"/>
          <w:color w:val="auto"/>
          <w:sz w:val="24"/>
          <w:szCs w:val="24"/>
          <w:highlight w:val="none"/>
          <w:lang w:val="en-US" w:eastAsia="zh-CN"/>
        </w:rPr>
        <w:t>劳动关系证明；</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38"/>
        <w:gridCol w:w="1559"/>
        <w:gridCol w:w="1049"/>
        <w:gridCol w:w="864"/>
        <w:gridCol w:w="520"/>
        <w:gridCol w:w="1109"/>
        <w:gridCol w:w="801"/>
        <w:gridCol w:w="1359"/>
      </w:tblGrid>
      <w:tr w14:paraId="7C87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59" w:type="dxa"/>
            <w:gridSpan w:val="2"/>
            <w:tcBorders>
              <w:tl2br w:val="nil"/>
              <w:tr2bl w:val="nil"/>
            </w:tcBorders>
            <w:noWrap w:val="0"/>
            <w:vAlign w:val="center"/>
          </w:tcPr>
          <w:p w14:paraId="396AED2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559" w:type="dxa"/>
            <w:tcBorders>
              <w:tl2br w:val="nil"/>
              <w:tr2bl w:val="nil"/>
            </w:tcBorders>
            <w:noWrap w:val="0"/>
            <w:vAlign w:val="top"/>
          </w:tcPr>
          <w:p w14:paraId="733317FD">
            <w:pPr>
              <w:spacing w:line="360" w:lineRule="auto"/>
              <w:rPr>
                <w:rFonts w:hint="eastAsia" w:asciiTheme="minorEastAsia" w:hAnsiTheme="minorEastAsia" w:eastAsiaTheme="minorEastAsia" w:cstheme="minorEastAsia"/>
                <w:color w:val="auto"/>
                <w:sz w:val="24"/>
                <w:szCs w:val="24"/>
                <w:highlight w:val="none"/>
              </w:rPr>
            </w:pPr>
          </w:p>
        </w:tc>
        <w:tc>
          <w:tcPr>
            <w:tcW w:w="1049" w:type="dxa"/>
            <w:tcBorders>
              <w:tl2br w:val="nil"/>
              <w:tr2bl w:val="nil"/>
            </w:tcBorders>
            <w:noWrap w:val="0"/>
            <w:vAlign w:val="center"/>
          </w:tcPr>
          <w:p w14:paraId="13DC525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384" w:type="dxa"/>
            <w:gridSpan w:val="2"/>
            <w:tcBorders>
              <w:tl2br w:val="nil"/>
              <w:tr2bl w:val="nil"/>
            </w:tcBorders>
            <w:noWrap w:val="0"/>
            <w:vAlign w:val="top"/>
          </w:tcPr>
          <w:p w14:paraId="45C1A1D2">
            <w:pPr>
              <w:spacing w:line="360" w:lineRule="auto"/>
              <w:rPr>
                <w:rFonts w:hint="eastAsia" w:asciiTheme="minorEastAsia" w:hAnsiTheme="minorEastAsia" w:eastAsiaTheme="minorEastAsia" w:cstheme="minorEastAsia"/>
                <w:color w:val="auto"/>
                <w:sz w:val="24"/>
                <w:szCs w:val="24"/>
                <w:highlight w:val="none"/>
              </w:rPr>
            </w:pPr>
          </w:p>
        </w:tc>
        <w:tc>
          <w:tcPr>
            <w:tcW w:w="1910" w:type="dxa"/>
            <w:gridSpan w:val="2"/>
            <w:tcBorders>
              <w:tl2br w:val="nil"/>
              <w:tr2bl w:val="nil"/>
            </w:tcBorders>
            <w:noWrap w:val="0"/>
            <w:vAlign w:val="center"/>
          </w:tcPr>
          <w:p w14:paraId="7D2D178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1359" w:type="dxa"/>
            <w:tcBorders>
              <w:tl2br w:val="nil"/>
              <w:tr2bl w:val="nil"/>
            </w:tcBorders>
            <w:noWrap w:val="0"/>
            <w:vAlign w:val="top"/>
          </w:tcPr>
          <w:p w14:paraId="78D884EB">
            <w:pPr>
              <w:spacing w:line="360" w:lineRule="auto"/>
              <w:rPr>
                <w:rFonts w:hint="eastAsia" w:asciiTheme="minorEastAsia" w:hAnsiTheme="minorEastAsia" w:eastAsiaTheme="minorEastAsia" w:cstheme="minorEastAsia"/>
                <w:color w:val="auto"/>
                <w:sz w:val="24"/>
                <w:szCs w:val="24"/>
                <w:highlight w:val="none"/>
              </w:rPr>
            </w:pPr>
          </w:p>
        </w:tc>
      </w:tr>
      <w:tr w14:paraId="30D3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59" w:type="dxa"/>
            <w:gridSpan w:val="2"/>
            <w:tcBorders>
              <w:tl2br w:val="nil"/>
              <w:tr2bl w:val="nil"/>
            </w:tcBorders>
            <w:noWrap w:val="0"/>
            <w:vAlign w:val="center"/>
          </w:tcPr>
          <w:p w14:paraId="21FB3FC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559" w:type="dxa"/>
            <w:tcBorders>
              <w:tl2br w:val="nil"/>
              <w:tr2bl w:val="nil"/>
            </w:tcBorders>
            <w:noWrap w:val="0"/>
            <w:vAlign w:val="top"/>
          </w:tcPr>
          <w:p w14:paraId="1B7AD579">
            <w:pPr>
              <w:spacing w:line="360" w:lineRule="auto"/>
              <w:rPr>
                <w:rFonts w:hint="eastAsia" w:asciiTheme="minorEastAsia" w:hAnsiTheme="minorEastAsia" w:eastAsiaTheme="minorEastAsia" w:cstheme="minorEastAsia"/>
                <w:color w:val="auto"/>
                <w:sz w:val="24"/>
                <w:szCs w:val="24"/>
                <w:highlight w:val="none"/>
              </w:rPr>
            </w:pPr>
          </w:p>
        </w:tc>
        <w:tc>
          <w:tcPr>
            <w:tcW w:w="1049" w:type="dxa"/>
            <w:tcBorders>
              <w:tl2br w:val="nil"/>
              <w:tr2bl w:val="nil"/>
            </w:tcBorders>
            <w:noWrap w:val="0"/>
            <w:vAlign w:val="center"/>
          </w:tcPr>
          <w:p w14:paraId="50469740">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384" w:type="dxa"/>
            <w:gridSpan w:val="2"/>
            <w:tcBorders>
              <w:tl2br w:val="nil"/>
              <w:tr2bl w:val="nil"/>
            </w:tcBorders>
            <w:noWrap w:val="0"/>
            <w:vAlign w:val="top"/>
          </w:tcPr>
          <w:p w14:paraId="625407C4">
            <w:pPr>
              <w:spacing w:line="360" w:lineRule="auto"/>
              <w:rPr>
                <w:rFonts w:hint="eastAsia" w:asciiTheme="minorEastAsia" w:hAnsiTheme="minorEastAsia" w:eastAsiaTheme="minorEastAsia" w:cstheme="minorEastAsia"/>
                <w:color w:val="auto"/>
                <w:sz w:val="24"/>
                <w:szCs w:val="24"/>
                <w:highlight w:val="none"/>
              </w:rPr>
            </w:pPr>
          </w:p>
        </w:tc>
        <w:tc>
          <w:tcPr>
            <w:tcW w:w="1910" w:type="dxa"/>
            <w:gridSpan w:val="2"/>
            <w:tcBorders>
              <w:tl2br w:val="nil"/>
              <w:tr2bl w:val="nil"/>
            </w:tcBorders>
            <w:noWrap w:val="0"/>
            <w:vAlign w:val="center"/>
          </w:tcPr>
          <w:p w14:paraId="68BA387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拟在本合同任职</w:t>
            </w:r>
          </w:p>
        </w:tc>
        <w:tc>
          <w:tcPr>
            <w:tcW w:w="1359" w:type="dxa"/>
            <w:tcBorders>
              <w:tl2br w:val="nil"/>
              <w:tr2bl w:val="nil"/>
            </w:tcBorders>
            <w:noWrap w:val="0"/>
            <w:vAlign w:val="top"/>
          </w:tcPr>
          <w:p w14:paraId="510037B5">
            <w:pPr>
              <w:spacing w:line="360" w:lineRule="auto"/>
              <w:rPr>
                <w:rFonts w:hint="eastAsia" w:asciiTheme="minorEastAsia" w:hAnsiTheme="minorEastAsia" w:eastAsiaTheme="minorEastAsia" w:cstheme="minorEastAsia"/>
                <w:color w:val="auto"/>
                <w:sz w:val="24"/>
                <w:szCs w:val="24"/>
                <w:highlight w:val="none"/>
              </w:rPr>
            </w:pPr>
          </w:p>
        </w:tc>
      </w:tr>
      <w:tr w14:paraId="5FAA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59" w:type="dxa"/>
            <w:gridSpan w:val="2"/>
            <w:tcBorders>
              <w:tl2br w:val="nil"/>
              <w:tr2bl w:val="nil"/>
            </w:tcBorders>
            <w:noWrap w:val="0"/>
            <w:vAlign w:val="center"/>
          </w:tcPr>
          <w:p w14:paraId="2495869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7261" w:type="dxa"/>
            <w:gridSpan w:val="7"/>
            <w:tcBorders>
              <w:tl2br w:val="nil"/>
              <w:tr2bl w:val="nil"/>
            </w:tcBorders>
            <w:noWrap w:val="0"/>
            <w:vAlign w:val="center"/>
          </w:tcPr>
          <w:p w14:paraId="364C2346">
            <w:pPr>
              <w:spacing w:line="360" w:lineRule="auto"/>
              <w:ind w:firstLine="600" w:firstLineChars="25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年毕业于学校专业</w:t>
            </w:r>
          </w:p>
        </w:tc>
      </w:tr>
      <w:tr w14:paraId="6E90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20" w:type="dxa"/>
            <w:gridSpan w:val="9"/>
            <w:tcBorders>
              <w:tl2br w:val="nil"/>
              <w:tr2bl w:val="nil"/>
            </w:tcBorders>
            <w:noWrap w:val="0"/>
            <w:vAlign w:val="center"/>
          </w:tcPr>
          <w:p w14:paraId="28BFA27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主要工作经历</w:t>
            </w:r>
          </w:p>
        </w:tc>
      </w:tr>
      <w:tr w14:paraId="4CA7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2D1C0A2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p>
        </w:tc>
        <w:tc>
          <w:tcPr>
            <w:tcW w:w="3810" w:type="dxa"/>
            <w:gridSpan w:val="4"/>
            <w:tcBorders>
              <w:tl2br w:val="nil"/>
              <w:tr2bl w:val="nil"/>
            </w:tcBorders>
            <w:noWrap w:val="0"/>
            <w:vAlign w:val="center"/>
          </w:tcPr>
          <w:p w14:paraId="7E2DCF07">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参加过的类似项目</w:t>
            </w:r>
          </w:p>
        </w:tc>
        <w:tc>
          <w:tcPr>
            <w:tcW w:w="1629" w:type="dxa"/>
            <w:gridSpan w:val="2"/>
            <w:tcBorders>
              <w:tl2br w:val="nil"/>
              <w:tr2bl w:val="nil"/>
            </w:tcBorders>
            <w:noWrap w:val="0"/>
            <w:vAlign w:val="center"/>
          </w:tcPr>
          <w:p w14:paraId="3421696B">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担任职务</w:t>
            </w:r>
          </w:p>
        </w:tc>
        <w:tc>
          <w:tcPr>
            <w:tcW w:w="2160" w:type="dxa"/>
            <w:gridSpan w:val="2"/>
            <w:tcBorders>
              <w:tl2br w:val="nil"/>
              <w:tr2bl w:val="nil"/>
            </w:tcBorders>
            <w:noWrap w:val="0"/>
            <w:vAlign w:val="center"/>
          </w:tcPr>
          <w:p w14:paraId="0753D07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委托人及联系电话</w:t>
            </w:r>
          </w:p>
        </w:tc>
      </w:tr>
      <w:tr w14:paraId="1460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20C65E57">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408685E2">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76D37347">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37563FF7">
            <w:pPr>
              <w:spacing w:line="360" w:lineRule="auto"/>
              <w:jc w:val="center"/>
              <w:rPr>
                <w:rFonts w:hint="eastAsia" w:asciiTheme="minorEastAsia" w:hAnsiTheme="minorEastAsia" w:eastAsiaTheme="minorEastAsia" w:cstheme="minorEastAsia"/>
                <w:color w:val="auto"/>
                <w:sz w:val="24"/>
                <w:szCs w:val="24"/>
                <w:highlight w:val="none"/>
              </w:rPr>
            </w:pPr>
          </w:p>
        </w:tc>
      </w:tr>
      <w:tr w14:paraId="71B2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3BB3CFD4">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301BABA3">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68203926">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49A1B270">
            <w:pPr>
              <w:spacing w:line="360" w:lineRule="auto"/>
              <w:jc w:val="center"/>
              <w:rPr>
                <w:rFonts w:hint="eastAsia" w:asciiTheme="minorEastAsia" w:hAnsiTheme="minorEastAsia" w:eastAsiaTheme="minorEastAsia" w:cstheme="minorEastAsia"/>
                <w:color w:val="auto"/>
                <w:sz w:val="24"/>
                <w:szCs w:val="24"/>
                <w:highlight w:val="none"/>
              </w:rPr>
            </w:pPr>
          </w:p>
        </w:tc>
      </w:tr>
      <w:tr w14:paraId="53E4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701445B3">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6EAA5246">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18D0F6C8">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7CB7758A">
            <w:pPr>
              <w:spacing w:line="360" w:lineRule="auto"/>
              <w:jc w:val="center"/>
              <w:rPr>
                <w:rFonts w:hint="eastAsia" w:asciiTheme="minorEastAsia" w:hAnsiTheme="minorEastAsia" w:eastAsiaTheme="minorEastAsia" w:cstheme="minorEastAsia"/>
                <w:color w:val="auto"/>
                <w:sz w:val="24"/>
                <w:szCs w:val="24"/>
                <w:highlight w:val="none"/>
              </w:rPr>
            </w:pPr>
          </w:p>
        </w:tc>
      </w:tr>
      <w:tr w14:paraId="6639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4C5FDF8F">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1E2E0DDF">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75969868">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720A879C">
            <w:pPr>
              <w:spacing w:line="360" w:lineRule="auto"/>
              <w:jc w:val="center"/>
              <w:rPr>
                <w:rFonts w:hint="eastAsia" w:asciiTheme="minorEastAsia" w:hAnsiTheme="minorEastAsia" w:eastAsiaTheme="minorEastAsia" w:cstheme="minorEastAsia"/>
                <w:color w:val="auto"/>
                <w:sz w:val="24"/>
                <w:szCs w:val="24"/>
                <w:highlight w:val="none"/>
              </w:rPr>
            </w:pPr>
          </w:p>
        </w:tc>
      </w:tr>
      <w:tr w14:paraId="1BE8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2FF3F505">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54CD88B0">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1F951644">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57EA261F">
            <w:pPr>
              <w:spacing w:line="360" w:lineRule="auto"/>
              <w:jc w:val="center"/>
              <w:rPr>
                <w:rFonts w:hint="eastAsia" w:asciiTheme="minorEastAsia" w:hAnsiTheme="minorEastAsia" w:eastAsiaTheme="minorEastAsia" w:cstheme="minorEastAsia"/>
                <w:color w:val="auto"/>
                <w:sz w:val="24"/>
                <w:szCs w:val="24"/>
                <w:highlight w:val="none"/>
              </w:rPr>
            </w:pPr>
          </w:p>
        </w:tc>
      </w:tr>
      <w:tr w14:paraId="787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32BCEE29">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41048727">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0B7CC947">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668C0E7B">
            <w:pPr>
              <w:spacing w:line="360" w:lineRule="auto"/>
              <w:jc w:val="center"/>
              <w:rPr>
                <w:rFonts w:hint="eastAsia" w:asciiTheme="minorEastAsia" w:hAnsiTheme="minorEastAsia" w:eastAsiaTheme="minorEastAsia" w:cstheme="minorEastAsia"/>
                <w:color w:val="auto"/>
                <w:sz w:val="24"/>
                <w:szCs w:val="24"/>
                <w:highlight w:val="none"/>
              </w:rPr>
            </w:pPr>
          </w:p>
        </w:tc>
      </w:tr>
      <w:tr w14:paraId="3B01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3FF90B37">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34F08457">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2A0A4D7C">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293093A2">
            <w:pPr>
              <w:spacing w:line="360" w:lineRule="auto"/>
              <w:jc w:val="center"/>
              <w:rPr>
                <w:rFonts w:hint="eastAsia" w:asciiTheme="minorEastAsia" w:hAnsiTheme="minorEastAsia" w:eastAsiaTheme="minorEastAsia" w:cstheme="minorEastAsia"/>
                <w:color w:val="auto"/>
                <w:sz w:val="24"/>
                <w:szCs w:val="24"/>
                <w:highlight w:val="none"/>
              </w:rPr>
            </w:pPr>
          </w:p>
        </w:tc>
      </w:tr>
      <w:tr w14:paraId="274E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6EB47210">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2D78CE8B">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4C206B38">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33522764">
            <w:pPr>
              <w:spacing w:line="360" w:lineRule="auto"/>
              <w:jc w:val="center"/>
              <w:rPr>
                <w:rFonts w:hint="eastAsia" w:asciiTheme="minorEastAsia" w:hAnsiTheme="minorEastAsia" w:eastAsiaTheme="minorEastAsia" w:cstheme="minorEastAsia"/>
                <w:color w:val="auto"/>
                <w:sz w:val="24"/>
                <w:szCs w:val="24"/>
                <w:highlight w:val="none"/>
              </w:rPr>
            </w:pPr>
          </w:p>
        </w:tc>
      </w:tr>
      <w:tr w14:paraId="444A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1" w:type="dxa"/>
            <w:tcBorders>
              <w:tl2br w:val="nil"/>
              <w:tr2bl w:val="nil"/>
            </w:tcBorders>
            <w:noWrap w:val="0"/>
            <w:vAlign w:val="center"/>
          </w:tcPr>
          <w:p w14:paraId="0419F2B3">
            <w:pPr>
              <w:spacing w:line="360" w:lineRule="auto"/>
              <w:jc w:val="center"/>
              <w:rPr>
                <w:rFonts w:hint="eastAsia" w:asciiTheme="minorEastAsia" w:hAnsiTheme="minorEastAsia" w:eastAsiaTheme="minorEastAsia" w:cstheme="minorEastAsia"/>
                <w:color w:val="auto"/>
                <w:sz w:val="24"/>
                <w:szCs w:val="24"/>
                <w:highlight w:val="none"/>
              </w:rPr>
            </w:pPr>
          </w:p>
        </w:tc>
        <w:tc>
          <w:tcPr>
            <w:tcW w:w="3810" w:type="dxa"/>
            <w:gridSpan w:val="4"/>
            <w:tcBorders>
              <w:tl2br w:val="nil"/>
              <w:tr2bl w:val="nil"/>
            </w:tcBorders>
            <w:noWrap w:val="0"/>
            <w:vAlign w:val="center"/>
          </w:tcPr>
          <w:p w14:paraId="1FA98A6D">
            <w:pPr>
              <w:spacing w:line="360" w:lineRule="auto"/>
              <w:jc w:val="center"/>
              <w:rPr>
                <w:rFonts w:hint="eastAsia" w:asciiTheme="minorEastAsia" w:hAnsiTheme="minorEastAsia" w:eastAsiaTheme="minorEastAsia" w:cstheme="minorEastAsia"/>
                <w:color w:val="auto"/>
                <w:sz w:val="24"/>
                <w:szCs w:val="24"/>
                <w:highlight w:val="none"/>
              </w:rPr>
            </w:pPr>
          </w:p>
        </w:tc>
        <w:tc>
          <w:tcPr>
            <w:tcW w:w="1629" w:type="dxa"/>
            <w:gridSpan w:val="2"/>
            <w:tcBorders>
              <w:tl2br w:val="nil"/>
              <w:tr2bl w:val="nil"/>
            </w:tcBorders>
            <w:noWrap w:val="0"/>
            <w:vAlign w:val="center"/>
          </w:tcPr>
          <w:p w14:paraId="363D6C7E">
            <w:pPr>
              <w:spacing w:line="360" w:lineRule="auto"/>
              <w:jc w:val="center"/>
              <w:rPr>
                <w:rFonts w:hint="eastAsia" w:asciiTheme="minorEastAsia" w:hAnsiTheme="minorEastAsia" w:eastAsiaTheme="minorEastAsia" w:cstheme="minorEastAsia"/>
                <w:color w:val="auto"/>
                <w:sz w:val="24"/>
                <w:szCs w:val="24"/>
                <w:highlight w:val="none"/>
              </w:rPr>
            </w:pPr>
          </w:p>
        </w:tc>
        <w:tc>
          <w:tcPr>
            <w:tcW w:w="2160" w:type="dxa"/>
            <w:gridSpan w:val="2"/>
            <w:tcBorders>
              <w:tl2br w:val="nil"/>
              <w:tr2bl w:val="nil"/>
            </w:tcBorders>
            <w:noWrap w:val="0"/>
            <w:vAlign w:val="center"/>
          </w:tcPr>
          <w:p w14:paraId="0CFF8CF9">
            <w:pPr>
              <w:spacing w:line="360" w:lineRule="auto"/>
              <w:jc w:val="center"/>
              <w:rPr>
                <w:rFonts w:hint="eastAsia" w:asciiTheme="minorEastAsia" w:hAnsiTheme="minorEastAsia" w:eastAsiaTheme="minorEastAsia" w:cstheme="minorEastAsia"/>
                <w:color w:val="auto"/>
                <w:sz w:val="24"/>
                <w:szCs w:val="24"/>
                <w:highlight w:val="none"/>
              </w:rPr>
            </w:pPr>
          </w:p>
        </w:tc>
      </w:tr>
    </w:tbl>
    <w:p w14:paraId="463D9187">
      <w:pPr>
        <w:pStyle w:val="6"/>
        <w:spacing w:before="91" w:line="344" w:lineRule="auto"/>
        <w:ind w:left="0" w:leftChars="0" w:firstLine="480" w:firstLineChars="200"/>
        <w:rPr>
          <w:rFonts w:hint="eastAsia" w:asciiTheme="minorEastAsia" w:hAnsiTheme="minorEastAsia" w:eastAsiaTheme="minorEastAsia" w:cstheme="minorEastAsia"/>
          <w:color w:val="auto"/>
          <w:sz w:val="24"/>
          <w:szCs w:val="24"/>
          <w:highlight w:val="none"/>
        </w:rPr>
      </w:pPr>
      <w:bookmarkStart w:id="670" w:name="_Toc432068923"/>
      <w:bookmarkEnd w:id="670"/>
      <w:bookmarkStart w:id="671" w:name="_Toc380592873"/>
      <w:bookmarkEnd w:id="671"/>
      <w:bookmarkStart w:id="672" w:name="_Toc184635147"/>
      <w:bookmarkEnd w:id="672"/>
    </w:p>
    <w:p w14:paraId="44D3D742">
      <w:pPr>
        <w:pStyle w:val="6"/>
        <w:spacing w:before="91" w:line="344"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主要人员简历表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中的项目</w:t>
      </w:r>
      <w:r>
        <w:rPr>
          <w:rFonts w:hint="eastAsia" w:asciiTheme="minorEastAsia" w:hAnsiTheme="minorEastAsia" w:eastAsiaTheme="minorEastAsia" w:cstheme="minorEastAsia"/>
          <w:color w:val="auto"/>
          <w:sz w:val="24"/>
          <w:szCs w:val="24"/>
          <w:highlight w:val="none"/>
          <w:lang w:val="en-US" w:eastAsia="zh-CN"/>
        </w:rPr>
        <w:t>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技术</w:t>
      </w:r>
      <w:r>
        <w:rPr>
          <w:rFonts w:hint="eastAsia" w:asciiTheme="minorEastAsia" w:hAnsiTheme="minorEastAsia" w:eastAsiaTheme="minorEastAsia" w:cstheme="minorEastAsia"/>
          <w:color w:val="auto"/>
          <w:spacing w:val="-1"/>
          <w:sz w:val="24"/>
          <w:szCs w:val="24"/>
          <w:highlight w:val="none"/>
        </w:rPr>
        <w:t>负责人</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管理人员</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其他主要人员</w:t>
      </w:r>
      <w:r>
        <w:rPr>
          <w:rFonts w:hint="eastAsia" w:asciiTheme="minorEastAsia" w:hAnsiTheme="minorEastAsia" w:eastAsiaTheme="minorEastAsia" w:cstheme="minorEastAsia"/>
          <w:color w:val="auto"/>
          <w:sz w:val="24"/>
          <w:szCs w:val="24"/>
          <w:highlight w:val="none"/>
          <w:lang w:val="en-US" w:eastAsia="zh-CN"/>
        </w:rPr>
        <w:t>相关证书</w:t>
      </w:r>
      <w:r>
        <w:rPr>
          <w:rFonts w:hint="eastAsia" w:asciiTheme="minorEastAsia" w:hAnsiTheme="minorEastAsia" w:eastAsiaTheme="minorEastAsia" w:cstheme="minorEastAsia"/>
          <w:color w:val="auto"/>
          <w:sz w:val="24"/>
          <w:szCs w:val="24"/>
          <w:highlight w:val="none"/>
        </w:rPr>
        <w:t>扫描件。</w:t>
      </w:r>
    </w:p>
    <w:p w14:paraId="4CFB013C">
      <w:pPr>
        <w:rPr>
          <w:rFonts w:hint="eastAsia" w:asciiTheme="minorEastAsia" w:hAnsiTheme="minorEastAsia" w:eastAsiaTheme="minorEastAsia" w:cstheme="minorEastAsia"/>
          <w:b/>
          <w:bCs/>
          <w:color w:val="auto"/>
          <w:sz w:val="24"/>
          <w:highlight w:val="none"/>
        </w:rPr>
      </w:pPr>
    </w:p>
    <w:p w14:paraId="39E7DEFC">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62CF58AE">
      <w:pPr>
        <w:spacing w:line="540" w:lineRule="exact"/>
        <w:jc w:val="center"/>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28"/>
          <w:highlight w:val="none"/>
          <w:lang w:val="en-US" w:eastAsia="zh-CN"/>
        </w:rPr>
        <w:t>十</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lang w:val="en-US" w:eastAsia="zh-CN"/>
        </w:rPr>
        <w:t>技术部分</w:t>
      </w:r>
    </w:p>
    <w:p w14:paraId="083A2D99">
      <w:pPr>
        <w:spacing w:line="540" w:lineRule="exact"/>
        <w:jc w:val="center"/>
        <w:rPr>
          <w:rFonts w:hint="eastAsia" w:asciiTheme="minorEastAsia" w:hAnsiTheme="minorEastAsia" w:eastAsiaTheme="minorEastAsia" w:cstheme="minorEastAsia"/>
          <w:b/>
          <w:bCs/>
          <w:color w:val="auto"/>
          <w:sz w:val="32"/>
          <w:szCs w:val="32"/>
          <w:highlight w:val="none"/>
          <w:lang w:val="en-US" w:eastAsia="zh-CN"/>
        </w:rPr>
      </w:pPr>
    </w:p>
    <w:p w14:paraId="68B57E94">
      <w:pPr>
        <w:spacing w:line="540" w:lineRule="exact"/>
        <w:jc w:val="center"/>
        <w:rPr>
          <w:rFonts w:hint="eastAsia" w:asciiTheme="minorEastAsia" w:hAnsiTheme="minorEastAsia" w:eastAsiaTheme="minorEastAsia" w:cstheme="minorEastAsia"/>
          <w:b/>
          <w:bCs/>
          <w:color w:val="auto"/>
          <w:sz w:val="32"/>
          <w:szCs w:val="32"/>
          <w:highlight w:val="none"/>
          <w:lang w:val="en-US" w:eastAsia="zh-CN"/>
        </w:rPr>
      </w:pPr>
    </w:p>
    <w:p w14:paraId="685C34F3">
      <w:pPr>
        <w:spacing w:line="540" w:lineRule="exact"/>
        <w:jc w:val="center"/>
        <w:rPr>
          <w:rFonts w:hint="eastAsia" w:asciiTheme="minorEastAsia" w:hAnsiTheme="minorEastAsia" w:eastAsiaTheme="minorEastAsia" w:cstheme="minorEastAsia"/>
          <w:b/>
          <w:bCs/>
          <w:color w:val="auto"/>
          <w:sz w:val="32"/>
          <w:szCs w:val="32"/>
          <w:highlight w:val="none"/>
          <w:lang w:val="en-US" w:eastAsia="zh-CN"/>
        </w:rPr>
      </w:pPr>
    </w:p>
    <w:p w14:paraId="634714D7">
      <w:pPr>
        <w:spacing w:line="540" w:lineRule="exact"/>
        <w:jc w:val="center"/>
        <w:rPr>
          <w:rFonts w:hint="eastAsia" w:asciiTheme="minorEastAsia" w:hAnsiTheme="minorEastAsia" w:eastAsiaTheme="minorEastAsia" w:cstheme="minorEastAsia"/>
          <w:b/>
          <w:bCs/>
          <w:color w:val="auto"/>
          <w:sz w:val="32"/>
          <w:szCs w:val="32"/>
          <w:highlight w:val="none"/>
          <w:lang w:val="en-US" w:eastAsia="zh-CN"/>
        </w:rPr>
      </w:pPr>
    </w:p>
    <w:p w14:paraId="6FA16AC6">
      <w:pPr>
        <w:spacing w:line="540" w:lineRule="exact"/>
        <w:jc w:val="center"/>
        <w:rPr>
          <w:rFonts w:hint="eastAsia" w:asciiTheme="minorEastAsia" w:hAnsiTheme="minorEastAsia" w:eastAsiaTheme="minorEastAsia" w:cstheme="minorEastAsia"/>
          <w:b/>
          <w:bCs/>
          <w:color w:val="auto"/>
          <w:sz w:val="32"/>
          <w:szCs w:val="32"/>
          <w:highlight w:val="none"/>
          <w:lang w:val="en-US" w:eastAsia="zh-CN"/>
        </w:rPr>
      </w:pPr>
    </w:p>
    <w:p w14:paraId="4DB80B7A">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045297E8">
      <w:pPr>
        <w:spacing w:line="540" w:lineRule="exact"/>
        <w:jc w:val="center"/>
        <w:rPr>
          <w:rFonts w:hint="default" w:asciiTheme="minorEastAsia" w:hAnsiTheme="minorEastAsia" w:eastAsiaTheme="minorEastAsia" w:cstheme="minorEastAsia"/>
          <w:b/>
          <w:bCs/>
          <w:color w:val="auto"/>
          <w:sz w:val="32"/>
          <w:szCs w:val="32"/>
          <w:highlight w:val="none"/>
          <w:lang w:val="en-US" w:eastAsia="zh-CN"/>
        </w:rPr>
        <w:sectPr>
          <w:pgSz w:w="11906" w:h="16838"/>
          <w:pgMar w:top="1440" w:right="1701" w:bottom="1440" w:left="1701" w:header="851" w:footer="992" w:gutter="0"/>
          <w:pgNumType w:fmt="decimal"/>
          <w:cols w:space="720" w:num="1"/>
          <w:docGrid w:type="lines" w:linePitch="312" w:charSpace="0"/>
        </w:sectPr>
      </w:pPr>
      <w:r>
        <w:rPr>
          <w:rFonts w:hint="eastAsia" w:asciiTheme="minorEastAsia" w:hAnsiTheme="minorEastAsia" w:eastAsiaTheme="minorEastAsia" w:cstheme="minorEastAsia"/>
          <w:b/>
          <w:bCs/>
          <w:color w:val="auto"/>
          <w:sz w:val="32"/>
          <w:szCs w:val="28"/>
          <w:highlight w:val="none"/>
        </w:rPr>
        <w:t>十</w:t>
      </w:r>
      <w:r>
        <w:rPr>
          <w:rFonts w:hint="eastAsia" w:asciiTheme="minorEastAsia" w:hAnsiTheme="minorEastAsia" w:eastAsiaTheme="minorEastAsia" w:cstheme="minorEastAsia"/>
          <w:b/>
          <w:bCs/>
          <w:color w:val="auto"/>
          <w:sz w:val="32"/>
          <w:szCs w:val="28"/>
          <w:highlight w:val="none"/>
          <w:lang w:val="en-US" w:eastAsia="zh-CN"/>
        </w:rPr>
        <w:t>一</w:t>
      </w:r>
      <w:r>
        <w:rPr>
          <w:rFonts w:hint="eastAsia" w:asciiTheme="minorEastAsia" w:hAnsiTheme="minorEastAsia" w:eastAsiaTheme="minorEastAsia" w:cstheme="minorEastAsia"/>
          <w:b/>
          <w:bCs/>
          <w:color w:val="auto"/>
          <w:sz w:val="32"/>
          <w:szCs w:val="32"/>
          <w:highlight w:val="none"/>
          <w:lang w:val="en-US" w:eastAsia="zh-CN"/>
        </w:rPr>
        <w:t>、综合部分</w:t>
      </w:r>
    </w:p>
    <w:p w14:paraId="3717E17F">
      <w:pPr>
        <w:spacing w:line="480" w:lineRule="exact"/>
        <w:ind w:left="643" w:hanging="643" w:hangingChars="200"/>
        <w:jc w:val="center"/>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十</w:t>
      </w:r>
      <w:r>
        <w:rPr>
          <w:rFonts w:hint="eastAsia" w:asciiTheme="minorEastAsia" w:hAnsiTheme="minorEastAsia" w:eastAsiaTheme="minorEastAsia" w:cstheme="minorEastAsia"/>
          <w:b/>
          <w:bCs/>
          <w:color w:val="auto"/>
          <w:sz w:val="32"/>
          <w:szCs w:val="28"/>
          <w:highlight w:val="none"/>
          <w:lang w:val="en-US" w:eastAsia="zh-CN"/>
        </w:rPr>
        <w:t>二</w:t>
      </w:r>
      <w:r>
        <w:rPr>
          <w:rFonts w:hint="eastAsia" w:asciiTheme="minorEastAsia" w:hAnsiTheme="minorEastAsia" w:eastAsiaTheme="minorEastAsia" w:cstheme="minorEastAsia"/>
          <w:b/>
          <w:bCs/>
          <w:color w:val="auto"/>
          <w:sz w:val="32"/>
          <w:szCs w:val="28"/>
          <w:highlight w:val="none"/>
        </w:rPr>
        <w:t>、资格审查资料</w:t>
      </w:r>
    </w:p>
    <w:p w14:paraId="5619B2D2">
      <w:pPr>
        <w:spacing w:line="480" w:lineRule="exact"/>
        <w:jc w:val="center"/>
        <w:rPr>
          <w:rFonts w:hint="eastAsia" w:asciiTheme="minorEastAsia" w:hAnsiTheme="minorEastAsia" w:eastAsiaTheme="minorEastAsia" w:cstheme="minorEastAsia"/>
          <w:b/>
          <w:bCs/>
          <w:color w:val="auto"/>
          <w:sz w:val="28"/>
          <w:szCs w:val="30"/>
          <w:highlight w:val="none"/>
        </w:rPr>
      </w:pPr>
      <w:r>
        <w:rPr>
          <w:rFonts w:hint="eastAsia" w:asciiTheme="minorEastAsia" w:hAnsiTheme="minorEastAsia" w:eastAsiaTheme="minorEastAsia" w:cstheme="minorEastAsia"/>
          <w:b/>
          <w:bCs/>
          <w:color w:val="auto"/>
          <w:sz w:val="28"/>
          <w:szCs w:val="30"/>
          <w:highlight w:val="none"/>
          <w:lang w:eastAsia="zh-CN"/>
        </w:rPr>
        <w:t>（</w:t>
      </w:r>
      <w:r>
        <w:rPr>
          <w:rFonts w:hint="eastAsia" w:asciiTheme="minorEastAsia" w:hAnsiTheme="minorEastAsia" w:eastAsiaTheme="minorEastAsia" w:cstheme="minorEastAsia"/>
          <w:b/>
          <w:bCs/>
          <w:color w:val="auto"/>
          <w:sz w:val="28"/>
          <w:szCs w:val="30"/>
          <w:highlight w:val="none"/>
        </w:rPr>
        <w:t>一）供应商基本情况表</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1276"/>
        <w:gridCol w:w="195"/>
        <w:gridCol w:w="1246"/>
        <w:gridCol w:w="260"/>
        <w:gridCol w:w="709"/>
        <w:gridCol w:w="1416"/>
      </w:tblGrid>
      <w:tr w14:paraId="480A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B11DAB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7020" w:type="dxa"/>
            <w:gridSpan w:val="8"/>
            <w:vAlign w:val="center"/>
          </w:tcPr>
          <w:p w14:paraId="625E0C7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0C1B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B4D3BC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注册地址</w:t>
            </w:r>
          </w:p>
        </w:tc>
        <w:tc>
          <w:tcPr>
            <w:tcW w:w="3389" w:type="dxa"/>
            <w:gridSpan w:val="4"/>
            <w:vAlign w:val="center"/>
          </w:tcPr>
          <w:p w14:paraId="502050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1246" w:type="dxa"/>
            <w:vAlign w:val="center"/>
          </w:tcPr>
          <w:p w14:paraId="22A1723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邮政编码</w:t>
            </w:r>
          </w:p>
        </w:tc>
        <w:tc>
          <w:tcPr>
            <w:tcW w:w="2385" w:type="dxa"/>
            <w:gridSpan w:val="3"/>
            <w:vAlign w:val="center"/>
          </w:tcPr>
          <w:p w14:paraId="3D523CE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2C6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7E93AB4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w:t>
            </w:r>
          </w:p>
        </w:tc>
        <w:tc>
          <w:tcPr>
            <w:tcW w:w="897" w:type="dxa"/>
            <w:vAlign w:val="center"/>
          </w:tcPr>
          <w:p w14:paraId="45322F5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tc>
        <w:tc>
          <w:tcPr>
            <w:tcW w:w="2492" w:type="dxa"/>
            <w:gridSpan w:val="3"/>
            <w:vAlign w:val="center"/>
          </w:tcPr>
          <w:p w14:paraId="34B904E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1246" w:type="dxa"/>
            <w:vAlign w:val="center"/>
          </w:tcPr>
          <w:p w14:paraId="00B7C2D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2385" w:type="dxa"/>
            <w:gridSpan w:val="3"/>
            <w:vAlign w:val="center"/>
          </w:tcPr>
          <w:p w14:paraId="22E812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4462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6700A98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897" w:type="dxa"/>
            <w:vAlign w:val="center"/>
          </w:tcPr>
          <w:p w14:paraId="08BCF1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p>
        </w:tc>
        <w:tc>
          <w:tcPr>
            <w:tcW w:w="2492" w:type="dxa"/>
            <w:gridSpan w:val="3"/>
            <w:vAlign w:val="center"/>
          </w:tcPr>
          <w:p w14:paraId="6D414C6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1246" w:type="dxa"/>
            <w:vAlign w:val="center"/>
          </w:tcPr>
          <w:p w14:paraId="1B1E33A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网址</w:t>
            </w:r>
          </w:p>
        </w:tc>
        <w:tc>
          <w:tcPr>
            <w:tcW w:w="2385" w:type="dxa"/>
            <w:gridSpan w:val="3"/>
            <w:vAlign w:val="center"/>
          </w:tcPr>
          <w:p w14:paraId="3B26D1A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5980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BA4EE1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组织结构</w:t>
            </w:r>
          </w:p>
        </w:tc>
        <w:tc>
          <w:tcPr>
            <w:tcW w:w="7020" w:type="dxa"/>
            <w:gridSpan w:val="8"/>
            <w:vAlign w:val="center"/>
          </w:tcPr>
          <w:p w14:paraId="50E4AD1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3159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9790C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p>
        </w:tc>
        <w:tc>
          <w:tcPr>
            <w:tcW w:w="897" w:type="dxa"/>
            <w:vAlign w:val="center"/>
          </w:tcPr>
          <w:p w14:paraId="118B0B9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021" w:type="dxa"/>
            <w:vAlign w:val="center"/>
          </w:tcPr>
          <w:p w14:paraId="30AB6EA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1276" w:type="dxa"/>
            <w:vAlign w:val="center"/>
          </w:tcPr>
          <w:p w14:paraId="3FC60B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技术职称</w:t>
            </w:r>
          </w:p>
        </w:tc>
        <w:tc>
          <w:tcPr>
            <w:tcW w:w="1701" w:type="dxa"/>
            <w:gridSpan w:val="3"/>
            <w:vAlign w:val="center"/>
          </w:tcPr>
          <w:p w14:paraId="4C70FA1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709" w:type="dxa"/>
            <w:vAlign w:val="center"/>
          </w:tcPr>
          <w:p w14:paraId="4F19F73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1416" w:type="dxa"/>
            <w:vAlign w:val="center"/>
          </w:tcPr>
          <w:p w14:paraId="3B5CFE5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7B2F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8A8281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1918" w:type="dxa"/>
            <w:gridSpan w:val="2"/>
            <w:vAlign w:val="center"/>
          </w:tcPr>
          <w:p w14:paraId="31BB092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c>
          <w:tcPr>
            <w:tcW w:w="5102" w:type="dxa"/>
            <w:gridSpan w:val="6"/>
            <w:vAlign w:val="center"/>
          </w:tcPr>
          <w:p w14:paraId="12A964B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员工总人数：</w:t>
            </w:r>
          </w:p>
        </w:tc>
      </w:tr>
      <w:tr w14:paraId="2A7F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0BD49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营业执照号</w:t>
            </w:r>
          </w:p>
        </w:tc>
        <w:tc>
          <w:tcPr>
            <w:tcW w:w="7020" w:type="dxa"/>
            <w:gridSpan w:val="8"/>
            <w:vAlign w:val="center"/>
          </w:tcPr>
          <w:p w14:paraId="30FC2AE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29F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C51AFF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w:t>
            </w:r>
          </w:p>
        </w:tc>
        <w:tc>
          <w:tcPr>
            <w:tcW w:w="7020" w:type="dxa"/>
            <w:gridSpan w:val="8"/>
            <w:vAlign w:val="center"/>
          </w:tcPr>
          <w:p w14:paraId="26476C8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2E8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A14B3B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p>
        </w:tc>
        <w:tc>
          <w:tcPr>
            <w:tcW w:w="7020" w:type="dxa"/>
            <w:gridSpan w:val="8"/>
            <w:vAlign w:val="center"/>
          </w:tcPr>
          <w:p w14:paraId="734AF64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0084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77F81D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w:t>
            </w:r>
          </w:p>
        </w:tc>
        <w:tc>
          <w:tcPr>
            <w:tcW w:w="7020" w:type="dxa"/>
            <w:gridSpan w:val="8"/>
            <w:vAlign w:val="center"/>
          </w:tcPr>
          <w:p w14:paraId="71A7BE6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2266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172605F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经营范围</w:t>
            </w:r>
          </w:p>
        </w:tc>
        <w:tc>
          <w:tcPr>
            <w:tcW w:w="7020" w:type="dxa"/>
            <w:gridSpan w:val="8"/>
            <w:vAlign w:val="center"/>
          </w:tcPr>
          <w:p w14:paraId="358F794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r w14:paraId="73E2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8733FE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7020" w:type="dxa"/>
            <w:gridSpan w:val="8"/>
            <w:vAlign w:val="center"/>
          </w:tcPr>
          <w:p w14:paraId="3448F1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highlight w:val="none"/>
              </w:rPr>
            </w:pPr>
          </w:p>
        </w:tc>
      </w:tr>
    </w:tbl>
    <w:p w14:paraId="482052F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highlight w:val="none"/>
        </w:rPr>
      </w:pPr>
    </w:p>
    <w:p w14:paraId="7A8E9DC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注：</w:t>
      </w:r>
      <w:r>
        <w:rPr>
          <w:rFonts w:hint="eastAsia" w:asciiTheme="minorEastAsia" w:hAnsiTheme="minorEastAsia" w:eastAsiaTheme="minorEastAsia" w:cstheme="minorEastAsia"/>
          <w:b/>
          <w:bCs/>
          <w:color w:val="auto"/>
          <w:highlight w:val="none"/>
          <w:lang w:val="en-US" w:eastAsia="zh-CN"/>
        </w:rPr>
        <w:t>1.</w:t>
      </w:r>
      <w:r>
        <w:rPr>
          <w:rFonts w:hint="eastAsia" w:asciiTheme="minorEastAsia" w:hAnsiTheme="minorEastAsia" w:eastAsiaTheme="minorEastAsia" w:cstheme="minorEastAsia"/>
          <w:b/>
          <w:bCs/>
          <w:color w:val="auto"/>
          <w:highlight w:val="none"/>
        </w:rPr>
        <w:t>后附资格证明相关资料</w:t>
      </w:r>
      <w:r>
        <w:rPr>
          <w:rFonts w:hint="eastAsia" w:asciiTheme="minorEastAsia" w:hAnsiTheme="minorEastAsia" w:eastAsiaTheme="minorEastAsia" w:cstheme="minorEastAsia"/>
          <w:b/>
          <w:bCs/>
          <w:color w:val="auto"/>
          <w:highlight w:val="none"/>
          <w:lang w:eastAsia="zh-CN"/>
        </w:rPr>
        <w:t>。</w:t>
      </w:r>
    </w:p>
    <w:p w14:paraId="64072F4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42"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2.响应</w:t>
      </w:r>
      <w:r>
        <w:rPr>
          <w:rFonts w:hint="eastAsia" w:asciiTheme="minorEastAsia" w:hAnsiTheme="minorEastAsia" w:eastAsiaTheme="minorEastAsia" w:cstheme="minorEastAsia"/>
          <w:b/>
          <w:bCs/>
          <w:color w:val="auto"/>
          <w:highlight w:val="none"/>
        </w:rPr>
        <w:t>人若为联合体，联合体各方各自填写</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按照本项目</w:t>
      </w:r>
      <w:r>
        <w:rPr>
          <w:rFonts w:hint="eastAsia" w:asciiTheme="minorEastAsia" w:hAnsiTheme="minorEastAsia" w:eastAsiaTheme="minorEastAsia" w:cstheme="minorEastAsia"/>
          <w:b/>
          <w:bCs/>
          <w:color w:val="auto"/>
          <w:highlight w:val="none"/>
          <w:lang w:val="en-US" w:eastAsia="zh-CN"/>
        </w:rPr>
        <w:t>磋商</w:t>
      </w:r>
      <w:r>
        <w:rPr>
          <w:rFonts w:hint="eastAsia" w:asciiTheme="minorEastAsia" w:hAnsiTheme="minorEastAsia" w:eastAsiaTheme="minorEastAsia" w:cstheme="minorEastAsia"/>
          <w:b/>
          <w:bCs/>
          <w:color w:val="auto"/>
          <w:highlight w:val="none"/>
        </w:rPr>
        <w:t>文件中资格要求提供联合体各方的相应资料即可</w:t>
      </w:r>
      <w:r>
        <w:rPr>
          <w:rFonts w:hint="eastAsia" w:asciiTheme="minorEastAsia" w:hAnsiTheme="minorEastAsia" w:eastAsiaTheme="minorEastAsia" w:cstheme="minorEastAsia"/>
          <w:color w:val="auto"/>
          <w:highlight w:val="none"/>
          <w:lang w:eastAsia="zh-CN"/>
        </w:rPr>
        <w:t>。</w:t>
      </w:r>
    </w:p>
    <w:p w14:paraId="3AE618EB">
      <w:pPr>
        <w:spacing w:line="480" w:lineRule="exact"/>
        <w:ind w:left="562" w:hanging="562" w:hangingChars="200"/>
        <w:jc w:val="center"/>
        <w:rPr>
          <w:rFonts w:hint="eastAsia" w:asciiTheme="minorEastAsia" w:hAnsiTheme="minorEastAsia" w:eastAsiaTheme="minorEastAsia" w:cstheme="minorEastAsia"/>
          <w:b/>
          <w:bCs/>
          <w:color w:val="auto"/>
          <w:sz w:val="28"/>
          <w:szCs w:val="28"/>
          <w:highlight w:val="none"/>
        </w:rPr>
      </w:pPr>
    </w:p>
    <w:p w14:paraId="30C66347">
      <w:pPr>
        <w:spacing w:line="480" w:lineRule="exact"/>
        <w:jc w:val="center"/>
        <w:rPr>
          <w:rFonts w:hint="eastAsia"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8"/>
          <w:highlight w:val="none"/>
          <w:lang w:eastAsia="zh-CN"/>
        </w:rPr>
        <w:t>（</w:t>
      </w:r>
      <w:r>
        <w:rPr>
          <w:rFonts w:hint="eastAsia" w:asciiTheme="minorEastAsia" w:hAnsiTheme="minorEastAsia" w:eastAsiaTheme="minorEastAsia" w:cstheme="minorEastAsia"/>
          <w:b/>
          <w:bCs/>
          <w:color w:val="auto"/>
          <w:sz w:val="28"/>
          <w:highlight w:val="none"/>
        </w:rPr>
        <w:t>二）近年完成的类似项目情况表</w:t>
      </w:r>
    </w:p>
    <w:tbl>
      <w:tblPr>
        <w:tblStyle w:val="20"/>
        <w:tblW w:w="91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69"/>
        <w:gridCol w:w="6650"/>
      </w:tblGrid>
      <w:tr w14:paraId="213DF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2469" w:type="dxa"/>
            <w:tcBorders>
              <w:top w:val="single" w:color="auto" w:sz="4" w:space="0"/>
              <w:left w:val="single" w:color="auto" w:sz="4" w:space="0"/>
              <w:bottom w:val="single" w:color="auto" w:sz="6" w:space="0"/>
              <w:right w:val="single" w:color="auto" w:sz="6" w:space="0"/>
            </w:tcBorders>
            <w:vAlign w:val="center"/>
          </w:tcPr>
          <w:p w14:paraId="4442DC70">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6650" w:type="dxa"/>
            <w:tcBorders>
              <w:top w:val="single" w:color="auto" w:sz="4" w:space="0"/>
              <w:left w:val="nil"/>
              <w:bottom w:val="single" w:color="auto" w:sz="6" w:space="0"/>
              <w:right w:val="single" w:color="auto" w:sz="4" w:space="0"/>
            </w:tcBorders>
            <w:vAlign w:val="center"/>
          </w:tcPr>
          <w:p w14:paraId="5BF8297E">
            <w:pPr>
              <w:spacing w:line="480" w:lineRule="exact"/>
              <w:jc w:val="center"/>
              <w:rPr>
                <w:rFonts w:asciiTheme="minorEastAsia" w:hAnsiTheme="minorEastAsia" w:eastAsiaTheme="minorEastAsia"/>
                <w:color w:val="auto"/>
                <w:sz w:val="24"/>
                <w:highlight w:val="none"/>
              </w:rPr>
            </w:pPr>
          </w:p>
        </w:tc>
      </w:tr>
      <w:tr w14:paraId="25222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1402D9C8">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项目名称</w:t>
            </w:r>
          </w:p>
        </w:tc>
        <w:tc>
          <w:tcPr>
            <w:tcW w:w="6650" w:type="dxa"/>
            <w:tcBorders>
              <w:top w:val="single" w:color="auto" w:sz="6" w:space="0"/>
              <w:left w:val="nil"/>
              <w:bottom w:val="single" w:color="auto" w:sz="6" w:space="0"/>
              <w:right w:val="single" w:color="auto" w:sz="4" w:space="0"/>
            </w:tcBorders>
            <w:vAlign w:val="center"/>
          </w:tcPr>
          <w:p w14:paraId="54EF7693">
            <w:pPr>
              <w:spacing w:line="480" w:lineRule="exact"/>
              <w:jc w:val="center"/>
              <w:rPr>
                <w:rFonts w:asciiTheme="minorEastAsia" w:hAnsiTheme="minorEastAsia" w:eastAsiaTheme="minorEastAsia"/>
                <w:color w:val="auto"/>
                <w:sz w:val="24"/>
                <w:highlight w:val="none"/>
              </w:rPr>
            </w:pPr>
          </w:p>
        </w:tc>
      </w:tr>
      <w:tr w14:paraId="7E271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3567A40D">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项目所在地</w:t>
            </w:r>
          </w:p>
        </w:tc>
        <w:tc>
          <w:tcPr>
            <w:tcW w:w="6650" w:type="dxa"/>
            <w:tcBorders>
              <w:top w:val="single" w:color="auto" w:sz="6" w:space="0"/>
              <w:left w:val="nil"/>
              <w:bottom w:val="single" w:color="auto" w:sz="6" w:space="0"/>
              <w:right w:val="single" w:color="auto" w:sz="4" w:space="0"/>
            </w:tcBorders>
            <w:vAlign w:val="center"/>
          </w:tcPr>
          <w:p w14:paraId="0F5EEAA1">
            <w:pPr>
              <w:spacing w:line="480" w:lineRule="exact"/>
              <w:jc w:val="center"/>
              <w:rPr>
                <w:rFonts w:asciiTheme="minorEastAsia" w:hAnsiTheme="minorEastAsia" w:eastAsiaTheme="minorEastAsia"/>
                <w:color w:val="auto"/>
                <w:sz w:val="24"/>
                <w:highlight w:val="none"/>
              </w:rPr>
            </w:pPr>
          </w:p>
        </w:tc>
      </w:tr>
      <w:tr w14:paraId="26C06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3194C5E3">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发包人名称</w:t>
            </w:r>
          </w:p>
        </w:tc>
        <w:tc>
          <w:tcPr>
            <w:tcW w:w="6650" w:type="dxa"/>
            <w:tcBorders>
              <w:top w:val="single" w:color="auto" w:sz="6" w:space="0"/>
              <w:left w:val="nil"/>
              <w:bottom w:val="single" w:color="auto" w:sz="6" w:space="0"/>
              <w:right w:val="single" w:color="auto" w:sz="4" w:space="0"/>
            </w:tcBorders>
            <w:vAlign w:val="center"/>
          </w:tcPr>
          <w:p w14:paraId="77BA8015">
            <w:pPr>
              <w:spacing w:line="480" w:lineRule="exact"/>
              <w:jc w:val="center"/>
              <w:rPr>
                <w:rFonts w:asciiTheme="minorEastAsia" w:hAnsiTheme="minorEastAsia" w:eastAsiaTheme="minorEastAsia"/>
                <w:color w:val="auto"/>
                <w:sz w:val="24"/>
                <w:highlight w:val="none"/>
              </w:rPr>
            </w:pPr>
          </w:p>
        </w:tc>
      </w:tr>
      <w:tr w14:paraId="543CE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383D960F">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发包人地址</w:t>
            </w:r>
          </w:p>
        </w:tc>
        <w:tc>
          <w:tcPr>
            <w:tcW w:w="6650" w:type="dxa"/>
            <w:tcBorders>
              <w:top w:val="single" w:color="auto" w:sz="6" w:space="0"/>
              <w:left w:val="nil"/>
              <w:bottom w:val="single" w:color="auto" w:sz="6" w:space="0"/>
              <w:right w:val="single" w:color="auto" w:sz="4" w:space="0"/>
            </w:tcBorders>
            <w:vAlign w:val="center"/>
          </w:tcPr>
          <w:p w14:paraId="6271BFAF">
            <w:pPr>
              <w:spacing w:line="480" w:lineRule="exact"/>
              <w:jc w:val="center"/>
              <w:rPr>
                <w:rFonts w:asciiTheme="minorEastAsia" w:hAnsiTheme="minorEastAsia" w:eastAsiaTheme="minorEastAsia"/>
                <w:color w:val="auto"/>
                <w:sz w:val="24"/>
                <w:highlight w:val="none"/>
              </w:rPr>
            </w:pPr>
          </w:p>
        </w:tc>
      </w:tr>
      <w:tr w14:paraId="5EBE3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293391FF">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发包人电话</w:t>
            </w:r>
          </w:p>
        </w:tc>
        <w:tc>
          <w:tcPr>
            <w:tcW w:w="6650" w:type="dxa"/>
            <w:tcBorders>
              <w:top w:val="single" w:color="auto" w:sz="6" w:space="0"/>
              <w:left w:val="nil"/>
              <w:bottom w:val="single" w:color="auto" w:sz="6" w:space="0"/>
              <w:right w:val="single" w:color="auto" w:sz="4" w:space="0"/>
            </w:tcBorders>
            <w:vAlign w:val="center"/>
          </w:tcPr>
          <w:p w14:paraId="07E92125">
            <w:pPr>
              <w:spacing w:line="480" w:lineRule="exact"/>
              <w:jc w:val="center"/>
              <w:rPr>
                <w:rFonts w:asciiTheme="minorEastAsia" w:hAnsiTheme="minorEastAsia" w:eastAsiaTheme="minorEastAsia"/>
                <w:color w:val="auto"/>
                <w:sz w:val="24"/>
                <w:highlight w:val="none"/>
              </w:rPr>
            </w:pPr>
          </w:p>
        </w:tc>
      </w:tr>
      <w:tr w14:paraId="00D4E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6E675183">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合同价格</w:t>
            </w:r>
          </w:p>
        </w:tc>
        <w:tc>
          <w:tcPr>
            <w:tcW w:w="6650" w:type="dxa"/>
            <w:tcBorders>
              <w:top w:val="single" w:color="auto" w:sz="6" w:space="0"/>
              <w:left w:val="nil"/>
              <w:bottom w:val="single" w:color="auto" w:sz="6" w:space="0"/>
              <w:right w:val="single" w:color="auto" w:sz="4" w:space="0"/>
            </w:tcBorders>
            <w:vAlign w:val="center"/>
          </w:tcPr>
          <w:p w14:paraId="106E8962">
            <w:pPr>
              <w:spacing w:line="480" w:lineRule="exact"/>
              <w:jc w:val="center"/>
              <w:rPr>
                <w:rFonts w:asciiTheme="minorEastAsia" w:hAnsiTheme="minorEastAsia" w:eastAsiaTheme="minorEastAsia"/>
                <w:color w:val="auto"/>
                <w:sz w:val="24"/>
                <w:highlight w:val="none"/>
              </w:rPr>
            </w:pPr>
          </w:p>
        </w:tc>
      </w:tr>
      <w:tr w14:paraId="74A7A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17746C6A">
            <w:pPr>
              <w:spacing w:line="480" w:lineRule="exact"/>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交货</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服务）期</w:t>
            </w:r>
          </w:p>
        </w:tc>
        <w:tc>
          <w:tcPr>
            <w:tcW w:w="6650" w:type="dxa"/>
            <w:tcBorders>
              <w:top w:val="single" w:color="auto" w:sz="6" w:space="0"/>
              <w:left w:val="nil"/>
              <w:bottom w:val="single" w:color="auto" w:sz="6" w:space="0"/>
              <w:right w:val="single" w:color="auto" w:sz="4" w:space="0"/>
            </w:tcBorders>
            <w:vAlign w:val="center"/>
          </w:tcPr>
          <w:p w14:paraId="6E2FC4DC">
            <w:pPr>
              <w:spacing w:line="480" w:lineRule="exact"/>
              <w:jc w:val="center"/>
              <w:rPr>
                <w:rFonts w:asciiTheme="minorEastAsia" w:hAnsiTheme="minorEastAsia" w:eastAsiaTheme="minorEastAsia"/>
                <w:color w:val="auto"/>
                <w:sz w:val="24"/>
                <w:highlight w:val="none"/>
              </w:rPr>
            </w:pPr>
          </w:p>
        </w:tc>
      </w:tr>
      <w:tr w14:paraId="0225C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7834FD8E">
            <w:pPr>
              <w:spacing w:line="480" w:lineRule="exact"/>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发货（服务）时间</w:t>
            </w:r>
          </w:p>
        </w:tc>
        <w:tc>
          <w:tcPr>
            <w:tcW w:w="6650" w:type="dxa"/>
            <w:tcBorders>
              <w:top w:val="single" w:color="auto" w:sz="6" w:space="0"/>
              <w:left w:val="nil"/>
              <w:bottom w:val="single" w:color="auto" w:sz="6" w:space="0"/>
              <w:right w:val="single" w:color="auto" w:sz="4" w:space="0"/>
            </w:tcBorders>
            <w:vAlign w:val="center"/>
          </w:tcPr>
          <w:p w14:paraId="7D2E36BA">
            <w:pPr>
              <w:spacing w:line="480" w:lineRule="exact"/>
              <w:jc w:val="center"/>
              <w:rPr>
                <w:rFonts w:asciiTheme="minorEastAsia" w:hAnsiTheme="minorEastAsia" w:eastAsiaTheme="minorEastAsia"/>
                <w:color w:val="auto"/>
                <w:sz w:val="24"/>
                <w:highlight w:val="none"/>
              </w:rPr>
            </w:pPr>
          </w:p>
        </w:tc>
      </w:tr>
      <w:tr w14:paraId="11E9E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05B5E839">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承担的工作</w:t>
            </w:r>
          </w:p>
        </w:tc>
        <w:tc>
          <w:tcPr>
            <w:tcW w:w="6650" w:type="dxa"/>
            <w:tcBorders>
              <w:top w:val="single" w:color="auto" w:sz="6" w:space="0"/>
              <w:left w:val="nil"/>
              <w:bottom w:val="single" w:color="auto" w:sz="6" w:space="0"/>
              <w:right w:val="single" w:color="auto" w:sz="4" w:space="0"/>
            </w:tcBorders>
            <w:vAlign w:val="center"/>
          </w:tcPr>
          <w:p w14:paraId="14F01567">
            <w:pPr>
              <w:spacing w:line="480" w:lineRule="exact"/>
              <w:jc w:val="center"/>
              <w:rPr>
                <w:rFonts w:asciiTheme="minorEastAsia" w:hAnsiTheme="minorEastAsia" w:eastAsiaTheme="minorEastAsia"/>
                <w:color w:val="auto"/>
                <w:sz w:val="24"/>
                <w:highlight w:val="none"/>
              </w:rPr>
            </w:pPr>
          </w:p>
        </w:tc>
      </w:tr>
      <w:tr w14:paraId="7FB57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25B55E7D">
            <w:pPr>
              <w:spacing w:line="480" w:lineRule="exact"/>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质量（服务）标准</w:t>
            </w:r>
          </w:p>
        </w:tc>
        <w:tc>
          <w:tcPr>
            <w:tcW w:w="6650" w:type="dxa"/>
            <w:tcBorders>
              <w:top w:val="single" w:color="auto" w:sz="6" w:space="0"/>
              <w:left w:val="nil"/>
              <w:bottom w:val="single" w:color="auto" w:sz="6" w:space="0"/>
              <w:right w:val="single" w:color="auto" w:sz="4" w:space="0"/>
            </w:tcBorders>
            <w:vAlign w:val="center"/>
          </w:tcPr>
          <w:p w14:paraId="21CC3DAC">
            <w:pPr>
              <w:spacing w:line="480" w:lineRule="exact"/>
              <w:jc w:val="center"/>
              <w:rPr>
                <w:rFonts w:asciiTheme="minorEastAsia" w:hAnsiTheme="minorEastAsia" w:eastAsiaTheme="minorEastAsia"/>
                <w:color w:val="auto"/>
                <w:sz w:val="24"/>
                <w:highlight w:val="none"/>
              </w:rPr>
            </w:pPr>
          </w:p>
        </w:tc>
      </w:tr>
      <w:tr w14:paraId="17238B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34FBE765">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项目负责人</w:t>
            </w:r>
          </w:p>
        </w:tc>
        <w:tc>
          <w:tcPr>
            <w:tcW w:w="6650" w:type="dxa"/>
            <w:tcBorders>
              <w:top w:val="single" w:color="auto" w:sz="6" w:space="0"/>
              <w:left w:val="nil"/>
              <w:bottom w:val="single" w:color="auto" w:sz="6" w:space="0"/>
              <w:right w:val="single" w:color="auto" w:sz="4" w:space="0"/>
            </w:tcBorders>
            <w:vAlign w:val="center"/>
          </w:tcPr>
          <w:p w14:paraId="6914AC1D">
            <w:pPr>
              <w:spacing w:line="480" w:lineRule="exact"/>
              <w:jc w:val="center"/>
              <w:rPr>
                <w:rFonts w:asciiTheme="minorEastAsia" w:hAnsiTheme="minorEastAsia" w:eastAsiaTheme="minorEastAsia"/>
                <w:color w:val="auto"/>
                <w:sz w:val="24"/>
                <w:highlight w:val="none"/>
              </w:rPr>
            </w:pPr>
          </w:p>
        </w:tc>
      </w:tr>
      <w:tr w14:paraId="555EC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46" w:hRule="atLeast"/>
          <w:jc w:val="center"/>
        </w:trPr>
        <w:tc>
          <w:tcPr>
            <w:tcW w:w="2469" w:type="dxa"/>
            <w:tcBorders>
              <w:top w:val="single" w:color="auto" w:sz="6" w:space="0"/>
              <w:left w:val="single" w:color="auto" w:sz="4" w:space="0"/>
              <w:bottom w:val="single" w:color="auto" w:sz="6" w:space="0"/>
              <w:right w:val="single" w:color="auto" w:sz="6" w:space="0"/>
            </w:tcBorders>
            <w:vAlign w:val="center"/>
          </w:tcPr>
          <w:p w14:paraId="470E6A8F">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项目描述</w:t>
            </w:r>
          </w:p>
        </w:tc>
        <w:tc>
          <w:tcPr>
            <w:tcW w:w="6650" w:type="dxa"/>
            <w:tcBorders>
              <w:top w:val="single" w:color="auto" w:sz="6" w:space="0"/>
              <w:left w:val="nil"/>
              <w:bottom w:val="single" w:color="auto" w:sz="6" w:space="0"/>
              <w:right w:val="single" w:color="auto" w:sz="4" w:space="0"/>
            </w:tcBorders>
            <w:vAlign w:val="center"/>
          </w:tcPr>
          <w:p w14:paraId="2DA66796">
            <w:pPr>
              <w:spacing w:line="480" w:lineRule="exact"/>
              <w:jc w:val="center"/>
              <w:rPr>
                <w:rFonts w:asciiTheme="minorEastAsia" w:hAnsiTheme="minorEastAsia" w:eastAsiaTheme="minorEastAsia"/>
                <w:color w:val="auto"/>
                <w:sz w:val="24"/>
                <w:highlight w:val="none"/>
              </w:rPr>
            </w:pPr>
          </w:p>
        </w:tc>
      </w:tr>
      <w:tr w14:paraId="71430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2469" w:type="dxa"/>
            <w:tcBorders>
              <w:top w:val="single" w:color="auto" w:sz="6" w:space="0"/>
              <w:left w:val="single" w:color="auto" w:sz="4" w:space="0"/>
              <w:bottom w:val="single" w:color="auto" w:sz="4" w:space="0"/>
              <w:right w:val="single" w:color="auto" w:sz="6" w:space="0"/>
            </w:tcBorders>
            <w:vAlign w:val="center"/>
          </w:tcPr>
          <w:p w14:paraId="7E947C2E">
            <w:pPr>
              <w:spacing w:line="48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tc>
        <w:tc>
          <w:tcPr>
            <w:tcW w:w="6650" w:type="dxa"/>
            <w:tcBorders>
              <w:top w:val="single" w:color="auto" w:sz="6" w:space="0"/>
              <w:left w:val="nil"/>
              <w:bottom w:val="single" w:color="auto" w:sz="4" w:space="0"/>
              <w:right w:val="single" w:color="auto" w:sz="4" w:space="0"/>
            </w:tcBorders>
            <w:vAlign w:val="center"/>
          </w:tcPr>
          <w:p w14:paraId="7444D33A">
            <w:pPr>
              <w:spacing w:line="480" w:lineRule="exact"/>
              <w:jc w:val="center"/>
              <w:rPr>
                <w:rFonts w:asciiTheme="minorEastAsia" w:hAnsiTheme="minorEastAsia" w:eastAsiaTheme="minorEastAsia"/>
                <w:color w:val="auto"/>
                <w:sz w:val="24"/>
                <w:highlight w:val="none"/>
              </w:rPr>
            </w:pPr>
          </w:p>
        </w:tc>
      </w:tr>
    </w:tbl>
    <w:p w14:paraId="2BDB0138">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highlight w:val="none"/>
        </w:rPr>
      </w:pPr>
    </w:p>
    <w:p w14:paraId="32463595">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4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1、没有填写“无”。</w:t>
      </w:r>
    </w:p>
    <w:p w14:paraId="657EAFF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4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附中标通知书和合同协议书的扫描件，具体年份要求202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年1月1日以来。</w:t>
      </w:r>
    </w:p>
    <w:p w14:paraId="39B6088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4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3、响应</w:t>
      </w:r>
      <w:r>
        <w:rPr>
          <w:rFonts w:hint="eastAsia" w:asciiTheme="minorEastAsia" w:hAnsiTheme="minorEastAsia" w:eastAsiaTheme="minorEastAsia" w:cstheme="minorEastAsia"/>
          <w:color w:val="auto"/>
          <w:highlight w:val="none"/>
        </w:rPr>
        <w:t>人若为联合体</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任一方“</w:t>
      </w:r>
      <w:r>
        <w:rPr>
          <w:rFonts w:hint="eastAsia" w:asciiTheme="minorEastAsia" w:hAnsiTheme="minorEastAsia" w:eastAsiaTheme="minorEastAsia" w:cstheme="minorEastAsia"/>
          <w:color w:val="auto"/>
          <w:highlight w:val="none"/>
        </w:rPr>
        <w:t>类似项目</w:t>
      </w:r>
      <w:r>
        <w:rPr>
          <w:rFonts w:hint="eastAsia" w:asciiTheme="minorEastAsia" w:hAnsiTheme="minorEastAsia" w:eastAsiaTheme="minorEastAsia" w:cstheme="minorEastAsia"/>
          <w:color w:val="auto"/>
          <w:highlight w:val="none"/>
          <w:lang w:val="en-US" w:eastAsia="zh-CN"/>
        </w:rPr>
        <w:t>”均可。</w:t>
      </w:r>
    </w:p>
    <w:p w14:paraId="670ED0E5">
      <w:pPr>
        <w:keepNext/>
        <w:keepLines/>
        <w:spacing w:line="480" w:lineRule="exact"/>
        <w:jc w:val="center"/>
        <w:outlineLvl w:val="1"/>
        <w:rPr>
          <w:rFonts w:hint="eastAsia" w:asciiTheme="minorEastAsia" w:hAnsiTheme="minorEastAsia" w:eastAsiaTheme="minorEastAsia" w:cstheme="minorEastAsia"/>
          <w:color w:val="auto"/>
          <w:sz w:val="24"/>
          <w:highlight w:val="none"/>
        </w:rPr>
      </w:pPr>
      <w:bookmarkStart w:id="673" w:name="_Toc514834640"/>
      <w:bookmarkEnd w:id="673"/>
      <w:bookmarkStart w:id="674" w:name="_Toc16770593"/>
    </w:p>
    <w:p w14:paraId="060CB3B5">
      <w:pPr>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color w:val="auto"/>
          <w:sz w:val="24"/>
          <w:highlight w:val="none"/>
        </w:rPr>
        <w:br w:type="page"/>
      </w:r>
    </w:p>
    <w:p w14:paraId="0A29302F">
      <w:pPr>
        <w:keepNext/>
        <w:keepLines/>
        <w:spacing w:line="480" w:lineRule="exact"/>
        <w:jc w:val="center"/>
        <w:outlineLvl w:val="1"/>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十</w:t>
      </w:r>
      <w:r>
        <w:rPr>
          <w:rFonts w:hint="eastAsia" w:asciiTheme="minorEastAsia" w:hAnsiTheme="minorEastAsia" w:eastAsiaTheme="minorEastAsia" w:cstheme="minorEastAsia"/>
          <w:b/>
          <w:bCs/>
          <w:color w:val="auto"/>
          <w:sz w:val="32"/>
          <w:szCs w:val="28"/>
          <w:highlight w:val="none"/>
          <w:lang w:val="en-US" w:eastAsia="zh-CN"/>
        </w:rPr>
        <w:t>三</w:t>
      </w:r>
      <w:r>
        <w:rPr>
          <w:rFonts w:hint="eastAsia" w:asciiTheme="minorEastAsia" w:hAnsiTheme="minorEastAsia" w:eastAsiaTheme="minorEastAsia" w:cstheme="minorEastAsia"/>
          <w:b/>
          <w:bCs/>
          <w:color w:val="auto"/>
          <w:sz w:val="32"/>
          <w:szCs w:val="28"/>
          <w:highlight w:val="none"/>
        </w:rPr>
        <w:t>、供应商认为有必要提供的其他资料</w:t>
      </w:r>
      <w:bookmarkEnd w:id="674"/>
    </w:p>
    <w:p w14:paraId="1402CC96">
      <w:pPr>
        <w:spacing w:line="312" w:lineRule="auto"/>
        <w:ind w:right="-350" w:rightChars="-159"/>
        <w:jc w:val="both"/>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附件：1</w:t>
      </w:r>
    </w:p>
    <w:p w14:paraId="0653113E">
      <w:pPr>
        <w:spacing w:line="360" w:lineRule="auto"/>
        <w:jc w:val="center"/>
        <w:rPr>
          <w:rFonts w:hint="eastAsia" w:asciiTheme="minorEastAsia" w:hAnsiTheme="minorEastAsia" w:eastAsiaTheme="minorEastAsia" w:cstheme="minorEastAsia"/>
          <w:b/>
          <w:bCs w:val="0"/>
          <w:color w:val="auto"/>
          <w:kern w:val="0"/>
          <w:sz w:val="24"/>
          <w:szCs w:val="24"/>
          <w:highlight w:val="none"/>
        </w:rPr>
      </w:pPr>
      <w:r>
        <w:rPr>
          <w:rFonts w:hint="eastAsia" w:asciiTheme="minorEastAsia" w:hAnsiTheme="minorEastAsia" w:eastAsiaTheme="minorEastAsia" w:cstheme="minorEastAsia"/>
          <w:b/>
          <w:bCs w:val="0"/>
          <w:color w:val="auto"/>
          <w:kern w:val="0"/>
          <w:sz w:val="24"/>
          <w:szCs w:val="24"/>
          <w:highlight w:val="none"/>
        </w:rPr>
        <w:t>承诺书</w:t>
      </w:r>
    </w:p>
    <w:p w14:paraId="6D9681E7">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致：</w:t>
      </w:r>
      <w:r>
        <w:rPr>
          <w:rFonts w:hint="eastAsia" w:asciiTheme="minorEastAsia" w:hAnsiTheme="minorEastAsia" w:eastAsiaTheme="minorEastAsia" w:cstheme="minorEastAsia"/>
          <w:color w:val="auto"/>
          <w:sz w:val="24"/>
          <w:szCs w:val="24"/>
          <w:highlight w:val="none"/>
          <w:u w:val="single"/>
          <w:lang w:val="en-US" w:eastAsia="zh-CN"/>
        </w:rPr>
        <w:t xml:space="preserve">     （采购人、代理机构）</w:t>
      </w:r>
      <w:r>
        <w:rPr>
          <w:rFonts w:hint="eastAsia" w:asciiTheme="minorEastAsia" w:hAnsiTheme="minorEastAsia" w:eastAsiaTheme="minorEastAsia" w:cstheme="minorEastAsia"/>
          <w:color w:val="auto"/>
          <w:sz w:val="24"/>
          <w:szCs w:val="24"/>
          <w:highlight w:val="none"/>
        </w:rPr>
        <w:t xml:space="preserve"> </w:t>
      </w:r>
    </w:p>
    <w:p w14:paraId="79FB953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本单位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（响应人</w:t>
      </w:r>
      <w:r>
        <w:rPr>
          <w:rFonts w:hint="eastAsia" w:asciiTheme="minorEastAsia" w:hAnsiTheme="minorEastAsia" w:eastAsiaTheme="minorEastAsia" w:cstheme="minorEastAsia"/>
          <w:color w:val="auto"/>
          <w:sz w:val="24"/>
          <w:szCs w:val="24"/>
          <w:highlight w:val="none"/>
          <w:u w:val="single"/>
        </w:rPr>
        <w:t>全称）</w:t>
      </w:r>
      <w:r>
        <w:rPr>
          <w:rFonts w:hint="eastAsia" w:asciiTheme="minorEastAsia" w:hAnsiTheme="minorEastAsia" w:eastAsiaTheme="minorEastAsia" w:cstheme="minorEastAsia"/>
          <w:color w:val="auto"/>
          <w:sz w:val="24"/>
          <w:szCs w:val="24"/>
          <w:highlight w:val="none"/>
        </w:rPr>
        <w:t>作为参与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招投标活动的响应人（联合体牵头人），就本次投标事宜，郑重作出如下承诺： </w:t>
      </w:r>
    </w:p>
    <w:p w14:paraId="154B9B3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1.响应文件真实性承诺：</w:t>
      </w:r>
      <w:r>
        <w:rPr>
          <w:rFonts w:hint="eastAsia" w:asciiTheme="minorEastAsia" w:hAnsiTheme="minorEastAsia" w:eastAsiaTheme="minorEastAsia" w:cstheme="minorEastAsia"/>
          <w:color w:val="auto"/>
          <w:sz w:val="24"/>
          <w:szCs w:val="24"/>
          <w:highlight w:val="none"/>
          <w:lang w:val="en-US" w:eastAsia="zh-CN"/>
        </w:rPr>
        <w:t xml:space="preserve">本单位提交的全部响应文件（包括但不限于资质证明、业绩材料、财务数据、技术方案、报价信息、人员资质、信用记录及其他相关证明文件等）均真实、合法、有效，不存在任何伪造、变造、虚假记载、误导性陈述或隐瞒重要事实的情形，所有材料均符合国家法律法规及磋商文件要求。 </w:t>
      </w:r>
    </w:p>
    <w:p w14:paraId="1C26428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2.无串标、围标等违法违规行为承诺：</w:t>
      </w:r>
      <w:r>
        <w:rPr>
          <w:rFonts w:hint="eastAsia" w:asciiTheme="minorEastAsia" w:hAnsiTheme="minorEastAsia" w:eastAsiaTheme="minorEastAsia" w:cstheme="minorEastAsia"/>
          <w:color w:val="auto"/>
          <w:sz w:val="24"/>
          <w:szCs w:val="24"/>
          <w:highlight w:val="none"/>
          <w:lang w:val="en-US" w:eastAsia="zh-CN"/>
        </w:rPr>
        <w:t>本单位在本次投标活动中，严格遵守《中华人民共和国政府采购法》《政府采购竞争性磋商采购方式暂行办法》及相关法律法规规定，不存在下列行为：</w:t>
      </w:r>
    </w:p>
    <w:p w14:paraId="13F12FC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•与其他响应人相互串通投标报价，或与采购人、招标代理机构串通谋取中标；</w:t>
      </w:r>
    </w:p>
    <w:p w14:paraId="28348BA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•以他人名义投标、允许他人以本单位名义投标，或转让、出借投标资格；</w:t>
      </w:r>
    </w:p>
    <w:p w14:paraId="4EF1EF2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•恶意压低或抬高投标报价，扰乱正常投标秩序；</w:t>
      </w:r>
    </w:p>
    <w:p w14:paraId="184ED37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•提供虚假材料谋取中标，或采取其他不正当手段妨碍、排挤其他响应人；</w:t>
      </w:r>
    </w:p>
    <w:p w14:paraId="3124CD9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•法律法规禁止的其他违法违规行为。 </w:t>
      </w:r>
    </w:p>
    <w:p w14:paraId="138E833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3．法律责任承诺：</w:t>
      </w:r>
      <w:r>
        <w:rPr>
          <w:rFonts w:hint="eastAsia" w:asciiTheme="minorEastAsia" w:hAnsiTheme="minorEastAsia" w:eastAsiaTheme="minorEastAsia" w:cstheme="minorEastAsia"/>
          <w:color w:val="auto"/>
          <w:sz w:val="24"/>
          <w:szCs w:val="24"/>
          <w:highlight w:val="none"/>
          <w:lang w:val="en-US" w:eastAsia="zh-CN"/>
        </w:rPr>
        <w:t>若本单位违反上述任何承诺，或在投标活动中存在其他违反法律法规及磋商文件规定的行为，本单位自愿承担以下全部法律后果及责任：</w:t>
      </w:r>
    </w:p>
    <w:p w14:paraId="004D5D0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•响应文件作无效处理，已中标的，中标资格自动丧失，且无需采购人另行通知；</w:t>
      </w:r>
    </w:p>
    <w:p w14:paraId="5D9F5C5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•被记入政府采购或招标投标不良信用记录，按照规定被限制参与相关招标活动；</w:t>
      </w:r>
    </w:p>
    <w:p w14:paraId="50DA8B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•赔偿因自身违法违规行为给采购人、招标代理机构及其他相关方造成的全部损失（包括但不限于直接经济损失、项目延误损失、维权费用等）；</w:t>
      </w:r>
    </w:p>
    <w:p w14:paraId="6E9FC39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•接受有关行政监督部门依据《中华人民共和国招标投标法》及相关法律法规作出的行政处罚（包括但不限于罚款、没收违法所得等）；</w:t>
      </w:r>
    </w:p>
    <w:p w14:paraId="53407DE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•如行为构成犯罪的，自愿接受司法机关追究刑事责任。 </w:t>
      </w:r>
    </w:p>
    <w:p w14:paraId="16135DB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本承诺书是响应文件不可分割的组成部分，与响应文件具有同等法律效力。</w:t>
      </w:r>
    </w:p>
    <w:p w14:paraId="3E5D8EF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特此承诺！</w:t>
      </w:r>
    </w:p>
    <w:p w14:paraId="54C5D115">
      <w:pPr>
        <w:keepNext w:val="0"/>
        <w:keepLines w:val="0"/>
        <w:pageBreakBefore w:val="0"/>
        <w:widowControl/>
        <w:kinsoku/>
        <w:wordWrap/>
        <w:overflowPunct/>
        <w:topLinePunct w:val="0"/>
        <w:autoSpaceDE/>
        <w:autoSpaceDN/>
        <w:bidi w:val="0"/>
        <w:adjustRightInd w:val="0"/>
        <w:snapToGrid w:val="0"/>
        <w:spacing w:after="0" w:line="540" w:lineRule="exact"/>
        <w:jc w:val="right"/>
        <w:textAlignment w:val="auto"/>
        <w:rPr>
          <w:rFonts w:hint="eastAsia" w:ascii="宋体" w:hAnsi="宋体" w:eastAsia="宋体" w:cs="宋体"/>
          <w:color w:val="auto"/>
          <w:sz w:val="24"/>
          <w:szCs w:val="24"/>
          <w:highlight w:val="none"/>
        </w:rPr>
      </w:pPr>
    </w:p>
    <w:p w14:paraId="1DE67E0A">
      <w:pPr>
        <w:keepNext w:val="0"/>
        <w:keepLines w:val="0"/>
        <w:pageBreakBefore w:val="0"/>
        <w:widowControl/>
        <w:kinsoku/>
        <w:wordWrap/>
        <w:overflowPunct/>
        <w:topLinePunct w:val="0"/>
        <w:autoSpaceDE/>
        <w:autoSpaceDN/>
        <w:bidi w:val="0"/>
        <w:adjustRightInd w:val="0"/>
        <w:snapToGrid w:val="0"/>
        <w:spacing w:after="0" w:line="540" w:lineRule="exact"/>
        <w:jc w:val="righ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229BBED5">
      <w:pPr>
        <w:keepNext w:val="0"/>
        <w:keepLines w:val="0"/>
        <w:pageBreakBefore w:val="0"/>
        <w:widowControl/>
        <w:kinsoku/>
        <w:wordWrap/>
        <w:overflowPunct/>
        <w:topLinePunct w:val="0"/>
        <w:autoSpaceDE/>
        <w:autoSpaceDN/>
        <w:bidi w:val="0"/>
        <w:adjustRightInd w:val="0"/>
        <w:snapToGrid w:val="0"/>
        <w:spacing w:after="0" w:line="540" w:lineRule="exact"/>
        <w:jc w:val="righ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电子签章）</w:t>
      </w:r>
    </w:p>
    <w:p w14:paraId="34EBC760">
      <w:pPr>
        <w:keepNext w:val="0"/>
        <w:keepLines w:val="0"/>
        <w:pageBreakBefore w:val="0"/>
        <w:widowControl/>
        <w:kinsoku/>
        <w:wordWrap/>
        <w:overflowPunct/>
        <w:topLinePunct w:val="0"/>
        <w:autoSpaceDE/>
        <w:autoSpaceDN/>
        <w:bidi w:val="0"/>
        <w:adjustRightInd w:val="0"/>
        <w:snapToGrid w:val="0"/>
        <w:spacing w:after="0" w:line="540" w:lineRule="exact"/>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271A989">
      <w:pPr>
        <w:spacing w:beforeLines="100" w:afterLines="50"/>
        <w:jc w:val="center"/>
        <w:rPr>
          <w:rFonts w:hint="eastAsia" w:asciiTheme="minorEastAsia" w:hAnsiTheme="minorEastAsia" w:eastAsiaTheme="minorEastAsia" w:cstheme="minorEastAsia"/>
          <w:color w:val="auto"/>
          <w:highlight w:val="none"/>
        </w:rPr>
      </w:pPr>
    </w:p>
    <w:p w14:paraId="48811F94">
      <w:pPr>
        <w:rPr>
          <w:rFonts w:hint="eastAsia" w:asciiTheme="minorEastAsia" w:hAnsiTheme="minorEastAsia" w:eastAsiaTheme="minorEastAsia" w:cstheme="minorEastAsia"/>
          <w:color w:val="auto"/>
          <w:highlight w:val="none"/>
        </w:rPr>
      </w:pPr>
    </w:p>
    <w:p w14:paraId="261EDF9D">
      <w:pPr>
        <w:rPr>
          <w:rFonts w:hint="eastAsia" w:asciiTheme="minorEastAsia" w:hAnsiTheme="minorEastAsia" w:eastAsiaTheme="minorEastAsia" w:cstheme="minorEastAsia"/>
          <w:color w:val="auto"/>
          <w:highlight w:val="none"/>
        </w:rPr>
      </w:pPr>
    </w:p>
    <w:p w14:paraId="5275ADD7">
      <w:pPr>
        <w:rPr>
          <w:rFonts w:hint="eastAsia" w:asciiTheme="minorEastAsia" w:hAnsiTheme="minorEastAsia" w:eastAsiaTheme="minorEastAsia" w:cstheme="minorEastAsia"/>
          <w:color w:val="auto"/>
          <w:highlight w:val="none"/>
        </w:rPr>
      </w:pPr>
    </w:p>
    <w:p w14:paraId="6A72ABC5">
      <w:pPr>
        <w:rPr>
          <w:rFonts w:hint="eastAsia" w:asciiTheme="minorEastAsia" w:hAnsiTheme="minorEastAsia" w:eastAsiaTheme="minorEastAsia" w:cstheme="minorEastAsia"/>
          <w:color w:val="auto"/>
          <w:highlight w:val="none"/>
        </w:rPr>
      </w:pPr>
    </w:p>
    <w:p w14:paraId="52EA493F">
      <w:pPr>
        <w:rPr>
          <w:rFonts w:hint="eastAsia" w:asciiTheme="minorEastAsia" w:hAnsiTheme="minorEastAsia" w:eastAsiaTheme="minorEastAsia" w:cstheme="minorEastAsia"/>
          <w:color w:val="auto"/>
          <w:highlight w:val="none"/>
        </w:rPr>
      </w:pPr>
    </w:p>
    <w:p w14:paraId="622E1AA3">
      <w:pPr>
        <w:rPr>
          <w:rFonts w:hint="eastAsia" w:asciiTheme="minorEastAsia" w:hAnsiTheme="minorEastAsia" w:eastAsiaTheme="minorEastAsia" w:cstheme="minorEastAsia"/>
          <w:b/>
          <w:bCs/>
          <w:color w:val="auto"/>
          <w:highlight w:val="none"/>
        </w:rPr>
      </w:pPr>
    </w:p>
    <w:p w14:paraId="07CB944B">
      <w:pPr>
        <w:rPr>
          <w:rFonts w:hint="eastAsia" w:asciiTheme="minorEastAsia" w:hAnsiTheme="minorEastAsia" w:eastAsiaTheme="minorEastAsia" w:cstheme="minorEastAsia"/>
          <w:color w:val="auto"/>
          <w:highlight w:val="none"/>
        </w:rPr>
      </w:pPr>
    </w:p>
    <w:p w14:paraId="3ACF5C3C">
      <w:pPr>
        <w:rPr>
          <w:rFonts w:hint="eastAsia" w:asciiTheme="minorEastAsia" w:hAnsiTheme="minorEastAsia" w:eastAsiaTheme="minorEastAsia" w:cstheme="minorEastAsia"/>
          <w:color w:val="auto"/>
          <w:highlight w:val="none"/>
        </w:rPr>
      </w:pPr>
    </w:p>
    <w:p w14:paraId="0666F01E">
      <w:pPr>
        <w:rPr>
          <w:rFonts w:hint="eastAsia" w:asciiTheme="minorEastAsia" w:hAnsiTheme="minorEastAsia" w:eastAsiaTheme="minorEastAsia" w:cstheme="minorEastAsia"/>
          <w:color w:val="auto"/>
          <w:highlight w:val="none"/>
        </w:rPr>
      </w:pPr>
    </w:p>
    <w:p w14:paraId="65AFEA10">
      <w:pPr>
        <w:rPr>
          <w:rFonts w:hint="eastAsia" w:asciiTheme="minorEastAsia" w:hAnsiTheme="minorEastAsia" w:eastAsiaTheme="minorEastAsia" w:cstheme="minorEastAsia"/>
          <w:color w:val="auto"/>
          <w:highlight w:val="none"/>
        </w:rPr>
      </w:pPr>
    </w:p>
    <w:p w14:paraId="5FD16B61">
      <w:pPr>
        <w:pStyle w:val="3"/>
        <w:spacing w:before="0"/>
        <w:rPr>
          <w:rFonts w:hint="eastAsia" w:asciiTheme="minorEastAsia" w:hAnsiTheme="minorEastAsia" w:eastAsiaTheme="minorEastAsia" w:cstheme="minorEastAsia"/>
          <w:color w:val="auto"/>
          <w:highlight w:val="none"/>
        </w:rPr>
      </w:pPr>
    </w:p>
    <w:p w14:paraId="6185E992">
      <w:pPr>
        <w:rPr>
          <w:rFonts w:hint="eastAsia" w:asciiTheme="minorEastAsia" w:hAnsiTheme="minorEastAsia" w:eastAsiaTheme="minorEastAsia" w:cstheme="minorEastAsia"/>
          <w:color w:val="auto"/>
          <w:highlight w:val="none"/>
        </w:rPr>
      </w:pPr>
    </w:p>
    <w:p w14:paraId="437D42BA">
      <w:pPr>
        <w:rPr>
          <w:rFonts w:hint="eastAsia" w:asciiTheme="minorEastAsia" w:hAnsiTheme="minorEastAsia" w:eastAsiaTheme="minorEastAsia" w:cstheme="minorEastAsia"/>
          <w:color w:val="auto"/>
          <w:highlight w:val="none"/>
        </w:rPr>
      </w:pPr>
    </w:p>
    <w:p w14:paraId="18A628C6">
      <w:pPr>
        <w:rPr>
          <w:rFonts w:hint="eastAsia" w:asciiTheme="minorEastAsia" w:hAnsiTheme="minorEastAsia" w:eastAsiaTheme="minorEastAsia" w:cstheme="minorEastAsia"/>
          <w:color w:val="auto"/>
          <w:highlight w:val="none"/>
        </w:rPr>
      </w:pPr>
    </w:p>
    <w:p w14:paraId="2D5E328F">
      <w:pPr>
        <w:rPr>
          <w:rFonts w:hint="eastAsia" w:asciiTheme="minorEastAsia" w:hAnsiTheme="minorEastAsia" w:eastAsiaTheme="minorEastAsia" w:cstheme="minorEastAsia"/>
          <w:color w:val="auto"/>
          <w:highlight w:val="none"/>
        </w:rPr>
      </w:pPr>
    </w:p>
    <w:p w14:paraId="15972F06">
      <w:pPr>
        <w:spacing w:line="220" w:lineRule="atLeast"/>
        <w:rPr>
          <w:rFonts w:hint="eastAsia" w:asciiTheme="minorEastAsia" w:hAnsiTheme="minorEastAsia" w:eastAsiaTheme="minorEastAsia" w:cstheme="minorEastAsia"/>
          <w:color w:val="auto"/>
          <w:highlight w:val="none"/>
        </w:rPr>
      </w:pPr>
    </w:p>
    <w:p w14:paraId="43F0E64D">
      <w:pPr>
        <w:spacing w:line="220" w:lineRule="atLeast"/>
        <w:rPr>
          <w:rFonts w:hint="eastAsia" w:asciiTheme="minorEastAsia" w:hAnsiTheme="minorEastAsia" w:eastAsiaTheme="minorEastAsia" w:cstheme="minorEastAsia"/>
          <w:color w:val="auto"/>
          <w:highlight w:val="none"/>
        </w:rPr>
      </w:pPr>
    </w:p>
    <w:p w14:paraId="060857C2">
      <w:pPr>
        <w:spacing w:line="4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19B661F">
      <w:pPr>
        <w:spacing w:line="312" w:lineRule="auto"/>
        <w:ind w:right="-350" w:rightChars="-159"/>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附件：2</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14:paraId="2B441BC1">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color w:val="auto"/>
          <w:kern w:val="0"/>
          <w:sz w:val="24"/>
          <w:szCs w:val="24"/>
          <w:highlight w:val="none"/>
        </w:rPr>
      </w:pPr>
      <w:bookmarkStart w:id="675" w:name="_Toc6927090"/>
      <w:bookmarkStart w:id="676" w:name="OLE_LINK13"/>
      <w:bookmarkStart w:id="677" w:name="OLE_LINK14"/>
      <w:r>
        <w:rPr>
          <w:rFonts w:hint="eastAsia" w:asciiTheme="minorEastAsia" w:hAnsiTheme="minorEastAsia" w:eastAsiaTheme="minorEastAsia" w:cstheme="minorEastAsia"/>
          <w:b/>
          <w:bCs/>
          <w:color w:val="auto"/>
          <w:kern w:val="10"/>
          <w:sz w:val="28"/>
          <w:szCs w:val="28"/>
          <w:highlight w:val="none"/>
        </w:rPr>
        <w:t>1、</w:t>
      </w:r>
      <w:bookmarkStart w:id="678" w:name="_Hlk136874938"/>
      <w:r>
        <w:rPr>
          <w:rFonts w:hint="eastAsia" w:ascii="宋体" w:hAnsi="宋体" w:eastAsia="宋体" w:cs="宋体"/>
          <w:b/>
          <w:bCs w:val="0"/>
          <w:color w:val="auto"/>
          <w:kern w:val="0"/>
          <w:sz w:val="24"/>
          <w:szCs w:val="24"/>
          <w:highlight w:val="none"/>
        </w:rPr>
        <w:t>中小企业声明函</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服务</w:t>
      </w:r>
      <w:r>
        <w:rPr>
          <w:rFonts w:hint="eastAsia" w:ascii="宋体" w:hAnsi="宋体" w:eastAsia="宋体" w:cs="宋体"/>
          <w:b/>
          <w:bCs w:val="0"/>
          <w:color w:val="auto"/>
          <w:kern w:val="0"/>
          <w:sz w:val="24"/>
          <w:szCs w:val="24"/>
          <w:highlight w:val="none"/>
        </w:rPr>
        <w:t>）</w:t>
      </w:r>
    </w:p>
    <w:p w14:paraId="33B27DB9">
      <w:pPr>
        <w:keepNext w:val="0"/>
        <w:keepLines w:val="0"/>
        <w:pageBreakBefore w:val="0"/>
        <w:widowControl/>
        <w:kinsoku/>
        <w:wordWrap/>
        <w:overflowPunct/>
        <w:topLinePunct w:val="0"/>
        <w:autoSpaceDE/>
        <w:autoSpaceDN/>
        <w:bidi w:val="0"/>
        <w:adjustRightInd w:val="0"/>
        <w:snapToGrid w:val="0"/>
        <w:spacing w:before="312" w:beforeLines="100"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联合体）郑重声明，根据《政府采购促进中小企业发展管理办法》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财库﹝2020﹞46 号）的规定，本公司参加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或者：服务全部由符合政策要求的中小企业承接）。相关企业的具体情况如下：</w:t>
      </w:r>
    </w:p>
    <w:p w14:paraId="098BA2EF">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中型企业/小型企业/微型企业）；</w:t>
      </w:r>
    </w:p>
    <w:p w14:paraId="1BF09D87">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10B1AF7">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C9E81D9">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58ACCE7">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0722F8E">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盖公章）：</w:t>
      </w:r>
    </w:p>
    <w:p w14:paraId="376F812B">
      <w:pPr>
        <w:keepNext w:val="0"/>
        <w:keepLines w:val="0"/>
        <w:pageBreakBefore w:val="0"/>
        <w:widowControl/>
        <w:kinsoku/>
        <w:wordWrap/>
        <w:overflowPunct/>
        <w:topLinePunct w:val="0"/>
        <w:autoSpaceDE/>
        <w:autoSpaceDN/>
        <w:bidi w:val="0"/>
        <w:adjustRightInd w:val="0"/>
        <w:snapToGrid w:val="0"/>
        <w:spacing w:line="380" w:lineRule="exact"/>
        <w:ind w:firstLine="638" w:firstLineChars="266"/>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14:paraId="00CC7BB6">
      <w:pPr>
        <w:keepNext w:val="0"/>
        <w:keepLines w:val="0"/>
        <w:pageBreakBefore w:val="0"/>
        <w:widowControl/>
        <w:kinsoku/>
        <w:wordWrap/>
        <w:overflowPunct/>
        <w:topLinePunct w:val="0"/>
        <w:autoSpaceDE/>
        <w:autoSpaceDN/>
        <w:bidi w:val="0"/>
        <w:adjustRightInd w:val="0"/>
        <w:snapToGrid w:val="0"/>
        <w:spacing w:line="380" w:lineRule="exact"/>
        <w:ind w:firstLine="641" w:firstLineChars="26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14:paraId="0D2A35C0">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19" w:leftChars="0" w:firstLine="641"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2、</w:t>
      </w:r>
      <w:r>
        <w:rPr>
          <w:rFonts w:hint="eastAsia" w:ascii="宋体" w:hAnsi="宋体" w:eastAsia="宋体" w:cs="宋体"/>
          <w:b/>
          <w:bCs/>
          <w:color w:val="auto"/>
          <w:sz w:val="24"/>
          <w:szCs w:val="24"/>
          <w:highlight w:val="none"/>
        </w:rPr>
        <w:t>中小企业划分标准见工业和信息化部国家统计局国家发展和改革委员财政部《关于印发中小企业划型标准规定的通知》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p>
    <w:p w14:paraId="34515CEB">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19" w:leftChars="0" w:firstLine="641"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本次采购标的对应的中小企业划分标准所属行业均为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软件和信息技术服务业</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1A3A9811">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19" w:leftChars="0" w:firstLine="641"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4、若为联合体响应，双方均须提供“</w:t>
      </w:r>
      <w:r>
        <w:rPr>
          <w:rFonts w:hint="eastAsia" w:ascii="宋体" w:hAnsi="宋体" w:eastAsia="宋体" w:cs="宋体"/>
          <w:b/>
          <w:bCs w:val="0"/>
          <w:color w:val="auto"/>
          <w:kern w:val="0"/>
          <w:sz w:val="24"/>
          <w:szCs w:val="24"/>
          <w:highlight w:val="none"/>
        </w:rPr>
        <w:t>中小企业声明函</w:t>
      </w:r>
      <w:r>
        <w:rPr>
          <w:rFonts w:hint="eastAsia" w:ascii="宋体" w:hAnsi="宋体" w:eastAsia="宋体" w:cs="宋体"/>
          <w:b/>
          <w:bCs/>
          <w:color w:val="auto"/>
          <w:sz w:val="24"/>
          <w:szCs w:val="24"/>
          <w:highlight w:val="none"/>
          <w:lang w:val="en-US" w:eastAsia="zh-CN"/>
        </w:rPr>
        <w:t>”，附双方“</w:t>
      </w:r>
      <w:r>
        <w:rPr>
          <w:rFonts w:hint="eastAsia" w:ascii="宋体" w:hAnsi="宋体" w:eastAsia="宋体" w:cs="宋体"/>
          <w:b/>
          <w:bCs w:val="0"/>
          <w:color w:val="auto"/>
          <w:kern w:val="0"/>
          <w:sz w:val="24"/>
          <w:szCs w:val="24"/>
          <w:highlight w:val="none"/>
        </w:rPr>
        <w:t>中小企业声明函</w:t>
      </w:r>
      <w:r>
        <w:rPr>
          <w:rFonts w:hint="eastAsia" w:ascii="宋体" w:hAnsi="宋体" w:eastAsia="宋体" w:cs="宋体"/>
          <w:b/>
          <w:bCs/>
          <w:color w:val="auto"/>
          <w:sz w:val="24"/>
          <w:szCs w:val="24"/>
          <w:highlight w:val="none"/>
          <w:lang w:val="en-US" w:eastAsia="zh-CN"/>
        </w:rPr>
        <w:t>”原件扫描件</w:t>
      </w:r>
    </w:p>
    <w:p w14:paraId="121C1E98">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19" w:leftChars="0" w:firstLine="641"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5、若不是</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附件2</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内相关企业</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则无需填写本项</w:t>
      </w:r>
      <w:r>
        <w:rPr>
          <w:rFonts w:hint="eastAsia" w:ascii="宋体" w:hAnsi="宋体" w:eastAsia="宋体" w:cs="宋体"/>
          <w:b/>
          <w:bCs w:val="0"/>
          <w:color w:val="auto"/>
          <w:kern w:val="0"/>
          <w:sz w:val="24"/>
          <w:szCs w:val="24"/>
          <w:highlight w:val="none"/>
          <w:lang w:eastAsia="zh-CN"/>
        </w:rPr>
        <w:t>。</w:t>
      </w:r>
    </w:p>
    <w:bookmarkEnd w:id="678"/>
    <w:p w14:paraId="0C1E8843">
      <w:pPr>
        <w:autoSpaceDE w:val="0"/>
        <w:autoSpaceDN w:val="0"/>
        <w:snapToGrid w:val="0"/>
        <w:spacing w:line="360" w:lineRule="auto"/>
        <w:ind w:firstLine="560"/>
        <w:jc w:val="center"/>
        <w:rPr>
          <w:rFonts w:hint="eastAsia" w:asciiTheme="minorEastAsia" w:hAnsiTheme="minorEastAsia" w:eastAsiaTheme="minorEastAsia" w:cstheme="minorEastAsia"/>
          <w:b/>
          <w:bCs/>
          <w:color w:val="auto"/>
          <w:kern w:val="10"/>
          <w:sz w:val="28"/>
          <w:szCs w:val="28"/>
          <w:highlight w:val="none"/>
        </w:rPr>
      </w:pPr>
      <w:r>
        <w:rPr>
          <w:rFonts w:hint="eastAsia" w:asciiTheme="minorEastAsia" w:hAnsiTheme="minorEastAsia" w:eastAsiaTheme="minorEastAsia" w:cstheme="minorEastAsia"/>
          <w:bCs/>
          <w:color w:val="auto"/>
          <w:sz w:val="24"/>
          <w:szCs w:val="24"/>
          <w:highlight w:val="none"/>
        </w:rPr>
        <w:br w:type="page"/>
      </w:r>
    </w:p>
    <w:p w14:paraId="429EBF6C">
      <w:pPr>
        <w:ind w:firstLine="560"/>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b/>
          <w:bCs/>
          <w:color w:val="auto"/>
          <w:kern w:val="10"/>
          <w:sz w:val="28"/>
          <w:szCs w:val="28"/>
          <w:highlight w:val="none"/>
        </w:rPr>
        <w:t>2、残疾人福利性单位声明函</w:t>
      </w:r>
      <w:bookmarkEnd w:id="675"/>
    </w:p>
    <w:bookmarkEnd w:id="676"/>
    <w:bookmarkEnd w:id="677"/>
    <w:p w14:paraId="32CB69BF">
      <w:pPr>
        <w:autoSpaceDE w:val="0"/>
        <w:autoSpaceDN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本单位郑重声明，根据《财政部 民政部 中国残疾人联合会关于促进残疾人就业政府采购政策的通知》</w:t>
      </w:r>
      <w:r>
        <w:rPr>
          <w:rFonts w:hint="eastAsia" w:asciiTheme="minorEastAsia" w:hAnsiTheme="minorEastAsia" w:eastAsiaTheme="minorEastAsia" w:cstheme="minorEastAsia"/>
          <w:color w:val="auto"/>
          <w:spacing w:val="6"/>
          <w:kern w:val="0"/>
          <w:sz w:val="24"/>
          <w:szCs w:val="24"/>
          <w:highlight w:val="none"/>
          <w:lang w:eastAsia="zh-CN"/>
        </w:rPr>
        <w:t>（</w:t>
      </w:r>
      <w:r>
        <w:rPr>
          <w:rFonts w:hint="eastAsia" w:asciiTheme="minorEastAsia" w:hAnsiTheme="minorEastAsia" w:eastAsiaTheme="minorEastAsia" w:cstheme="minorEastAsia"/>
          <w:color w:val="auto"/>
          <w:spacing w:val="6"/>
          <w:kern w:val="0"/>
          <w:sz w:val="24"/>
          <w:szCs w:val="24"/>
          <w:highlight w:val="none"/>
        </w:rPr>
        <w:t>财库</w:t>
      </w:r>
      <w:r>
        <w:rPr>
          <w:rFonts w:hint="eastAsia" w:asciiTheme="minorEastAsia" w:hAnsiTheme="minorEastAsia" w:eastAsiaTheme="minorEastAsia" w:cstheme="minorEastAsia"/>
          <w:color w:val="auto"/>
          <w:kern w:val="0"/>
          <w:sz w:val="24"/>
          <w:szCs w:val="24"/>
          <w:highlight w:val="none"/>
        </w:rPr>
        <w:t>〔2017〕 141</w:t>
      </w:r>
      <w:r>
        <w:rPr>
          <w:rFonts w:hint="eastAsia" w:asciiTheme="minorEastAsia" w:hAnsiTheme="minorEastAsia" w:eastAsiaTheme="minorEastAsia" w:cstheme="minorEastAsia"/>
          <w:color w:val="auto"/>
          <w:spacing w:val="6"/>
          <w:kern w:val="0"/>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kern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6"/>
          <w:kern w:val="0"/>
          <w:sz w:val="24"/>
          <w:szCs w:val="24"/>
          <w:highlight w:val="none"/>
        </w:rPr>
        <w:t>单位的</w:t>
      </w:r>
      <w:r>
        <w:rPr>
          <w:rFonts w:hint="eastAsia" w:asciiTheme="minorEastAsia" w:hAnsiTheme="minorEastAsia" w:eastAsiaTheme="minorEastAsia" w:cstheme="minorEastAsia"/>
          <w:color w:val="auto"/>
          <w:spacing w:val="6"/>
          <w:kern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6"/>
          <w:kern w:val="0"/>
          <w:sz w:val="24"/>
          <w:szCs w:val="24"/>
          <w:highlight w:val="none"/>
        </w:rPr>
        <w:t>项目采购活动提供本单位制造的货物</w:t>
      </w:r>
      <w:r>
        <w:rPr>
          <w:rFonts w:hint="eastAsia" w:asciiTheme="minorEastAsia" w:hAnsiTheme="minorEastAsia" w:eastAsiaTheme="minorEastAsia" w:cstheme="minorEastAsia"/>
          <w:color w:val="auto"/>
          <w:spacing w:val="6"/>
          <w:kern w:val="0"/>
          <w:sz w:val="24"/>
          <w:szCs w:val="24"/>
          <w:highlight w:val="none"/>
          <w:lang w:eastAsia="zh-CN"/>
        </w:rPr>
        <w:t>（</w:t>
      </w:r>
      <w:r>
        <w:rPr>
          <w:rFonts w:hint="eastAsia" w:asciiTheme="minorEastAsia" w:hAnsiTheme="minorEastAsia" w:eastAsiaTheme="minorEastAsia" w:cstheme="minorEastAsia"/>
          <w:color w:val="auto"/>
          <w:spacing w:val="6"/>
          <w:kern w:val="0"/>
          <w:sz w:val="24"/>
          <w:szCs w:val="24"/>
          <w:highlight w:val="none"/>
        </w:rPr>
        <w:t>由本单位承担工程/提供服务），或者提供其他残疾人福利性单位制造的货物</w:t>
      </w:r>
      <w:r>
        <w:rPr>
          <w:rFonts w:hint="eastAsia" w:asciiTheme="minorEastAsia" w:hAnsiTheme="minorEastAsia" w:eastAsiaTheme="minorEastAsia" w:cstheme="minorEastAsia"/>
          <w:color w:val="auto"/>
          <w:spacing w:val="6"/>
          <w:kern w:val="0"/>
          <w:sz w:val="24"/>
          <w:szCs w:val="24"/>
          <w:highlight w:val="none"/>
          <w:lang w:eastAsia="zh-CN"/>
        </w:rPr>
        <w:t>（</w:t>
      </w:r>
      <w:r>
        <w:rPr>
          <w:rFonts w:hint="eastAsia" w:asciiTheme="minorEastAsia" w:hAnsiTheme="minorEastAsia" w:eastAsiaTheme="minorEastAsia" w:cstheme="minorEastAsia"/>
          <w:color w:val="auto"/>
          <w:spacing w:val="6"/>
          <w:kern w:val="0"/>
          <w:sz w:val="24"/>
          <w:szCs w:val="24"/>
          <w:highlight w:val="none"/>
        </w:rPr>
        <w:t>不包括使用非残疾人福利性单位注册商标的货物）。</w:t>
      </w:r>
    </w:p>
    <w:p w14:paraId="4CBE0833">
      <w:pPr>
        <w:autoSpaceDE w:val="0"/>
        <w:autoSpaceDN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本单位对上述声明的真实性负责。如有虚假，将依法承担相应责任。</w:t>
      </w:r>
    </w:p>
    <w:p w14:paraId="15E40A4E">
      <w:pPr>
        <w:autoSpaceDE w:val="0"/>
        <w:autoSpaceDN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p>
    <w:p w14:paraId="45C6152A">
      <w:pPr>
        <w:tabs>
          <w:tab w:val="left" w:pos="4860"/>
        </w:tabs>
        <w:autoSpaceDE w:val="0"/>
        <w:autoSpaceDN w:val="0"/>
        <w:spacing w:line="360" w:lineRule="auto"/>
        <w:ind w:right="1560" w:firstLine="504" w:firstLineChars="200"/>
        <w:jc w:val="center"/>
        <w:rPr>
          <w:rFonts w:hint="eastAsia" w:asciiTheme="minorEastAsia" w:hAnsiTheme="minorEastAsia" w:eastAsiaTheme="minorEastAsia" w:cstheme="minorEastAsia"/>
          <w:color w:val="auto"/>
          <w:spacing w:val="6"/>
          <w:kern w:val="0"/>
          <w:sz w:val="24"/>
          <w:szCs w:val="24"/>
          <w:highlight w:val="none"/>
          <w:u w:val="single"/>
          <w:lang w:val="en-US" w:eastAsia="zh-CN"/>
        </w:rPr>
      </w:pPr>
      <w:r>
        <w:rPr>
          <w:rFonts w:hint="eastAsia" w:asciiTheme="minorEastAsia" w:hAnsiTheme="minorEastAsia" w:eastAsiaTheme="minorEastAsia" w:cstheme="minorEastAsia"/>
          <w:color w:val="auto"/>
          <w:spacing w:val="6"/>
          <w:kern w:val="0"/>
          <w:sz w:val="24"/>
          <w:szCs w:val="24"/>
          <w:highlight w:val="none"/>
        </w:rPr>
        <w:t xml:space="preserve">               单位名称</w:t>
      </w:r>
      <w:r>
        <w:rPr>
          <w:rFonts w:hint="eastAsia" w:asciiTheme="minorEastAsia" w:hAnsiTheme="minorEastAsia" w:eastAsiaTheme="minorEastAsia" w:cstheme="minorEastAsia"/>
          <w:color w:val="auto"/>
          <w:spacing w:val="6"/>
          <w:kern w:val="0"/>
          <w:sz w:val="24"/>
          <w:szCs w:val="24"/>
          <w:highlight w:val="none"/>
          <w:lang w:eastAsia="zh-CN"/>
        </w:rPr>
        <w:t>（</w:t>
      </w:r>
      <w:r>
        <w:rPr>
          <w:rFonts w:hint="eastAsia" w:asciiTheme="minorEastAsia" w:hAnsiTheme="minorEastAsia" w:eastAsiaTheme="minorEastAsia" w:cstheme="minorEastAsia"/>
          <w:color w:val="auto"/>
          <w:spacing w:val="6"/>
          <w:kern w:val="0"/>
          <w:sz w:val="24"/>
          <w:szCs w:val="24"/>
          <w:highlight w:val="none"/>
        </w:rPr>
        <w:t>电子签章）：</w:t>
      </w:r>
      <w:r>
        <w:rPr>
          <w:rFonts w:hint="eastAsia" w:asciiTheme="minorEastAsia" w:hAnsiTheme="minorEastAsia" w:eastAsiaTheme="minorEastAsia" w:cstheme="minorEastAsia"/>
          <w:color w:val="auto"/>
          <w:spacing w:val="6"/>
          <w:kern w:val="0"/>
          <w:sz w:val="24"/>
          <w:szCs w:val="24"/>
          <w:highlight w:val="none"/>
          <w:u w:val="single"/>
          <w:lang w:val="en-US" w:eastAsia="zh-CN"/>
        </w:rPr>
        <w:t xml:space="preserve">                          </w:t>
      </w:r>
    </w:p>
    <w:p w14:paraId="0DD0C7D7">
      <w:pPr>
        <w:tabs>
          <w:tab w:val="left" w:pos="4860"/>
        </w:tabs>
        <w:autoSpaceDE w:val="0"/>
        <w:autoSpaceDN w:val="0"/>
        <w:spacing w:line="360" w:lineRule="auto"/>
        <w:ind w:right="1560" w:firstLine="504" w:firstLineChars="200"/>
        <w:jc w:val="center"/>
        <w:rPr>
          <w:rFonts w:hint="eastAsia" w:asciiTheme="minorEastAsia" w:hAnsiTheme="minorEastAsia" w:eastAsiaTheme="minorEastAsia" w:cstheme="minorEastAsia"/>
          <w:color w:val="auto"/>
          <w:spacing w:val="6"/>
          <w:kern w:val="0"/>
          <w:sz w:val="24"/>
          <w:szCs w:val="24"/>
          <w:highlight w:val="none"/>
          <w:u w:val="single"/>
          <w:lang w:val="en-US" w:eastAsia="zh-CN"/>
        </w:rPr>
      </w:pPr>
      <w:r>
        <w:rPr>
          <w:rFonts w:hint="eastAsia" w:asciiTheme="minorEastAsia" w:hAnsiTheme="minorEastAsia" w:eastAsiaTheme="minorEastAsia" w:cstheme="minorEastAsia"/>
          <w:color w:val="auto"/>
          <w:spacing w:val="6"/>
          <w:kern w:val="0"/>
          <w:sz w:val="24"/>
          <w:szCs w:val="24"/>
          <w:highlight w:val="none"/>
        </w:rPr>
        <w:t xml:space="preserve">       日  期：</w:t>
      </w:r>
      <w:r>
        <w:rPr>
          <w:rFonts w:hint="eastAsia" w:asciiTheme="minorEastAsia" w:hAnsiTheme="minorEastAsia" w:eastAsiaTheme="minorEastAsia" w:cstheme="minorEastAsia"/>
          <w:color w:val="auto"/>
          <w:spacing w:val="6"/>
          <w:kern w:val="0"/>
          <w:sz w:val="24"/>
          <w:szCs w:val="24"/>
          <w:highlight w:val="none"/>
          <w:u w:val="single"/>
          <w:lang w:val="en-US" w:eastAsia="zh-CN"/>
        </w:rPr>
        <w:t xml:space="preserve">                     </w:t>
      </w:r>
    </w:p>
    <w:p w14:paraId="6BB4B1B4">
      <w:pPr>
        <w:widowControl/>
        <w:autoSpaceDE w:val="0"/>
        <w:autoSpaceDN w:val="0"/>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提醒：如果供应商</w:t>
      </w:r>
      <w:r>
        <w:rPr>
          <w:rFonts w:hint="eastAsia" w:asciiTheme="minorEastAsia" w:hAnsiTheme="minorEastAsia" w:eastAsiaTheme="minorEastAsia" w:cstheme="minorEastAsia"/>
          <w:b/>
          <w:color w:val="auto"/>
          <w:spacing w:val="10"/>
          <w:kern w:val="0"/>
          <w:sz w:val="24"/>
          <w:szCs w:val="24"/>
          <w:highlight w:val="none"/>
        </w:rPr>
        <w:t>不是残疾人福利性单位</w:t>
      </w:r>
      <w:r>
        <w:rPr>
          <w:rFonts w:hint="eastAsia" w:asciiTheme="minorEastAsia" w:hAnsiTheme="minorEastAsia" w:eastAsiaTheme="minorEastAsia" w:cstheme="minorEastAsia"/>
          <w:b/>
          <w:color w:val="auto"/>
          <w:kern w:val="0"/>
          <w:sz w:val="24"/>
          <w:szCs w:val="24"/>
          <w:highlight w:val="none"/>
        </w:rPr>
        <w:t>，则不需要提供《残疾人福利性单位声明函》。否则，因此导致虚假投标的后果由供应商自行承担。）</w:t>
      </w:r>
    </w:p>
    <w:p w14:paraId="5C43B947">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《财政部民政部中国残疾人联合会关于促进残疾人就业政府采购政策的通知》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财库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2017〔141〕号）的规定：</w:t>
      </w:r>
    </w:p>
    <w:p w14:paraId="184FE150">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一、享受政府采购支持政策的残疾人福利性单位应当同时满足以下条件：</w:t>
      </w:r>
    </w:p>
    <w:p w14:paraId="4D95B92D">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1）安置的残疾人占本单位在职职工人数的比例不低于25%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含25%），并且安置的残疾人人数不少于10人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含10人）；</w:t>
      </w:r>
    </w:p>
    <w:p w14:paraId="26BE3397">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2）依法与安置的每位残疾人签订了一年以上</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含一年）的劳动合同或服务协议；</w:t>
      </w:r>
    </w:p>
    <w:p w14:paraId="06A3AB16">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3）为安置的每位残疾人按月足额缴纳了基本养老保险、基本医疗保险、失业保险、工伤保险和生育保险等社会保险费；</w:t>
      </w:r>
    </w:p>
    <w:p w14:paraId="1C7F4AE7">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4）通过银行等金融机构向安置的每位残疾人，按月支付了不低于单位所在区县适用的经省级人民政府批准的月最低工资标准的工资；</w:t>
      </w:r>
    </w:p>
    <w:p w14:paraId="78564066">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5）提供本单位制造的货物、承担的工程或者服务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以下简称产品），或者提供其他残疾人福利性单位制造的货物</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不包括使用非残疾人福利性单位注册商标的货物）。</w:t>
      </w:r>
    </w:p>
    <w:p w14:paraId="1C68DE58">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二、中标、成交供应商为残疾人福利性单位的，</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或者其委托的</w:t>
      </w:r>
      <w:r>
        <w:rPr>
          <w:rFonts w:hint="eastAsia" w:asciiTheme="minorEastAsia" w:hAnsiTheme="minorEastAsia" w:eastAsiaTheme="minorEastAsia" w:cstheme="minorEastAsia"/>
          <w:color w:val="auto"/>
          <w:kern w:val="0"/>
          <w:sz w:val="24"/>
          <w:szCs w:val="24"/>
          <w:highlight w:val="none"/>
          <w:lang w:eastAsia="zh-CN"/>
        </w:rPr>
        <w:t>采购代理机构</w:t>
      </w:r>
      <w:r>
        <w:rPr>
          <w:rFonts w:hint="eastAsia" w:asciiTheme="minorEastAsia" w:hAnsiTheme="minorEastAsia" w:eastAsiaTheme="minorEastAsia" w:cstheme="minorEastAsia"/>
          <w:color w:val="auto"/>
          <w:kern w:val="0"/>
          <w:sz w:val="24"/>
          <w:szCs w:val="24"/>
          <w:highlight w:val="none"/>
        </w:rPr>
        <w:t>应当随中标、成交结果同时公告其《残疾人福利性单位声明函》，接受社会监督。</w:t>
      </w:r>
    </w:p>
    <w:p w14:paraId="0FE0E980">
      <w:pPr>
        <w:autoSpaceDE w:val="0"/>
        <w:autoSpaceDN w:val="0"/>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供应商提供的《残疾人福利性单位声明函》与事实不符的，依照《政府采购法》第七十七条第一款的规定追究法律责任。</w:t>
      </w:r>
    </w:p>
    <w:p w14:paraId="28DBD5CD">
      <w:pPr>
        <w:numPr>
          <w:ilvl w:val="0"/>
          <w:numId w:val="0"/>
        </w:numPr>
        <w:autoSpaceDE w:val="0"/>
        <w:autoSpaceDN w:val="0"/>
        <w:ind w:left="0" w:leftChars="0" w:firstLine="562" w:firstLineChars="200"/>
        <w:rPr>
          <w:rFonts w:hint="eastAsia" w:asciiTheme="minorEastAsia" w:hAnsiTheme="minorEastAsia" w:eastAsiaTheme="minorEastAsia" w:cstheme="minorEastAsia"/>
          <w:b/>
          <w:bCs/>
          <w:color w:val="auto"/>
          <w:kern w:val="10"/>
          <w:sz w:val="28"/>
          <w:szCs w:val="28"/>
          <w:highlight w:val="none"/>
        </w:rPr>
      </w:pPr>
      <w:r>
        <w:rPr>
          <w:rFonts w:hint="eastAsia" w:asciiTheme="minorEastAsia" w:hAnsiTheme="minorEastAsia" w:eastAsiaTheme="minorEastAsia" w:cstheme="minorEastAsia"/>
          <w:b/>
          <w:bCs/>
          <w:color w:val="auto"/>
          <w:kern w:val="10"/>
          <w:sz w:val="28"/>
          <w:szCs w:val="28"/>
          <w:highlight w:val="none"/>
          <w:lang w:val="en-US" w:eastAsia="zh-CN" w:bidi="ar-SA"/>
        </w:rPr>
        <w:t>三、</w:t>
      </w:r>
      <w:r>
        <w:rPr>
          <w:rFonts w:hint="eastAsia" w:asciiTheme="minorEastAsia" w:hAnsiTheme="minorEastAsia" w:eastAsiaTheme="minorEastAsia" w:cstheme="minorEastAsia"/>
          <w:color w:val="auto"/>
          <w:kern w:val="0"/>
          <w:sz w:val="24"/>
          <w:szCs w:val="24"/>
          <w:highlight w:val="none"/>
        </w:rPr>
        <w:t>在政府采购活动中，</w:t>
      </w:r>
      <w:r>
        <w:rPr>
          <w:rFonts w:hint="eastAsia" w:asciiTheme="minorEastAsia" w:hAnsiTheme="minorEastAsia" w:eastAsiaTheme="minorEastAsia" w:cstheme="minorEastAsia"/>
          <w:b/>
          <w:bCs/>
          <w:color w:val="auto"/>
          <w:kern w:val="0"/>
          <w:sz w:val="24"/>
          <w:szCs w:val="24"/>
          <w:highlight w:val="none"/>
        </w:rPr>
        <w:t>残疾人福利性单位视同小型、微型企业</w:t>
      </w:r>
      <w:r>
        <w:rPr>
          <w:rFonts w:hint="eastAsia" w:asciiTheme="minorEastAsia" w:hAnsiTheme="minorEastAsia" w:eastAsiaTheme="minorEastAsia" w:cstheme="minorEastAsia"/>
          <w:color w:val="auto"/>
          <w:kern w:val="0"/>
          <w:sz w:val="24"/>
          <w:szCs w:val="24"/>
          <w:highlight w:val="none"/>
        </w:rPr>
        <w:t>，享受预留份额、评审中价格扣除等促进中小企业发展的政府采购政策。向残疾人福利性单位采购的金额，计入面向中小企业采购的统计数据。残疾人福利性单位属于小型、微型企业的，不重复享受政策。</w:t>
      </w:r>
    </w:p>
    <w:p w14:paraId="490D3E8C">
      <w:pPr>
        <w:ind w:firstLine="560"/>
        <w:jc w:val="center"/>
        <w:rPr>
          <w:rFonts w:hint="eastAsia" w:asciiTheme="minorEastAsia" w:hAnsiTheme="minorEastAsia" w:eastAsiaTheme="minorEastAsia" w:cstheme="minorEastAsia"/>
          <w:b/>
          <w:bCs/>
          <w:color w:val="auto"/>
          <w:kern w:val="10"/>
          <w:sz w:val="28"/>
          <w:szCs w:val="28"/>
          <w:highlight w:val="none"/>
        </w:rPr>
      </w:pPr>
      <w:r>
        <w:rPr>
          <w:rFonts w:hint="eastAsia" w:asciiTheme="minorEastAsia" w:hAnsiTheme="minorEastAsia" w:eastAsiaTheme="minorEastAsia" w:cstheme="minorEastAsia"/>
          <w:b/>
          <w:bCs/>
          <w:color w:val="auto"/>
          <w:kern w:val="10"/>
          <w:sz w:val="28"/>
          <w:szCs w:val="28"/>
          <w:highlight w:val="none"/>
        </w:rPr>
        <w:br w:type="page"/>
      </w:r>
      <w:r>
        <w:rPr>
          <w:rFonts w:hint="eastAsia" w:asciiTheme="minorEastAsia" w:hAnsiTheme="minorEastAsia" w:eastAsiaTheme="minorEastAsia" w:cstheme="minorEastAsia"/>
          <w:b/>
          <w:bCs/>
          <w:color w:val="auto"/>
          <w:kern w:val="10"/>
          <w:sz w:val="28"/>
          <w:szCs w:val="28"/>
          <w:highlight w:val="none"/>
        </w:rPr>
        <w:t>3、监狱企业证明文件</w:t>
      </w:r>
    </w:p>
    <w:p w14:paraId="3943D573">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13CD2D3">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省级以上监狱管理局、戒毒管理局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含新疆生产建设兵团）出具的属于监狱企业的证明文件。</w:t>
      </w:r>
    </w:p>
    <w:p w14:paraId="6CBDF74E">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12EF00F">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058E0CA8">
      <w:pPr>
        <w:tabs>
          <w:tab w:val="left" w:pos="4860"/>
        </w:tabs>
        <w:autoSpaceDE w:val="0"/>
        <w:autoSpaceDN w:val="0"/>
        <w:spacing w:line="360" w:lineRule="auto"/>
        <w:ind w:right="1560" w:firstLine="504" w:firstLineChars="200"/>
        <w:jc w:val="center"/>
        <w:rPr>
          <w:rFonts w:hint="eastAsia" w:asciiTheme="minorEastAsia" w:hAnsiTheme="minorEastAsia" w:eastAsiaTheme="minorEastAsia" w:cstheme="minorEastAsia"/>
          <w:color w:val="auto"/>
          <w:spacing w:val="6"/>
          <w:kern w:val="0"/>
          <w:sz w:val="24"/>
          <w:szCs w:val="24"/>
          <w:highlight w:val="none"/>
          <w:u w:val="single"/>
          <w:lang w:val="en-US" w:eastAsia="zh-CN"/>
        </w:rPr>
      </w:pPr>
      <w:r>
        <w:rPr>
          <w:rFonts w:hint="eastAsia" w:asciiTheme="minorEastAsia" w:hAnsiTheme="minorEastAsia" w:eastAsiaTheme="minorEastAsia" w:cstheme="minorEastAsia"/>
          <w:color w:val="auto"/>
          <w:spacing w:val="6"/>
          <w:kern w:val="0"/>
          <w:sz w:val="24"/>
          <w:szCs w:val="24"/>
          <w:highlight w:val="none"/>
        </w:rPr>
        <w:t xml:space="preserve">  单位名称</w:t>
      </w:r>
      <w:r>
        <w:rPr>
          <w:rFonts w:hint="eastAsia" w:asciiTheme="minorEastAsia" w:hAnsiTheme="minorEastAsia" w:eastAsiaTheme="minorEastAsia" w:cstheme="minorEastAsia"/>
          <w:color w:val="auto"/>
          <w:spacing w:val="6"/>
          <w:kern w:val="0"/>
          <w:sz w:val="24"/>
          <w:szCs w:val="24"/>
          <w:highlight w:val="none"/>
          <w:lang w:eastAsia="zh-CN"/>
        </w:rPr>
        <w:t>（</w:t>
      </w:r>
      <w:r>
        <w:rPr>
          <w:rFonts w:hint="eastAsia" w:asciiTheme="minorEastAsia" w:hAnsiTheme="minorEastAsia" w:eastAsiaTheme="minorEastAsia" w:cstheme="minorEastAsia"/>
          <w:color w:val="auto"/>
          <w:spacing w:val="6"/>
          <w:kern w:val="0"/>
          <w:sz w:val="24"/>
          <w:szCs w:val="24"/>
          <w:highlight w:val="none"/>
        </w:rPr>
        <w:t>电子签章）：</w:t>
      </w:r>
      <w:r>
        <w:rPr>
          <w:rFonts w:hint="eastAsia" w:asciiTheme="minorEastAsia" w:hAnsiTheme="minorEastAsia" w:eastAsiaTheme="minorEastAsia" w:cstheme="minorEastAsia"/>
          <w:color w:val="auto"/>
          <w:spacing w:val="6"/>
          <w:kern w:val="0"/>
          <w:sz w:val="24"/>
          <w:szCs w:val="24"/>
          <w:highlight w:val="none"/>
          <w:u w:val="single"/>
          <w:lang w:val="en-US" w:eastAsia="zh-CN"/>
        </w:rPr>
        <w:t xml:space="preserve">                          </w:t>
      </w:r>
    </w:p>
    <w:p w14:paraId="6100B3C0">
      <w:pPr>
        <w:autoSpaceDE w:val="0"/>
        <w:autoSpaceDN w:val="0"/>
        <w:spacing w:line="360" w:lineRule="auto"/>
        <w:ind w:firstLine="50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kern w:val="0"/>
          <w:sz w:val="24"/>
          <w:szCs w:val="24"/>
          <w:highlight w:val="none"/>
        </w:rPr>
        <w:t xml:space="preserve">       </w:t>
      </w:r>
      <w:r>
        <w:rPr>
          <w:rFonts w:hint="eastAsia" w:asciiTheme="minorEastAsia" w:hAnsiTheme="minorEastAsia" w:eastAsiaTheme="minorEastAsia" w:cstheme="minorEastAsia"/>
          <w:color w:val="auto"/>
          <w:spacing w:val="6"/>
          <w:kern w:val="0"/>
          <w:sz w:val="24"/>
          <w:szCs w:val="24"/>
          <w:highlight w:val="none"/>
          <w:lang w:val="en-US" w:eastAsia="zh-CN"/>
        </w:rPr>
        <w:t xml:space="preserve">        </w:t>
      </w:r>
      <w:r>
        <w:rPr>
          <w:rFonts w:hint="eastAsia" w:asciiTheme="minorEastAsia" w:hAnsiTheme="minorEastAsia" w:eastAsiaTheme="minorEastAsia" w:cstheme="minorEastAsia"/>
          <w:color w:val="auto"/>
          <w:spacing w:val="6"/>
          <w:kern w:val="0"/>
          <w:sz w:val="24"/>
          <w:szCs w:val="24"/>
          <w:highlight w:val="none"/>
        </w:rPr>
        <w:t>日  期：</w:t>
      </w:r>
      <w:r>
        <w:rPr>
          <w:rFonts w:hint="eastAsia" w:asciiTheme="minorEastAsia" w:hAnsiTheme="minorEastAsia" w:eastAsiaTheme="minorEastAsia" w:cstheme="minorEastAsia"/>
          <w:color w:val="auto"/>
          <w:spacing w:val="6"/>
          <w:kern w:val="0"/>
          <w:sz w:val="24"/>
          <w:szCs w:val="24"/>
          <w:highlight w:val="none"/>
          <w:u w:val="single"/>
          <w:lang w:val="en-US" w:eastAsia="zh-CN"/>
        </w:rPr>
        <w:t xml:space="preserve">                   </w:t>
      </w:r>
    </w:p>
    <w:p w14:paraId="3A636548">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在政府采购活动中，</w:t>
      </w:r>
      <w:r>
        <w:rPr>
          <w:rFonts w:hint="eastAsia" w:asciiTheme="minorEastAsia" w:hAnsiTheme="minorEastAsia" w:eastAsiaTheme="minorEastAsia" w:cstheme="minorEastAsia"/>
          <w:b/>
          <w:bCs/>
          <w:color w:val="auto"/>
          <w:kern w:val="0"/>
          <w:sz w:val="24"/>
          <w:szCs w:val="24"/>
          <w:highlight w:val="none"/>
        </w:rPr>
        <w:t>监狱企业视同小型、微型企业</w:t>
      </w:r>
      <w:r>
        <w:rPr>
          <w:rFonts w:hint="eastAsia" w:asciiTheme="minorEastAsia" w:hAnsiTheme="minorEastAsia" w:eastAsiaTheme="minorEastAsia" w:cstheme="minorEastAsia"/>
          <w:color w:val="auto"/>
          <w:kern w:val="0"/>
          <w:sz w:val="24"/>
          <w:szCs w:val="24"/>
          <w:highlight w:val="none"/>
        </w:rPr>
        <w:t>，享受预留份额、评审中价格扣除等政府采购促进中小企业发展的政府采购政策。但监狱企业参加政府采购活动时，</w:t>
      </w:r>
      <w:r>
        <w:rPr>
          <w:rFonts w:hint="eastAsia" w:asciiTheme="minorEastAsia" w:hAnsiTheme="minorEastAsia" w:eastAsiaTheme="minorEastAsia" w:cstheme="minorEastAsia"/>
          <w:b/>
          <w:bCs/>
          <w:color w:val="auto"/>
          <w:kern w:val="0"/>
          <w:sz w:val="24"/>
          <w:szCs w:val="24"/>
          <w:highlight w:val="none"/>
        </w:rPr>
        <w:t>应当提供由省级以上监狱管理局、戒毒管理局</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含新疆生产建设兵团）出具的属于监狱企业的证明文件</w:t>
      </w:r>
      <w:r>
        <w:rPr>
          <w:rFonts w:hint="eastAsia" w:asciiTheme="minorEastAsia" w:hAnsiTheme="minorEastAsia" w:eastAsiaTheme="minorEastAsia" w:cstheme="minorEastAsia"/>
          <w:color w:val="auto"/>
          <w:kern w:val="0"/>
          <w:sz w:val="24"/>
          <w:szCs w:val="24"/>
          <w:highlight w:val="none"/>
        </w:rPr>
        <w:t>，否则不能认为其为监狱企业）</w:t>
      </w:r>
    </w:p>
    <w:p w14:paraId="2FB68A8C">
      <w:pPr>
        <w:rPr>
          <w:rFonts w:hint="eastAsia" w:asciiTheme="minorEastAsia" w:hAnsiTheme="minorEastAsia" w:eastAsiaTheme="minorEastAsia" w:cstheme="minorEastAsia"/>
          <w:color w:val="auto"/>
          <w:highlight w:val="none"/>
        </w:rPr>
      </w:pPr>
    </w:p>
    <w:p w14:paraId="5346C718">
      <w:pPr>
        <w:bidi w:val="0"/>
        <w:rPr>
          <w:rFonts w:hint="eastAsia" w:asciiTheme="minorEastAsia" w:hAnsiTheme="minorEastAsia" w:eastAsiaTheme="minorEastAsia" w:cstheme="minorEastAsia"/>
          <w:color w:val="auto"/>
          <w:kern w:val="2"/>
          <w:sz w:val="21"/>
          <w:szCs w:val="21"/>
          <w:highlight w:val="none"/>
          <w:lang w:val="en-US" w:eastAsia="zh-CN" w:bidi="ar-SA"/>
        </w:rPr>
      </w:pPr>
    </w:p>
    <w:p w14:paraId="3385CC92">
      <w:pPr>
        <w:bidi w:val="0"/>
        <w:rPr>
          <w:rFonts w:hint="eastAsia" w:asciiTheme="minorEastAsia" w:hAnsiTheme="minorEastAsia" w:eastAsiaTheme="minorEastAsia" w:cstheme="minorEastAsia"/>
          <w:color w:val="auto"/>
          <w:highlight w:val="none"/>
          <w:lang w:val="en-US" w:eastAsia="zh-CN"/>
        </w:rPr>
      </w:pPr>
    </w:p>
    <w:p w14:paraId="0740A555">
      <w:pPr>
        <w:bidi w:val="0"/>
        <w:rPr>
          <w:rFonts w:hint="eastAsia" w:asciiTheme="minorEastAsia" w:hAnsiTheme="minorEastAsia" w:eastAsiaTheme="minorEastAsia" w:cstheme="minorEastAsia"/>
          <w:color w:val="auto"/>
          <w:highlight w:val="none"/>
          <w:lang w:val="en-US" w:eastAsia="zh-CN"/>
        </w:rPr>
      </w:pPr>
    </w:p>
    <w:p w14:paraId="771423A8">
      <w:pPr>
        <w:bidi w:val="0"/>
        <w:rPr>
          <w:rFonts w:hint="eastAsia" w:asciiTheme="minorEastAsia" w:hAnsiTheme="minorEastAsia" w:eastAsiaTheme="minorEastAsia" w:cstheme="minorEastAsia"/>
          <w:color w:val="auto"/>
          <w:highlight w:val="none"/>
          <w:lang w:val="en-US" w:eastAsia="zh-CN"/>
        </w:rPr>
      </w:pPr>
    </w:p>
    <w:p w14:paraId="3762BDA8">
      <w:pPr>
        <w:bidi w:val="0"/>
        <w:rPr>
          <w:rFonts w:hint="eastAsia" w:asciiTheme="minorEastAsia" w:hAnsiTheme="minorEastAsia" w:eastAsiaTheme="minorEastAsia" w:cstheme="minorEastAsia"/>
          <w:color w:val="auto"/>
          <w:highlight w:val="none"/>
          <w:lang w:val="en-US" w:eastAsia="zh-CN"/>
        </w:rPr>
      </w:pPr>
    </w:p>
    <w:p w14:paraId="3BEF7BDF">
      <w:pPr>
        <w:bidi w:val="0"/>
        <w:rPr>
          <w:rFonts w:hint="eastAsia" w:asciiTheme="minorEastAsia" w:hAnsiTheme="minorEastAsia" w:eastAsiaTheme="minorEastAsia" w:cstheme="minorEastAsia"/>
          <w:color w:val="auto"/>
          <w:highlight w:val="none"/>
          <w:lang w:val="en-US" w:eastAsia="zh-CN"/>
        </w:rPr>
      </w:pPr>
    </w:p>
    <w:p w14:paraId="4C588EFE">
      <w:pPr>
        <w:bidi w:val="0"/>
        <w:rPr>
          <w:rFonts w:hint="eastAsia" w:asciiTheme="minorEastAsia" w:hAnsiTheme="minorEastAsia" w:eastAsiaTheme="minorEastAsia" w:cstheme="minorEastAsia"/>
          <w:color w:val="auto"/>
          <w:highlight w:val="none"/>
          <w:lang w:val="en-US" w:eastAsia="zh-CN"/>
        </w:rPr>
      </w:pPr>
    </w:p>
    <w:p w14:paraId="36A1E5B7">
      <w:pPr>
        <w:bidi w:val="0"/>
        <w:rPr>
          <w:rFonts w:hint="eastAsia" w:asciiTheme="minorEastAsia" w:hAnsiTheme="minorEastAsia" w:eastAsiaTheme="minorEastAsia" w:cstheme="minorEastAsia"/>
          <w:color w:val="auto"/>
          <w:highlight w:val="none"/>
          <w:lang w:val="en-US" w:eastAsia="zh-CN"/>
        </w:rPr>
      </w:pPr>
    </w:p>
    <w:p w14:paraId="2FB14781">
      <w:pPr>
        <w:tabs>
          <w:tab w:val="left" w:pos="2817"/>
        </w:tabs>
        <w:bidi w:val="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ab/>
      </w:r>
    </w:p>
    <w:p w14:paraId="58795CC6">
      <w:pPr>
        <w:rPr>
          <w:rFonts w:hint="eastAsia" w:asciiTheme="minorEastAsia" w:hAnsiTheme="minorEastAsia" w:eastAsiaTheme="minorEastAsia" w:cstheme="minorEastAsia"/>
          <w:color w:val="auto"/>
          <w:highlight w:val="none"/>
        </w:rPr>
      </w:pPr>
    </w:p>
    <w:p w14:paraId="79583E4D">
      <w:pP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br w:type="page"/>
      </w:r>
    </w:p>
    <w:p w14:paraId="1CD2183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中小企业划型标准规定</w:t>
      </w:r>
    </w:p>
    <w:p w14:paraId="7A86868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一、根据《中华人民共和国中小企业促进法》和《国务院关于进一步促进中小企业发展的若干意见》(国发〔2009〕36号）</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制定本规定。</w:t>
      </w:r>
    </w:p>
    <w:p w14:paraId="0D06BB6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二、中小企业划分为中型、小型、微型三种类型</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具体标准根据企业从业人员、营业收入、资产总额等指标</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结合行业特点制定。</w:t>
      </w:r>
    </w:p>
    <w:p w14:paraId="3F102A5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三、本规定适用的行业包括：农、林、牧、渔业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工业（包括采矿业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制造业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电力、热力、燃气及水生产和供应业）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建筑业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批发业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零售业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交通运输业（不含铁路运输业）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仓储业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邮政业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住宿业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餐饮业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信息传输业（包括电信、互联网和相关服务）</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软件和信息技术服务业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房地产开发经营</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物业管理</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租赁和商务服务业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其他未列明行业（包括科学研究和技术服务业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水利、环境和公共设施管理业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居民服务、修理和其他服务业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社会工作</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文化、体育和娱乐业等）。</w:t>
      </w:r>
    </w:p>
    <w:p w14:paraId="4750CBA4">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四、各行业划型标准为</w:t>
      </w:r>
    </w:p>
    <w:p w14:paraId="6D29FA5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（一）农、林、牧、渔业。营业收入20000万元以下的为中小微型企业。其中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营业收入500万元及以上的为中型企业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营业收入50万元及以上的为小型企业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营业收入50万元以下的为微型企业。</w:t>
      </w:r>
    </w:p>
    <w:p w14:paraId="38DF3CA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（二）工业。从业人员1000人以下或营业收入40000万元以下的为中小微型企业。其中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从业人员300人及以上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且营业收入2000万元及以上的为中型企业；从业人员20人及以上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且营业收入300万元及以上的为小型企业；从业人员20人以下或营业收入300万元以下的为微型企业。</w:t>
      </w:r>
    </w:p>
    <w:p w14:paraId="773AEA4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（三）建筑业。营业收入80000万元以下或资产总额80000万元以下的为中小微型企业。其中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营业收入6000万元及以上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且资产总额5000万元及以上的为中型企业；营业收入300万元及以上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且资产总额300万元及以上的为小型企业；营业收入300万元以下或资产总额300万元以下的为微型企业。</w:t>
      </w:r>
    </w:p>
    <w:p w14:paraId="04F7953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（四）批发业。从业人员200人以下或营业收入40000万元以下的为中小微型企业。其中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且营业收入5000万元及以上的为中型企业；从业人员5人及以上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且营业收入1000万元及以上的为小型企业；从业人员5人以下或营业收入1000万元以下的为微型企业。</w:t>
      </w:r>
    </w:p>
    <w:p w14:paraId="23E6BED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（五）零售业。从业人员300人以下或营业收入20000万元以下的为中小微型企业。其中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从业人员50人及以上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且营业收入500万元及以上的为中型企业；从业人员10人及以上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且营业收入100万元及以上的为小型企业；从业人员10人以下或营业收入100万元以下的为微型企业。</w:t>
      </w:r>
    </w:p>
    <w:p w14:paraId="4743C52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（六）交通运输业。从业人员1000人以下或营业收入30000万元以下的为中小微型企业。其中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从业人员300人及以上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且营业收入3000万元及以上的为中型企业；从业人员20人及以上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且营业收入200万元及以上的为小型企业；从业人员20人以下或营业收入200万元以下的为微型企业。</w:t>
      </w:r>
    </w:p>
    <w:p w14:paraId="570D5E7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（七）仓储业。从业人员200人以下或营业收入30000万元以下的为中小微型企业。其中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且营业收入1000万元及以上的为中型企业；从业人员20人及以上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且营业收入100万元及以上的为小型企业；从业人员20人以下或营业收入100万元以下的为微型企业。</w:t>
      </w:r>
    </w:p>
    <w:p w14:paraId="295D657E">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（八）邮政业。从业人员1000人以下或营业收入30000万元以下的为中小微型企业。其中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从业人员300人及以上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且营业收入2000万元及以上的为中型企业；从业人员20人及以上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且营业收入100万元及以上的为小型企业；从业人员20人以下或营业收入100万元以下的为微型企业。</w:t>
      </w:r>
    </w:p>
    <w:p w14:paraId="68B313F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（九）住宿业。从业人员300人以下或营业收入10000万元以下的为中小微型企业。其中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且营业收入2000万元及以上的为中型企业；从业人员10人及以上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且营业收入100万元及以上的为小型企业；从业人员10人以下或营业收入100万元以下的为微型企业。</w:t>
      </w:r>
    </w:p>
    <w:p w14:paraId="38B98F9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（十）餐饮业。从业人员300人以下或营业收入10000万元以下的为中小微型企业。其中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且营业收入2000万元及以上的为中型企业；从业人员10人及以上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且营业收入100万元及以上的为小型企业；从业人员10人以下或营业收入100万元以下的为微型企业。</w:t>
      </w:r>
    </w:p>
    <w:p w14:paraId="49B1008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（十一）信息传输业。从业人员2000人以下或营业收入100000万元以下的为中小微型企业。其中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且营业收入1000万元及以上的为中型企业；从业人员10人及以上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且营业收入100万元及以上的为小型企业；从业人员10人以下或营业收入100万元以下的为微型企业。</w:t>
      </w:r>
    </w:p>
    <w:p w14:paraId="2FFC303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（十二）软件和信息技术服务业。从业人员300人以下或营业收入10000万元以下的为中小微型企业。其中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且营业收入1000万元及以上的为中型企业；从业人员10人及以上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且营业收入50万元及以上的为小型企业；从业人员10人以下或营业收入50万元以下的为微型企业。</w:t>
      </w:r>
    </w:p>
    <w:p w14:paraId="27E77CB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（十三）房地产开发经营。营业收入200000万元以下或资产总额10000万元以下的为中小微型企业。其中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营业收入1000万元及以上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且资产总额5000万元及以上的为中型企业；营业收入100万元及以上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且资产总额2000万元及以上的为小型企业；营业收入100万元以下或资产总额2000万元以下的为微型企业。</w:t>
      </w:r>
    </w:p>
    <w:p w14:paraId="19C36C3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（十四）物业管理。从业人员1000人以下或营业收入5000万元以下的为中小微型企业。其中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从业人员300人及以上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且营业收入1000万元及以上的为中型企业；从业人员100人及以上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且营业收入500万元及以上的为小型企业；从业人员100人以下或营业收入500万元以下的为微型企业。</w:t>
      </w:r>
    </w:p>
    <w:p w14:paraId="17CCE2BE">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（十五）租赁和商务服务业。从业人员300人以下或资产总额120000万元以下的为中小微型企业。其中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且资产总额8000万元及以上的为中型企业；从业人员10人及以上</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且资产总额100万元及以上的为小型企业；从业人员10人以下或资产总额100万元以下的为微型企业。</w:t>
      </w:r>
    </w:p>
    <w:p w14:paraId="15313EA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shd w:val="clear" w:fill="FFFFFF"/>
          <w:lang w:val="en-US" w:eastAsia="zh-CN" w:bidi="ar"/>
        </w:rPr>
        <w:t>（十六）其他未列明行业。从业人员300人以下的为中小微型企业。其中</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从业人员100人及以上的为中型企业；从业人员10人及以上的为小型企业；从业人员10人以下的为微型企业。</w:t>
      </w:r>
    </w:p>
    <w:p w14:paraId="00151FC2">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五、企业类型的划分以统计部门的统计数据为依据。</w:t>
      </w:r>
    </w:p>
    <w:p w14:paraId="6945481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六、本规定适用于在中华人民共和国境内依法设立的各类所有制和各种组织形式的企业。个体工商户和本规定以外的行业</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参照本规定进行划型。</w:t>
      </w:r>
    </w:p>
    <w:p w14:paraId="4A46F40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七、本规定的中型企业标准上限即为大型企业标准的下限</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国家统计部门据此制定大中小微型企业的统计分类。国务院有关部门据此进行相关数据分析</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不得制定与本规定不一致的企业划型标准。</w:t>
      </w:r>
    </w:p>
    <w:p w14:paraId="2548F37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八、本规定由工业和信息化部、国家统计局会同有关部门根据《国民经济行业分类》修订情况和企业发展变化情况适时修订。</w:t>
      </w:r>
    </w:p>
    <w:p w14:paraId="23A34CAE">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九、本规定由工业和信息化部、国家统计局会同有关部门负责解释。</w:t>
      </w:r>
    </w:p>
    <w:p w14:paraId="32CBB45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十、本规定自发布之日起执行</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原国家经贸委、原国家计委、财政部和国家统计局2003年颁布的《中小企业标准暂行规定》同时废止。</w:t>
      </w:r>
    </w:p>
    <w:p w14:paraId="15D80C0D">
      <w:pPr>
        <w:rPr>
          <w:rFonts w:hint="eastAsia" w:ascii="宋体" w:hAnsi="宋体" w:eastAsia="宋体" w:cs="宋体"/>
          <w:color w:val="auto"/>
          <w:sz w:val="24"/>
          <w:szCs w:val="24"/>
          <w:highlight w:val="none"/>
        </w:rPr>
      </w:pPr>
    </w:p>
    <w:p w14:paraId="09ECF6A9">
      <w:pPr>
        <w:rPr>
          <w:rFonts w:hint="eastAsia" w:ascii="宋体" w:hAnsi="宋体" w:eastAsia="宋体" w:cs="宋体"/>
          <w:color w:val="auto"/>
          <w:sz w:val="24"/>
          <w:szCs w:val="24"/>
          <w:highlight w:val="none"/>
        </w:rPr>
      </w:pPr>
    </w:p>
    <w:p w14:paraId="6DCE7FC2">
      <w:pPr>
        <w:rPr>
          <w:rFonts w:hint="eastAsia" w:asciiTheme="minorEastAsia" w:hAnsiTheme="minorEastAsia" w:eastAsiaTheme="minorEastAsia" w:cstheme="minorEastAsia"/>
          <w:color w:val="auto"/>
          <w:sz w:val="48"/>
          <w:szCs w:val="48"/>
          <w:highlight w:val="none"/>
        </w:rPr>
      </w:pPr>
    </w:p>
    <w:p w14:paraId="6E0B348A">
      <w:pPr>
        <w:rPr>
          <w:rFonts w:hint="eastAsia" w:asciiTheme="minorEastAsia" w:hAnsiTheme="minorEastAsia" w:eastAsiaTheme="minorEastAsia" w:cstheme="minorEastAsia"/>
          <w:color w:val="auto"/>
          <w:highlight w:val="none"/>
        </w:rPr>
      </w:pPr>
    </w:p>
    <w:sectPr>
      <w:head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82016" w:usb3="00000000" w:csb0="00040001" w:csb1="00000000"/>
  </w:font>
  <w:font w:name="Times New Roman (正文 CS 字体)">
    <w:altName w:val="宋体"/>
    <w:panose1 w:val="020B0604020202020204"/>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57A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2579370</wp:posOffset>
              </wp:positionH>
              <wp:positionV relativeFrom="paragraph">
                <wp:posOffset>0</wp:posOffset>
              </wp:positionV>
              <wp:extent cx="28384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3845" cy="1828800"/>
                      </a:xfrm>
                      <a:prstGeom prst="rect">
                        <a:avLst/>
                      </a:prstGeom>
                      <a:noFill/>
                      <a:ln>
                        <a:noFill/>
                      </a:ln>
                    </wps:spPr>
                    <wps:txbx>
                      <w:txbxContent>
                        <w:p w14:paraId="2F380B31">
                          <w:pPr>
                            <w:pStyle w:val="12"/>
                          </w:pPr>
                        </w:p>
                      </w:txbxContent>
                    </wps:txbx>
                    <wps:bodyPr lIns="0" tIns="0" rIns="0" bIns="0" upright="0">
                      <a:spAutoFit/>
                    </wps:bodyPr>
                  </wps:wsp>
                </a:graphicData>
              </a:graphic>
            </wp:anchor>
          </w:drawing>
        </mc:Choice>
        <mc:Fallback>
          <w:pict>
            <v:shape id="_x0000_s1026" o:spid="_x0000_s1026" o:spt="202" type="#_x0000_t202" style="position:absolute;left:0pt;margin-left:203.1pt;margin-top:0pt;height:144pt;width:22.35pt;mso-position-horizontal-relative:margin;z-index:251660288;mso-width-relative:page;mso-height-relative:page;" filled="f" stroked="f" coordsize="21600,21600" o:gfxdata="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d+tmnVAAAACAEAAA8AAAAAAAAAAQAgAAAAIgAAAGRycy9kb3ducmV2&#10;LnhtbFBLAQIUABQAAAAIAIdO4kDO8+PBxgEAAIwDAAAOAAAAAAAAAAEAIAAAACQBAABkcnMvZTJv&#10;RG9jLnhtbFBLBQYAAAAABgAGAFkBAABcBQAAAAA=&#10;">
              <v:fill on="f" focussize="0,0"/>
              <v:stroke on="f"/>
              <v:imagedata o:title=""/>
              <o:lock v:ext="edit" aspectratio="f"/>
              <v:textbox inset="0mm,0mm,0mm,0mm" style="mso-fit-shape-to-text:t;">
                <w:txbxContent>
                  <w:p w14:paraId="2F380B31">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15740">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28384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83845" cy="1828800"/>
                      </a:xfrm>
                      <a:prstGeom prst="rect">
                        <a:avLst/>
                      </a:prstGeom>
                      <a:noFill/>
                      <a:ln>
                        <a:noFill/>
                      </a:ln>
                    </wps:spPr>
                    <wps:txbx>
                      <w:txbxContent>
                        <w:p w14:paraId="7411E878">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22.35pt;mso-position-horizontal:right;mso-position-horizontal-relative:margin;z-index:251662336;mso-width-relative:page;mso-height-relative:page;" filled="f" stroked="f" coordsize="21600,21600" o:gfxdata="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oLwve0wAAAAQBAAAPAAAAAAAAAAEAIAAAACIAAABkcnMvZG93bnJldi54&#10;bWxQSwECFAAUAAAACACHTuJAkDu5OsYBAACMAwAADgAAAAAAAAABACAAAAAiAQAAZHJzL2Uyb0Rv&#10;Yy54bWxQSwUGAAAAAAYABgBZAQAAWgUAAAAA&#10;">
              <v:fill on="f" focussize="0,0"/>
              <v:stroke on="f"/>
              <v:imagedata o:title=""/>
              <o:lock v:ext="edit" aspectratio="f"/>
              <v:textbox inset="0mm,0mm,0mm,0mm" style="mso-fit-shape-to-text:t;">
                <w:txbxContent>
                  <w:p w14:paraId="7411E878">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C7F1">
    <w:pPr>
      <w:pStyle w:val="13"/>
      <w:pBdr>
        <w:bottom w:val="none" w:color="auto" w:sz="0" w:space="0"/>
      </w:pBdr>
      <w:ind w:firstLine="630" w:firstLineChars="300"/>
      <w:jc w:val="both"/>
      <w:rPr>
        <w:rFonts w:hint="eastAsia" w:ascii="仿宋" w:hAnsi="仿宋" w:eastAsia="仿宋"/>
        <w:u w:val="single"/>
        <w:lang w:eastAsia="zh-CN"/>
      </w:rPr>
    </w:pPr>
    <w:r>
      <w:rPr>
        <w:sz w:val="21"/>
        <w:szCs w:val="21"/>
        <w:u w:val="single"/>
      </w:rPr>
      <w:drawing>
        <wp:anchor distT="0" distB="0" distL="114300" distR="114300" simplePos="0" relativeHeight="251661312" behindDoc="0" locked="0" layoutInCell="1" allowOverlap="1">
          <wp:simplePos x="0" y="0"/>
          <wp:positionH relativeFrom="column">
            <wp:posOffset>48895</wp:posOffset>
          </wp:positionH>
          <wp:positionV relativeFrom="paragraph">
            <wp:posOffset>237490</wp:posOffset>
          </wp:positionV>
          <wp:extent cx="191135" cy="188595"/>
          <wp:effectExtent l="0" t="0" r="18415" b="1905"/>
          <wp:wrapNone/>
          <wp:docPr id="7" name="图片 7" descr="微信截图_2025030417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50304170621"/>
                  <pic:cNvPicPr>
                    <a:picLocks noChangeAspect="1"/>
                  </pic:cNvPicPr>
                </pic:nvPicPr>
                <pic:blipFill>
                  <a:blip r:embed="rId1"/>
                  <a:stretch>
                    <a:fillRect/>
                  </a:stretch>
                </pic:blipFill>
                <pic:spPr>
                  <a:xfrm>
                    <a:off x="0" y="0"/>
                    <a:ext cx="191135" cy="188595"/>
                  </a:xfrm>
                  <a:prstGeom prst="rect">
                    <a:avLst/>
                  </a:prstGeom>
                </pic:spPr>
              </pic:pic>
            </a:graphicData>
          </a:graphic>
        </wp:anchor>
      </w:drawing>
    </w:r>
  </w:p>
  <w:p w14:paraId="55DCEA1A">
    <w:pPr>
      <w:pStyle w:val="13"/>
      <w:pBdr>
        <w:bottom w:val="none" w:color="auto" w:sz="0" w:space="0"/>
      </w:pBdr>
      <w:ind w:firstLine="360" w:firstLineChars="200"/>
      <w:jc w:val="both"/>
      <w:rPr>
        <w:sz w:val="18"/>
        <w:szCs w:val="18"/>
      </w:rPr>
    </w:pPr>
    <w:r>
      <w:rPr>
        <w:rFonts w:hint="eastAsia" w:ascii="仿宋" w:hAnsi="仿宋" w:eastAsia="仿宋"/>
        <w:sz w:val="18"/>
        <w:szCs w:val="18"/>
        <w:u w:val="single"/>
        <w:lang w:eastAsia="zh-CN"/>
      </w:rPr>
      <w:t>灵宝市窄口库区事务中心窄口试点水库现代化运行管理矩阵建设项目</w:t>
    </w:r>
    <w:r>
      <w:rPr>
        <w:rFonts w:hint="eastAsia" w:ascii="仿宋" w:hAnsi="仿宋" w:eastAsia="仿宋"/>
        <w:sz w:val="18"/>
        <w:szCs w:val="18"/>
        <w:u w:val="single"/>
        <w:lang w:val="en-US" w:eastAsia="zh-CN"/>
      </w:rPr>
      <w:t xml:space="preserve">              竞争性磋商</w:t>
    </w:r>
    <w:r>
      <w:rPr>
        <w:rFonts w:hint="eastAsia" w:ascii="仿宋" w:hAnsi="仿宋" w:eastAsia="仿宋"/>
        <w:sz w:val="18"/>
        <w:szCs w:val="18"/>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DE79">
    <w:pPr>
      <w:pStyle w:val="13"/>
      <w:pBdr>
        <w:bottom w:val="none" w:color="auto" w:sz="0" w:space="0"/>
      </w:pBdr>
      <w:ind w:firstLine="540" w:firstLineChars="300"/>
      <w:jc w:val="both"/>
      <w:rPr>
        <w:rFonts w:hint="eastAsia" w:ascii="仿宋" w:hAnsi="仿宋" w:eastAsia="仿宋"/>
        <w:u w:val="single"/>
        <w:lang w:eastAsia="zh-CN"/>
      </w:rPr>
    </w:pPr>
  </w:p>
  <w:p w14:paraId="7C065A0F">
    <w:pPr>
      <w:pStyle w:val="13"/>
      <w:pBdr>
        <w:bottom w:val="none" w:color="auto" w:sz="0" w:space="0"/>
      </w:pBdr>
      <w:ind w:firstLine="360" w:firstLineChars="200"/>
      <w:jc w:val="both"/>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C3A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5558D">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E59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F2904"/>
    <w:multiLevelType w:val="singleLevel"/>
    <w:tmpl w:val="669F29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ESEl11wd6TWWRosyTxeTO0PW5vE=" w:salt="DBZ64PWACcF6rGH7W92tl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1543"/>
    <w:rsid w:val="006D6F3B"/>
    <w:rsid w:val="00E12589"/>
    <w:rsid w:val="03062D2F"/>
    <w:rsid w:val="032B6C3A"/>
    <w:rsid w:val="042A0FA8"/>
    <w:rsid w:val="047F20A7"/>
    <w:rsid w:val="050520C6"/>
    <w:rsid w:val="05412FF9"/>
    <w:rsid w:val="05E117EC"/>
    <w:rsid w:val="06D82255"/>
    <w:rsid w:val="06DA075B"/>
    <w:rsid w:val="080041F1"/>
    <w:rsid w:val="08F1563F"/>
    <w:rsid w:val="09167A44"/>
    <w:rsid w:val="098E3A7F"/>
    <w:rsid w:val="0B09160F"/>
    <w:rsid w:val="0B304DED"/>
    <w:rsid w:val="0D2F2ACE"/>
    <w:rsid w:val="0DAD3568"/>
    <w:rsid w:val="0DC82B7C"/>
    <w:rsid w:val="0FF94348"/>
    <w:rsid w:val="10B1077E"/>
    <w:rsid w:val="131A4BEF"/>
    <w:rsid w:val="13C95DDF"/>
    <w:rsid w:val="144A5ABE"/>
    <w:rsid w:val="16465E0D"/>
    <w:rsid w:val="16907088"/>
    <w:rsid w:val="172A4DE7"/>
    <w:rsid w:val="172B5F8A"/>
    <w:rsid w:val="1917583F"/>
    <w:rsid w:val="1C954E9B"/>
    <w:rsid w:val="1D2247B2"/>
    <w:rsid w:val="1D323AEB"/>
    <w:rsid w:val="1DE218CD"/>
    <w:rsid w:val="1E197963"/>
    <w:rsid w:val="1E641E2B"/>
    <w:rsid w:val="1E717388"/>
    <w:rsid w:val="1F2D6C14"/>
    <w:rsid w:val="1F3A481C"/>
    <w:rsid w:val="21617F9F"/>
    <w:rsid w:val="22596EC8"/>
    <w:rsid w:val="22ED19A4"/>
    <w:rsid w:val="23957A8C"/>
    <w:rsid w:val="24F415D0"/>
    <w:rsid w:val="253D662D"/>
    <w:rsid w:val="26FC7277"/>
    <w:rsid w:val="280E631A"/>
    <w:rsid w:val="28333D17"/>
    <w:rsid w:val="287C4D9B"/>
    <w:rsid w:val="29B631A0"/>
    <w:rsid w:val="2BC453B2"/>
    <w:rsid w:val="2D8172D3"/>
    <w:rsid w:val="2F1A44EC"/>
    <w:rsid w:val="30084E61"/>
    <w:rsid w:val="3027082A"/>
    <w:rsid w:val="303B19BB"/>
    <w:rsid w:val="30436BF9"/>
    <w:rsid w:val="30977539"/>
    <w:rsid w:val="30E67B79"/>
    <w:rsid w:val="32317519"/>
    <w:rsid w:val="349873DC"/>
    <w:rsid w:val="361339D9"/>
    <w:rsid w:val="362C2CEA"/>
    <w:rsid w:val="36AA50EA"/>
    <w:rsid w:val="36C739BA"/>
    <w:rsid w:val="379D1740"/>
    <w:rsid w:val="379F3BD6"/>
    <w:rsid w:val="37DB31D1"/>
    <w:rsid w:val="39736E9C"/>
    <w:rsid w:val="3AD66EFA"/>
    <w:rsid w:val="3C71576B"/>
    <w:rsid w:val="3CBA406E"/>
    <w:rsid w:val="3CC1149A"/>
    <w:rsid w:val="3D0D1DF2"/>
    <w:rsid w:val="3E834CDC"/>
    <w:rsid w:val="3E916962"/>
    <w:rsid w:val="3FFA719D"/>
    <w:rsid w:val="400E2C48"/>
    <w:rsid w:val="419D4ED4"/>
    <w:rsid w:val="419E624E"/>
    <w:rsid w:val="43761230"/>
    <w:rsid w:val="441B1EAC"/>
    <w:rsid w:val="44E4666D"/>
    <w:rsid w:val="45772895"/>
    <w:rsid w:val="4586654C"/>
    <w:rsid w:val="45E155A6"/>
    <w:rsid w:val="45E561F9"/>
    <w:rsid w:val="48B36094"/>
    <w:rsid w:val="49B303BC"/>
    <w:rsid w:val="4B1D629B"/>
    <w:rsid w:val="4B5552D3"/>
    <w:rsid w:val="4BE624D6"/>
    <w:rsid w:val="4C473B7E"/>
    <w:rsid w:val="4D1879C1"/>
    <w:rsid w:val="4D660768"/>
    <w:rsid w:val="4DEA1F48"/>
    <w:rsid w:val="4EC92072"/>
    <w:rsid w:val="4F305F4C"/>
    <w:rsid w:val="506D27E9"/>
    <w:rsid w:val="50D7318B"/>
    <w:rsid w:val="50F9524E"/>
    <w:rsid w:val="53466F93"/>
    <w:rsid w:val="54121DDC"/>
    <w:rsid w:val="54611221"/>
    <w:rsid w:val="5C802090"/>
    <w:rsid w:val="5D5969CE"/>
    <w:rsid w:val="5E836D34"/>
    <w:rsid w:val="5E90073D"/>
    <w:rsid w:val="5EDD21C0"/>
    <w:rsid w:val="5F0402CC"/>
    <w:rsid w:val="5FEB2206"/>
    <w:rsid w:val="60A8239F"/>
    <w:rsid w:val="61F42B89"/>
    <w:rsid w:val="63B82D47"/>
    <w:rsid w:val="66C64D00"/>
    <w:rsid w:val="688651C2"/>
    <w:rsid w:val="68B41F83"/>
    <w:rsid w:val="6A21367E"/>
    <w:rsid w:val="6A8A67F5"/>
    <w:rsid w:val="6AA40929"/>
    <w:rsid w:val="6BDD2B12"/>
    <w:rsid w:val="6BEF1E98"/>
    <w:rsid w:val="6C55297F"/>
    <w:rsid w:val="6CC973B3"/>
    <w:rsid w:val="6E4F250B"/>
    <w:rsid w:val="6FD178FE"/>
    <w:rsid w:val="725928EB"/>
    <w:rsid w:val="7279090F"/>
    <w:rsid w:val="72FE5831"/>
    <w:rsid w:val="732C3EDF"/>
    <w:rsid w:val="738D5D1A"/>
    <w:rsid w:val="74CD3B69"/>
    <w:rsid w:val="752865C0"/>
    <w:rsid w:val="75E35477"/>
    <w:rsid w:val="76021FC9"/>
    <w:rsid w:val="77AF79B9"/>
    <w:rsid w:val="77C677ED"/>
    <w:rsid w:val="78507213"/>
    <w:rsid w:val="78663FDD"/>
    <w:rsid w:val="788141AF"/>
    <w:rsid w:val="7CFE75C5"/>
    <w:rsid w:val="7D364FB1"/>
    <w:rsid w:val="7D67516A"/>
    <w:rsid w:val="7DB16B60"/>
    <w:rsid w:val="7DB21B53"/>
    <w:rsid w:val="7E8D0C00"/>
    <w:rsid w:val="7F71407E"/>
    <w:rsid w:val="7FC9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line="576"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4">
    <w:name w:val="heading 3"/>
    <w:basedOn w:val="1"/>
    <w:next w:val="1"/>
    <w:link w:val="27"/>
    <w:qFormat/>
    <w:uiPriority w:val="9"/>
    <w:pPr>
      <w:keepNext/>
      <w:keepLines/>
      <w:spacing w:before="260" w:after="260" w:line="408" w:lineRule="auto"/>
      <w:outlineLvl w:val="2"/>
    </w:pPr>
    <w:rPr>
      <w:b/>
      <w:bCs/>
      <w:kern w:val="0"/>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Body Text"/>
    <w:basedOn w:val="1"/>
    <w:unhideWhenUsed/>
    <w:qFormat/>
    <w:uiPriority w:val="99"/>
    <w:pPr>
      <w:spacing w:after="120"/>
    </w:pPr>
    <w:rPr>
      <w:kern w:val="0"/>
      <w:sz w:val="20"/>
    </w:rPr>
  </w:style>
  <w:style w:type="paragraph" w:styleId="7">
    <w:name w:val="Body Text Indent"/>
    <w:basedOn w:val="1"/>
    <w:next w:val="8"/>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8">
    <w:name w:val="envelope return"/>
    <w:basedOn w:val="1"/>
    <w:unhideWhenUsed/>
    <w:qFormat/>
    <w:uiPriority w:val="99"/>
    <w:pPr>
      <w:snapToGrid w:val="0"/>
    </w:pPr>
    <w:rPr>
      <w:rFonts w:ascii="等线 Light" w:hAnsi="等线 Light" w:eastAsia="等线 Light" w:cs="Times New Roman"/>
    </w:rPr>
  </w:style>
  <w:style w:type="paragraph" w:styleId="9">
    <w:name w:val="Plain Text"/>
    <w:basedOn w:val="1"/>
    <w:unhideWhenUsed/>
    <w:qFormat/>
    <w:uiPriority w:val="99"/>
    <w:rPr>
      <w:rFonts w:ascii="Courier New" w:hAnsi="Courier New"/>
      <w:kern w:val="0"/>
      <w:sz w:val="20"/>
      <w:szCs w:val="20"/>
    </w:rPr>
  </w:style>
  <w:style w:type="paragraph" w:styleId="10">
    <w:name w:val="Date"/>
    <w:basedOn w:val="1"/>
    <w:next w:val="1"/>
    <w:semiHidden/>
    <w:qFormat/>
    <w:uiPriority w:val="0"/>
    <w:pPr>
      <w:spacing w:before="100" w:beforeAutospacing="1" w:after="100" w:afterAutospacing="1"/>
      <w:ind w:left="2500" w:leftChars="2500"/>
    </w:pPr>
    <w:rPr>
      <w:kern w:val="0"/>
      <w:sz w:val="20"/>
    </w:rPr>
  </w:style>
  <w:style w:type="paragraph" w:styleId="11">
    <w:name w:val="Body Text Indent 2"/>
    <w:basedOn w:val="1"/>
    <w:qFormat/>
    <w:uiPriority w:val="0"/>
    <w:pPr>
      <w:ind w:firstLine="630"/>
    </w:pPr>
    <w:rPr>
      <w:rFonts w:ascii="宋体" w:hAnsi="宋体"/>
      <w:kern w:val="0"/>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spacing w:before="120" w:after="120"/>
      <w:jc w:val="left"/>
    </w:pPr>
    <w:rPr>
      <w:rFonts w:ascii="Calibri" w:hAnsi="Calibri"/>
      <w:b/>
      <w:bCs/>
      <w:caps/>
      <w:sz w:val="20"/>
      <w:szCs w:val="20"/>
    </w:rPr>
  </w:style>
  <w:style w:type="paragraph" w:styleId="15">
    <w:name w:val="footnote text"/>
    <w:basedOn w:val="1"/>
    <w:qFormat/>
    <w:uiPriority w:val="0"/>
    <w:rPr>
      <w:rFonts w:asciiTheme="minorHAnsi" w:hAnsiTheme="minorHAnsi" w:eastAsiaTheme="minorEastAsia"/>
      <w:sz w:val="18"/>
      <w:szCs w:val="18"/>
    </w:rPr>
  </w:style>
  <w:style w:type="paragraph" w:styleId="16">
    <w:name w:val="Body Text 2"/>
    <w:basedOn w:val="1"/>
    <w:next w:val="9"/>
    <w:qFormat/>
    <w:uiPriority w:val="0"/>
    <w:pPr>
      <w:spacing w:line="500" w:lineRule="exact"/>
      <w:jc w:val="center"/>
    </w:pPr>
    <w:rPr>
      <w:rFonts w:eastAsia="方正小标宋_GBK"/>
      <w:spacing w:val="-20"/>
      <w:sz w:val="4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6"/>
    <w:next w:val="19"/>
    <w:qFormat/>
    <w:uiPriority w:val="99"/>
    <w:pPr>
      <w:ind w:firstLine="420" w:firstLineChars="100"/>
    </w:pPr>
  </w:style>
  <w:style w:type="paragraph" w:styleId="19">
    <w:name w:val="Body Text First Indent 2"/>
    <w:basedOn w:val="1"/>
    <w:next w:val="1"/>
    <w:unhideWhenUsed/>
    <w:qFormat/>
    <w:uiPriority w:val="0"/>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paragraph" w:customStyle="1" w:styleId="24">
    <w:name w:val="Default"/>
    <w:basedOn w:val="1"/>
    <w:next w:val="15"/>
    <w:autoRedefine/>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customStyle="1" w:styleId="2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6">
    <w:name w:val="font11"/>
    <w:basedOn w:val="22"/>
    <w:qFormat/>
    <w:uiPriority w:val="0"/>
    <w:rPr>
      <w:rFonts w:hint="eastAsia" w:ascii="宋体" w:hAnsi="宋体" w:eastAsia="宋体" w:cs="宋体"/>
      <w:color w:val="000000"/>
      <w:sz w:val="20"/>
      <w:szCs w:val="20"/>
      <w:u w:val="none"/>
    </w:rPr>
  </w:style>
  <w:style w:type="character" w:customStyle="1" w:styleId="27">
    <w:name w:val="标题 3 Char"/>
    <w:basedOn w:val="22"/>
    <w:link w:val="4"/>
    <w:autoRedefine/>
    <w:qFormat/>
    <w:uiPriority w:val="0"/>
    <w:rPr>
      <w:b/>
      <w:bCs/>
      <w:kern w:val="0"/>
      <w:sz w:val="32"/>
      <w:szCs w:val="32"/>
    </w:rPr>
  </w:style>
  <w:style w:type="paragraph" w:customStyle="1" w:styleId="28">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4"/>
    </w:rPr>
  </w:style>
  <w:style w:type="paragraph" w:customStyle="1" w:styleId="29">
    <w:name w:val="标准文本"/>
    <w:qFormat/>
    <w:uiPriority w:val="0"/>
    <w:pPr>
      <w:widowControl w:val="0"/>
      <w:spacing w:line="360" w:lineRule="auto"/>
      <w:ind w:firstLine="480"/>
      <w:jc w:val="both"/>
    </w:pPr>
    <w:rPr>
      <w:rFonts w:ascii="Calibri" w:hAnsi="Calibri" w:cs="宋体" w:eastAsiaTheme="minorEastAsia"/>
      <w:kern w:val="0"/>
      <w:sz w:val="21"/>
      <w:szCs w:val="22"/>
      <w:lang w:val="en-US" w:eastAsia="zh-CN" w:bidi="ar-SA"/>
    </w:rPr>
  </w:style>
  <w:style w:type="paragraph" w:customStyle="1" w:styleId="30">
    <w:name w:val="方案正文"/>
    <w:basedOn w:val="1"/>
    <w:qFormat/>
    <w:uiPriority w:val="0"/>
    <w:pPr>
      <w:widowControl/>
      <w:tabs>
        <w:tab w:val="left" w:pos="0"/>
      </w:tabs>
      <w:spacing w:line="360" w:lineRule="auto"/>
      <w:ind w:firstLine="200" w:firstLineChars="200"/>
    </w:pPr>
    <w:rPr>
      <w:rFonts w:ascii="Times New Roman" w:hAnsi="Times New Roman" w:eastAsia="宋体" w:cs="Times New Roman (正文 CS 字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19209</Words>
  <Characters>21109</Characters>
  <Lines>0</Lines>
  <Paragraphs>0</Paragraphs>
  <TotalTime>6</TotalTime>
  <ScaleCrop>false</ScaleCrop>
  <LinksUpToDate>false</LinksUpToDate>
  <CharactersWithSpaces>21352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2025-08-03T09:29:00Z</dcterms:created>
  <dc:creator>Administrator</dc:creator>
  <cp:lastModifiedBy>-</cp:lastModifiedBy>
  <dcterms:modified xsi:type="dcterms:W3CDTF">2025-08-08T02:47:41Z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eyJoZGlkIjoiNDQ1OTUwMDNmM2M2YTQ3MmQxODUyZWU1MjNkNDFhY2EiLCJ1c2VySWQiOiIyOTQ1NTMzNDQifQ==</vt:lpwstr>
  </property>
  <property fmtid="{D5CDD505-2E9C-101B-9397-08002B2CF9AE}" pid="4" name="ICV">
    <vt:lpwstr>B0919283BB2C4D0D9AB02A41B024A125_13</vt:lpwstr>
  </property>
</Properties>
</file>