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1EAA5C">
      <w:pPr>
        <w:spacing w:line="360" w:lineRule="auto"/>
        <w:jc w:val="center"/>
        <w:rPr>
          <w:rFonts w:hint="eastAsia" w:ascii="方正公文小标宋" w:hAnsi="方正公文小标宋" w:eastAsia="方正公文小标宋"/>
          <w:b w:val="0"/>
          <w:bCs w:val="0"/>
          <w:color w:val="auto"/>
          <w:sz w:val="52"/>
          <w:szCs w:val="52"/>
          <w:highlight w:val="none"/>
          <w:lang w:eastAsia="zh-CN"/>
        </w:rPr>
      </w:pPr>
      <w:r>
        <w:rPr>
          <w:rFonts w:hint="eastAsia" w:ascii="方正公文小标宋" w:hAnsi="方正公文小标宋" w:eastAsia="方正公文小标宋"/>
          <w:b w:val="0"/>
          <w:bCs w:val="0"/>
          <w:color w:val="auto"/>
          <w:sz w:val="52"/>
          <w:szCs w:val="52"/>
          <w:highlight w:val="none"/>
          <w:lang w:eastAsia="zh-CN"/>
        </w:rPr>
        <w:t>2025年湖滨区农村公路路网改建项目</w:t>
      </w:r>
    </w:p>
    <w:p w14:paraId="1655C5E1">
      <w:pPr>
        <w:spacing w:line="240" w:lineRule="auto"/>
        <w:jc w:val="both"/>
        <w:rPr>
          <w:rFonts w:hint="eastAsia" w:ascii="宋体" w:hAnsi="宋体"/>
          <w:b/>
          <w:color w:val="auto"/>
          <w:sz w:val="96"/>
          <w:szCs w:val="144"/>
          <w:highlight w:val="none"/>
        </w:rPr>
      </w:pPr>
    </w:p>
    <w:p w14:paraId="2D28DFAC">
      <w:pPr>
        <w:spacing w:line="240" w:lineRule="auto"/>
        <w:jc w:val="center"/>
        <w:rPr>
          <w:rFonts w:hint="eastAsia" w:ascii="宋体" w:hAnsi="宋体"/>
          <w:b/>
          <w:color w:val="auto"/>
          <w:sz w:val="96"/>
          <w:szCs w:val="144"/>
          <w:highlight w:val="none"/>
          <w:lang w:val="en-US" w:eastAsia="zh-CN"/>
        </w:rPr>
      </w:pPr>
      <w:r>
        <w:rPr>
          <w:rFonts w:hint="eastAsia" w:ascii="宋体" w:hAnsi="宋体"/>
          <w:b/>
          <w:color w:val="auto"/>
          <w:sz w:val="96"/>
          <w:szCs w:val="144"/>
          <w:highlight w:val="none"/>
          <w:lang w:val="en-US" w:eastAsia="zh-CN"/>
        </w:rPr>
        <w:t>磋 商</w:t>
      </w:r>
      <w:r>
        <w:rPr>
          <w:rFonts w:hint="eastAsia" w:ascii="宋体" w:hAnsi="宋体"/>
          <w:b/>
          <w:color w:val="auto"/>
          <w:sz w:val="96"/>
          <w:szCs w:val="144"/>
          <w:highlight w:val="none"/>
        </w:rPr>
        <w:t xml:space="preserve"> 文 件</w:t>
      </w:r>
    </w:p>
    <w:p w14:paraId="00BB9AD0">
      <w:pPr>
        <w:pStyle w:val="27"/>
        <w:rPr>
          <w:rFonts w:hint="eastAsia"/>
          <w:color w:val="auto"/>
          <w:highlight w:val="none"/>
        </w:rPr>
      </w:pPr>
    </w:p>
    <w:p w14:paraId="723DACD0">
      <w:pPr>
        <w:spacing w:line="600" w:lineRule="auto"/>
        <w:jc w:val="center"/>
        <w:rPr>
          <w:rFonts w:hint="eastAsia" w:ascii="宋体" w:hAnsi="宋体" w:eastAsia="宋体"/>
          <w:b/>
          <w:color w:val="auto"/>
          <w:sz w:val="32"/>
          <w:szCs w:val="32"/>
          <w:highlight w:val="none"/>
          <w:lang w:eastAsia="zh-CN"/>
        </w:rPr>
      </w:pPr>
      <w:r>
        <w:rPr>
          <w:rFonts w:hint="eastAsia" w:ascii="宋体" w:hAnsi="宋体"/>
          <w:b/>
          <w:color w:val="auto"/>
          <w:sz w:val="32"/>
          <w:szCs w:val="32"/>
          <w:highlight w:val="none"/>
        </w:rPr>
        <w:t>项目编号：SGZ[2025]399-ZC274</w:t>
      </w:r>
      <w:r>
        <w:rPr>
          <w:rFonts w:hint="eastAsia" w:ascii="宋体" w:hAnsi="宋体"/>
          <w:b/>
          <w:color w:val="auto"/>
          <w:sz w:val="32"/>
          <w:szCs w:val="32"/>
          <w:highlight w:val="none"/>
          <w:lang w:eastAsia="zh-CN"/>
        </w:rPr>
        <w:t>、湖滨竞磋采购-2025-21</w:t>
      </w:r>
    </w:p>
    <w:p w14:paraId="57AC4B5E">
      <w:pPr>
        <w:spacing w:line="600" w:lineRule="auto"/>
        <w:jc w:val="center"/>
        <w:rPr>
          <w:rFonts w:hint="eastAsia" w:ascii="宋体" w:hAnsi="宋体"/>
          <w:b/>
          <w:color w:val="auto"/>
          <w:sz w:val="32"/>
          <w:szCs w:val="32"/>
          <w:highlight w:val="none"/>
        </w:rPr>
      </w:pPr>
    </w:p>
    <w:p w14:paraId="1F531F0B">
      <w:pPr>
        <w:spacing w:line="360" w:lineRule="auto"/>
        <w:jc w:val="center"/>
        <w:rPr>
          <w:rFonts w:hint="eastAsia" w:ascii="宋体" w:hAnsi="宋体"/>
          <w:color w:val="auto"/>
          <w:highlight w:val="none"/>
        </w:rPr>
      </w:pPr>
    </w:p>
    <w:p w14:paraId="73960FE0">
      <w:pPr>
        <w:spacing w:line="36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 xml:space="preserve"> </w:t>
      </w:r>
    </w:p>
    <w:p w14:paraId="081D588A">
      <w:pPr>
        <w:spacing w:line="600" w:lineRule="auto"/>
        <w:jc w:val="center"/>
        <w:rPr>
          <w:rFonts w:hint="eastAsia"/>
          <w:b/>
          <w:color w:val="auto"/>
          <w:sz w:val="32"/>
          <w:szCs w:val="36"/>
          <w:highlight w:val="none"/>
        </w:rPr>
      </w:pPr>
    </w:p>
    <w:p w14:paraId="3B9331FE">
      <w:pPr>
        <w:spacing w:line="600" w:lineRule="auto"/>
        <w:jc w:val="center"/>
        <w:rPr>
          <w:rFonts w:hint="eastAsia"/>
          <w:b/>
          <w:color w:val="auto"/>
          <w:sz w:val="32"/>
          <w:szCs w:val="36"/>
          <w:highlight w:val="none"/>
        </w:rPr>
      </w:pPr>
    </w:p>
    <w:p w14:paraId="75BF7E15">
      <w:pPr>
        <w:spacing w:line="600" w:lineRule="auto"/>
        <w:ind w:left="0" w:leftChars="0" w:firstLine="1687" w:firstLineChars="525"/>
        <w:jc w:val="both"/>
        <w:rPr>
          <w:rFonts w:hint="eastAsia"/>
          <w:b/>
          <w:color w:val="auto"/>
          <w:sz w:val="32"/>
          <w:szCs w:val="36"/>
          <w:highlight w:val="none"/>
        </w:rPr>
      </w:pPr>
      <w:r>
        <w:rPr>
          <w:rFonts w:hint="eastAsia"/>
          <w:b/>
          <w:color w:val="auto"/>
          <w:sz w:val="32"/>
          <w:szCs w:val="36"/>
          <w:highlight w:val="none"/>
        </w:rPr>
        <w:t xml:space="preserve">招 </w:t>
      </w:r>
      <w:r>
        <w:rPr>
          <w:rFonts w:hint="eastAsia"/>
          <w:b/>
          <w:color w:val="auto"/>
          <w:sz w:val="32"/>
          <w:szCs w:val="36"/>
          <w:highlight w:val="none"/>
          <w:lang w:val="en-US" w:eastAsia="zh-CN"/>
        </w:rPr>
        <w:t xml:space="preserve">  </w:t>
      </w:r>
      <w:r>
        <w:rPr>
          <w:rFonts w:hint="eastAsia"/>
          <w:b/>
          <w:color w:val="auto"/>
          <w:sz w:val="32"/>
          <w:szCs w:val="36"/>
          <w:highlight w:val="none"/>
        </w:rPr>
        <w:t xml:space="preserve">标 </w:t>
      </w:r>
      <w:r>
        <w:rPr>
          <w:rFonts w:hint="eastAsia"/>
          <w:b/>
          <w:color w:val="auto"/>
          <w:sz w:val="32"/>
          <w:szCs w:val="36"/>
          <w:highlight w:val="none"/>
          <w:lang w:val="en-US" w:eastAsia="zh-CN"/>
        </w:rPr>
        <w:t xml:space="preserve">  </w:t>
      </w:r>
      <w:r>
        <w:rPr>
          <w:rFonts w:hint="eastAsia"/>
          <w:b/>
          <w:color w:val="auto"/>
          <w:sz w:val="32"/>
          <w:szCs w:val="36"/>
          <w:highlight w:val="none"/>
        </w:rPr>
        <w:t>人：</w:t>
      </w:r>
      <w:r>
        <w:rPr>
          <w:rFonts w:hint="eastAsia"/>
          <w:b/>
          <w:color w:val="auto"/>
          <w:sz w:val="32"/>
          <w:szCs w:val="36"/>
          <w:highlight w:val="none"/>
          <w:lang w:eastAsia="zh-CN"/>
        </w:rPr>
        <w:t>三门峡市湖滨区交通运输局</w:t>
      </w:r>
    </w:p>
    <w:p w14:paraId="2FD10225">
      <w:pPr>
        <w:spacing w:line="600" w:lineRule="auto"/>
        <w:ind w:firstLine="1606" w:firstLineChars="500"/>
        <w:jc w:val="both"/>
        <w:rPr>
          <w:rFonts w:hint="eastAsia"/>
          <w:b/>
          <w:color w:val="auto"/>
          <w:sz w:val="32"/>
          <w:szCs w:val="36"/>
          <w:highlight w:val="none"/>
          <w:lang w:eastAsia="zh-CN"/>
        </w:rPr>
      </w:pPr>
      <w:r>
        <w:rPr>
          <w:rFonts w:hint="eastAsia"/>
          <w:b/>
          <w:color w:val="auto"/>
          <w:sz w:val="32"/>
          <w:szCs w:val="36"/>
          <w:highlight w:val="none"/>
          <w:lang w:eastAsia="zh-CN"/>
        </w:rPr>
        <w:t>招标代理机构</w:t>
      </w:r>
      <w:r>
        <w:rPr>
          <w:rFonts w:hint="eastAsia"/>
          <w:b/>
          <w:color w:val="auto"/>
          <w:sz w:val="32"/>
          <w:szCs w:val="36"/>
          <w:highlight w:val="none"/>
        </w:rPr>
        <w:t>：</w:t>
      </w:r>
      <w:r>
        <w:rPr>
          <w:rFonts w:hint="eastAsia"/>
          <w:b/>
          <w:color w:val="auto"/>
          <w:sz w:val="32"/>
          <w:szCs w:val="36"/>
          <w:highlight w:val="none"/>
          <w:lang w:eastAsia="zh-CN"/>
        </w:rPr>
        <w:t>河南卯兴工程项目管理有限公司</w:t>
      </w:r>
    </w:p>
    <w:p w14:paraId="35862E8B">
      <w:pPr>
        <w:ind w:left="0" w:leftChars="0" w:firstLine="1687" w:firstLineChars="525"/>
        <w:jc w:val="both"/>
        <w:rPr>
          <w:rFonts w:hint="eastAsia"/>
          <w:b/>
          <w:color w:val="auto"/>
          <w:sz w:val="32"/>
          <w:szCs w:val="36"/>
          <w:highlight w:val="none"/>
        </w:rPr>
      </w:pPr>
      <w:r>
        <w:rPr>
          <w:rFonts w:hint="eastAsia"/>
          <w:b/>
          <w:color w:val="auto"/>
          <w:sz w:val="32"/>
          <w:szCs w:val="36"/>
          <w:highlight w:val="none"/>
        </w:rPr>
        <w:t>时</w:t>
      </w:r>
      <w:r>
        <w:rPr>
          <w:b/>
          <w:color w:val="auto"/>
          <w:sz w:val="32"/>
          <w:szCs w:val="36"/>
          <w:highlight w:val="none"/>
        </w:rPr>
        <w:t xml:space="preserve">  </w:t>
      </w:r>
      <w:r>
        <w:rPr>
          <w:rFonts w:hint="eastAsia"/>
          <w:b/>
          <w:color w:val="auto"/>
          <w:sz w:val="32"/>
          <w:szCs w:val="36"/>
          <w:highlight w:val="none"/>
          <w:lang w:val="en-US" w:eastAsia="zh-CN"/>
        </w:rPr>
        <w:t xml:space="preserve">    </w:t>
      </w:r>
      <w:r>
        <w:rPr>
          <w:rFonts w:hint="eastAsia"/>
          <w:b/>
          <w:color w:val="auto"/>
          <w:sz w:val="32"/>
          <w:szCs w:val="36"/>
          <w:highlight w:val="none"/>
        </w:rPr>
        <w:t xml:space="preserve"> </w:t>
      </w:r>
      <w:r>
        <w:rPr>
          <w:b/>
          <w:color w:val="auto"/>
          <w:sz w:val="32"/>
          <w:szCs w:val="36"/>
          <w:highlight w:val="none"/>
        </w:rPr>
        <w:t xml:space="preserve"> </w:t>
      </w:r>
      <w:r>
        <w:rPr>
          <w:rFonts w:hint="eastAsia"/>
          <w:b/>
          <w:color w:val="auto"/>
          <w:sz w:val="32"/>
          <w:szCs w:val="36"/>
          <w:highlight w:val="none"/>
        </w:rPr>
        <w:t>间：二〇二</w:t>
      </w:r>
      <w:r>
        <w:rPr>
          <w:rFonts w:hint="eastAsia"/>
          <w:b/>
          <w:color w:val="auto"/>
          <w:sz w:val="32"/>
          <w:szCs w:val="36"/>
          <w:highlight w:val="none"/>
          <w:lang w:val="en-US" w:eastAsia="zh-CN"/>
        </w:rPr>
        <w:t>五</w:t>
      </w:r>
      <w:r>
        <w:rPr>
          <w:rFonts w:hint="eastAsia"/>
          <w:b/>
          <w:color w:val="auto"/>
          <w:sz w:val="32"/>
          <w:szCs w:val="36"/>
          <w:highlight w:val="none"/>
        </w:rPr>
        <w:t>年</w:t>
      </w:r>
      <w:r>
        <w:rPr>
          <w:rFonts w:hint="eastAsia"/>
          <w:b/>
          <w:color w:val="auto"/>
          <w:sz w:val="32"/>
          <w:szCs w:val="36"/>
          <w:highlight w:val="none"/>
          <w:lang w:val="en-US" w:eastAsia="zh-CN"/>
        </w:rPr>
        <w:t>九</w:t>
      </w:r>
      <w:r>
        <w:rPr>
          <w:rFonts w:hint="eastAsia"/>
          <w:b/>
          <w:color w:val="auto"/>
          <w:sz w:val="32"/>
          <w:szCs w:val="36"/>
          <w:highlight w:val="none"/>
        </w:rPr>
        <w:t>月</w:t>
      </w:r>
    </w:p>
    <w:p w14:paraId="5F352BF6">
      <w:pPr>
        <w:spacing w:before="240"/>
        <w:jc w:val="center"/>
        <w:rPr>
          <w:b/>
          <w:color w:val="auto"/>
          <w:sz w:val="44"/>
          <w:highlight w:val="none"/>
          <w:lang w:val="zh-CN"/>
        </w:rPr>
      </w:pPr>
    </w:p>
    <w:p w14:paraId="09472E52">
      <w:pPr>
        <w:spacing w:before="240"/>
        <w:jc w:val="center"/>
        <w:rPr>
          <w:b/>
          <w:color w:val="auto"/>
          <w:sz w:val="44"/>
          <w:highlight w:val="none"/>
          <w:lang w:val="zh-CN"/>
        </w:rPr>
      </w:pPr>
      <w:r>
        <w:rPr>
          <w:b/>
          <w:color w:val="auto"/>
          <w:sz w:val="44"/>
          <w:highlight w:val="none"/>
          <w:lang w:val="zh-CN"/>
        </w:rPr>
        <w:t>目</w:t>
      </w:r>
      <w:r>
        <w:rPr>
          <w:rFonts w:hint="eastAsia"/>
          <w:b/>
          <w:color w:val="auto"/>
          <w:sz w:val="44"/>
          <w:highlight w:val="none"/>
          <w:lang w:val="zh-CN"/>
        </w:rPr>
        <w:t xml:space="preserve"> </w:t>
      </w:r>
      <w:r>
        <w:rPr>
          <w:b/>
          <w:color w:val="auto"/>
          <w:sz w:val="44"/>
          <w:highlight w:val="none"/>
          <w:lang w:val="zh-CN"/>
        </w:rPr>
        <w:t>录</w:t>
      </w:r>
    </w:p>
    <w:p w14:paraId="30CF0B97">
      <w:pPr>
        <w:pStyle w:val="76"/>
        <w:tabs>
          <w:tab w:val="right" w:leader="dot" w:pos="9736"/>
        </w:tabs>
        <w:spacing w:line="800" w:lineRule="exact"/>
        <w:rPr>
          <w:rFonts w:ascii="宋体" w:hAnsi="宋体"/>
          <w:color w:val="auto"/>
          <w:sz w:val="32"/>
          <w:szCs w:val="24"/>
          <w:highlight w:val="none"/>
        </w:rPr>
      </w:pPr>
      <w:r>
        <w:rPr>
          <w:rFonts w:ascii="宋体" w:hAnsi="宋体"/>
          <w:color w:val="auto"/>
          <w:sz w:val="32"/>
          <w:szCs w:val="24"/>
          <w:highlight w:val="none"/>
        </w:rPr>
        <w:fldChar w:fldCharType="begin"/>
      </w:r>
      <w:r>
        <w:rPr>
          <w:rFonts w:ascii="宋体" w:hAnsi="宋体"/>
          <w:color w:val="auto"/>
          <w:sz w:val="32"/>
          <w:szCs w:val="24"/>
          <w:highlight w:val="none"/>
        </w:rPr>
        <w:instrText xml:space="preserve"> TOC \o "1-3" \h \z \u </w:instrText>
      </w:r>
      <w:r>
        <w:rPr>
          <w:rFonts w:ascii="宋体" w:hAnsi="宋体"/>
          <w:color w:val="auto"/>
          <w:sz w:val="32"/>
          <w:szCs w:val="24"/>
          <w:highlight w:val="none"/>
        </w:rPr>
        <w:fldChar w:fldCharType="separate"/>
      </w:r>
      <w:r>
        <w:rPr>
          <w:rStyle w:val="105"/>
          <w:color w:val="auto"/>
          <w:sz w:val="22"/>
          <w:highlight w:val="none"/>
        </w:rPr>
        <w:fldChar w:fldCharType="begin"/>
      </w:r>
      <w:r>
        <w:rPr>
          <w:rStyle w:val="105"/>
          <w:color w:val="auto"/>
          <w:sz w:val="22"/>
          <w:highlight w:val="none"/>
        </w:rPr>
        <w:instrText xml:space="preserve"> </w:instrText>
      </w:r>
      <w:r>
        <w:rPr>
          <w:color w:val="auto"/>
          <w:sz w:val="22"/>
          <w:highlight w:val="none"/>
        </w:rPr>
        <w:instrText xml:space="preserve">HYPERLINK \l "_Toc105654847"</w:instrText>
      </w:r>
      <w:r>
        <w:rPr>
          <w:rStyle w:val="105"/>
          <w:color w:val="auto"/>
          <w:sz w:val="22"/>
          <w:highlight w:val="none"/>
        </w:rPr>
        <w:instrText xml:space="preserve"> </w:instrText>
      </w:r>
      <w:r>
        <w:rPr>
          <w:rStyle w:val="105"/>
          <w:color w:val="auto"/>
          <w:sz w:val="22"/>
          <w:highlight w:val="none"/>
        </w:rPr>
        <w:fldChar w:fldCharType="separate"/>
      </w:r>
      <w:r>
        <w:rPr>
          <w:rStyle w:val="105"/>
          <w:rFonts w:hint="eastAsia" w:ascii="宋体" w:hAnsi="宋体"/>
          <w:color w:val="auto"/>
          <w:sz w:val="22"/>
          <w:highlight w:val="none"/>
        </w:rPr>
        <w:t>第一章</w:t>
      </w:r>
      <w:r>
        <w:rPr>
          <w:rStyle w:val="105"/>
          <w:rFonts w:ascii="宋体" w:hAnsi="宋体"/>
          <w:color w:val="auto"/>
          <w:sz w:val="22"/>
          <w:highlight w:val="none"/>
        </w:rPr>
        <w:t xml:space="preserve"> </w:t>
      </w:r>
      <w:r>
        <w:rPr>
          <w:rStyle w:val="105"/>
          <w:rFonts w:hint="eastAsia" w:ascii="宋体" w:hAnsi="宋体"/>
          <w:color w:val="auto"/>
          <w:sz w:val="22"/>
          <w:highlight w:val="none"/>
          <w:lang w:val="en-US" w:eastAsia="zh-CN"/>
        </w:rPr>
        <w:t xml:space="preserve"> 磋商</w:t>
      </w:r>
      <w:r>
        <w:rPr>
          <w:rStyle w:val="105"/>
          <w:rFonts w:hint="eastAsia" w:ascii="宋体" w:hAnsi="宋体"/>
          <w:color w:val="auto"/>
          <w:sz w:val="22"/>
          <w:highlight w:val="none"/>
        </w:rPr>
        <w:t>公告</w:t>
      </w:r>
      <w:r>
        <w:rPr>
          <w:color w:val="auto"/>
          <w:sz w:val="22"/>
          <w:highlight w:val="none"/>
        </w:rPr>
        <w:tab/>
      </w:r>
      <w:r>
        <w:rPr>
          <w:rFonts w:hint="eastAsia"/>
          <w:color w:val="auto"/>
          <w:sz w:val="22"/>
          <w:highlight w:val="none"/>
          <w:lang w:val="en-US" w:eastAsia="zh-CN"/>
        </w:rPr>
        <w:t>1</w:t>
      </w:r>
      <w:r>
        <w:rPr>
          <w:rStyle w:val="105"/>
          <w:color w:val="auto"/>
          <w:sz w:val="22"/>
          <w:highlight w:val="none"/>
        </w:rPr>
        <w:fldChar w:fldCharType="end"/>
      </w:r>
    </w:p>
    <w:p w14:paraId="662C4BE6">
      <w:pPr>
        <w:pStyle w:val="76"/>
        <w:tabs>
          <w:tab w:val="right" w:leader="dot" w:pos="9736"/>
        </w:tabs>
        <w:spacing w:line="800" w:lineRule="exact"/>
        <w:rPr>
          <w:rStyle w:val="105"/>
          <w:color w:val="auto"/>
          <w:sz w:val="22"/>
          <w:highlight w:val="none"/>
        </w:rPr>
      </w:pPr>
      <w:r>
        <w:rPr>
          <w:rStyle w:val="105"/>
          <w:color w:val="auto"/>
          <w:sz w:val="22"/>
          <w:highlight w:val="none"/>
        </w:rPr>
        <w:fldChar w:fldCharType="begin"/>
      </w:r>
      <w:r>
        <w:rPr>
          <w:rStyle w:val="105"/>
          <w:color w:val="auto"/>
          <w:sz w:val="22"/>
          <w:highlight w:val="none"/>
        </w:rPr>
        <w:instrText xml:space="preserve"> </w:instrText>
      </w:r>
      <w:r>
        <w:rPr>
          <w:color w:val="auto"/>
          <w:sz w:val="22"/>
          <w:highlight w:val="none"/>
        </w:rPr>
        <w:instrText xml:space="preserve">HYPERLINK \l "_Toc105654848"</w:instrText>
      </w:r>
      <w:r>
        <w:rPr>
          <w:rStyle w:val="105"/>
          <w:color w:val="auto"/>
          <w:sz w:val="22"/>
          <w:highlight w:val="none"/>
        </w:rPr>
        <w:instrText xml:space="preserve"> </w:instrText>
      </w:r>
      <w:r>
        <w:rPr>
          <w:rStyle w:val="105"/>
          <w:color w:val="auto"/>
          <w:sz w:val="22"/>
          <w:highlight w:val="none"/>
        </w:rPr>
        <w:fldChar w:fldCharType="separate"/>
      </w:r>
      <w:r>
        <w:rPr>
          <w:rStyle w:val="105"/>
          <w:rFonts w:hint="eastAsia" w:ascii="宋体" w:hAnsi="宋体"/>
          <w:color w:val="auto"/>
          <w:sz w:val="22"/>
          <w:highlight w:val="none"/>
        </w:rPr>
        <w:t>第二章</w:t>
      </w:r>
      <w:r>
        <w:rPr>
          <w:rStyle w:val="105"/>
          <w:rFonts w:ascii="宋体" w:hAnsi="宋体"/>
          <w:color w:val="auto"/>
          <w:sz w:val="22"/>
          <w:highlight w:val="none"/>
        </w:rPr>
        <w:t xml:space="preserve">  </w:t>
      </w:r>
      <w:r>
        <w:rPr>
          <w:rStyle w:val="105"/>
          <w:rFonts w:hint="eastAsia" w:ascii="宋体" w:hAnsi="宋体"/>
          <w:color w:val="auto"/>
          <w:sz w:val="22"/>
          <w:highlight w:val="none"/>
          <w:lang w:eastAsia="zh-CN"/>
        </w:rPr>
        <w:t>供应商</w:t>
      </w:r>
      <w:r>
        <w:rPr>
          <w:rStyle w:val="105"/>
          <w:rFonts w:hint="eastAsia" w:ascii="宋体" w:hAnsi="宋体"/>
          <w:color w:val="auto"/>
          <w:sz w:val="22"/>
          <w:highlight w:val="none"/>
        </w:rPr>
        <w:t>须知</w:t>
      </w:r>
      <w:r>
        <w:rPr>
          <w:color w:val="auto"/>
          <w:sz w:val="22"/>
          <w:highlight w:val="none"/>
        </w:rPr>
        <w:tab/>
      </w:r>
      <w:r>
        <w:rPr>
          <w:rFonts w:hint="eastAsia"/>
          <w:color w:val="auto"/>
          <w:sz w:val="22"/>
          <w:highlight w:val="none"/>
          <w:lang w:val="en-US" w:eastAsia="zh-CN"/>
        </w:rPr>
        <w:t>7</w:t>
      </w:r>
      <w:r>
        <w:rPr>
          <w:rStyle w:val="105"/>
          <w:color w:val="auto"/>
          <w:sz w:val="22"/>
          <w:highlight w:val="none"/>
        </w:rPr>
        <w:fldChar w:fldCharType="end"/>
      </w:r>
    </w:p>
    <w:p w14:paraId="08538757">
      <w:pPr>
        <w:pStyle w:val="76"/>
        <w:tabs>
          <w:tab w:val="right" w:leader="dot" w:pos="9736"/>
        </w:tabs>
        <w:spacing w:line="800" w:lineRule="exact"/>
        <w:rPr>
          <w:rStyle w:val="105"/>
          <w:rFonts w:hint="eastAsia" w:eastAsia="宋体"/>
          <w:color w:val="auto"/>
          <w:sz w:val="22"/>
          <w:highlight w:val="none"/>
          <w:lang w:val="en-US" w:eastAsia="zh-CN"/>
        </w:rPr>
      </w:pPr>
      <w:r>
        <w:rPr>
          <w:rStyle w:val="105"/>
          <w:color w:val="auto"/>
          <w:sz w:val="22"/>
          <w:highlight w:val="none"/>
        </w:rPr>
        <w:fldChar w:fldCharType="begin"/>
      </w:r>
      <w:r>
        <w:rPr>
          <w:rStyle w:val="105"/>
          <w:color w:val="auto"/>
          <w:sz w:val="22"/>
          <w:highlight w:val="none"/>
        </w:rPr>
        <w:instrText xml:space="preserve"> </w:instrText>
      </w:r>
      <w:r>
        <w:rPr>
          <w:color w:val="auto"/>
          <w:sz w:val="22"/>
          <w:highlight w:val="none"/>
        </w:rPr>
        <w:instrText xml:space="preserve">HYPERLINK \l "_Toc105654861"</w:instrText>
      </w:r>
      <w:r>
        <w:rPr>
          <w:rStyle w:val="105"/>
          <w:color w:val="auto"/>
          <w:sz w:val="22"/>
          <w:highlight w:val="none"/>
        </w:rPr>
        <w:instrText xml:space="preserve"> </w:instrText>
      </w:r>
      <w:r>
        <w:rPr>
          <w:rStyle w:val="105"/>
          <w:color w:val="auto"/>
          <w:sz w:val="22"/>
          <w:highlight w:val="none"/>
        </w:rPr>
        <w:fldChar w:fldCharType="separate"/>
      </w:r>
      <w:r>
        <w:rPr>
          <w:rStyle w:val="105"/>
          <w:rFonts w:hint="eastAsia" w:ascii="宋体" w:hAnsi="宋体"/>
          <w:color w:val="auto"/>
          <w:sz w:val="22"/>
          <w:highlight w:val="none"/>
        </w:rPr>
        <w:t>第三章</w:t>
      </w:r>
      <w:r>
        <w:rPr>
          <w:rStyle w:val="105"/>
          <w:rFonts w:ascii="宋体" w:hAnsi="宋体"/>
          <w:color w:val="auto"/>
          <w:sz w:val="22"/>
          <w:highlight w:val="none"/>
        </w:rPr>
        <w:t xml:space="preserve">  </w:t>
      </w:r>
      <w:r>
        <w:rPr>
          <w:rStyle w:val="105"/>
          <w:rFonts w:hint="eastAsia" w:ascii="宋体" w:hAnsi="宋体"/>
          <w:color w:val="auto"/>
          <w:sz w:val="22"/>
          <w:highlight w:val="none"/>
        </w:rPr>
        <w:t>评标办法</w:t>
      </w:r>
      <w:r>
        <w:rPr>
          <w:color w:val="auto"/>
          <w:sz w:val="22"/>
          <w:highlight w:val="none"/>
        </w:rPr>
        <w:tab/>
      </w:r>
      <w:r>
        <w:rPr>
          <w:rFonts w:hint="eastAsia"/>
          <w:color w:val="auto"/>
          <w:sz w:val="22"/>
          <w:highlight w:val="none"/>
          <w:lang w:val="en-US" w:eastAsia="zh-CN"/>
        </w:rPr>
        <w:t>2</w:t>
      </w:r>
      <w:r>
        <w:rPr>
          <w:rStyle w:val="105"/>
          <w:color w:val="auto"/>
          <w:sz w:val="22"/>
          <w:highlight w:val="none"/>
        </w:rPr>
        <w:fldChar w:fldCharType="end"/>
      </w:r>
      <w:r>
        <w:rPr>
          <w:rStyle w:val="105"/>
          <w:rFonts w:hint="eastAsia"/>
          <w:color w:val="auto"/>
          <w:sz w:val="22"/>
          <w:highlight w:val="none"/>
          <w:lang w:val="en-US" w:eastAsia="zh-CN"/>
        </w:rPr>
        <w:t>8</w:t>
      </w:r>
    </w:p>
    <w:p w14:paraId="6392B813">
      <w:pPr>
        <w:pStyle w:val="76"/>
        <w:tabs>
          <w:tab w:val="right" w:leader="dot" w:pos="9736"/>
        </w:tabs>
        <w:spacing w:line="800" w:lineRule="exact"/>
        <w:rPr>
          <w:rStyle w:val="105"/>
          <w:color w:val="auto"/>
          <w:sz w:val="22"/>
          <w:highlight w:val="none"/>
        </w:rPr>
      </w:pPr>
      <w:r>
        <w:rPr>
          <w:rStyle w:val="105"/>
          <w:color w:val="auto"/>
          <w:sz w:val="22"/>
          <w:highlight w:val="none"/>
        </w:rPr>
        <w:fldChar w:fldCharType="begin"/>
      </w:r>
      <w:r>
        <w:rPr>
          <w:rStyle w:val="105"/>
          <w:color w:val="auto"/>
          <w:sz w:val="22"/>
          <w:highlight w:val="none"/>
        </w:rPr>
        <w:instrText xml:space="preserve"> </w:instrText>
      </w:r>
      <w:r>
        <w:rPr>
          <w:color w:val="auto"/>
          <w:sz w:val="22"/>
          <w:highlight w:val="none"/>
        </w:rPr>
        <w:instrText xml:space="preserve">HYPERLINK \l "_Toc105654864"</w:instrText>
      </w:r>
      <w:r>
        <w:rPr>
          <w:rStyle w:val="105"/>
          <w:color w:val="auto"/>
          <w:sz w:val="22"/>
          <w:highlight w:val="none"/>
        </w:rPr>
        <w:instrText xml:space="preserve"> </w:instrText>
      </w:r>
      <w:r>
        <w:rPr>
          <w:rStyle w:val="105"/>
          <w:color w:val="auto"/>
          <w:sz w:val="22"/>
          <w:highlight w:val="none"/>
        </w:rPr>
        <w:fldChar w:fldCharType="separate"/>
      </w:r>
      <w:r>
        <w:rPr>
          <w:rStyle w:val="105"/>
          <w:rFonts w:hint="eastAsia" w:ascii="宋体" w:hAnsi="宋体"/>
          <w:color w:val="auto"/>
          <w:sz w:val="22"/>
          <w:highlight w:val="none"/>
        </w:rPr>
        <w:t>第四章</w:t>
      </w:r>
      <w:r>
        <w:rPr>
          <w:rStyle w:val="105"/>
          <w:rFonts w:ascii="宋体" w:hAnsi="宋体"/>
          <w:color w:val="auto"/>
          <w:sz w:val="22"/>
          <w:highlight w:val="none"/>
        </w:rPr>
        <w:t xml:space="preserve"> </w:t>
      </w:r>
      <w:r>
        <w:rPr>
          <w:rStyle w:val="105"/>
          <w:rFonts w:hint="eastAsia" w:ascii="宋体" w:hAnsi="宋体"/>
          <w:color w:val="auto"/>
          <w:sz w:val="22"/>
          <w:highlight w:val="none"/>
          <w:lang w:val="en-US" w:eastAsia="zh-CN"/>
        </w:rPr>
        <w:t xml:space="preserve"> </w:t>
      </w:r>
      <w:r>
        <w:rPr>
          <w:rStyle w:val="105"/>
          <w:rFonts w:hint="eastAsia" w:ascii="宋体" w:hAnsi="宋体"/>
          <w:color w:val="auto"/>
          <w:sz w:val="22"/>
          <w:highlight w:val="none"/>
        </w:rPr>
        <w:t>合同条款及格式</w:t>
      </w:r>
      <w:r>
        <w:rPr>
          <w:color w:val="auto"/>
          <w:sz w:val="22"/>
          <w:highlight w:val="none"/>
        </w:rPr>
        <w:tab/>
      </w:r>
      <w:r>
        <w:rPr>
          <w:rFonts w:hint="eastAsia"/>
          <w:color w:val="auto"/>
          <w:sz w:val="22"/>
          <w:highlight w:val="none"/>
          <w:lang w:val="en-US" w:eastAsia="zh-CN"/>
        </w:rPr>
        <w:t>3</w:t>
      </w:r>
      <w:r>
        <w:rPr>
          <w:rStyle w:val="105"/>
          <w:color w:val="auto"/>
          <w:sz w:val="22"/>
          <w:highlight w:val="none"/>
        </w:rPr>
        <w:fldChar w:fldCharType="end"/>
      </w:r>
      <w:r>
        <w:rPr>
          <w:rStyle w:val="105"/>
          <w:rFonts w:hint="eastAsia"/>
          <w:color w:val="auto"/>
          <w:sz w:val="22"/>
          <w:highlight w:val="none"/>
          <w:lang w:val="en-US" w:eastAsia="zh-CN"/>
        </w:rPr>
        <w:t>4</w:t>
      </w:r>
    </w:p>
    <w:p w14:paraId="41D9C97D">
      <w:pPr>
        <w:pStyle w:val="76"/>
        <w:tabs>
          <w:tab w:val="right" w:leader="dot" w:pos="9736"/>
        </w:tabs>
        <w:spacing w:line="800" w:lineRule="exact"/>
        <w:rPr>
          <w:rStyle w:val="105"/>
          <w:rFonts w:hint="default"/>
          <w:color w:val="auto"/>
          <w:sz w:val="22"/>
          <w:highlight w:val="none"/>
          <w:lang w:val="en-US"/>
        </w:rPr>
      </w:pPr>
      <w:r>
        <w:rPr>
          <w:rStyle w:val="105"/>
          <w:color w:val="auto"/>
          <w:sz w:val="22"/>
          <w:highlight w:val="none"/>
        </w:rPr>
        <w:fldChar w:fldCharType="begin"/>
      </w:r>
      <w:r>
        <w:rPr>
          <w:rStyle w:val="105"/>
          <w:color w:val="auto"/>
          <w:sz w:val="22"/>
          <w:highlight w:val="none"/>
        </w:rPr>
        <w:instrText xml:space="preserve"> </w:instrText>
      </w:r>
      <w:r>
        <w:rPr>
          <w:color w:val="auto"/>
          <w:sz w:val="22"/>
          <w:highlight w:val="none"/>
        </w:rPr>
        <w:instrText xml:space="preserve">HYPERLINK \l "_Toc105654868"</w:instrText>
      </w:r>
      <w:r>
        <w:rPr>
          <w:rStyle w:val="105"/>
          <w:color w:val="auto"/>
          <w:sz w:val="22"/>
          <w:highlight w:val="none"/>
        </w:rPr>
        <w:instrText xml:space="preserve"> </w:instrText>
      </w:r>
      <w:r>
        <w:rPr>
          <w:rStyle w:val="105"/>
          <w:color w:val="auto"/>
          <w:sz w:val="22"/>
          <w:highlight w:val="none"/>
        </w:rPr>
        <w:fldChar w:fldCharType="separate"/>
      </w:r>
      <w:r>
        <w:rPr>
          <w:rStyle w:val="105"/>
          <w:rFonts w:hint="eastAsia" w:ascii="宋体" w:hAnsi="宋体"/>
          <w:color w:val="auto"/>
          <w:sz w:val="22"/>
          <w:highlight w:val="none"/>
        </w:rPr>
        <w:t>第五章</w:t>
      </w:r>
      <w:r>
        <w:rPr>
          <w:rStyle w:val="105"/>
          <w:rFonts w:ascii="宋体" w:hAnsi="宋体"/>
          <w:color w:val="auto"/>
          <w:sz w:val="22"/>
          <w:highlight w:val="none"/>
        </w:rPr>
        <w:t xml:space="preserve"> </w:t>
      </w:r>
      <w:r>
        <w:rPr>
          <w:rStyle w:val="105"/>
          <w:rFonts w:hint="eastAsia" w:ascii="宋体" w:hAnsi="宋体"/>
          <w:color w:val="auto"/>
          <w:sz w:val="22"/>
          <w:highlight w:val="none"/>
          <w:lang w:val="en-US" w:eastAsia="zh-CN"/>
        </w:rPr>
        <w:t xml:space="preserve"> </w:t>
      </w:r>
      <w:r>
        <w:rPr>
          <w:rStyle w:val="105"/>
          <w:rFonts w:hint="eastAsia" w:ascii="宋体" w:hAnsi="宋体"/>
          <w:color w:val="auto"/>
          <w:sz w:val="22"/>
          <w:highlight w:val="none"/>
        </w:rPr>
        <w:t>工程量清单</w:t>
      </w:r>
      <w:r>
        <w:rPr>
          <w:color w:val="auto"/>
          <w:sz w:val="22"/>
          <w:highlight w:val="none"/>
        </w:rPr>
        <w:tab/>
      </w:r>
      <w:r>
        <w:rPr>
          <w:rStyle w:val="105"/>
          <w:color w:val="auto"/>
          <w:sz w:val="22"/>
          <w:highlight w:val="none"/>
        </w:rPr>
        <w:fldChar w:fldCharType="end"/>
      </w:r>
      <w:r>
        <w:rPr>
          <w:rStyle w:val="105"/>
          <w:rFonts w:hint="eastAsia"/>
          <w:color w:val="auto"/>
          <w:sz w:val="22"/>
          <w:highlight w:val="none"/>
          <w:lang w:val="en-US" w:eastAsia="zh-CN"/>
        </w:rPr>
        <w:t>83</w:t>
      </w:r>
    </w:p>
    <w:p w14:paraId="3C838FB5">
      <w:pPr>
        <w:pStyle w:val="76"/>
        <w:tabs>
          <w:tab w:val="right" w:leader="dot" w:pos="9736"/>
        </w:tabs>
        <w:spacing w:line="800" w:lineRule="exact"/>
        <w:rPr>
          <w:rStyle w:val="105"/>
          <w:rFonts w:hint="default"/>
          <w:color w:val="auto"/>
          <w:sz w:val="22"/>
          <w:highlight w:val="none"/>
          <w:lang w:val="en-US"/>
        </w:rPr>
      </w:pPr>
      <w:r>
        <w:rPr>
          <w:rStyle w:val="105"/>
          <w:color w:val="auto"/>
          <w:sz w:val="22"/>
          <w:highlight w:val="none"/>
        </w:rPr>
        <w:fldChar w:fldCharType="begin"/>
      </w:r>
      <w:r>
        <w:rPr>
          <w:rStyle w:val="105"/>
          <w:color w:val="auto"/>
          <w:sz w:val="22"/>
          <w:highlight w:val="none"/>
        </w:rPr>
        <w:instrText xml:space="preserve"> </w:instrText>
      </w:r>
      <w:r>
        <w:rPr>
          <w:color w:val="auto"/>
          <w:sz w:val="22"/>
          <w:highlight w:val="none"/>
        </w:rPr>
        <w:instrText xml:space="preserve">HYPERLINK \l "_Toc105654869"</w:instrText>
      </w:r>
      <w:r>
        <w:rPr>
          <w:rStyle w:val="105"/>
          <w:color w:val="auto"/>
          <w:sz w:val="22"/>
          <w:highlight w:val="none"/>
        </w:rPr>
        <w:instrText xml:space="preserve"> </w:instrText>
      </w:r>
      <w:r>
        <w:rPr>
          <w:rStyle w:val="105"/>
          <w:color w:val="auto"/>
          <w:sz w:val="22"/>
          <w:highlight w:val="none"/>
        </w:rPr>
        <w:fldChar w:fldCharType="separate"/>
      </w:r>
      <w:r>
        <w:rPr>
          <w:rStyle w:val="105"/>
          <w:rFonts w:hint="eastAsia" w:ascii="宋体" w:hAnsi="宋体"/>
          <w:color w:val="auto"/>
          <w:sz w:val="22"/>
          <w:highlight w:val="none"/>
        </w:rPr>
        <w:t>第六章</w:t>
      </w:r>
      <w:r>
        <w:rPr>
          <w:rStyle w:val="105"/>
          <w:rFonts w:ascii="宋体" w:hAnsi="宋体"/>
          <w:color w:val="auto"/>
          <w:sz w:val="22"/>
          <w:highlight w:val="none"/>
        </w:rPr>
        <w:t xml:space="preserve"> </w:t>
      </w:r>
      <w:r>
        <w:rPr>
          <w:rStyle w:val="105"/>
          <w:rFonts w:hint="eastAsia" w:ascii="宋体" w:hAnsi="宋体"/>
          <w:color w:val="auto"/>
          <w:sz w:val="22"/>
          <w:highlight w:val="none"/>
          <w:lang w:val="en-US" w:eastAsia="zh-CN"/>
        </w:rPr>
        <w:t xml:space="preserve"> </w:t>
      </w:r>
      <w:r>
        <w:rPr>
          <w:rStyle w:val="105"/>
          <w:rFonts w:hint="eastAsia" w:ascii="宋体" w:hAnsi="宋体"/>
          <w:color w:val="auto"/>
          <w:sz w:val="22"/>
          <w:highlight w:val="none"/>
        </w:rPr>
        <w:t>图</w:t>
      </w:r>
      <w:r>
        <w:rPr>
          <w:rStyle w:val="105"/>
          <w:rFonts w:ascii="宋体" w:hAnsi="宋体"/>
          <w:color w:val="auto"/>
          <w:sz w:val="22"/>
          <w:highlight w:val="none"/>
        </w:rPr>
        <w:t xml:space="preserve"> </w:t>
      </w:r>
      <w:r>
        <w:rPr>
          <w:rStyle w:val="105"/>
          <w:rFonts w:hint="eastAsia" w:ascii="宋体" w:hAnsi="宋体"/>
          <w:color w:val="auto"/>
          <w:sz w:val="22"/>
          <w:highlight w:val="none"/>
        </w:rPr>
        <w:t>纸</w:t>
      </w:r>
      <w:r>
        <w:rPr>
          <w:color w:val="auto"/>
          <w:sz w:val="22"/>
          <w:highlight w:val="none"/>
        </w:rPr>
        <w:tab/>
      </w:r>
      <w:r>
        <w:rPr>
          <w:rStyle w:val="105"/>
          <w:color w:val="auto"/>
          <w:sz w:val="22"/>
          <w:highlight w:val="none"/>
        </w:rPr>
        <w:fldChar w:fldCharType="end"/>
      </w:r>
      <w:r>
        <w:rPr>
          <w:rStyle w:val="105"/>
          <w:rFonts w:hint="eastAsia"/>
          <w:color w:val="auto"/>
          <w:sz w:val="22"/>
          <w:highlight w:val="none"/>
          <w:lang w:val="en-US" w:eastAsia="zh-CN"/>
        </w:rPr>
        <w:t>84</w:t>
      </w:r>
    </w:p>
    <w:p w14:paraId="3BB9F0D7">
      <w:pPr>
        <w:pStyle w:val="76"/>
        <w:tabs>
          <w:tab w:val="right" w:leader="dot" w:pos="9736"/>
        </w:tabs>
        <w:spacing w:line="800" w:lineRule="exact"/>
        <w:rPr>
          <w:rStyle w:val="105"/>
          <w:rFonts w:hint="default"/>
          <w:color w:val="auto"/>
          <w:sz w:val="22"/>
          <w:highlight w:val="none"/>
          <w:lang w:val="en-US"/>
        </w:rPr>
      </w:pPr>
      <w:r>
        <w:rPr>
          <w:rStyle w:val="105"/>
          <w:color w:val="auto"/>
          <w:sz w:val="22"/>
          <w:highlight w:val="none"/>
        </w:rPr>
        <w:fldChar w:fldCharType="begin"/>
      </w:r>
      <w:r>
        <w:rPr>
          <w:rStyle w:val="105"/>
          <w:color w:val="auto"/>
          <w:sz w:val="22"/>
          <w:highlight w:val="none"/>
        </w:rPr>
        <w:instrText xml:space="preserve"> </w:instrText>
      </w:r>
      <w:r>
        <w:rPr>
          <w:color w:val="auto"/>
          <w:sz w:val="22"/>
          <w:highlight w:val="none"/>
        </w:rPr>
        <w:instrText xml:space="preserve">HYPERLINK \l "_Toc105654871"</w:instrText>
      </w:r>
      <w:r>
        <w:rPr>
          <w:rStyle w:val="105"/>
          <w:color w:val="auto"/>
          <w:sz w:val="22"/>
          <w:highlight w:val="none"/>
        </w:rPr>
        <w:instrText xml:space="preserve"> </w:instrText>
      </w:r>
      <w:r>
        <w:rPr>
          <w:rStyle w:val="105"/>
          <w:color w:val="auto"/>
          <w:sz w:val="22"/>
          <w:highlight w:val="none"/>
        </w:rPr>
        <w:fldChar w:fldCharType="separate"/>
      </w:r>
      <w:r>
        <w:rPr>
          <w:rStyle w:val="105"/>
          <w:rFonts w:hint="eastAsia" w:ascii="宋体" w:hAnsi="宋体"/>
          <w:color w:val="auto"/>
          <w:sz w:val="22"/>
          <w:highlight w:val="none"/>
        </w:rPr>
        <w:t>第</w:t>
      </w:r>
      <w:r>
        <w:rPr>
          <w:rStyle w:val="105"/>
          <w:rFonts w:hint="eastAsia" w:ascii="宋体" w:hAnsi="宋体"/>
          <w:color w:val="auto"/>
          <w:sz w:val="22"/>
          <w:highlight w:val="none"/>
          <w:lang w:val="en-US" w:eastAsia="zh-CN"/>
        </w:rPr>
        <w:t>七</w:t>
      </w:r>
      <w:r>
        <w:rPr>
          <w:rStyle w:val="105"/>
          <w:rFonts w:hint="eastAsia" w:ascii="宋体" w:hAnsi="宋体"/>
          <w:color w:val="auto"/>
          <w:sz w:val="22"/>
          <w:highlight w:val="none"/>
        </w:rPr>
        <w:t>章</w:t>
      </w:r>
      <w:r>
        <w:rPr>
          <w:rStyle w:val="105"/>
          <w:rFonts w:ascii="宋体" w:hAnsi="宋体"/>
          <w:color w:val="auto"/>
          <w:sz w:val="22"/>
          <w:highlight w:val="none"/>
        </w:rPr>
        <w:t xml:space="preserve">  </w:t>
      </w:r>
      <w:r>
        <w:rPr>
          <w:rStyle w:val="105"/>
          <w:rFonts w:hint="eastAsia" w:ascii="宋体" w:hAnsi="宋体"/>
          <w:color w:val="auto"/>
          <w:sz w:val="22"/>
          <w:highlight w:val="none"/>
          <w:lang w:eastAsia="zh-CN"/>
        </w:rPr>
        <w:t>响应文件</w:t>
      </w:r>
      <w:r>
        <w:rPr>
          <w:rStyle w:val="105"/>
          <w:rFonts w:hint="eastAsia" w:ascii="宋体" w:hAnsi="宋体"/>
          <w:color w:val="auto"/>
          <w:sz w:val="22"/>
          <w:highlight w:val="none"/>
        </w:rPr>
        <w:t>格式</w:t>
      </w:r>
      <w:r>
        <w:rPr>
          <w:color w:val="auto"/>
          <w:sz w:val="22"/>
          <w:highlight w:val="none"/>
        </w:rPr>
        <w:tab/>
      </w:r>
      <w:r>
        <w:rPr>
          <w:rStyle w:val="105"/>
          <w:color w:val="auto"/>
          <w:sz w:val="22"/>
          <w:highlight w:val="none"/>
        </w:rPr>
        <w:fldChar w:fldCharType="end"/>
      </w:r>
      <w:r>
        <w:rPr>
          <w:rStyle w:val="105"/>
          <w:rFonts w:hint="eastAsia"/>
          <w:color w:val="auto"/>
          <w:sz w:val="22"/>
          <w:highlight w:val="none"/>
          <w:lang w:val="en-US" w:eastAsia="zh-CN"/>
        </w:rPr>
        <w:t>85</w:t>
      </w:r>
    </w:p>
    <w:p w14:paraId="07DA731F">
      <w:pPr>
        <w:spacing w:line="800" w:lineRule="exact"/>
        <w:rPr>
          <w:rFonts w:ascii="宋体" w:hAnsi="宋体"/>
          <w:b/>
          <w:bCs/>
          <w:color w:val="auto"/>
          <w:sz w:val="32"/>
          <w:highlight w:val="none"/>
          <w:lang w:val="zh-CN"/>
        </w:rPr>
        <w:sectPr>
          <w:headerReference r:id="rId6" w:type="first"/>
          <w:headerReference r:id="rId5" w:type="default"/>
          <w:pgSz w:w="11906" w:h="16838"/>
          <w:pgMar w:top="1440" w:right="1080" w:bottom="1440" w:left="1080" w:header="851" w:footer="992" w:gutter="0"/>
          <w:pgNumType w:start="1"/>
          <w:cols w:space="720" w:num="1"/>
          <w:docGrid w:linePitch="312" w:charSpace="0"/>
        </w:sectPr>
      </w:pPr>
      <w:r>
        <w:rPr>
          <w:rFonts w:ascii="宋体" w:hAnsi="宋体"/>
          <w:b/>
          <w:bCs/>
          <w:color w:val="auto"/>
          <w:sz w:val="32"/>
          <w:highlight w:val="none"/>
          <w:lang w:val="zh-CN"/>
        </w:rPr>
        <w:fldChar w:fldCharType="end"/>
      </w:r>
    </w:p>
    <w:p w14:paraId="6205CB1D">
      <w:pPr>
        <w:numPr>
          <w:ilvl w:val="0"/>
          <w:numId w:val="1"/>
        </w:numPr>
        <w:jc w:val="center"/>
        <w:rPr>
          <w:rFonts w:hint="eastAsia" w:ascii="宋体" w:hAnsi="宋体" w:eastAsia="宋体"/>
          <w:b w:val="0"/>
          <w:bCs/>
          <w:color w:val="auto"/>
          <w:sz w:val="32"/>
          <w:szCs w:val="32"/>
          <w:highlight w:val="none"/>
          <w:lang w:eastAsia="en-US"/>
        </w:rPr>
      </w:pPr>
      <w:bookmarkStart w:id="0" w:name="_Toc105654848"/>
      <w:bookmarkStart w:id="1" w:name="_Toc522273558"/>
      <w:bookmarkStart w:id="2" w:name="_Toc22607"/>
      <w:bookmarkStart w:id="3" w:name="_Toc24456"/>
      <w:bookmarkStart w:id="4" w:name="_Toc228253491"/>
      <w:r>
        <w:rPr>
          <w:rFonts w:hint="eastAsia" w:ascii="宋体" w:hAnsi="宋体"/>
          <w:b w:val="0"/>
          <w:bCs/>
          <w:color w:val="auto"/>
          <w:sz w:val="32"/>
          <w:szCs w:val="32"/>
          <w:highlight w:val="none"/>
          <w:lang w:val="en-US" w:eastAsia="zh-CN"/>
        </w:rPr>
        <w:t>磋商</w:t>
      </w:r>
      <w:r>
        <w:rPr>
          <w:rFonts w:hint="eastAsia" w:ascii="宋体" w:hAnsi="宋体" w:eastAsia="宋体"/>
          <w:b w:val="0"/>
          <w:bCs/>
          <w:color w:val="auto"/>
          <w:sz w:val="32"/>
          <w:szCs w:val="32"/>
          <w:highlight w:val="none"/>
          <w:lang w:eastAsia="en-US"/>
        </w:rPr>
        <w:t xml:space="preserve">公告 </w:t>
      </w:r>
    </w:p>
    <w:p w14:paraId="5EACE68D">
      <w:pPr>
        <w:pStyle w:val="9"/>
        <w:keepNext w:val="0"/>
        <w:keepLines w:val="0"/>
        <w:pageBreakBefore w:val="0"/>
        <w:kinsoku/>
        <w:wordWrap/>
        <w:overflowPunct/>
        <w:topLinePunct w:val="0"/>
        <w:bidi w:val="0"/>
        <w:snapToGrid/>
        <w:spacing w:line="480" w:lineRule="auto"/>
        <w:rPr>
          <w:rFonts w:hint="eastAsia" w:ascii="宋体" w:hAnsi="宋体" w:eastAsia="宋体"/>
          <w:b w:val="0"/>
          <w:bCs/>
          <w:color w:val="auto"/>
          <w:highlight w:val="none"/>
        </w:rPr>
      </w:pPr>
      <w:r>
        <w:rPr>
          <w:rFonts w:hint="eastAsia" w:ascii="宋体" w:hAnsi="宋体" w:eastAsia="宋体"/>
          <w:b w:val="0"/>
          <w:bCs/>
          <w:color w:val="auto"/>
          <w:highlight w:val="none"/>
        </w:rPr>
        <w:t>项目概况：</w:t>
      </w:r>
    </w:p>
    <w:p w14:paraId="2BFAB81C">
      <w:pPr>
        <w:pStyle w:val="9"/>
        <w:keepNext w:val="0"/>
        <w:keepLines w:val="0"/>
        <w:pageBreakBefore w:val="0"/>
        <w:kinsoku/>
        <w:wordWrap/>
        <w:overflowPunct/>
        <w:topLinePunct w:val="0"/>
        <w:bidi w:val="0"/>
        <w:snapToGrid/>
        <w:spacing w:line="480" w:lineRule="auto"/>
        <w:ind w:firstLine="480" w:firstLineChars="200"/>
        <w:rPr>
          <w:rFonts w:hint="eastAsia" w:ascii="宋体" w:hAnsi="宋体" w:eastAsia="宋体"/>
          <w:b w:val="0"/>
          <w:bCs/>
          <w:color w:val="auto"/>
          <w:highlight w:val="none"/>
        </w:rPr>
      </w:pPr>
      <w:r>
        <w:rPr>
          <w:rFonts w:hint="eastAsia" w:hAnsi="宋体"/>
          <w:b w:val="0"/>
          <w:bCs/>
          <w:color w:val="auto"/>
          <w:highlight w:val="none"/>
          <w:lang w:eastAsia="zh-CN"/>
        </w:rPr>
        <w:t>2025年湖滨区农村公路路网改建项目</w:t>
      </w:r>
      <w:r>
        <w:rPr>
          <w:rFonts w:hint="eastAsia" w:ascii="宋体" w:hAnsi="宋体" w:eastAsia="宋体"/>
          <w:b w:val="0"/>
          <w:bCs/>
          <w:color w:val="auto"/>
          <w:highlight w:val="none"/>
        </w:rPr>
        <w:t>的潜在供应商凭CA登录三门峡市公共资源交易中心网获取本项目</w:t>
      </w:r>
      <w:r>
        <w:rPr>
          <w:rFonts w:hint="eastAsia" w:hAnsi="宋体"/>
          <w:b w:val="0"/>
          <w:bCs/>
          <w:color w:val="auto"/>
          <w:highlight w:val="none"/>
          <w:lang w:val="en-US" w:eastAsia="zh-CN"/>
        </w:rPr>
        <w:t>磋商文件</w:t>
      </w:r>
      <w:r>
        <w:rPr>
          <w:rFonts w:hint="eastAsia" w:ascii="宋体" w:hAnsi="宋体" w:eastAsia="宋体"/>
          <w:b w:val="0"/>
          <w:bCs/>
          <w:color w:val="auto"/>
          <w:highlight w:val="none"/>
        </w:rPr>
        <w:t>，并于</w:t>
      </w:r>
      <w:r>
        <w:rPr>
          <w:rFonts w:hint="eastAsia" w:hAnsi="宋体"/>
          <w:b w:val="0"/>
          <w:bCs/>
          <w:color w:val="auto"/>
          <w:highlight w:val="none"/>
          <w:lang w:val="en-US" w:eastAsia="zh-CN"/>
        </w:rPr>
        <w:t>2025</w:t>
      </w:r>
      <w:r>
        <w:rPr>
          <w:rFonts w:hint="eastAsia" w:ascii="宋体" w:hAnsi="宋体" w:eastAsia="宋体"/>
          <w:b w:val="0"/>
          <w:bCs/>
          <w:color w:val="auto"/>
          <w:highlight w:val="none"/>
        </w:rPr>
        <w:t>年</w:t>
      </w:r>
      <w:r>
        <w:rPr>
          <w:rFonts w:hint="eastAsia" w:hAnsi="宋体"/>
          <w:b w:val="0"/>
          <w:bCs/>
          <w:color w:val="auto"/>
          <w:highlight w:val="none"/>
          <w:lang w:val="en-US" w:eastAsia="zh-CN"/>
        </w:rPr>
        <w:t>9</w:t>
      </w:r>
      <w:r>
        <w:rPr>
          <w:rFonts w:hint="eastAsia" w:ascii="宋体" w:hAnsi="宋体" w:eastAsia="宋体"/>
          <w:b w:val="0"/>
          <w:bCs/>
          <w:color w:val="auto"/>
          <w:highlight w:val="none"/>
        </w:rPr>
        <w:t>月</w:t>
      </w:r>
      <w:r>
        <w:rPr>
          <w:rFonts w:hint="eastAsia" w:hAnsi="宋体"/>
          <w:b w:val="0"/>
          <w:bCs/>
          <w:color w:val="auto"/>
          <w:highlight w:val="none"/>
          <w:lang w:val="en-US" w:eastAsia="zh-CN"/>
        </w:rPr>
        <w:t>30</w:t>
      </w:r>
      <w:r>
        <w:rPr>
          <w:rFonts w:hint="eastAsia" w:ascii="宋体" w:hAnsi="宋体" w:eastAsia="宋体"/>
          <w:b w:val="0"/>
          <w:bCs/>
          <w:color w:val="auto"/>
          <w:highlight w:val="none"/>
        </w:rPr>
        <w:t>日</w:t>
      </w:r>
      <w:r>
        <w:rPr>
          <w:rFonts w:hint="eastAsia" w:hAnsi="宋体"/>
          <w:b w:val="0"/>
          <w:bCs/>
          <w:color w:val="auto"/>
          <w:highlight w:val="none"/>
          <w:lang w:val="en-US" w:eastAsia="zh-CN"/>
        </w:rPr>
        <w:t>9</w:t>
      </w:r>
      <w:r>
        <w:rPr>
          <w:rFonts w:hint="eastAsia" w:ascii="宋体" w:hAnsi="宋体" w:eastAsia="宋体"/>
          <w:b w:val="0"/>
          <w:bCs/>
          <w:color w:val="auto"/>
          <w:highlight w:val="none"/>
        </w:rPr>
        <w:t>时</w:t>
      </w:r>
      <w:r>
        <w:rPr>
          <w:rFonts w:hint="eastAsia" w:hAnsi="宋体"/>
          <w:b w:val="0"/>
          <w:bCs/>
          <w:color w:val="auto"/>
          <w:highlight w:val="none"/>
          <w:lang w:val="en-US" w:eastAsia="zh-CN"/>
        </w:rPr>
        <w:t>0</w:t>
      </w:r>
      <w:r>
        <w:rPr>
          <w:rFonts w:hint="eastAsia" w:ascii="宋体" w:hAnsi="宋体" w:eastAsia="宋体"/>
          <w:b w:val="0"/>
          <w:bCs/>
          <w:color w:val="auto"/>
          <w:highlight w:val="none"/>
        </w:rPr>
        <w:t>0分（北京时间）前提交响应文件。</w:t>
      </w:r>
    </w:p>
    <w:p w14:paraId="1D1A6A6C">
      <w:pPr>
        <w:pStyle w:val="9"/>
        <w:keepNext w:val="0"/>
        <w:keepLines w:val="0"/>
        <w:pageBreakBefore w:val="0"/>
        <w:kinsoku/>
        <w:wordWrap/>
        <w:overflowPunct/>
        <w:topLinePunct w:val="0"/>
        <w:bidi w:val="0"/>
        <w:snapToGrid/>
        <w:spacing w:line="480" w:lineRule="auto"/>
        <w:ind w:firstLine="480" w:firstLineChars="200"/>
        <w:rPr>
          <w:rFonts w:hint="eastAsia" w:ascii="宋体" w:hAnsi="宋体" w:eastAsia="宋体"/>
          <w:b w:val="0"/>
          <w:bCs/>
          <w:color w:val="auto"/>
          <w:highlight w:val="none"/>
        </w:rPr>
      </w:pPr>
      <w:r>
        <w:rPr>
          <w:rFonts w:hint="eastAsia" w:ascii="宋体" w:hAnsi="宋体" w:eastAsia="宋体"/>
          <w:b w:val="0"/>
          <w:bCs/>
          <w:color w:val="auto"/>
          <w:highlight w:val="none"/>
        </w:rPr>
        <w:t>一、项目基本情况</w:t>
      </w:r>
    </w:p>
    <w:p w14:paraId="4243A327">
      <w:pPr>
        <w:pStyle w:val="9"/>
        <w:keepNext w:val="0"/>
        <w:keepLines w:val="0"/>
        <w:pageBreakBefore w:val="0"/>
        <w:kinsoku/>
        <w:wordWrap/>
        <w:overflowPunct/>
        <w:topLinePunct w:val="0"/>
        <w:bidi w:val="0"/>
        <w:snapToGrid/>
        <w:spacing w:line="480" w:lineRule="auto"/>
        <w:ind w:firstLine="480" w:firstLineChars="200"/>
        <w:rPr>
          <w:rFonts w:hint="eastAsia" w:ascii="宋体" w:hAnsi="宋体" w:eastAsia="宋体"/>
          <w:b w:val="0"/>
          <w:bCs/>
          <w:color w:val="auto"/>
          <w:highlight w:val="none"/>
        </w:rPr>
      </w:pPr>
      <w:r>
        <w:rPr>
          <w:rFonts w:hint="eastAsia" w:ascii="宋体" w:hAnsi="宋体" w:eastAsia="宋体"/>
          <w:b w:val="0"/>
          <w:bCs/>
          <w:color w:val="auto"/>
          <w:highlight w:val="none"/>
        </w:rPr>
        <w:t>1.</w:t>
      </w:r>
      <w:r>
        <w:rPr>
          <w:rFonts w:hint="eastAsia" w:ascii="宋体" w:hAnsi="宋体" w:eastAsia="宋体"/>
          <w:b w:val="0"/>
          <w:bCs/>
          <w:color w:val="auto"/>
          <w:highlight w:val="none"/>
          <w:lang w:val="en-US" w:eastAsia="zh-CN"/>
        </w:rPr>
        <w:t>采购</w:t>
      </w:r>
      <w:r>
        <w:rPr>
          <w:rFonts w:hint="eastAsia" w:ascii="宋体" w:hAnsi="宋体" w:eastAsia="宋体"/>
          <w:b w:val="0"/>
          <w:bCs/>
          <w:color w:val="auto"/>
          <w:highlight w:val="none"/>
        </w:rPr>
        <w:t>项目编号:湖滨竞磋采购-2025-21</w:t>
      </w:r>
    </w:p>
    <w:p w14:paraId="03580E0C">
      <w:pPr>
        <w:pStyle w:val="9"/>
        <w:keepNext w:val="0"/>
        <w:keepLines w:val="0"/>
        <w:pageBreakBefore w:val="0"/>
        <w:kinsoku/>
        <w:wordWrap/>
        <w:overflowPunct/>
        <w:topLinePunct w:val="0"/>
        <w:bidi w:val="0"/>
        <w:snapToGrid/>
        <w:spacing w:line="480" w:lineRule="auto"/>
        <w:ind w:firstLine="480" w:firstLineChars="200"/>
        <w:rPr>
          <w:rFonts w:hint="eastAsia" w:ascii="宋体" w:hAnsi="宋体" w:eastAsia="宋体"/>
          <w:b w:val="0"/>
          <w:bCs/>
          <w:color w:val="auto"/>
          <w:highlight w:val="none"/>
        </w:rPr>
      </w:pPr>
      <w:r>
        <w:rPr>
          <w:rFonts w:hint="eastAsia" w:ascii="宋体" w:hAnsi="宋体" w:eastAsia="宋体"/>
          <w:b w:val="0"/>
          <w:bCs/>
          <w:color w:val="auto"/>
          <w:highlight w:val="none"/>
        </w:rPr>
        <w:t>2.</w:t>
      </w:r>
      <w:r>
        <w:rPr>
          <w:rFonts w:hint="eastAsia" w:ascii="宋体" w:hAnsi="宋体" w:eastAsia="宋体"/>
          <w:b w:val="0"/>
          <w:bCs/>
          <w:color w:val="auto"/>
          <w:highlight w:val="none"/>
          <w:lang w:val="en-US" w:eastAsia="zh-CN"/>
        </w:rPr>
        <w:t>采购</w:t>
      </w:r>
      <w:r>
        <w:rPr>
          <w:rFonts w:hint="eastAsia" w:ascii="宋体" w:hAnsi="宋体" w:eastAsia="宋体"/>
          <w:b w:val="0"/>
          <w:bCs/>
          <w:color w:val="auto"/>
          <w:highlight w:val="none"/>
        </w:rPr>
        <w:t>项目名称：</w:t>
      </w:r>
      <w:r>
        <w:rPr>
          <w:rFonts w:hint="eastAsia" w:hAnsi="宋体"/>
          <w:b w:val="0"/>
          <w:bCs/>
          <w:color w:val="auto"/>
          <w:highlight w:val="none"/>
          <w:lang w:eastAsia="zh-CN"/>
        </w:rPr>
        <w:t>2025年湖滨区农村公路路网改建项目</w:t>
      </w:r>
    </w:p>
    <w:p w14:paraId="28CB9B05">
      <w:pPr>
        <w:pStyle w:val="9"/>
        <w:keepNext w:val="0"/>
        <w:keepLines w:val="0"/>
        <w:pageBreakBefore w:val="0"/>
        <w:kinsoku/>
        <w:wordWrap/>
        <w:overflowPunct/>
        <w:topLinePunct w:val="0"/>
        <w:bidi w:val="0"/>
        <w:snapToGrid/>
        <w:spacing w:line="480" w:lineRule="auto"/>
        <w:ind w:firstLine="480" w:firstLineChars="200"/>
        <w:rPr>
          <w:rFonts w:hint="eastAsia" w:ascii="宋体" w:hAnsi="宋体" w:eastAsia="宋体"/>
          <w:b w:val="0"/>
          <w:bCs/>
          <w:color w:val="auto"/>
          <w:highlight w:val="none"/>
        </w:rPr>
      </w:pPr>
      <w:r>
        <w:rPr>
          <w:rFonts w:hint="eastAsia" w:ascii="宋体" w:hAnsi="宋体" w:eastAsia="宋体"/>
          <w:b w:val="0"/>
          <w:bCs/>
          <w:color w:val="auto"/>
          <w:highlight w:val="none"/>
        </w:rPr>
        <w:t>3.采购方式：</w:t>
      </w:r>
      <w:r>
        <w:rPr>
          <w:rFonts w:hint="eastAsia" w:ascii="宋体" w:hAnsi="宋体" w:eastAsia="宋体"/>
          <w:b w:val="0"/>
          <w:bCs/>
          <w:color w:val="auto"/>
          <w:highlight w:val="none"/>
          <w:lang w:val="en-US" w:eastAsia="zh-CN"/>
        </w:rPr>
        <w:t>竞争性磋商</w:t>
      </w:r>
    </w:p>
    <w:p w14:paraId="4A0F393F">
      <w:pPr>
        <w:pStyle w:val="9"/>
        <w:keepNext w:val="0"/>
        <w:keepLines w:val="0"/>
        <w:pageBreakBefore w:val="0"/>
        <w:kinsoku/>
        <w:wordWrap/>
        <w:overflowPunct/>
        <w:topLinePunct w:val="0"/>
        <w:bidi w:val="0"/>
        <w:snapToGrid/>
        <w:spacing w:line="480" w:lineRule="auto"/>
        <w:ind w:firstLine="480" w:firstLineChars="200"/>
        <w:rPr>
          <w:rFonts w:hint="eastAsia" w:ascii="宋体" w:hAnsi="宋体" w:eastAsia="宋体"/>
          <w:b w:val="0"/>
          <w:bCs/>
          <w:color w:val="auto"/>
          <w:highlight w:val="none"/>
        </w:rPr>
      </w:pPr>
      <w:r>
        <w:rPr>
          <w:rFonts w:hint="eastAsia" w:ascii="宋体" w:hAnsi="宋体" w:eastAsia="宋体"/>
          <w:b w:val="0"/>
          <w:bCs/>
          <w:color w:val="auto"/>
          <w:highlight w:val="none"/>
        </w:rPr>
        <w:t>4.预算金额：3004076.49元</w:t>
      </w:r>
    </w:p>
    <w:p w14:paraId="649ED0F8">
      <w:pPr>
        <w:pStyle w:val="9"/>
        <w:keepNext w:val="0"/>
        <w:keepLines w:val="0"/>
        <w:pageBreakBefore w:val="0"/>
        <w:kinsoku/>
        <w:wordWrap/>
        <w:overflowPunct/>
        <w:topLinePunct w:val="0"/>
        <w:bidi w:val="0"/>
        <w:snapToGrid/>
        <w:spacing w:line="480" w:lineRule="auto"/>
        <w:ind w:firstLine="720" w:firstLineChars="300"/>
        <w:rPr>
          <w:rFonts w:hint="eastAsia" w:ascii="宋体" w:hAnsi="宋体" w:eastAsia="宋体"/>
          <w:b w:val="0"/>
          <w:bCs/>
          <w:color w:val="auto"/>
          <w:highlight w:val="none"/>
        </w:rPr>
      </w:pPr>
      <w:r>
        <w:rPr>
          <w:rFonts w:hint="eastAsia" w:ascii="宋体" w:hAnsi="宋体" w:eastAsia="宋体"/>
          <w:b w:val="0"/>
          <w:bCs/>
          <w:color w:val="auto"/>
          <w:highlight w:val="none"/>
        </w:rPr>
        <w:t>最高限价：3004076.49元</w:t>
      </w:r>
    </w:p>
    <w:tbl>
      <w:tblPr>
        <w:tblStyle w:val="12"/>
        <w:tblW w:w="9540"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50"/>
        <w:gridCol w:w="2695"/>
        <w:gridCol w:w="2538"/>
        <w:gridCol w:w="1559"/>
        <w:gridCol w:w="1998"/>
      </w:tblGrid>
      <w:tr w14:paraId="33B618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50" w:type="dxa"/>
            <w:vAlign w:val="center"/>
          </w:tcPr>
          <w:p w14:paraId="07A01C3A">
            <w:pPr>
              <w:keepNext w:val="0"/>
              <w:keepLines w:val="0"/>
              <w:pageBreakBefore w:val="0"/>
              <w:widowControl/>
              <w:kinsoku/>
              <w:wordWrap/>
              <w:overflowPunct/>
              <w:topLinePunct w:val="0"/>
              <w:bidi w:val="0"/>
              <w:snapToGrid/>
              <w:spacing w:line="480" w:lineRule="auto"/>
              <w:jc w:val="center"/>
              <w:rPr>
                <w:rFonts w:ascii="宋体" w:hAnsi="宋体"/>
                <w:color w:val="auto"/>
                <w:kern w:val="0"/>
                <w:sz w:val="24"/>
                <w:szCs w:val="24"/>
                <w:highlight w:val="none"/>
              </w:rPr>
            </w:pPr>
            <w:r>
              <w:rPr>
                <w:rFonts w:ascii="宋体" w:hAnsi="宋体"/>
                <w:color w:val="auto"/>
                <w:kern w:val="0"/>
                <w:sz w:val="24"/>
                <w:szCs w:val="24"/>
                <w:highlight w:val="none"/>
              </w:rPr>
              <w:t>序号</w:t>
            </w:r>
          </w:p>
        </w:tc>
        <w:tc>
          <w:tcPr>
            <w:tcW w:w="2695" w:type="dxa"/>
            <w:vAlign w:val="center"/>
          </w:tcPr>
          <w:p w14:paraId="322748F8">
            <w:pPr>
              <w:keepNext w:val="0"/>
              <w:keepLines w:val="0"/>
              <w:pageBreakBefore w:val="0"/>
              <w:widowControl/>
              <w:kinsoku/>
              <w:wordWrap/>
              <w:overflowPunct/>
              <w:topLinePunct w:val="0"/>
              <w:bidi w:val="0"/>
              <w:snapToGrid/>
              <w:spacing w:line="480" w:lineRule="auto"/>
              <w:jc w:val="center"/>
              <w:rPr>
                <w:rFonts w:hint="eastAsia" w:ascii="宋体" w:hAnsi="宋体"/>
                <w:color w:val="auto"/>
                <w:kern w:val="0"/>
                <w:sz w:val="24"/>
                <w:szCs w:val="24"/>
                <w:highlight w:val="none"/>
              </w:rPr>
            </w:pPr>
            <w:r>
              <w:rPr>
                <w:rFonts w:hint="eastAsia" w:ascii="宋体" w:hAnsi="宋体"/>
                <w:color w:val="auto"/>
                <w:kern w:val="0"/>
                <w:sz w:val="24"/>
                <w:szCs w:val="24"/>
                <w:highlight w:val="none"/>
              </w:rPr>
              <w:t>包号</w:t>
            </w:r>
          </w:p>
        </w:tc>
        <w:tc>
          <w:tcPr>
            <w:tcW w:w="2538" w:type="dxa"/>
            <w:vAlign w:val="center"/>
          </w:tcPr>
          <w:p w14:paraId="357AA39E">
            <w:pPr>
              <w:keepNext w:val="0"/>
              <w:keepLines w:val="0"/>
              <w:pageBreakBefore w:val="0"/>
              <w:widowControl/>
              <w:kinsoku/>
              <w:wordWrap/>
              <w:overflowPunct/>
              <w:topLinePunct w:val="0"/>
              <w:bidi w:val="0"/>
              <w:snapToGrid/>
              <w:spacing w:line="480" w:lineRule="auto"/>
              <w:jc w:val="center"/>
              <w:rPr>
                <w:rFonts w:hint="eastAsia" w:ascii="宋体" w:hAnsi="宋体"/>
                <w:color w:val="auto"/>
                <w:kern w:val="0"/>
                <w:sz w:val="24"/>
                <w:szCs w:val="24"/>
                <w:highlight w:val="none"/>
              </w:rPr>
            </w:pPr>
            <w:r>
              <w:rPr>
                <w:rFonts w:hint="eastAsia" w:ascii="宋体" w:hAnsi="宋体"/>
                <w:color w:val="auto"/>
                <w:kern w:val="0"/>
                <w:sz w:val="24"/>
                <w:szCs w:val="24"/>
                <w:highlight w:val="none"/>
              </w:rPr>
              <w:t>包名称</w:t>
            </w:r>
          </w:p>
        </w:tc>
        <w:tc>
          <w:tcPr>
            <w:tcW w:w="1559" w:type="dxa"/>
            <w:vAlign w:val="center"/>
          </w:tcPr>
          <w:p w14:paraId="232E58B9">
            <w:pPr>
              <w:keepNext w:val="0"/>
              <w:keepLines w:val="0"/>
              <w:pageBreakBefore w:val="0"/>
              <w:widowControl/>
              <w:kinsoku/>
              <w:wordWrap/>
              <w:overflowPunct/>
              <w:topLinePunct w:val="0"/>
              <w:bidi w:val="0"/>
              <w:snapToGrid/>
              <w:spacing w:line="480" w:lineRule="auto"/>
              <w:jc w:val="center"/>
              <w:rPr>
                <w:rFonts w:hint="eastAsia" w:ascii="宋体" w:hAnsi="宋体"/>
                <w:color w:val="auto"/>
                <w:kern w:val="0"/>
                <w:sz w:val="24"/>
                <w:szCs w:val="24"/>
                <w:highlight w:val="none"/>
              </w:rPr>
            </w:pPr>
            <w:r>
              <w:rPr>
                <w:rFonts w:hint="eastAsia" w:ascii="宋体" w:hAnsi="宋体"/>
                <w:color w:val="auto"/>
                <w:kern w:val="0"/>
                <w:sz w:val="24"/>
                <w:szCs w:val="24"/>
                <w:highlight w:val="none"/>
              </w:rPr>
              <w:t>包预算（元）</w:t>
            </w:r>
          </w:p>
        </w:tc>
        <w:tc>
          <w:tcPr>
            <w:tcW w:w="1998" w:type="dxa"/>
            <w:vAlign w:val="center"/>
          </w:tcPr>
          <w:p w14:paraId="306DCF35">
            <w:pPr>
              <w:keepNext w:val="0"/>
              <w:keepLines w:val="0"/>
              <w:pageBreakBefore w:val="0"/>
              <w:widowControl/>
              <w:kinsoku/>
              <w:wordWrap/>
              <w:overflowPunct/>
              <w:topLinePunct w:val="0"/>
              <w:bidi w:val="0"/>
              <w:snapToGrid/>
              <w:spacing w:line="480" w:lineRule="auto"/>
              <w:jc w:val="center"/>
              <w:rPr>
                <w:rFonts w:hint="eastAsia" w:ascii="宋体" w:hAnsi="宋体"/>
                <w:color w:val="auto"/>
                <w:kern w:val="0"/>
                <w:sz w:val="24"/>
                <w:szCs w:val="24"/>
                <w:highlight w:val="none"/>
              </w:rPr>
            </w:pPr>
            <w:r>
              <w:rPr>
                <w:rFonts w:hint="eastAsia" w:ascii="宋体" w:hAnsi="宋体"/>
                <w:color w:val="auto"/>
                <w:kern w:val="0"/>
                <w:sz w:val="24"/>
                <w:szCs w:val="24"/>
                <w:highlight w:val="none"/>
              </w:rPr>
              <w:t>包最高限价</w:t>
            </w:r>
          </w:p>
          <w:p w14:paraId="0FADA43B">
            <w:pPr>
              <w:keepNext w:val="0"/>
              <w:keepLines w:val="0"/>
              <w:pageBreakBefore w:val="0"/>
              <w:widowControl/>
              <w:kinsoku/>
              <w:wordWrap/>
              <w:overflowPunct/>
              <w:topLinePunct w:val="0"/>
              <w:bidi w:val="0"/>
              <w:snapToGrid/>
              <w:spacing w:line="480" w:lineRule="auto"/>
              <w:jc w:val="center"/>
              <w:rPr>
                <w:rFonts w:hint="eastAsia" w:ascii="宋体" w:hAnsi="宋体"/>
                <w:color w:val="auto"/>
                <w:kern w:val="0"/>
                <w:sz w:val="24"/>
                <w:szCs w:val="24"/>
                <w:highlight w:val="none"/>
              </w:rPr>
            </w:pPr>
            <w:r>
              <w:rPr>
                <w:rFonts w:hint="eastAsia" w:ascii="宋体" w:hAnsi="宋体"/>
                <w:color w:val="auto"/>
                <w:kern w:val="0"/>
                <w:sz w:val="24"/>
                <w:szCs w:val="24"/>
                <w:highlight w:val="none"/>
              </w:rPr>
              <w:t>（</w:t>
            </w:r>
            <w:r>
              <w:rPr>
                <w:rFonts w:hint="eastAsia" w:ascii="宋体" w:hAnsi="宋体"/>
                <w:color w:val="auto"/>
                <w:kern w:val="0"/>
                <w:sz w:val="24"/>
                <w:szCs w:val="24"/>
                <w:highlight w:val="none"/>
                <w:lang w:val="en-US" w:eastAsia="zh-CN"/>
              </w:rPr>
              <w:t>元</w:t>
            </w:r>
            <w:r>
              <w:rPr>
                <w:rFonts w:hint="eastAsia" w:ascii="宋体" w:hAnsi="宋体"/>
                <w:color w:val="auto"/>
                <w:kern w:val="0"/>
                <w:sz w:val="24"/>
                <w:szCs w:val="24"/>
                <w:highlight w:val="none"/>
              </w:rPr>
              <w:t>）</w:t>
            </w:r>
          </w:p>
        </w:tc>
      </w:tr>
      <w:tr w14:paraId="181BDE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6" w:hRule="atLeast"/>
        </w:trPr>
        <w:tc>
          <w:tcPr>
            <w:tcW w:w="750" w:type="dxa"/>
            <w:vAlign w:val="center"/>
          </w:tcPr>
          <w:p w14:paraId="0DCCB4E7">
            <w:pPr>
              <w:keepNext w:val="0"/>
              <w:keepLines w:val="0"/>
              <w:pageBreakBefore w:val="0"/>
              <w:widowControl/>
              <w:kinsoku/>
              <w:wordWrap/>
              <w:overflowPunct/>
              <w:topLinePunct w:val="0"/>
              <w:bidi w:val="0"/>
              <w:snapToGrid/>
              <w:spacing w:line="480" w:lineRule="auto"/>
              <w:jc w:val="center"/>
              <w:rPr>
                <w:rFonts w:hint="eastAsia" w:ascii="宋体" w:hAnsi="宋体"/>
                <w:color w:val="auto"/>
                <w:kern w:val="0"/>
                <w:sz w:val="24"/>
                <w:szCs w:val="24"/>
                <w:highlight w:val="none"/>
              </w:rPr>
            </w:pPr>
            <w:r>
              <w:rPr>
                <w:rFonts w:hint="eastAsia" w:ascii="宋体" w:hAnsi="宋体"/>
                <w:color w:val="auto"/>
                <w:kern w:val="0"/>
                <w:sz w:val="24"/>
                <w:szCs w:val="24"/>
                <w:highlight w:val="none"/>
              </w:rPr>
              <w:t>1</w:t>
            </w:r>
          </w:p>
        </w:tc>
        <w:tc>
          <w:tcPr>
            <w:tcW w:w="2695" w:type="dxa"/>
            <w:vAlign w:val="center"/>
          </w:tcPr>
          <w:p w14:paraId="29F49660">
            <w:pPr>
              <w:keepNext w:val="0"/>
              <w:keepLines w:val="0"/>
              <w:pageBreakBefore w:val="0"/>
              <w:widowControl/>
              <w:kinsoku/>
              <w:wordWrap/>
              <w:overflowPunct/>
              <w:topLinePunct w:val="0"/>
              <w:bidi w:val="0"/>
              <w:snapToGrid/>
              <w:spacing w:line="480" w:lineRule="auto"/>
              <w:jc w:val="center"/>
              <w:rPr>
                <w:rFonts w:hint="default" w:ascii="宋体" w:hAnsi="宋体" w:eastAsia="宋体"/>
                <w:color w:val="auto"/>
                <w:kern w:val="0"/>
                <w:sz w:val="24"/>
                <w:szCs w:val="24"/>
                <w:highlight w:val="none"/>
                <w:lang w:val="en-US" w:eastAsia="zh-CN"/>
              </w:rPr>
            </w:pPr>
            <w:r>
              <w:rPr>
                <w:rFonts w:hint="eastAsia" w:ascii="宋体" w:hAnsi="宋体" w:eastAsia="宋体"/>
                <w:color w:val="auto"/>
                <w:kern w:val="0"/>
                <w:sz w:val="24"/>
                <w:szCs w:val="24"/>
                <w:highlight w:val="none"/>
                <w:lang w:eastAsia="zh-CN"/>
              </w:rPr>
              <w:t>SGZ[2025]399-ZC274</w:t>
            </w:r>
            <w:r>
              <w:rPr>
                <w:rFonts w:hint="eastAsia" w:ascii="宋体" w:hAnsi="宋体"/>
                <w:color w:val="auto"/>
                <w:kern w:val="0"/>
                <w:sz w:val="24"/>
                <w:szCs w:val="24"/>
                <w:highlight w:val="none"/>
                <w:lang w:val="en-US" w:eastAsia="zh-CN"/>
              </w:rPr>
              <w:t>-1</w:t>
            </w:r>
          </w:p>
        </w:tc>
        <w:tc>
          <w:tcPr>
            <w:tcW w:w="2538" w:type="dxa"/>
            <w:vAlign w:val="center"/>
          </w:tcPr>
          <w:p w14:paraId="1F49E92C">
            <w:pPr>
              <w:keepNext w:val="0"/>
              <w:keepLines w:val="0"/>
              <w:pageBreakBefore w:val="0"/>
              <w:widowControl/>
              <w:kinsoku/>
              <w:wordWrap/>
              <w:overflowPunct/>
              <w:topLinePunct w:val="0"/>
              <w:bidi w:val="0"/>
              <w:snapToGrid/>
              <w:spacing w:line="480" w:lineRule="auto"/>
              <w:jc w:val="center"/>
              <w:rPr>
                <w:rFonts w:hint="eastAsia" w:ascii="宋体" w:hAnsi="宋体" w:eastAsia="宋体"/>
                <w:color w:val="auto"/>
                <w:kern w:val="0"/>
                <w:sz w:val="24"/>
                <w:szCs w:val="24"/>
                <w:highlight w:val="none"/>
                <w:lang w:eastAsia="zh-CN"/>
              </w:rPr>
            </w:pPr>
            <w:r>
              <w:rPr>
                <w:rFonts w:hint="eastAsia" w:ascii="宋体" w:hAnsi="宋体" w:eastAsia="宋体"/>
                <w:color w:val="auto"/>
                <w:kern w:val="0"/>
                <w:sz w:val="24"/>
                <w:szCs w:val="24"/>
                <w:highlight w:val="none"/>
                <w:lang w:eastAsia="zh-CN"/>
              </w:rPr>
              <w:t>2025年湖滨区农村公路路网改建项目</w:t>
            </w:r>
          </w:p>
        </w:tc>
        <w:tc>
          <w:tcPr>
            <w:tcW w:w="1559" w:type="dxa"/>
            <w:vAlign w:val="center"/>
          </w:tcPr>
          <w:p w14:paraId="7636EDAC">
            <w:pPr>
              <w:keepNext w:val="0"/>
              <w:keepLines w:val="0"/>
              <w:pageBreakBefore w:val="0"/>
              <w:widowControl/>
              <w:kinsoku/>
              <w:wordWrap/>
              <w:overflowPunct/>
              <w:topLinePunct w:val="0"/>
              <w:bidi w:val="0"/>
              <w:snapToGrid/>
              <w:spacing w:line="480" w:lineRule="auto"/>
              <w:jc w:val="center"/>
              <w:rPr>
                <w:rFonts w:hint="default" w:ascii="宋体" w:hAnsi="宋体"/>
                <w:color w:val="auto"/>
                <w:sz w:val="24"/>
                <w:highlight w:val="none"/>
                <w:lang w:val="en-US" w:eastAsia="zh-CN"/>
              </w:rPr>
            </w:pPr>
            <w:r>
              <w:rPr>
                <w:rFonts w:hint="default" w:ascii="宋体" w:hAnsi="宋体"/>
                <w:color w:val="auto"/>
                <w:sz w:val="24"/>
                <w:highlight w:val="none"/>
                <w:lang w:val="en-US" w:eastAsia="zh-CN"/>
              </w:rPr>
              <w:t>3004076.49</w:t>
            </w:r>
          </w:p>
        </w:tc>
        <w:tc>
          <w:tcPr>
            <w:tcW w:w="1998" w:type="dxa"/>
            <w:vAlign w:val="center"/>
          </w:tcPr>
          <w:p w14:paraId="17337B72">
            <w:pPr>
              <w:keepNext w:val="0"/>
              <w:keepLines w:val="0"/>
              <w:pageBreakBefore w:val="0"/>
              <w:widowControl/>
              <w:kinsoku/>
              <w:wordWrap/>
              <w:overflowPunct/>
              <w:topLinePunct w:val="0"/>
              <w:bidi w:val="0"/>
              <w:snapToGrid/>
              <w:spacing w:line="480" w:lineRule="auto"/>
              <w:jc w:val="center"/>
              <w:rPr>
                <w:rFonts w:hint="eastAsia" w:ascii="宋体" w:hAnsi="宋体"/>
                <w:color w:val="auto"/>
                <w:sz w:val="24"/>
                <w:highlight w:val="none"/>
                <w:lang w:val="en-US" w:eastAsia="zh-CN"/>
              </w:rPr>
            </w:pPr>
            <w:r>
              <w:rPr>
                <w:rFonts w:hint="default" w:ascii="宋体" w:hAnsi="宋体"/>
                <w:color w:val="auto"/>
                <w:sz w:val="24"/>
                <w:highlight w:val="none"/>
                <w:lang w:val="en-US" w:eastAsia="zh-CN"/>
              </w:rPr>
              <w:t>3004076.49</w:t>
            </w:r>
          </w:p>
        </w:tc>
      </w:tr>
    </w:tbl>
    <w:p w14:paraId="68B15DB8">
      <w:pPr>
        <w:pStyle w:val="9"/>
        <w:keepNext w:val="0"/>
        <w:keepLines w:val="0"/>
        <w:pageBreakBefore w:val="0"/>
        <w:kinsoku/>
        <w:wordWrap/>
        <w:overflowPunct/>
        <w:topLinePunct w:val="0"/>
        <w:bidi w:val="0"/>
        <w:snapToGrid/>
        <w:spacing w:line="480" w:lineRule="auto"/>
        <w:ind w:firstLine="480" w:firstLineChars="200"/>
        <w:rPr>
          <w:rFonts w:hint="eastAsia" w:ascii="宋体" w:hAnsi="宋体" w:eastAsia="宋体"/>
          <w:b w:val="0"/>
          <w:bCs/>
          <w:color w:val="auto"/>
          <w:highlight w:val="none"/>
        </w:rPr>
      </w:pPr>
      <w:r>
        <w:rPr>
          <w:rFonts w:hint="eastAsia" w:ascii="宋体" w:hAnsi="宋体" w:eastAsia="宋体"/>
          <w:b w:val="0"/>
          <w:bCs/>
          <w:color w:val="auto"/>
          <w:highlight w:val="none"/>
        </w:rPr>
        <w:t>5、采购需求（包括但不限于标的的名称、数量、简要技术需求或服务要求等）</w:t>
      </w:r>
    </w:p>
    <w:p w14:paraId="22650494">
      <w:pPr>
        <w:pStyle w:val="9"/>
        <w:keepNext w:val="0"/>
        <w:keepLines w:val="0"/>
        <w:pageBreakBefore w:val="0"/>
        <w:kinsoku/>
        <w:wordWrap/>
        <w:overflowPunct/>
        <w:topLinePunct w:val="0"/>
        <w:bidi w:val="0"/>
        <w:snapToGrid/>
        <w:spacing w:line="480" w:lineRule="auto"/>
        <w:ind w:firstLine="480" w:firstLineChars="200"/>
        <w:rPr>
          <w:rFonts w:hint="eastAsia" w:ascii="宋体" w:hAnsi="宋体" w:eastAsia="宋体"/>
          <w:b w:val="0"/>
          <w:bCs/>
          <w:color w:val="auto"/>
          <w:highlight w:val="none"/>
        </w:rPr>
      </w:pPr>
      <w:r>
        <w:rPr>
          <w:rFonts w:hint="eastAsia" w:ascii="宋体" w:hAnsi="宋体" w:eastAsia="宋体"/>
          <w:b w:val="0"/>
          <w:bCs/>
          <w:color w:val="auto"/>
          <w:highlight w:val="none"/>
        </w:rPr>
        <w:t>5.1</w:t>
      </w:r>
      <w:r>
        <w:rPr>
          <w:rFonts w:hint="eastAsia" w:ascii="宋体" w:hAnsi="宋体" w:eastAsia="宋体"/>
          <w:b w:val="0"/>
          <w:bCs/>
          <w:color w:val="auto"/>
          <w:highlight w:val="none"/>
          <w:lang w:val="en-US" w:eastAsia="zh-CN"/>
        </w:rPr>
        <w:t>项目概况</w:t>
      </w:r>
      <w:r>
        <w:rPr>
          <w:rFonts w:hint="eastAsia" w:ascii="宋体" w:hAnsi="宋体" w:eastAsia="宋体"/>
          <w:b w:val="0"/>
          <w:bCs/>
          <w:color w:val="auto"/>
          <w:highlight w:val="none"/>
        </w:rPr>
        <w:t>：</w:t>
      </w:r>
      <w:r>
        <w:rPr>
          <w:rFonts w:hint="eastAsia" w:hAnsi="宋体"/>
          <w:b w:val="0"/>
          <w:bCs/>
          <w:color w:val="auto"/>
          <w:highlight w:val="none"/>
          <w:lang w:eastAsia="zh-CN"/>
        </w:rPr>
        <w:t>2025年湖滨区农村公路路网改建项目</w:t>
      </w:r>
      <w:r>
        <w:rPr>
          <w:rFonts w:hint="eastAsia" w:ascii="宋体" w:hAnsi="宋体" w:eastAsia="宋体"/>
          <w:b w:val="0"/>
          <w:bCs/>
          <w:color w:val="auto"/>
          <w:highlight w:val="none"/>
          <w:lang w:eastAsia="zh-CN"/>
        </w:rPr>
        <w:t>，</w:t>
      </w:r>
      <w:r>
        <w:rPr>
          <w:rFonts w:hint="eastAsia" w:hAnsi="宋体"/>
          <w:b w:val="0"/>
          <w:bCs/>
          <w:color w:val="auto"/>
          <w:highlight w:val="none"/>
          <w:lang w:val="en-US" w:eastAsia="zh-CN"/>
        </w:rPr>
        <w:t>包含：湖滨区 Y011 线仰韶大道至野鹿桥段路面结构性修复工程，起点位于 Y011 线与仰韶大道（K468+000）交叉处，起点桩号为 K0+000，路线沿涧河南岸向东前行，下穿S312 野鹿桥后，继续前行约 200 米至瑞通汽车城平交口结束,终点桩号为 K1+320，路线全长 1.32km。湖滨区 C049 线S312至Y008段道路改建工程，程起点位于 S312 线泉脑新村处。起点桩号为 K0+000，路线向北前行，至于乡道 008 线，终点桩号为K1+298.142，路线长 1.298 公里。</w:t>
      </w:r>
      <w:r>
        <w:rPr>
          <w:rFonts w:hint="eastAsia" w:ascii="宋体" w:hAnsi="宋体" w:eastAsia="宋体"/>
          <w:b w:val="0"/>
          <w:bCs/>
          <w:color w:val="auto"/>
          <w:highlight w:val="none"/>
        </w:rPr>
        <w:t>具体详见工程量清单。</w:t>
      </w:r>
    </w:p>
    <w:p w14:paraId="46064F59">
      <w:pPr>
        <w:pStyle w:val="9"/>
        <w:keepNext w:val="0"/>
        <w:keepLines w:val="0"/>
        <w:pageBreakBefore w:val="0"/>
        <w:kinsoku/>
        <w:wordWrap/>
        <w:overflowPunct/>
        <w:topLinePunct w:val="0"/>
        <w:bidi w:val="0"/>
        <w:snapToGrid/>
        <w:spacing w:line="480" w:lineRule="auto"/>
        <w:ind w:firstLine="480" w:firstLineChars="200"/>
        <w:rPr>
          <w:rFonts w:hint="eastAsia" w:ascii="宋体" w:hAnsi="宋体" w:eastAsia="宋体"/>
          <w:b w:val="0"/>
          <w:bCs/>
          <w:color w:val="auto"/>
          <w:highlight w:val="none"/>
        </w:rPr>
      </w:pPr>
      <w:r>
        <w:rPr>
          <w:rFonts w:hint="eastAsia" w:ascii="宋体" w:hAnsi="宋体" w:eastAsia="宋体"/>
          <w:b w:val="0"/>
          <w:bCs/>
          <w:color w:val="auto"/>
          <w:highlight w:val="none"/>
        </w:rPr>
        <w:t>5.2</w:t>
      </w:r>
      <w:r>
        <w:rPr>
          <w:rFonts w:hint="eastAsia" w:hAnsi="宋体"/>
          <w:b w:val="0"/>
          <w:bCs/>
          <w:color w:val="auto"/>
          <w:highlight w:val="none"/>
          <w:lang w:val="en-US" w:eastAsia="zh-CN"/>
        </w:rPr>
        <w:t>磋商</w:t>
      </w:r>
      <w:r>
        <w:rPr>
          <w:rFonts w:hint="eastAsia" w:ascii="宋体" w:hAnsi="宋体" w:eastAsia="宋体"/>
          <w:b w:val="0"/>
          <w:bCs/>
          <w:color w:val="auto"/>
          <w:highlight w:val="none"/>
        </w:rPr>
        <w:t>范围：本项目磋商文件、工程量清单及答疑纪要等列明的所有内容。</w:t>
      </w:r>
    </w:p>
    <w:p w14:paraId="5B5BABA1">
      <w:pPr>
        <w:pStyle w:val="9"/>
        <w:keepNext w:val="0"/>
        <w:keepLines w:val="0"/>
        <w:pageBreakBefore w:val="0"/>
        <w:kinsoku/>
        <w:wordWrap/>
        <w:overflowPunct/>
        <w:topLinePunct w:val="0"/>
        <w:bidi w:val="0"/>
        <w:snapToGrid/>
        <w:spacing w:line="480" w:lineRule="auto"/>
        <w:ind w:firstLine="480" w:firstLineChars="200"/>
        <w:rPr>
          <w:rFonts w:hint="eastAsia" w:ascii="宋体" w:hAnsi="宋体" w:eastAsia="宋体"/>
          <w:b w:val="0"/>
          <w:bCs/>
          <w:color w:val="auto"/>
          <w:highlight w:val="none"/>
        </w:rPr>
      </w:pPr>
      <w:r>
        <w:rPr>
          <w:rFonts w:hint="eastAsia" w:ascii="宋体" w:hAnsi="宋体" w:eastAsia="宋体"/>
          <w:b w:val="0"/>
          <w:bCs/>
          <w:color w:val="auto"/>
          <w:highlight w:val="none"/>
        </w:rPr>
        <w:t>5.3资金来源：财政资金，已落实。</w:t>
      </w:r>
    </w:p>
    <w:p w14:paraId="6974FA50">
      <w:pPr>
        <w:pStyle w:val="9"/>
        <w:keepNext w:val="0"/>
        <w:keepLines w:val="0"/>
        <w:pageBreakBefore w:val="0"/>
        <w:kinsoku/>
        <w:wordWrap/>
        <w:overflowPunct/>
        <w:topLinePunct w:val="0"/>
        <w:bidi w:val="0"/>
        <w:snapToGrid/>
        <w:spacing w:line="480" w:lineRule="auto"/>
        <w:ind w:firstLine="480" w:firstLineChars="200"/>
        <w:rPr>
          <w:rFonts w:hint="eastAsia" w:ascii="宋体" w:hAnsi="宋体" w:eastAsia="宋体"/>
          <w:b w:val="0"/>
          <w:bCs/>
          <w:color w:val="auto"/>
          <w:highlight w:val="none"/>
          <w:lang w:eastAsia="zh-CN"/>
        </w:rPr>
      </w:pPr>
      <w:r>
        <w:rPr>
          <w:rFonts w:hint="eastAsia" w:ascii="宋体" w:hAnsi="宋体" w:eastAsia="宋体"/>
          <w:b w:val="0"/>
          <w:bCs/>
          <w:color w:val="auto"/>
          <w:highlight w:val="none"/>
        </w:rPr>
        <w:t>5.4质量要求：符合国家相关法律、法规政策及技术规范的规定及有关部门的验收要求</w:t>
      </w:r>
      <w:r>
        <w:rPr>
          <w:rFonts w:hint="eastAsia" w:hAnsi="宋体"/>
          <w:b w:val="0"/>
          <w:bCs/>
          <w:color w:val="auto"/>
          <w:highlight w:val="none"/>
          <w:lang w:eastAsia="zh-CN"/>
        </w:rPr>
        <w:t>。</w:t>
      </w:r>
    </w:p>
    <w:p w14:paraId="516F83C4">
      <w:pPr>
        <w:pStyle w:val="9"/>
        <w:keepNext w:val="0"/>
        <w:keepLines w:val="0"/>
        <w:pageBreakBefore w:val="0"/>
        <w:kinsoku/>
        <w:wordWrap/>
        <w:overflowPunct/>
        <w:topLinePunct w:val="0"/>
        <w:bidi w:val="0"/>
        <w:snapToGrid/>
        <w:spacing w:line="480" w:lineRule="auto"/>
        <w:ind w:firstLine="480" w:firstLineChars="200"/>
        <w:rPr>
          <w:rFonts w:hint="eastAsia" w:hAnsi="宋体" w:eastAsia="宋体"/>
          <w:b w:val="0"/>
          <w:bCs/>
          <w:color w:val="auto"/>
          <w:highlight w:val="none"/>
          <w:lang w:val="en-US" w:eastAsia="zh-CN"/>
        </w:rPr>
      </w:pPr>
      <w:r>
        <w:rPr>
          <w:rFonts w:hint="eastAsia" w:hAnsi="宋体" w:eastAsia="宋体"/>
          <w:b w:val="0"/>
          <w:bCs/>
          <w:color w:val="auto"/>
          <w:highlight w:val="none"/>
          <w:lang w:val="en-US" w:eastAsia="zh-CN"/>
        </w:rPr>
        <w:t>5.5计划工期：</w:t>
      </w:r>
      <w:r>
        <w:rPr>
          <w:rFonts w:hint="eastAsia" w:hAnsi="宋体"/>
          <w:b w:val="0"/>
          <w:bCs/>
          <w:color w:val="auto"/>
          <w:highlight w:val="none"/>
          <w:lang w:val="en-US" w:eastAsia="zh-CN"/>
        </w:rPr>
        <w:t>90</w:t>
      </w:r>
      <w:r>
        <w:rPr>
          <w:rFonts w:hint="eastAsia" w:hAnsi="宋体" w:eastAsia="宋体"/>
          <w:b w:val="0"/>
          <w:bCs/>
          <w:color w:val="auto"/>
          <w:highlight w:val="none"/>
          <w:lang w:val="en-US" w:eastAsia="zh-CN"/>
        </w:rPr>
        <w:t>日历天</w:t>
      </w:r>
      <w:r>
        <w:rPr>
          <w:rFonts w:hint="eastAsia" w:ascii="宋体" w:hAnsi="宋体" w:eastAsia="宋体"/>
          <w:b w:val="0"/>
          <w:bCs/>
          <w:color w:val="auto"/>
          <w:sz w:val="24"/>
          <w:szCs w:val="24"/>
          <w:highlight w:val="none"/>
          <w:lang w:eastAsia="zh-CN"/>
        </w:rPr>
        <w:t>。</w:t>
      </w:r>
    </w:p>
    <w:p w14:paraId="0CD5678D">
      <w:pPr>
        <w:pStyle w:val="9"/>
        <w:keepNext w:val="0"/>
        <w:keepLines w:val="0"/>
        <w:pageBreakBefore w:val="0"/>
        <w:kinsoku/>
        <w:wordWrap/>
        <w:overflowPunct/>
        <w:topLinePunct w:val="0"/>
        <w:bidi w:val="0"/>
        <w:snapToGrid/>
        <w:spacing w:line="480" w:lineRule="auto"/>
        <w:ind w:firstLine="480" w:firstLineChars="200"/>
        <w:rPr>
          <w:rFonts w:hint="eastAsia" w:ascii="宋体" w:hAnsi="宋体" w:eastAsia="宋体"/>
          <w:b w:val="0"/>
          <w:bCs/>
          <w:color w:val="auto"/>
          <w:highlight w:val="none"/>
        </w:rPr>
      </w:pPr>
      <w:r>
        <w:rPr>
          <w:rFonts w:hint="eastAsia" w:ascii="宋体" w:hAnsi="宋体" w:eastAsia="宋体"/>
          <w:b w:val="0"/>
          <w:bCs/>
          <w:color w:val="auto"/>
          <w:highlight w:val="none"/>
        </w:rPr>
        <w:t>5.</w:t>
      </w:r>
      <w:r>
        <w:rPr>
          <w:rFonts w:hint="eastAsia" w:hAnsi="宋体" w:eastAsia="宋体"/>
          <w:b w:val="0"/>
          <w:bCs/>
          <w:color w:val="auto"/>
          <w:highlight w:val="none"/>
          <w:lang w:val="en-US" w:eastAsia="zh-CN"/>
        </w:rPr>
        <w:t>6</w:t>
      </w:r>
      <w:r>
        <w:rPr>
          <w:rFonts w:hint="eastAsia" w:ascii="宋体" w:hAnsi="宋体" w:eastAsia="宋体"/>
          <w:b w:val="0"/>
          <w:bCs/>
          <w:color w:val="auto"/>
          <w:highlight w:val="none"/>
        </w:rPr>
        <w:t>本项目执行促进中小型企业发展政策（监狱企业、残疾人福利性企业视同小微企业）等政府采购政策。</w:t>
      </w:r>
    </w:p>
    <w:p w14:paraId="57401D02">
      <w:pPr>
        <w:pStyle w:val="9"/>
        <w:keepNext w:val="0"/>
        <w:keepLines w:val="0"/>
        <w:pageBreakBefore w:val="0"/>
        <w:kinsoku/>
        <w:wordWrap/>
        <w:overflowPunct/>
        <w:topLinePunct w:val="0"/>
        <w:bidi w:val="0"/>
        <w:snapToGrid/>
        <w:spacing w:line="480" w:lineRule="auto"/>
        <w:ind w:firstLine="480" w:firstLineChars="200"/>
        <w:rPr>
          <w:rFonts w:hint="eastAsia" w:ascii="宋体" w:hAnsi="宋体" w:eastAsia="宋体"/>
          <w:b w:val="0"/>
          <w:bCs/>
          <w:color w:val="auto"/>
          <w:highlight w:val="none"/>
        </w:rPr>
      </w:pPr>
      <w:r>
        <w:rPr>
          <w:rFonts w:hint="eastAsia" w:ascii="宋体" w:hAnsi="宋体" w:eastAsia="宋体"/>
          <w:b w:val="0"/>
          <w:bCs/>
          <w:color w:val="auto"/>
          <w:highlight w:val="none"/>
        </w:rPr>
        <w:t>6、合同履行期限：合同签订后</w:t>
      </w:r>
      <w:r>
        <w:rPr>
          <w:rFonts w:hint="eastAsia" w:hAnsi="宋体"/>
          <w:b w:val="0"/>
          <w:bCs/>
          <w:color w:val="auto"/>
          <w:highlight w:val="none"/>
          <w:lang w:val="en-US" w:eastAsia="zh-CN"/>
        </w:rPr>
        <w:t>90</w:t>
      </w:r>
      <w:r>
        <w:rPr>
          <w:rFonts w:hint="eastAsia" w:ascii="宋体" w:hAnsi="宋体" w:eastAsia="宋体"/>
          <w:b w:val="0"/>
          <w:bCs/>
          <w:color w:val="auto"/>
          <w:highlight w:val="none"/>
        </w:rPr>
        <w:t>日历天。</w:t>
      </w:r>
    </w:p>
    <w:p w14:paraId="4229D36B">
      <w:pPr>
        <w:pStyle w:val="9"/>
        <w:keepNext w:val="0"/>
        <w:keepLines w:val="0"/>
        <w:pageBreakBefore w:val="0"/>
        <w:kinsoku/>
        <w:wordWrap/>
        <w:overflowPunct/>
        <w:topLinePunct w:val="0"/>
        <w:bidi w:val="0"/>
        <w:snapToGrid/>
        <w:spacing w:line="480" w:lineRule="auto"/>
        <w:ind w:firstLine="480" w:firstLineChars="200"/>
        <w:rPr>
          <w:rFonts w:hint="eastAsia" w:ascii="宋体" w:hAnsi="宋体" w:eastAsia="宋体"/>
          <w:b w:val="0"/>
          <w:bCs/>
          <w:color w:val="auto"/>
          <w:highlight w:val="none"/>
        </w:rPr>
      </w:pPr>
      <w:r>
        <w:rPr>
          <w:rFonts w:hint="eastAsia" w:ascii="宋体" w:hAnsi="宋体" w:eastAsia="宋体"/>
          <w:b w:val="0"/>
          <w:bCs/>
          <w:color w:val="auto"/>
          <w:highlight w:val="none"/>
        </w:rPr>
        <w:t>7、本项目是否接受联合体投标：否</w:t>
      </w:r>
    </w:p>
    <w:p w14:paraId="3EB38C59">
      <w:pPr>
        <w:pStyle w:val="9"/>
        <w:keepNext w:val="0"/>
        <w:keepLines w:val="0"/>
        <w:pageBreakBefore w:val="0"/>
        <w:kinsoku/>
        <w:wordWrap/>
        <w:overflowPunct/>
        <w:topLinePunct w:val="0"/>
        <w:bidi w:val="0"/>
        <w:snapToGrid/>
        <w:spacing w:line="480" w:lineRule="auto"/>
        <w:ind w:firstLine="480" w:firstLineChars="200"/>
        <w:rPr>
          <w:rFonts w:hint="eastAsia" w:ascii="宋体" w:hAnsi="宋体" w:eastAsia="宋体"/>
          <w:b w:val="0"/>
          <w:bCs/>
          <w:color w:val="auto"/>
          <w:highlight w:val="none"/>
        </w:rPr>
      </w:pPr>
      <w:r>
        <w:rPr>
          <w:rFonts w:hint="eastAsia" w:ascii="宋体" w:hAnsi="宋体" w:eastAsia="宋体"/>
          <w:b w:val="0"/>
          <w:bCs/>
          <w:color w:val="auto"/>
          <w:highlight w:val="none"/>
        </w:rPr>
        <w:t>8、是否接受进口产品：否</w:t>
      </w:r>
    </w:p>
    <w:p w14:paraId="67A7588D">
      <w:pPr>
        <w:pStyle w:val="9"/>
        <w:keepNext w:val="0"/>
        <w:keepLines w:val="0"/>
        <w:pageBreakBefore w:val="0"/>
        <w:kinsoku/>
        <w:wordWrap/>
        <w:overflowPunct/>
        <w:topLinePunct w:val="0"/>
        <w:bidi w:val="0"/>
        <w:snapToGrid/>
        <w:spacing w:line="480" w:lineRule="auto"/>
        <w:ind w:firstLine="480" w:firstLineChars="200"/>
        <w:rPr>
          <w:rFonts w:hint="default" w:ascii="宋体" w:hAnsi="宋体" w:eastAsia="宋体"/>
          <w:b w:val="0"/>
          <w:bCs/>
          <w:color w:val="auto"/>
          <w:highlight w:val="none"/>
          <w:lang w:val="en-US" w:eastAsia="zh-CN"/>
        </w:rPr>
      </w:pPr>
      <w:r>
        <w:rPr>
          <w:rFonts w:hint="eastAsia" w:ascii="宋体" w:hAnsi="宋体" w:eastAsia="宋体"/>
          <w:b w:val="0"/>
          <w:bCs/>
          <w:color w:val="auto"/>
          <w:highlight w:val="none"/>
        </w:rPr>
        <w:t>9、是否为只面向中小企业采购：</w:t>
      </w:r>
      <w:r>
        <w:rPr>
          <w:rFonts w:hint="eastAsia" w:hAnsi="宋体"/>
          <w:b w:val="0"/>
          <w:bCs/>
          <w:color w:val="auto"/>
          <w:highlight w:val="none"/>
          <w:lang w:val="en-US" w:eastAsia="zh-CN"/>
        </w:rPr>
        <w:t>否</w:t>
      </w:r>
    </w:p>
    <w:p w14:paraId="72AC6EE9">
      <w:pPr>
        <w:pStyle w:val="9"/>
        <w:keepNext w:val="0"/>
        <w:keepLines w:val="0"/>
        <w:pageBreakBefore w:val="0"/>
        <w:kinsoku/>
        <w:wordWrap/>
        <w:overflowPunct/>
        <w:topLinePunct w:val="0"/>
        <w:bidi w:val="0"/>
        <w:snapToGrid/>
        <w:spacing w:line="480" w:lineRule="auto"/>
        <w:ind w:firstLine="480" w:firstLineChars="200"/>
        <w:rPr>
          <w:rFonts w:hint="eastAsia" w:ascii="宋体" w:hAnsi="宋体" w:eastAsia="宋体"/>
          <w:b w:val="0"/>
          <w:bCs/>
          <w:color w:val="auto"/>
          <w:highlight w:val="none"/>
        </w:rPr>
      </w:pPr>
      <w:r>
        <w:rPr>
          <w:rFonts w:hint="eastAsia" w:ascii="宋体" w:hAnsi="宋体" w:eastAsia="宋体"/>
          <w:b w:val="0"/>
          <w:bCs/>
          <w:color w:val="auto"/>
          <w:highlight w:val="none"/>
        </w:rPr>
        <w:t>二、申请人资格要求</w:t>
      </w:r>
    </w:p>
    <w:p w14:paraId="56198536">
      <w:pPr>
        <w:pStyle w:val="9"/>
        <w:keepNext w:val="0"/>
        <w:keepLines w:val="0"/>
        <w:pageBreakBefore w:val="0"/>
        <w:kinsoku/>
        <w:wordWrap/>
        <w:overflowPunct/>
        <w:topLinePunct w:val="0"/>
        <w:bidi w:val="0"/>
        <w:snapToGrid/>
        <w:spacing w:line="480" w:lineRule="auto"/>
        <w:ind w:firstLine="480" w:firstLineChars="200"/>
        <w:rPr>
          <w:rFonts w:hint="eastAsia" w:ascii="宋体" w:hAnsi="宋体" w:eastAsia="宋体"/>
          <w:b w:val="0"/>
          <w:bCs/>
          <w:color w:val="auto"/>
          <w:highlight w:val="none"/>
        </w:rPr>
      </w:pPr>
      <w:r>
        <w:rPr>
          <w:rFonts w:hint="eastAsia" w:ascii="宋体" w:hAnsi="宋体" w:eastAsia="宋体"/>
          <w:b w:val="0"/>
          <w:bCs/>
          <w:color w:val="auto"/>
          <w:highlight w:val="none"/>
        </w:rPr>
        <w:t>1.满足《中华人民共和国政府采购法》第二十二条规定；</w:t>
      </w:r>
    </w:p>
    <w:p w14:paraId="0D99DE8F">
      <w:pPr>
        <w:pStyle w:val="9"/>
        <w:keepNext w:val="0"/>
        <w:keepLines w:val="0"/>
        <w:pageBreakBefore w:val="0"/>
        <w:kinsoku/>
        <w:wordWrap/>
        <w:overflowPunct/>
        <w:topLinePunct w:val="0"/>
        <w:bidi w:val="0"/>
        <w:snapToGrid/>
        <w:spacing w:line="480" w:lineRule="auto"/>
        <w:ind w:firstLine="480" w:firstLineChars="200"/>
        <w:rPr>
          <w:rFonts w:hint="eastAsia" w:ascii="宋体" w:hAnsi="宋体" w:eastAsia="宋体"/>
          <w:b w:val="0"/>
          <w:bCs/>
          <w:color w:val="auto"/>
          <w:highlight w:val="none"/>
        </w:rPr>
      </w:pPr>
      <w:r>
        <w:rPr>
          <w:rFonts w:hint="eastAsia" w:ascii="宋体" w:hAnsi="宋体" w:eastAsia="宋体"/>
          <w:b w:val="0"/>
          <w:bCs/>
          <w:color w:val="auto"/>
          <w:highlight w:val="none"/>
        </w:rPr>
        <w:t>2.落实政府采购政策满足的资格要求：本项目</w:t>
      </w:r>
      <w:r>
        <w:rPr>
          <w:rFonts w:hint="eastAsia" w:hAnsi="宋体"/>
          <w:b w:val="0"/>
          <w:bCs/>
          <w:color w:val="auto"/>
          <w:highlight w:val="none"/>
          <w:lang w:val="en-US" w:eastAsia="zh-CN"/>
        </w:rPr>
        <w:t>非</w:t>
      </w:r>
      <w:r>
        <w:rPr>
          <w:rFonts w:hint="eastAsia" w:ascii="宋体" w:hAnsi="宋体" w:eastAsia="宋体"/>
          <w:b w:val="0"/>
          <w:bCs/>
          <w:color w:val="auto"/>
          <w:highlight w:val="none"/>
        </w:rPr>
        <w:t>专门面向中小微企业采购项目,执行促进中小企业（监狱企业、残疾人福利性企业）发展等政府采购政策。</w:t>
      </w:r>
    </w:p>
    <w:p w14:paraId="5C2FAB09">
      <w:pPr>
        <w:pStyle w:val="9"/>
        <w:keepNext w:val="0"/>
        <w:keepLines w:val="0"/>
        <w:pageBreakBefore w:val="0"/>
        <w:kinsoku/>
        <w:wordWrap/>
        <w:overflowPunct/>
        <w:topLinePunct w:val="0"/>
        <w:bidi w:val="0"/>
        <w:snapToGrid/>
        <w:spacing w:line="480" w:lineRule="auto"/>
        <w:ind w:firstLine="480" w:firstLineChars="200"/>
        <w:rPr>
          <w:rFonts w:hint="eastAsia" w:ascii="宋体" w:hAnsi="宋体" w:eastAsia="宋体"/>
          <w:b w:val="0"/>
          <w:bCs/>
          <w:color w:val="auto"/>
          <w:highlight w:val="none"/>
        </w:rPr>
      </w:pPr>
      <w:r>
        <w:rPr>
          <w:rFonts w:hint="eastAsia" w:ascii="宋体" w:hAnsi="宋体" w:eastAsia="宋体"/>
          <w:b w:val="0"/>
          <w:bCs/>
          <w:color w:val="auto"/>
          <w:highlight w:val="none"/>
        </w:rPr>
        <w:t>3.本项目的特定资格要求</w:t>
      </w:r>
    </w:p>
    <w:p w14:paraId="3B178CDF">
      <w:pPr>
        <w:pStyle w:val="9"/>
        <w:keepNext w:val="0"/>
        <w:keepLines w:val="0"/>
        <w:pageBreakBefore w:val="0"/>
        <w:kinsoku/>
        <w:wordWrap/>
        <w:overflowPunct/>
        <w:topLinePunct w:val="0"/>
        <w:bidi w:val="0"/>
        <w:snapToGrid/>
        <w:spacing w:line="480" w:lineRule="auto"/>
        <w:ind w:firstLine="480" w:firstLineChars="200"/>
        <w:rPr>
          <w:rFonts w:hint="eastAsia" w:hAnsi="宋体" w:eastAsia="宋体"/>
          <w:b w:val="0"/>
          <w:bCs/>
          <w:color w:val="auto"/>
          <w:highlight w:val="none"/>
          <w:lang w:val="en-US" w:eastAsia="zh-CN"/>
        </w:rPr>
      </w:pPr>
      <w:r>
        <w:rPr>
          <w:rFonts w:hint="eastAsia" w:hAnsi="宋体" w:eastAsia="宋体"/>
          <w:b w:val="0"/>
          <w:bCs/>
          <w:color w:val="auto"/>
          <w:highlight w:val="none"/>
          <w:lang w:val="en-US" w:eastAsia="zh-CN"/>
        </w:rPr>
        <w:t>3.</w:t>
      </w:r>
      <w:r>
        <w:rPr>
          <w:rFonts w:hint="eastAsia" w:ascii="宋体" w:hAnsi="宋体" w:eastAsia="宋体"/>
          <w:b w:val="0"/>
          <w:bCs/>
          <w:color w:val="auto"/>
          <w:highlight w:val="none"/>
        </w:rPr>
        <w:t>1、</w:t>
      </w:r>
      <w:r>
        <w:rPr>
          <w:rFonts w:hint="eastAsia" w:hAnsi="宋体"/>
          <w:b w:val="0"/>
          <w:bCs/>
          <w:color w:val="auto"/>
          <w:highlight w:val="none"/>
          <w:lang w:val="en-US" w:eastAsia="zh-CN"/>
        </w:rPr>
        <w:t>供应商</w:t>
      </w:r>
      <w:r>
        <w:rPr>
          <w:rFonts w:hint="eastAsia" w:ascii="宋体" w:hAnsi="宋体" w:eastAsia="宋体"/>
          <w:b w:val="0"/>
          <w:bCs/>
          <w:color w:val="auto"/>
          <w:highlight w:val="none"/>
        </w:rPr>
        <w:t>具有有效的企业营业执照；</w:t>
      </w:r>
    </w:p>
    <w:p w14:paraId="58DC2D5B">
      <w:pPr>
        <w:pStyle w:val="9"/>
        <w:keepNext w:val="0"/>
        <w:keepLines w:val="0"/>
        <w:pageBreakBefore w:val="0"/>
        <w:kinsoku/>
        <w:wordWrap/>
        <w:overflowPunct/>
        <w:topLinePunct w:val="0"/>
        <w:bidi w:val="0"/>
        <w:snapToGrid/>
        <w:spacing w:line="480" w:lineRule="auto"/>
        <w:ind w:firstLine="480" w:firstLineChars="200"/>
        <w:rPr>
          <w:rFonts w:hint="eastAsia" w:hAnsi="宋体" w:eastAsia="宋体"/>
          <w:b w:val="0"/>
          <w:bCs/>
          <w:color w:val="auto"/>
          <w:highlight w:val="none"/>
          <w:lang w:val="en-US" w:eastAsia="zh-CN"/>
        </w:rPr>
      </w:pPr>
      <w:r>
        <w:rPr>
          <w:rFonts w:hint="eastAsia" w:hAnsi="宋体" w:eastAsia="宋体"/>
          <w:b w:val="0"/>
          <w:bCs/>
          <w:color w:val="auto"/>
          <w:highlight w:val="none"/>
          <w:lang w:val="en-US" w:eastAsia="zh-CN"/>
        </w:rPr>
        <w:t>3.</w:t>
      </w:r>
      <w:r>
        <w:rPr>
          <w:rFonts w:hint="eastAsia" w:ascii="宋体" w:hAnsi="宋体" w:eastAsia="宋体"/>
          <w:b w:val="0"/>
          <w:bCs/>
          <w:color w:val="auto"/>
          <w:highlight w:val="none"/>
        </w:rPr>
        <w:t>2、</w:t>
      </w:r>
      <w:r>
        <w:rPr>
          <w:rFonts w:hint="eastAsia" w:hAnsi="宋体"/>
          <w:b w:val="0"/>
          <w:bCs/>
          <w:color w:val="auto"/>
          <w:highlight w:val="none"/>
          <w:lang w:eastAsia="zh-CN"/>
        </w:rPr>
        <w:t>供应商</w:t>
      </w:r>
      <w:r>
        <w:rPr>
          <w:rFonts w:hint="eastAsia" w:ascii="宋体" w:hAnsi="宋体" w:eastAsia="宋体"/>
          <w:b w:val="0"/>
          <w:bCs/>
          <w:color w:val="auto"/>
          <w:highlight w:val="none"/>
          <w:lang w:eastAsia="zh-CN"/>
        </w:rPr>
        <w:t>具有</w:t>
      </w:r>
      <w:r>
        <w:rPr>
          <w:rFonts w:hint="eastAsia" w:hAnsi="宋体"/>
          <w:b w:val="0"/>
          <w:bCs/>
          <w:color w:val="auto"/>
          <w:highlight w:val="none"/>
          <w:lang w:eastAsia="zh-CN"/>
        </w:rPr>
        <w:t>公路工程施工总承包叁级</w:t>
      </w:r>
      <w:r>
        <w:rPr>
          <w:rFonts w:hint="eastAsia" w:ascii="宋体" w:hAnsi="宋体" w:eastAsia="宋体"/>
          <w:b w:val="0"/>
          <w:bCs/>
          <w:color w:val="auto"/>
          <w:highlight w:val="none"/>
          <w:lang w:eastAsia="zh-CN"/>
        </w:rPr>
        <w:t>（含）以上资质</w:t>
      </w:r>
      <w:r>
        <w:rPr>
          <w:rFonts w:hint="eastAsia" w:ascii="宋体" w:hAnsi="宋体"/>
          <w:b w:val="0"/>
          <w:bCs/>
          <w:i w:val="0"/>
          <w:color w:val="auto"/>
          <w:spacing w:val="0"/>
          <w:w w:val="100"/>
          <w:sz w:val="24"/>
          <w:szCs w:val="24"/>
          <w:highlight w:val="none"/>
          <w:lang w:val="zh-TW" w:eastAsia="zh-CN"/>
        </w:rPr>
        <w:t>，且具有有效的安全生产许可证</w:t>
      </w:r>
      <w:r>
        <w:rPr>
          <w:rFonts w:hint="eastAsia" w:ascii="宋体" w:hAnsi="宋体" w:eastAsia="宋体"/>
          <w:b w:val="0"/>
          <w:bCs/>
          <w:color w:val="auto"/>
          <w:highlight w:val="none"/>
        </w:rPr>
        <w:t>；</w:t>
      </w:r>
    </w:p>
    <w:p w14:paraId="16AE1884">
      <w:pPr>
        <w:pStyle w:val="9"/>
        <w:keepNext w:val="0"/>
        <w:keepLines w:val="0"/>
        <w:pageBreakBefore w:val="0"/>
        <w:kinsoku/>
        <w:wordWrap/>
        <w:overflowPunct/>
        <w:topLinePunct w:val="0"/>
        <w:bidi w:val="0"/>
        <w:snapToGrid/>
        <w:spacing w:line="480" w:lineRule="auto"/>
        <w:ind w:firstLine="480" w:firstLineChars="200"/>
        <w:rPr>
          <w:rFonts w:hint="eastAsia" w:hAnsi="宋体" w:eastAsia="宋体"/>
          <w:b w:val="0"/>
          <w:bCs/>
          <w:color w:val="auto"/>
          <w:highlight w:val="none"/>
          <w:lang w:val="en-US" w:eastAsia="zh-CN"/>
        </w:rPr>
      </w:pPr>
      <w:r>
        <w:rPr>
          <w:rFonts w:hint="eastAsia" w:hAnsi="宋体" w:eastAsia="宋体"/>
          <w:b w:val="0"/>
          <w:bCs/>
          <w:color w:val="auto"/>
          <w:highlight w:val="none"/>
          <w:lang w:val="en-US" w:eastAsia="zh-CN"/>
        </w:rPr>
        <w:t>3.</w:t>
      </w:r>
      <w:r>
        <w:rPr>
          <w:rFonts w:hint="eastAsia" w:ascii="宋体" w:hAnsi="宋体" w:eastAsia="宋体"/>
          <w:b w:val="0"/>
          <w:bCs/>
          <w:color w:val="auto"/>
          <w:highlight w:val="none"/>
        </w:rPr>
        <w:t>3、拟派项目经理须具备</w:t>
      </w:r>
      <w:r>
        <w:rPr>
          <w:rFonts w:hint="eastAsia" w:hAnsi="宋体"/>
          <w:b w:val="0"/>
          <w:bCs/>
          <w:color w:val="auto"/>
          <w:highlight w:val="none"/>
          <w:lang w:eastAsia="zh-CN"/>
        </w:rPr>
        <w:t>公路工程专业</w:t>
      </w:r>
      <w:r>
        <w:rPr>
          <w:rFonts w:hint="eastAsia" w:hAnsi="宋体"/>
          <w:b w:val="0"/>
          <w:bCs/>
          <w:color w:val="auto"/>
          <w:highlight w:val="none"/>
          <w:lang w:val="en-US" w:eastAsia="zh-CN"/>
        </w:rPr>
        <w:t>二</w:t>
      </w:r>
      <w:r>
        <w:rPr>
          <w:rFonts w:hint="eastAsia" w:hAnsi="宋体"/>
          <w:b w:val="0"/>
          <w:bCs/>
          <w:color w:val="auto"/>
          <w:highlight w:val="none"/>
          <w:lang w:eastAsia="zh-CN"/>
        </w:rPr>
        <w:t>级注册建造师资格、B类安全生产考核合格证且无在建工程</w:t>
      </w:r>
      <w:r>
        <w:rPr>
          <w:rFonts w:hint="eastAsia" w:ascii="宋体" w:hAnsi="宋体" w:eastAsia="宋体"/>
          <w:b w:val="0"/>
          <w:bCs/>
          <w:color w:val="auto"/>
          <w:highlight w:val="none"/>
        </w:rPr>
        <w:t>（单位自行出具无在建项目的证明）；</w:t>
      </w:r>
    </w:p>
    <w:p w14:paraId="62624E89">
      <w:pPr>
        <w:pStyle w:val="9"/>
        <w:keepNext w:val="0"/>
        <w:keepLines w:val="0"/>
        <w:pageBreakBefore w:val="0"/>
        <w:kinsoku/>
        <w:wordWrap/>
        <w:overflowPunct/>
        <w:topLinePunct w:val="0"/>
        <w:bidi w:val="0"/>
        <w:snapToGrid/>
        <w:spacing w:line="480" w:lineRule="auto"/>
        <w:ind w:firstLine="480" w:firstLineChars="200"/>
        <w:rPr>
          <w:rFonts w:hint="eastAsia" w:hAnsi="宋体" w:eastAsia="宋体"/>
          <w:b w:val="0"/>
          <w:bCs/>
          <w:color w:val="auto"/>
          <w:highlight w:val="none"/>
          <w:lang w:val="en-US" w:eastAsia="zh-CN"/>
        </w:rPr>
      </w:pPr>
      <w:r>
        <w:rPr>
          <w:rFonts w:hint="eastAsia" w:hAnsi="宋体" w:eastAsia="宋体"/>
          <w:b w:val="0"/>
          <w:bCs/>
          <w:color w:val="auto"/>
          <w:highlight w:val="none"/>
          <w:lang w:val="en-US" w:eastAsia="zh-CN"/>
        </w:rPr>
        <w:t>3.</w:t>
      </w:r>
      <w:r>
        <w:rPr>
          <w:rFonts w:hint="eastAsia" w:ascii="宋体" w:hAnsi="宋体" w:eastAsia="宋体"/>
          <w:b w:val="0"/>
          <w:bCs/>
          <w:color w:val="auto"/>
          <w:highlight w:val="none"/>
        </w:rPr>
        <w:t>4、</w:t>
      </w:r>
      <w:r>
        <w:rPr>
          <w:rFonts w:hint="eastAsia" w:hAnsi="宋体"/>
          <w:b w:val="0"/>
          <w:bCs/>
          <w:color w:val="auto"/>
          <w:highlight w:val="none"/>
          <w:lang w:eastAsia="zh-CN"/>
        </w:rPr>
        <w:t>供应商</w:t>
      </w:r>
      <w:r>
        <w:rPr>
          <w:rFonts w:hint="eastAsia" w:ascii="宋体" w:hAnsi="宋体" w:eastAsia="宋体"/>
          <w:b w:val="0"/>
          <w:bCs/>
          <w:color w:val="auto"/>
          <w:highlight w:val="none"/>
        </w:rPr>
        <w:t>须自行出具本企业无商业贿赂和不正当竞争行为承诺书；</w:t>
      </w:r>
    </w:p>
    <w:p w14:paraId="4005F9D1">
      <w:pPr>
        <w:pStyle w:val="9"/>
        <w:keepNext w:val="0"/>
        <w:keepLines w:val="0"/>
        <w:pageBreakBefore w:val="0"/>
        <w:kinsoku/>
        <w:wordWrap/>
        <w:overflowPunct/>
        <w:topLinePunct w:val="0"/>
        <w:bidi w:val="0"/>
        <w:snapToGrid/>
        <w:spacing w:line="480" w:lineRule="auto"/>
        <w:ind w:firstLine="480" w:firstLineChars="200"/>
        <w:rPr>
          <w:rFonts w:hint="eastAsia" w:ascii="宋体" w:hAnsi="宋体" w:eastAsia="宋体"/>
          <w:b w:val="0"/>
          <w:bCs/>
          <w:color w:val="auto"/>
          <w:highlight w:val="none"/>
          <w:lang w:val="en-US" w:eastAsia="zh-CN"/>
        </w:rPr>
      </w:pPr>
      <w:r>
        <w:rPr>
          <w:rFonts w:hint="eastAsia" w:ascii="宋体" w:hAnsi="宋体" w:eastAsia="宋体"/>
          <w:b w:val="0"/>
          <w:bCs/>
          <w:color w:val="auto"/>
          <w:highlight w:val="none"/>
          <w:lang w:val="en-US" w:eastAsia="zh-CN"/>
        </w:rPr>
        <w:t>3.5、</w:t>
      </w:r>
      <w:r>
        <w:rPr>
          <w:rFonts w:hint="eastAsia" w:hAnsi="宋体"/>
          <w:b w:val="0"/>
          <w:bCs/>
          <w:color w:val="auto"/>
          <w:highlight w:val="none"/>
          <w:lang w:eastAsia="zh-CN"/>
        </w:rPr>
        <w:t>供应商</w:t>
      </w:r>
      <w:r>
        <w:rPr>
          <w:rFonts w:hint="eastAsia" w:ascii="宋体" w:hAnsi="宋体" w:eastAsia="宋体"/>
          <w:b w:val="0"/>
          <w:bCs/>
          <w:color w:val="auto"/>
          <w:highlight w:val="none"/>
        </w:rPr>
        <w:t>须出具无行贿犯罪记录在中国裁判文书网自行查询结果或自行承诺（查询对象：企业、法定代表人、拟派项目经理）</w:t>
      </w:r>
      <w:r>
        <w:rPr>
          <w:rFonts w:hint="eastAsia" w:ascii="宋体" w:hAnsi="宋体" w:eastAsia="宋体"/>
          <w:b w:val="0"/>
          <w:bCs/>
          <w:color w:val="auto"/>
          <w:highlight w:val="none"/>
          <w:lang w:eastAsia="zh-CN"/>
        </w:rPr>
        <w:t>；</w:t>
      </w:r>
    </w:p>
    <w:p w14:paraId="3BD35BA2">
      <w:pPr>
        <w:pStyle w:val="9"/>
        <w:keepNext w:val="0"/>
        <w:keepLines w:val="0"/>
        <w:pageBreakBefore w:val="0"/>
        <w:kinsoku/>
        <w:wordWrap/>
        <w:overflowPunct/>
        <w:topLinePunct w:val="0"/>
        <w:bidi w:val="0"/>
        <w:snapToGrid/>
        <w:spacing w:line="480" w:lineRule="auto"/>
        <w:ind w:firstLine="480" w:firstLineChars="200"/>
        <w:rPr>
          <w:rFonts w:hint="eastAsia" w:hAnsi="宋体" w:eastAsia="宋体"/>
          <w:b w:val="0"/>
          <w:bCs/>
          <w:color w:val="auto"/>
          <w:highlight w:val="none"/>
          <w:lang w:val="en-US" w:eastAsia="zh-CN"/>
        </w:rPr>
      </w:pPr>
      <w:r>
        <w:rPr>
          <w:rFonts w:hint="eastAsia" w:hAnsi="宋体" w:eastAsia="宋体"/>
          <w:b w:val="0"/>
          <w:bCs/>
          <w:color w:val="auto"/>
          <w:highlight w:val="none"/>
          <w:lang w:val="en-US" w:eastAsia="zh-CN"/>
        </w:rPr>
        <w:t>3.</w:t>
      </w:r>
      <w:r>
        <w:rPr>
          <w:rFonts w:hint="eastAsia" w:ascii="宋体" w:hAnsi="宋体" w:eastAsia="宋体"/>
          <w:b w:val="0"/>
          <w:bCs/>
          <w:color w:val="auto"/>
          <w:highlight w:val="none"/>
          <w:lang w:val="en-US" w:eastAsia="zh-CN"/>
        </w:rPr>
        <w:t>6</w:t>
      </w:r>
      <w:r>
        <w:rPr>
          <w:rFonts w:hint="eastAsia" w:ascii="宋体" w:hAnsi="宋体" w:eastAsia="宋体"/>
          <w:b w:val="0"/>
          <w:bCs/>
          <w:color w:val="auto"/>
          <w:highlight w:val="none"/>
        </w:rPr>
        <w:t>、根据《关于在政府采购活动中查询及使用信用记录有关问题的通知》(财库[2016]125号) 和豫财购【2016】15号的规定，企业没有被列入“信用中国”网站的“失信被执行人”、“重大税收违法失信主体”及“中国政府采购网”网站的“政府采购严重违法失信行为记录名单”的</w:t>
      </w:r>
      <w:r>
        <w:rPr>
          <w:rFonts w:hint="eastAsia" w:hAnsi="宋体"/>
          <w:b w:val="0"/>
          <w:bCs/>
          <w:color w:val="auto"/>
          <w:highlight w:val="none"/>
          <w:lang w:eastAsia="zh-CN"/>
        </w:rPr>
        <w:t>供应商</w:t>
      </w:r>
      <w:r>
        <w:rPr>
          <w:rFonts w:hint="eastAsia" w:ascii="宋体" w:hAnsi="宋体" w:eastAsia="宋体"/>
          <w:b w:val="0"/>
          <w:bCs/>
          <w:color w:val="auto"/>
          <w:highlight w:val="none"/>
        </w:rPr>
        <w:t>；（查询渠道：“信用中国”网站（www.creditchina.gov.cn）、中国政府采购网（www.ccgp.gov.cn）提供网站的查询信息截图；中国政府采购网查询页；（查询日期必须在公告发布之日之后）；</w:t>
      </w:r>
    </w:p>
    <w:p w14:paraId="4156BC43">
      <w:pPr>
        <w:pStyle w:val="9"/>
        <w:keepNext w:val="0"/>
        <w:keepLines w:val="0"/>
        <w:pageBreakBefore w:val="0"/>
        <w:kinsoku/>
        <w:wordWrap/>
        <w:overflowPunct/>
        <w:topLinePunct w:val="0"/>
        <w:bidi w:val="0"/>
        <w:snapToGrid/>
        <w:spacing w:line="480" w:lineRule="auto"/>
        <w:ind w:firstLine="480" w:firstLineChars="200"/>
        <w:rPr>
          <w:rFonts w:hint="eastAsia" w:hAnsi="宋体" w:eastAsia="宋体"/>
          <w:b w:val="0"/>
          <w:bCs/>
          <w:color w:val="auto"/>
          <w:highlight w:val="none"/>
          <w:lang w:val="en-US" w:eastAsia="zh-CN"/>
        </w:rPr>
      </w:pPr>
      <w:r>
        <w:rPr>
          <w:rFonts w:hint="eastAsia" w:hAnsi="宋体" w:eastAsia="宋体"/>
          <w:b w:val="0"/>
          <w:bCs/>
          <w:color w:val="auto"/>
          <w:highlight w:val="none"/>
          <w:lang w:val="en-US" w:eastAsia="zh-CN"/>
        </w:rPr>
        <w:t>3.</w:t>
      </w:r>
      <w:r>
        <w:rPr>
          <w:rFonts w:hint="eastAsia" w:ascii="宋体" w:hAnsi="宋体" w:eastAsia="宋体"/>
          <w:b w:val="0"/>
          <w:bCs/>
          <w:color w:val="auto"/>
          <w:highlight w:val="none"/>
          <w:lang w:val="en-US" w:eastAsia="zh-CN"/>
        </w:rPr>
        <w:t>7</w:t>
      </w:r>
      <w:r>
        <w:rPr>
          <w:rFonts w:hint="eastAsia" w:ascii="宋体" w:hAnsi="宋体" w:eastAsia="宋体"/>
          <w:b w:val="0"/>
          <w:bCs/>
          <w:color w:val="auto"/>
          <w:highlight w:val="none"/>
        </w:rPr>
        <w:t>、 本项目不接受联合体投标；</w:t>
      </w:r>
    </w:p>
    <w:p w14:paraId="113AF738">
      <w:pPr>
        <w:pStyle w:val="9"/>
        <w:keepNext w:val="0"/>
        <w:keepLines w:val="0"/>
        <w:pageBreakBefore w:val="0"/>
        <w:kinsoku/>
        <w:wordWrap/>
        <w:overflowPunct/>
        <w:topLinePunct w:val="0"/>
        <w:bidi w:val="0"/>
        <w:snapToGrid/>
        <w:spacing w:line="480" w:lineRule="auto"/>
        <w:ind w:firstLine="480" w:firstLineChars="200"/>
        <w:rPr>
          <w:rFonts w:hint="eastAsia" w:hAnsi="宋体" w:eastAsia="宋体"/>
          <w:b w:val="0"/>
          <w:bCs/>
          <w:color w:val="auto"/>
          <w:highlight w:val="none"/>
          <w:lang w:val="en-US" w:eastAsia="zh-CN"/>
        </w:rPr>
      </w:pPr>
      <w:r>
        <w:rPr>
          <w:rFonts w:hint="eastAsia" w:hAnsi="宋体" w:eastAsia="宋体"/>
          <w:b w:val="0"/>
          <w:bCs/>
          <w:color w:val="auto"/>
          <w:highlight w:val="none"/>
          <w:lang w:val="en-US" w:eastAsia="zh-CN"/>
        </w:rPr>
        <w:t>3.</w:t>
      </w:r>
      <w:r>
        <w:rPr>
          <w:rFonts w:hint="eastAsia" w:ascii="宋体" w:hAnsi="宋体" w:eastAsia="宋体"/>
          <w:b w:val="0"/>
          <w:bCs/>
          <w:color w:val="auto"/>
          <w:highlight w:val="none"/>
          <w:lang w:val="en-US" w:eastAsia="zh-CN"/>
        </w:rPr>
        <w:t>8</w:t>
      </w:r>
      <w:r>
        <w:rPr>
          <w:rFonts w:hint="eastAsia" w:ascii="宋体" w:hAnsi="宋体" w:eastAsia="宋体"/>
          <w:b w:val="0"/>
          <w:bCs/>
          <w:color w:val="auto"/>
          <w:highlight w:val="none"/>
        </w:rPr>
        <w:t>、 本次招标实行</w:t>
      </w:r>
      <w:r>
        <w:rPr>
          <w:rFonts w:hint="eastAsia" w:hAnsi="宋体" w:eastAsia="宋体"/>
          <w:b w:val="0"/>
          <w:bCs/>
          <w:color w:val="auto"/>
          <w:highlight w:val="none"/>
          <w:lang w:eastAsia="zh-CN"/>
        </w:rPr>
        <w:t>资格</w:t>
      </w:r>
      <w:r>
        <w:rPr>
          <w:rFonts w:hint="eastAsia" w:hAnsi="宋体" w:eastAsia="宋体"/>
          <w:b w:val="0"/>
          <w:bCs/>
          <w:color w:val="auto"/>
          <w:highlight w:val="none"/>
          <w:lang w:val="en-US" w:eastAsia="zh-CN"/>
        </w:rPr>
        <w:t>后</w:t>
      </w:r>
      <w:r>
        <w:rPr>
          <w:rFonts w:hint="eastAsia" w:hAnsi="宋体" w:eastAsia="宋体"/>
          <w:b w:val="0"/>
          <w:bCs/>
          <w:color w:val="auto"/>
          <w:highlight w:val="none"/>
          <w:lang w:eastAsia="zh-CN"/>
        </w:rPr>
        <w:t>审</w:t>
      </w:r>
      <w:r>
        <w:rPr>
          <w:rFonts w:hint="eastAsia" w:ascii="宋体" w:hAnsi="宋体" w:eastAsia="宋体"/>
          <w:b w:val="0"/>
          <w:bCs/>
          <w:color w:val="auto"/>
          <w:highlight w:val="none"/>
        </w:rPr>
        <w:t>，资格审查的具体要求见</w:t>
      </w:r>
      <w:r>
        <w:rPr>
          <w:rFonts w:hint="eastAsia" w:hAnsi="宋体"/>
          <w:b w:val="0"/>
          <w:bCs/>
          <w:color w:val="auto"/>
          <w:highlight w:val="none"/>
          <w:lang w:eastAsia="zh-CN"/>
        </w:rPr>
        <w:t>磋商文件</w:t>
      </w:r>
      <w:r>
        <w:rPr>
          <w:rFonts w:hint="eastAsia" w:hAnsi="宋体" w:eastAsia="宋体"/>
          <w:b w:val="0"/>
          <w:bCs/>
          <w:color w:val="auto"/>
          <w:highlight w:val="none"/>
          <w:lang w:eastAsia="zh-CN"/>
        </w:rPr>
        <w:t>。</w:t>
      </w:r>
    </w:p>
    <w:p w14:paraId="4AF5FA94">
      <w:pPr>
        <w:pStyle w:val="9"/>
        <w:keepNext w:val="0"/>
        <w:keepLines w:val="0"/>
        <w:pageBreakBefore w:val="0"/>
        <w:kinsoku/>
        <w:wordWrap/>
        <w:overflowPunct/>
        <w:topLinePunct w:val="0"/>
        <w:bidi w:val="0"/>
        <w:snapToGrid/>
        <w:spacing w:line="480" w:lineRule="auto"/>
        <w:ind w:firstLine="480" w:firstLineChars="200"/>
        <w:rPr>
          <w:rFonts w:hint="eastAsia" w:ascii="宋体" w:hAnsi="宋体" w:eastAsia="宋体"/>
          <w:b w:val="0"/>
          <w:bCs/>
          <w:color w:val="auto"/>
          <w:highlight w:val="none"/>
        </w:rPr>
      </w:pPr>
      <w:r>
        <w:rPr>
          <w:rFonts w:hint="eastAsia" w:ascii="宋体" w:hAnsi="宋体" w:eastAsia="宋体"/>
          <w:b w:val="0"/>
          <w:bCs/>
          <w:color w:val="auto"/>
          <w:highlight w:val="none"/>
        </w:rPr>
        <w:t>三、获取采购文件</w:t>
      </w:r>
    </w:p>
    <w:p w14:paraId="0D97BA82">
      <w:pPr>
        <w:pStyle w:val="9"/>
        <w:keepNext w:val="0"/>
        <w:keepLines w:val="0"/>
        <w:pageBreakBefore w:val="0"/>
        <w:kinsoku/>
        <w:wordWrap/>
        <w:overflowPunct/>
        <w:topLinePunct w:val="0"/>
        <w:bidi w:val="0"/>
        <w:snapToGrid/>
        <w:spacing w:line="480" w:lineRule="auto"/>
        <w:ind w:firstLine="480" w:firstLineChars="200"/>
        <w:rPr>
          <w:rFonts w:hint="eastAsia" w:ascii="宋体" w:hAnsi="宋体" w:eastAsia="宋体"/>
          <w:b w:val="0"/>
          <w:bCs/>
          <w:color w:val="auto"/>
          <w:highlight w:val="none"/>
        </w:rPr>
      </w:pPr>
      <w:r>
        <w:rPr>
          <w:rFonts w:hint="eastAsia" w:ascii="宋体" w:hAnsi="宋体" w:eastAsia="宋体"/>
          <w:b w:val="0"/>
          <w:bCs/>
          <w:color w:val="auto"/>
          <w:highlight w:val="none"/>
        </w:rPr>
        <w:t>1.时间：</w:t>
      </w:r>
      <w:r>
        <w:rPr>
          <w:rFonts w:hint="eastAsia" w:hAnsi="宋体"/>
          <w:b w:val="0"/>
          <w:bCs/>
          <w:color w:val="auto"/>
          <w:highlight w:val="none"/>
          <w:lang w:val="en-US" w:eastAsia="zh-CN"/>
        </w:rPr>
        <w:t>2025</w:t>
      </w:r>
      <w:r>
        <w:rPr>
          <w:rFonts w:hint="eastAsia" w:ascii="宋体" w:hAnsi="宋体" w:eastAsia="宋体"/>
          <w:b w:val="0"/>
          <w:bCs/>
          <w:color w:val="auto"/>
          <w:highlight w:val="none"/>
          <w:lang w:eastAsia="zh-CN"/>
        </w:rPr>
        <w:t>年</w:t>
      </w:r>
      <w:r>
        <w:rPr>
          <w:rFonts w:hint="eastAsia" w:hAnsi="宋体"/>
          <w:b w:val="0"/>
          <w:bCs/>
          <w:color w:val="auto"/>
          <w:highlight w:val="none"/>
          <w:lang w:val="en-US" w:eastAsia="zh-CN"/>
        </w:rPr>
        <w:t>9</w:t>
      </w:r>
      <w:r>
        <w:rPr>
          <w:rFonts w:hint="eastAsia" w:ascii="宋体" w:hAnsi="宋体" w:eastAsia="宋体"/>
          <w:b w:val="0"/>
          <w:bCs/>
          <w:color w:val="auto"/>
          <w:highlight w:val="none"/>
          <w:lang w:eastAsia="zh-CN"/>
        </w:rPr>
        <w:t>月</w:t>
      </w:r>
      <w:r>
        <w:rPr>
          <w:rFonts w:hint="eastAsia" w:hAnsi="宋体"/>
          <w:b w:val="0"/>
          <w:bCs/>
          <w:color w:val="auto"/>
          <w:highlight w:val="none"/>
          <w:lang w:val="en-US" w:eastAsia="zh-CN"/>
        </w:rPr>
        <w:t>20</w:t>
      </w:r>
      <w:r>
        <w:rPr>
          <w:rFonts w:hint="eastAsia" w:ascii="宋体" w:hAnsi="宋体" w:eastAsia="宋体"/>
          <w:b w:val="0"/>
          <w:bCs/>
          <w:color w:val="auto"/>
          <w:highlight w:val="none"/>
          <w:lang w:eastAsia="zh-CN"/>
        </w:rPr>
        <w:t>日至</w:t>
      </w:r>
      <w:r>
        <w:rPr>
          <w:rFonts w:hint="eastAsia" w:hAnsi="宋体"/>
          <w:b w:val="0"/>
          <w:bCs/>
          <w:color w:val="auto"/>
          <w:highlight w:val="none"/>
          <w:lang w:val="en-US" w:eastAsia="zh-CN"/>
        </w:rPr>
        <w:t>2025</w:t>
      </w:r>
      <w:r>
        <w:rPr>
          <w:rFonts w:hint="eastAsia" w:ascii="宋体" w:hAnsi="宋体" w:eastAsia="宋体"/>
          <w:b w:val="0"/>
          <w:bCs/>
          <w:color w:val="auto"/>
          <w:highlight w:val="none"/>
          <w:lang w:eastAsia="zh-CN"/>
        </w:rPr>
        <w:t>年</w:t>
      </w:r>
      <w:r>
        <w:rPr>
          <w:rFonts w:hint="eastAsia" w:hAnsi="宋体"/>
          <w:b w:val="0"/>
          <w:bCs/>
          <w:color w:val="auto"/>
          <w:highlight w:val="none"/>
          <w:lang w:val="en-US" w:eastAsia="zh-CN"/>
        </w:rPr>
        <w:t>9</w:t>
      </w:r>
      <w:r>
        <w:rPr>
          <w:rFonts w:hint="eastAsia" w:ascii="宋体" w:hAnsi="宋体" w:eastAsia="宋体"/>
          <w:b w:val="0"/>
          <w:bCs/>
          <w:color w:val="auto"/>
          <w:highlight w:val="none"/>
          <w:lang w:eastAsia="zh-CN"/>
        </w:rPr>
        <w:t>月</w:t>
      </w:r>
      <w:r>
        <w:rPr>
          <w:rFonts w:hint="eastAsia" w:hAnsi="宋体"/>
          <w:b w:val="0"/>
          <w:bCs/>
          <w:color w:val="auto"/>
          <w:highlight w:val="none"/>
          <w:lang w:val="en-US" w:eastAsia="zh-CN"/>
        </w:rPr>
        <w:t>29</w:t>
      </w:r>
      <w:r>
        <w:rPr>
          <w:rFonts w:hint="eastAsia" w:ascii="宋体" w:hAnsi="宋体" w:eastAsia="宋体"/>
          <w:b w:val="0"/>
          <w:bCs/>
          <w:color w:val="auto"/>
          <w:highlight w:val="none"/>
          <w:lang w:eastAsia="zh-CN"/>
        </w:rPr>
        <w:t>日</w:t>
      </w:r>
      <w:r>
        <w:rPr>
          <w:rFonts w:hint="eastAsia" w:hAnsi="宋体" w:eastAsia="宋体"/>
          <w:b w:val="0"/>
          <w:bCs/>
          <w:color w:val="auto"/>
          <w:highlight w:val="none"/>
          <w:lang w:eastAsia="zh-CN"/>
        </w:rPr>
        <w:t>。</w:t>
      </w:r>
    </w:p>
    <w:p w14:paraId="6BFC936A">
      <w:pPr>
        <w:pStyle w:val="9"/>
        <w:keepNext w:val="0"/>
        <w:keepLines w:val="0"/>
        <w:pageBreakBefore w:val="0"/>
        <w:kinsoku/>
        <w:wordWrap/>
        <w:overflowPunct/>
        <w:topLinePunct w:val="0"/>
        <w:bidi w:val="0"/>
        <w:snapToGrid/>
        <w:spacing w:line="480" w:lineRule="auto"/>
        <w:ind w:firstLine="480" w:firstLineChars="200"/>
        <w:rPr>
          <w:rFonts w:hint="eastAsia" w:ascii="宋体" w:hAnsi="宋体" w:eastAsia="宋体"/>
          <w:b w:val="0"/>
          <w:bCs/>
          <w:color w:val="auto"/>
          <w:highlight w:val="none"/>
        </w:rPr>
      </w:pPr>
      <w:r>
        <w:rPr>
          <w:rFonts w:hint="eastAsia" w:ascii="宋体" w:hAnsi="宋体" w:eastAsia="宋体"/>
          <w:b w:val="0"/>
          <w:bCs/>
          <w:color w:val="auto"/>
          <w:highlight w:val="none"/>
        </w:rPr>
        <w:t>每天上午00:00至12:00，下午12:01至23:59（北京时间，法定节假日除外。）</w:t>
      </w:r>
    </w:p>
    <w:p w14:paraId="4DFB33DE">
      <w:pPr>
        <w:pStyle w:val="9"/>
        <w:keepNext w:val="0"/>
        <w:keepLines w:val="0"/>
        <w:pageBreakBefore w:val="0"/>
        <w:kinsoku/>
        <w:wordWrap/>
        <w:overflowPunct/>
        <w:topLinePunct w:val="0"/>
        <w:bidi w:val="0"/>
        <w:snapToGrid/>
        <w:spacing w:line="480" w:lineRule="auto"/>
        <w:ind w:firstLine="480" w:firstLineChars="200"/>
        <w:rPr>
          <w:rFonts w:hint="eastAsia" w:ascii="宋体" w:hAnsi="宋体" w:eastAsia="宋体"/>
          <w:b w:val="0"/>
          <w:bCs/>
          <w:color w:val="auto"/>
          <w:highlight w:val="none"/>
        </w:rPr>
      </w:pPr>
      <w:r>
        <w:rPr>
          <w:rFonts w:hint="eastAsia" w:ascii="宋体" w:hAnsi="宋体" w:eastAsia="宋体"/>
          <w:b w:val="0"/>
          <w:bCs/>
          <w:color w:val="auto"/>
          <w:highlight w:val="none"/>
        </w:rPr>
        <w:t>2.地点：三门峡市公共资源交易中心网</w:t>
      </w:r>
    </w:p>
    <w:p w14:paraId="20D96672">
      <w:pPr>
        <w:pStyle w:val="9"/>
        <w:keepNext w:val="0"/>
        <w:keepLines w:val="0"/>
        <w:pageBreakBefore w:val="0"/>
        <w:kinsoku/>
        <w:wordWrap/>
        <w:overflowPunct/>
        <w:topLinePunct w:val="0"/>
        <w:bidi w:val="0"/>
        <w:snapToGrid/>
        <w:spacing w:line="480" w:lineRule="auto"/>
        <w:ind w:firstLine="480" w:firstLineChars="200"/>
        <w:rPr>
          <w:rFonts w:hint="eastAsia" w:ascii="宋体" w:hAnsi="宋体" w:eastAsia="宋体"/>
          <w:b w:val="0"/>
          <w:bCs/>
          <w:color w:val="auto"/>
          <w:highlight w:val="none"/>
        </w:rPr>
      </w:pPr>
      <w:r>
        <w:rPr>
          <w:rFonts w:hint="eastAsia" w:ascii="宋体" w:hAnsi="宋体" w:eastAsia="宋体"/>
          <w:b w:val="0"/>
          <w:bCs/>
          <w:color w:val="auto"/>
          <w:highlight w:val="none"/>
        </w:rPr>
        <w:t>3.方式：</w:t>
      </w:r>
      <w:r>
        <w:rPr>
          <w:rFonts w:hint="eastAsia" w:hAnsi="宋体"/>
          <w:b w:val="0"/>
          <w:bCs/>
          <w:color w:val="auto"/>
          <w:highlight w:val="none"/>
          <w:lang w:eastAsia="zh-CN"/>
        </w:rPr>
        <w:t>供应商</w:t>
      </w:r>
      <w:r>
        <w:rPr>
          <w:rFonts w:hint="eastAsia" w:ascii="宋体" w:hAnsi="宋体" w:eastAsia="宋体"/>
          <w:b w:val="0"/>
          <w:bCs/>
          <w:color w:val="auto"/>
          <w:highlight w:val="none"/>
        </w:rPr>
        <w:t>凭CA数字证书通过三门峡市公共资源交易中心网（网址：http://gzjy.smx.gov.cn/），点击交易平台选择“市场主体登录”，登陆系统后，点击采购业务-业务管理-</w:t>
      </w:r>
      <w:r>
        <w:rPr>
          <w:rFonts w:hint="eastAsia" w:hAnsi="宋体"/>
          <w:b w:val="0"/>
          <w:bCs/>
          <w:color w:val="auto"/>
          <w:highlight w:val="none"/>
          <w:lang w:eastAsia="zh-CN"/>
        </w:rPr>
        <w:t>磋商文件</w:t>
      </w:r>
      <w:r>
        <w:rPr>
          <w:rFonts w:hint="eastAsia" w:ascii="宋体" w:hAnsi="宋体" w:eastAsia="宋体"/>
          <w:b w:val="0"/>
          <w:bCs/>
          <w:color w:val="auto"/>
          <w:highlight w:val="none"/>
        </w:rPr>
        <w:t>领取菜单-点击领取按钮-领取.smxzf格式的电子</w:t>
      </w:r>
      <w:r>
        <w:rPr>
          <w:rFonts w:hint="eastAsia" w:hAnsi="宋体"/>
          <w:b w:val="0"/>
          <w:bCs/>
          <w:color w:val="auto"/>
          <w:highlight w:val="none"/>
          <w:lang w:eastAsia="zh-CN"/>
        </w:rPr>
        <w:t>磋商文件</w:t>
      </w:r>
      <w:r>
        <w:rPr>
          <w:rFonts w:hint="eastAsia" w:ascii="宋体" w:hAnsi="宋体" w:eastAsia="宋体"/>
          <w:b w:val="0"/>
          <w:bCs/>
          <w:color w:val="auto"/>
          <w:highlight w:val="none"/>
        </w:rPr>
        <w:t>。</w:t>
      </w:r>
    </w:p>
    <w:p w14:paraId="10FAB0AD">
      <w:pPr>
        <w:pStyle w:val="9"/>
        <w:keepNext w:val="0"/>
        <w:keepLines w:val="0"/>
        <w:pageBreakBefore w:val="0"/>
        <w:kinsoku/>
        <w:wordWrap/>
        <w:overflowPunct/>
        <w:topLinePunct w:val="0"/>
        <w:bidi w:val="0"/>
        <w:snapToGrid/>
        <w:spacing w:line="480" w:lineRule="auto"/>
        <w:ind w:firstLine="480" w:firstLineChars="200"/>
        <w:rPr>
          <w:rFonts w:hint="eastAsia" w:ascii="宋体" w:hAnsi="宋体" w:eastAsia="宋体"/>
          <w:b w:val="0"/>
          <w:bCs/>
          <w:color w:val="auto"/>
          <w:highlight w:val="none"/>
        </w:rPr>
      </w:pPr>
      <w:r>
        <w:rPr>
          <w:rFonts w:hint="eastAsia" w:ascii="宋体" w:hAnsi="宋体" w:eastAsia="宋体"/>
          <w:b w:val="0"/>
          <w:bCs/>
          <w:color w:val="auto"/>
          <w:highlight w:val="none"/>
        </w:rPr>
        <w:t>办理CA证书链接：http://gzjy.smx.gov.cn/fwzn/004003/20201019/a8fae6a0-baed-499b-bb50-8ecc8828a2ca.html</w:t>
      </w:r>
    </w:p>
    <w:p w14:paraId="0CAC1A74">
      <w:pPr>
        <w:pStyle w:val="9"/>
        <w:keepNext w:val="0"/>
        <w:keepLines w:val="0"/>
        <w:pageBreakBefore w:val="0"/>
        <w:kinsoku/>
        <w:wordWrap/>
        <w:overflowPunct/>
        <w:topLinePunct w:val="0"/>
        <w:bidi w:val="0"/>
        <w:snapToGrid/>
        <w:spacing w:line="480" w:lineRule="auto"/>
        <w:ind w:firstLine="480" w:firstLineChars="200"/>
        <w:rPr>
          <w:rFonts w:hint="eastAsia" w:ascii="宋体" w:hAnsi="宋体" w:eastAsia="宋体"/>
          <w:b w:val="0"/>
          <w:bCs/>
          <w:color w:val="auto"/>
          <w:highlight w:val="none"/>
        </w:rPr>
      </w:pPr>
      <w:r>
        <w:rPr>
          <w:rFonts w:hint="eastAsia" w:ascii="宋体" w:hAnsi="宋体" w:eastAsia="宋体"/>
          <w:b w:val="0"/>
          <w:bCs/>
          <w:color w:val="auto"/>
          <w:highlight w:val="none"/>
        </w:rPr>
        <w:t>4.售价：0元</w:t>
      </w:r>
    </w:p>
    <w:p w14:paraId="19AD6D2D">
      <w:pPr>
        <w:pStyle w:val="9"/>
        <w:keepNext w:val="0"/>
        <w:keepLines w:val="0"/>
        <w:pageBreakBefore w:val="0"/>
        <w:kinsoku/>
        <w:wordWrap/>
        <w:overflowPunct/>
        <w:topLinePunct w:val="0"/>
        <w:bidi w:val="0"/>
        <w:snapToGrid/>
        <w:spacing w:line="480" w:lineRule="auto"/>
        <w:ind w:firstLine="480" w:firstLineChars="200"/>
        <w:rPr>
          <w:rFonts w:hint="eastAsia" w:ascii="宋体" w:hAnsi="宋体" w:eastAsia="宋体"/>
          <w:b w:val="0"/>
          <w:bCs/>
          <w:color w:val="auto"/>
          <w:highlight w:val="none"/>
        </w:rPr>
      </w:pPr>
      <w:r>
        <w:rPr>
          <w:rFonts w:hint="eastAsia" w:ascii="宋体" w:hAnsi="宋体" w:eastAsia="宋体"/>
          <w:b w:val="0"/>
          <w:bCs/>
          <w:color w:val="auto"/>
          <w:highlight w:val="none"/>
        </w:rPr>
        <w:t>四、响应文件提交</w:t>
      </w:r>
    </w:p>
    <w:p w14:paraId="133D2F8B">
      <w:pPr>
        <w:pStyle w:val="9"/>
        <w:keepNext w:val="0"/>
        <w:keepLines w:val="0"/>
        <w:pageBreakBefore w:val="0"/>
        <w:kinsoku/>
        <w:wordWrap/>
        <w:overflowPunct/>
        <w:topLinePunct w:val="0"/>
        <w:bidi w:val="0"/>
        <w:snapToGrid/>
        <w:spacing w:line="480" w:lineRule="auto"/>
        <w:ind w:firstLine="480" w:firstLineChars="200"/>
        <w:rPr>
          <w:rFonts w:hint="eastAsia" w:ascii="宋体" w:hAnsi="宋体" w:eastAsia="宋体"/>
          <w:b w:val="0"/>
          <w:bCs/>
          <w:color w:val="auto"/>
          <w:highlight w:val="none"/>
        </w:rPr>
      </w:pPr>
      <w:r>
        <w:rPr>
          <w:rFonts w:hint="eastAsia" w:ascii="宋体" w:hAnsi="宋体" w:eastAsia="宋体"/>
          <w:b w:val="0"/>
          <w:bCs/>
          <w:color w:val="auto"/>
          <w:highlight w:val="none"/>
        </w:rPr>
        <w:t>1.</w:t>
      </w:r>
      <w:r>
        <w:rPr>
          <w:rFonts w:hint="eastAsia" w:ascii="宋体" w:hAnsi="宋体" w:eastAsia="宋体"/>
          <w:b w:val="0"/>
          <w:bCs/>
          <w:color w:val="auto"/>
          <w:highlight w:val="none"/>
          <w:lang w:val="en-US" w:eastAsia="zh-CN"/>
        </w:rPr>
        <w:t>截止</w:t>
      </w:r>
      <w:r>
        <w:rPr>
          <w:rFonts w:hint="eastAsia" w:ascii="宋体" w:hAnsi="宋体" w:eastAsia="宋体"/>
          <w:b w:val="0"/>
          <w:bCs/>
          <w:color w:val="auto"/>
          <w:highlight w:val="none"/>
        </w:rPr>
        <w:t>时间：</w:t>
      </w:r>
      <w:r>
        <w:rPr>
          <w:rFonts w:hint="eastAsia" w:hAnsi="宋体"/>
          <w:b w:val="0"/>
          <w:bCs/>
          <w:color w:val="auto"/>
          <w:highlight w:val="none"/>
          <w:lang w:val="en-US" w:eastAsia="zh-CN"/>
        </w:rPr>
        <w:t>2025</w:t>
      </w:r>
      <w:r>
        <w:rPr>
          <w:rFonts w:hint="eastAsia" w:ascii="宋体" w:hAnsi="宋体" w:eastAsia="宋体"/>
          <w:b w:val="0"/>
          <w:bCs/>
          <w:color w:val="auto"/>
          <w:highlight w:val="none"/>
          <w:lang w:eastAsia="zh-CN"/>
        </w:rPr>
        <w:t>年</w:t>
      </w:r>
      <w:r>
        <w:rPr>
          <w:rFonts w:hint="eastAsia" w:hAnsi="宋体"/>
          <w:b w:val="0"/>
          <w:bCs/>
          <w:color w:val="auto"/>
          <w:highlight w:val="none"/>
          <w:lang w:val="en-US" w:eastAsia="zh-CN"/>
        </w:rPr>
        <w:t>9</w:t>
      </w:r>
      <w:r>
        <w:rPr>
          <w:rFonts w:hint="eastAsia" w:ascii="宋体" w:hAnsi="宋体" w:eastAsia="宋体"/>
          <w:b w:val="0"/>
          <w:bCs/>
          <w:color w:val="auto"/>
          <w:highlight w:val="none"/>
          <w:lang w:eastAsia="zh-CN"/>
        </w:rPr>
        <w:t>月</w:t>
      </w:r>
      <w:r>
        <w:rPr>
          <w:rFonts w:hint="eastAsia" w:hAnsi="宋体"/>
          <w:b w:val="0"/>
          <w:bCs/>
          <w:color w:val="auto"/>
          <w:highlight w:val="none"/>
          <w:lang w:val="en-US" w:eastAsia="zh-CN"/>
        </w:rPr>
        <w:t>30</w:t>
      </w:r>
      <w:r>
        <w:rPr>
          <w:rFonts w:hint="eastAsia" w:ascii="宋体" w:hAnsi="宋体" w:eastAsia="宋体"/>
          <w:b w:val="0"/>
          <w:bCs/>
          <w:color w:val="auto"/>
          <w:highlight w:val="none"/>
          <w:lang w:eastAsia="zh-CN"/>
        </w:rPr>
        <w:t>日</w:t>
      </w:r>
      <w:r>
        <w:rPr>
          <w:rFonts w:hint="eastAsia" w:hAnsi="宋体"/>
          <w:b w:val="0"/>
          <w:bCs/>
          <w:color w:val="auto"/>
          <w:highlight w:val="none"/>
          <w:lang w:val="en-US" w:eastAsia="zh-CN"/>
        </w:rPr>
        <w:t>9</w:t>
      </w:r>
      <w:r>
        <w:rPr>
          <w:rFonts w:hint="eastAsia" w:ascii="宋体" w:hAnsi="宋体" w:eastAsia="宋体"/>
          <w:b w:val="0"/>
          <w:bCs/>
          <w:color w:val="auto"/>
          <w:highlight w:val="none"/>
          <w:lang w:eastAsia="zh-CN"/>
        </w:rPr>
        <w:t>时</w:t>
      </w:r>
      <w:r>
        <w:rPr>
          <w:rFonts w:hint="eastAsia" w:hAnsi="宋体"/>
          <w:b w:val="0"/>
          <w:bCs/>
          <w:color w:val="auto"/>
          <w:highlight w:val="none"/>
          <w:lang w:val="en-US" w:eastAsia="zh-CN"/>
        </w:rPr>
        <w:t>00</w:t>
      </w:r>
      <w:r>
        <w:rPr>
          <w:rFonts w:hint="eastAsia" w:ascii="宋体" w:hAnsi="宋体" w:eastAsia="宋体"/>
          <w:b w:val="0"/>
          <w:bCs/>
          <w:color w:val="auto"/>
          <w:highlight w:val="none"/>
          <w:lang w:eastAsia="zh-CN"/>
        </w:rPr>
        <w:t>分</w:t>
      </w:r>
      <w:r>
        <w:rPr>
          <w:rFonts w:hint="eastAsia" w:ascii="宋体" w:hAnsi="宋体" w:eastAsia="宋体"/>
          <w:b w:val="0"/>
          <w:bCs/>
          <w:color w:val="auto"/>
          <w:highlight w:val="none"/>
        </w:rPr>
        <w:t>（北京时间）</w:t>
      </w:r>
    </w:p>
    <w:p w14:paraId="52F2A8AB">
      <w:pPr>
        <w:pStyle w:val="9"/>
        <w:keepNext w:val="0"/>
        <w:keepLines w:val="0"/>
        <w:pageBreakBefore w:val="0"/>
        <w:kinsoku/>
        <w:wordWrap/>
        <w:overflowPunct/>
        <w:topLinePunct w:val="0"/>
        <w:bidi w:val="0"/>
        <w:snapToGrid/>
        <w:spacing w:line="480" w:lineRule="auto"/>
        <w:ind w:firstLine="480" w:firstLineChars="200"/>
        <w:rPr>
          <w:rFonts w:hint="eastAsia" w:ascii="宋体" w:hAnsi="宋体" w:eastAsia="宋体"/>
          <w:b w:val="0"/>
          <w:bCs/>
          <w:color w:val="auto"/>
          <w:highlight w:val="none"/>
        </w:rPr>
      </w:pPr>
      <w:r>
        <w:rPr>
          <w:rFonts w:hint="eastAsia" w:ascii="宋体" w:hAnsi="宋体" w:eastAsia="宋体"/>
          <w:b w:val="0"/>
          <w:bCs/>
          <w:color w:val="auto"/>
          <w:highlight w:val="none"/>
        </w:rPr>
        <w:t>2.地点：加密电子招标</w:t>
      </w:r>
      <w:r>
        <w:rPr>
          <w:rFonts w:hint="eastAsia" w:hAnsi="宋体"/>
          <w:b w:val="0"/>
          <w:bCs/>
          <w:color w:val="auto"/>
          <w:highlight w:val="none"/>
          <w:lang w:eastAsia="zh-CN"/>
        </w:rPr>
        <w:t>响应文件</w:t>
      </w:r>
      <w:r>
        <w:rPr>
          <w:rFonts w:hint="eastAsia" w:ascii="宋体" w:hAnsi="宋体" w:eastAsia="宋体"/>
          <w:b w:val="0"/>
          <w:bCs/>
          <w:color w:val="auto"/>
          <w:highlight w:val="none"/>
        </w:rPr>
        <w:t>须在招标截止时间前通过三门峡市公共资源交易中心电子交易平台加密上传。</w:t>
      </w:r>
    </w:p>
    <w:p w14:paraId="2C78DAA1">
      <w:pPr>
        <w:pStyle w:val="9"/>
        <w:keepNext w:val="0"/>
        <w:keepLines w:val="0"/>
        <w:pageBreakBefore w:val="0"/>
        <w:kinsoku/>
        <w:wordWrap/>
        <w:overflowPunct/>
        <w:topLinePunct w:val="0"/>
        <w:bidi w:val="0"/>
        <w:snapToGrid/>
        <w:spacing w:line="480" w:lineRule="auto"/>
        <w:ind w:firstLine="480" w:firstLineChars="200"/>
        <w:rPr>
          <w:rFonts w:hint="eastAsia" w:ascii="宋体" w:hAnsi="宋体" w:eastAsia="宋体"/>
          <w:b w:val="0"/>
          <w:bCs/>
          <w:color w:val="auto"/>
          <w:highlight w:val="none"/>
        </w:rPr>
      </w:pPr>
      <w:r>
        <w:rPr>
          <w:rFonts w:hint="eastAsia" w:ascii="宋体" w:hAnsi="宋体" w:eastAsia="宋体"/>
          <w:b w:val="0"/>
          <w:bCs/>
          <w:color w:val="auto"/>
          <w:highlight w:val="none"/>
        </w:rPr>
        <w:t>五、</w:t>
      </w:r>
      <w:r>
        <w:rPr>
          <w:rFonts w:hint="eastAsia" w:ascii="宋体" w:hAnsi="宋体" w:eastAsia="宋体"/>
          <w:b w:val="0"/>
          <w:bCs/>
          <w:color w:val="auto"/>
          <w:highlight w:val="none"/>
          <w:lang w:val="en-US" w:eastAsia="zh-CN"/>
        </w:rPr>
        <w:t>响应文件开启</w:t>
      </w:r>
    </w:p>
    <w:p w14:paraId="09A2D25E">
      <w:pPr>
        <w:pStyle w:val="9"/>
        <w:keepNext w:val="0"/>
        <w:keepLines w:val="0"/>
        <w:pageBreakBefore w:val="0"/>
        <w:kinsoku/>
        <w:wordWrap/>
        <w:overflowPunct/>
        <w:topLinePunct w:val="0"/>
        <w:bidi w:val="0"/>
        <w:snapToGrid/>
        <w:spacing w:line="480" w:lineRule="auto"/>
        <w:ind w:firstLine="480" w:firstLineChars="200"/>
        <w:rPr>
          <w:rFonts w:hint="eastAsia" w:ascii="宋体" w:hAnsi="宋体" w:eastAsia="宋体"/>
          <w:b w:val="0"/>
          <w:bCs/>
          <w:color w:val="auto"/>
          <w:highlight w:val="none"/>
        </w:rPr>
      </w:pPr>
      <w:r>
        <w:rPr>
          <w:rFonts w:hint="eastAsia" w:ascii="宋体" w:hAnsi="宋体" w:eastAsia="宋体"/>
          <w:b w:val="0"/>
          <w:bCs/>
          <w:color w:val="auto"/>
          <w:highlight w:val="none"/>
        </w:rPr>
        <w:t>1.时间：</w:t>
      </w:r>
      <w:r>
        <w:rPr>
          <w:rFonts w:hint="eastAsia" w:hAnsi="宋体"/>
          <w:b w:val="0"/>
          <w:bCs/>
          <w:color w:val="auto"/>
          <w:highlight w:val="none"/>
          <w:lang w:val="en-US" w:eastAsia="zh-CN"/>
        </w:rPr>
        <w:t>2025</w:t>
      </w:r>
      <w:r>
        <w:rPr>
          <w:rFonts w:hint="eastAsia" w:ascii="宋体" w:hAnsi="宋体" w:eastAsia="宋体"/>
          <w:b w:val="0"/>
          <w:bCs/>
          <w:color w:val="auto"/>
          <w:highlight w:val="none"/>
          <w:lang w:eastAsia="zh-CN"/>
        </w:rPr>
        <w:t>年</w:t>
      </w:r>
      <w:r>
        <w:rPr>
          <w:rFonts w:hint="eastAsia" w:hAnsi="宋体"/>
          <w:b w:val="0"/>
          <w:bCs/>
          <w:color w:val="auto"/>
          <w:highlight w:val="none"/>
          <w:lang w:val="en-US" w:eastAsia="zh-CN"/>
        </w:rPr>
        <w:t>9</w:t>
      </w:r>
      <w:r>
        <w:rPr>
          <w:rFonts w:hint="eastAsia" w:ascii="宋体" w:hAnsi="宋体" w:eastAsia="宋体"/>
          <w:b w:val="0"/>
          <w:bCs/>
          <w:color w:val="auto"/>
          <w:highlight w:val="none"/>
          <w:lang w:eastAsia="zh-CN"/>
        </w:rPr>
        <w:t>月</w:t>
      </w:r>
      <w:r>
        <w:rPr>
          <w:rFonts w:hint="eastAsia" w:hAnsi="宋体"/>
          <w:b w:val="0"/>
          <w:bCs/>
          <w:color w:val="auto"/>
          <w:highlight w:val="none"/>
          <w:lang w:val="en-US" w:eastAsia="zh-CN"/>
        </w:rPr>
        <w:t>30</w:t>
      </w:r>
      <w:r>
        <w:rPr>
          <w:rFonts w:hint="eastAsia" w:ascii="宋体" w:hAnsi="宋体" w:eastAsia="宋体"/>
          <w:b w:val="0"/>
          <w:bCs/>
          <w:color w:val="auto"/>
          <w:highlight w:val="none"/>
          <w:lang w:eastAsia="zh-CN"/>
        </w:rPr>
        <w:t>日</w:t>
      </w:r>
      <w:r>
        <w:rPr>
          <w:rFonts w:hint="eastAsia" w:hAnsi="宋体"/>
          <w:b w:val="0"/>
          <w:bCs/>
          <w:color w:val="auto"/>
          <w:highlight w:val="none"/>
          <w:lang w:val="en-US" w:eastAsia="zh-CN"/>
        </w:rPr>
        <w:t>9</w:t>
      </w:r>
      <w:r>
        <w:rPr>
          <w:rFonts w:hint="eastAsia" w:ascii="宋体" w:hAnsi="宋体" w:eastAsia="宋体"/>
          <w:b w:val="0"/>
          <w:bCs/>
          <w:color w:val="auto"/>
          <w:highlight w:val="none"/>
          <w:lang w:eastAsia="zh-CN"/>
        </w:rPr>
        <w:t>时</w:t>
      </w:r>
      <w:r>
        <w:rPr>
          <w:rFonts w:hint="eastAsia" w:hAnsi="宋体"/>
          <w:b w:val="0"/>
          <w:bCs/>
          <w:color w:val="auto"/>
          <w:highlight w:val="none"/>
          <w:lang w:val="en-US" w:eastAsia="zh-CN"/>
        </w:rPr>
        <w:t>00</w:t>
      </w:r>
      <w:r>
        <w:rPr>
          <w:rFonts w:hint="eastAsia" w:ascii="宋体" w:hAnsi="宋体" w:eastAsia="宋体"/>
          <w:b w:val="0"/>
          <w:bCs/>
          <w:color w:val="auto"/>
          <w:highlight w:val="none"/>
          <w:lang w:eastAsia="zh-CN"/>
        </w:rPr>
        <w:t>分</w:t>
      </w:r>
      <w:r>
        <w:rPr>
          <w:rFonts w:hint="eastAsia" w:ascii="宋体" w:hAnsi="宋体" w:eastAsia="宋体"/>
          <w:b w:val="0"/>
          <w:bCs/>
          <w:color w:val="auto"/>
          <w:highlight w:val="none"/>
        </w:rPr>
        <w:t>（北京时间）</w:t>
      </w:r>
    </w:p>
    <w:p w14:paraId="6379CE04">
      <w:pPr>
        <w:pStyle w:val="9"/>
        <w:keepNext w:val="0"/>
        <w:keepLines w:val="0"/>
        <w:pageBreakBefore w:val="0"/>
        <w:kinsoku/>
        <w:wordWrap/>
        <w:overflowPunct/>
        <w:topLinePunct w:val="0"/>
        <w:bidi w:val="0"/>
        <w:snapToGrid/>
        <w:spacing w:line="480" w:lineRule="auto"/>
        <w:ind w:firstLine="480" w:firstLineChars="200"/>
        <w:rPr>
          <w:rFonts w:hint="eastAsia" w:ascii="宋体" w:hAnsi="宋体" w:eastAsia="宋体"/>
          <w:b w:val="0"/>
          <w:bCs/>
          <w:color w:val="auto"/>
          <w:highlight w:val="none"/>
        </w:rPr>
      </w:pPr>
      <w:r>
        <w:rPr>
          <w:rFonts w:hint="eastAsia" w:ascii="宋体" w:hAnsi="宋体" w:eastAsia="宋体"/>
          <w:b w:val="0"/>
          <w:bCs/>
          <w:color w:val="auto"/>
          <w:highlight w:val="none"/>
        </w:rPr>
        <w:t>2.地点：三门峡市公共资源交易中心五楼开标区</w:t>
      </w:r>
    </w:p>
    <w:p w14:paraId="1B6D1177">
      <w:pPr>
        <w:pStyle w:val="9"/>
        <w:keepNext w:val="0"/>
        <w:keepLines w:val="0"/>
        <w:pageBreakBefore w:val="0"/>
        <w:kinsoku/>
        <w:wordWrap/>
        <w:overflowPunct/>
        <w:topLinePunct w:val="0"/>
        <w:bidi w:val="0"/>
        <w:snapToGrid/>
        <w:spacing w:line="480" w:lineRule="auto"/>
        <w:ind w:firstLine="480" w:firstLineChars="200"/>
        <w:rPr>
          <w:rFonts w:hint="eastAsia" w:ascii="宋体" w:hAnsi="宋体" w:eastAsia="宋体"/>
          <w:b w:val="0"/>
          <w:bCs/>
          <w:color w:val="auto"/>
          <w:highlight w:val="none"/>
        </w:rPr>
      </w:pPr>
      <w:r>
        <w:rPr>
          <w:rFonts w:hint="eastAsia" w:ascii="宋体" w:hAnsi="宋体" w:eastAsia="宋体"/>
          <w:b w:val="0"/>
          <w:bCs/>
          <w:color w:val="auto"/>
          <w:highlight w:val="none"/>
        </w:rPr>
        <w:t>六、发布公告的媒介及公告期限</w:t>
      </w:r>
    </w:p>
    <w:p w14:paraId="033C140C">
      <w:pPr>
        <w:pStyle w:val="9"/>
        <w:keepNext w:val="0"/>
        <w:keepLines w:val="0"/>
        <w:pageBreakBefore w:val="0"/>
        <w:kinsoku/>
        <w:wordWrap/>
        <w:overflowPunct/>
        <w:topLinePunct w:val="0"/>
        <w:bidi w:val="0"/>
        <w:snapToGrid/>
        <w:spacing w:line="480" w:lineRule="auto"/>
        <w:ind w:firstLine="480" w:firstLineChars="200"/>
        <w:rPr>
          <w:rFonts w:hint="eastAsia" w:ascii="宋体" w:hAnsi="宋体" w:eastAsia="宋体"/>
          <w:b w:val="0"/>
          <w:bCs/>
          <w:color w:val="auto"/>
          <w:highlight w:val="none"/>
        </w:rPr>
      </w:pPr>
      <w:r>
        <w:rPr>
          <w:rFonts w:hint="eastAsia" w:ascii="宋体" w:hAnsi="宋体" w:eastAsia="宋体"/>
          <w:b w:val="0"/>
          <w:bCs/>
          <w:color w:val="auto"/>
          <w:highlight w:val="none"/>
        </w:rPr>
        <w:t>本次公告在《河南省政府采购网》、</w:t>
      </w:r>
      <w:r>
        <w:rPr>
          <w:rFonts w:hint="eastAsia" w:ascii="宋体" w:hAnsi="宋体" w:cs="宋体"/>
          <w:color w:val="auto"/>
          <w:sz w:val="24"/>
          <w:highlight w:val="none"/>
        </w:rPr>
        <w:t>《河南省电子招标投标公共服务平台》</w:t>
      </w:r>
      <w:r>
        <w:rPr>
          <w:rFonts w:hint="eastAsia" w:ascii="宋体" w:hAnsi="宋体" w:eastAsia="宋体"/>
          <w:b w:val="0"/>
          <w:bCs/>
          <w:color w:val="auto"/>
          <w:highlight w:val="none"/>
          <w:lang w:eastAsia="zh-CN"/>
        </w:rPr>
        <w:t>、</w:t>
      </w:r>
      <w:r>
        <w:rPr>
          <w:rFonts w:hint="eastAsia" w:ascii="宋体" w:hAnsi="宋体" w:eastAsia="宋体"/>
          <w:b w:val="0"/>
          <w:bCs/>
          <w:color w:val="auto"/>
          <w:highlight w:val="none"/>
        </w:rPr>
        <w:t>《三门峡市公共资源交易中心网》网站上发布。公告期限为</w:t>
      </w:r>
      <w:r>
        <w:rPr>
          <w:rFonts w:hint="eastAsia" w:hAnsi="宋体" w:eastAsia="宋体"/>
          <w:b w:val="0"/>
          <w:bCs/>
          <w:color w:val="auto"/>
          <w:highlight w:val="none"/>
          <w:lang w:val="en-US" w:eastAsia="zh-CN"/>
        </w:rPr>
        <w:t>三</w:t>
      </w:r>
      <w:r>
        <w:rPr>
          <w:rFonts w:hint="eastAsia" w:ascii="宋体" w:hAnsi="宋体" w:eastAsia="宋体"/>
          <w:b w:val="0"/>
          <w:bCs/>
          <w:color w:val="auto"/>
          <w:highlight w:val="none"/>
        </w:rPr>
        <w:t>个工作日。</w:t>
      </w:r>
    </w:p>
    <w:p w14:paraId="32BB012B">
      <w:pPr>
        <w:pStyle w:val="9"/>
        <w:keepNext w:val="0"/>
        <w:keepLines w:val="0"/>
        <w:pageBreakBefore w:val="0"/>
        <w:kinsoku/>
        <w:wordWrap/>
        <w:overflowPunct/>
        <w:topLinePunct w:val="0"/>
        <w:bidi w:val="0"/>
        <w:snapToGrid/>
        <w:spacing w:line="480" w:lineRule="auto"/>
        <w:ind w:firstLine="480" w:firstLineChars="200"/>
        <w:rPr>
          <w:rFonts w:hint="eastAsia" w:ascii="宋体" w:hAnsi="宋体" w:eastAsia="宋体"/>
          <w:b w:val="0"/>
          <w:bCs/>
          <w:color w:val="auto"/>
          <w:highlight w:val="none"/>
        </w:rPr>
      </w:pPr>
      <w:r>
        <w:rPr>
          <w:rFonts w:hint="eastAsia" w:ascii="宋体" w:hAnsi="宋体" w:eastAsia="宋体"/>
          <w:b w:val="0"/>
          <w:bCs/>
          <w:color w:val="auto"/>
          <w:highlight w:val="none"/>
        </w:rPr>
        <w:t>七、其他补充事宜</w:t>
      </w:r>
    </w:p>
    <w:p w14:paraId="02729AE9">
      <w:pPr>
        <w:pStyle w:val="9"/>
        <w:keepNext w:val="0"/>
        <w:keepLines w:val="0"/>
        <w:pageBreakBefore w:val="0"/>
        <w:kinsoku/>
        <w:wordWrap/>
        <w:overflowPunct/>
        <w:topLinePunct w:val="0"/>
        <w:bidi w:val="0"/>
        <w:snapToGrid/>
        <w:spacing w:line="480" w:lineRule="auto"/>
        <w:ind w:firstLine="480" w:firstLineChars="200"/>
        <w:rPr>
          <w:rFonts w:hint="eastAsia" w:ascii="宋体" w:hAnsi="宋体" w:eastAsia="宋体"/>
          <w:b w:val="0"/>
          <w:bCs/>
          <w:color w:val="auto"/>
          <w:highlight w:val="none"/>
        </w:rPr>
      </w:pPr>
      <w:r>
        <w:rPr>
          <w:rFonts w:hint="eastAsia" w:ascii="宋体" w:hAnsi="宋体" w:eastAsia="宋体"/>
          <w:b w:val="0"/>
          <w:bCs/>
          <w:color w:val="auto"/>
          <w:highlight w:val="none"/>
        </w:rPr>
        <w:t>1.本项目为不见面开标项目，开标当日，</w:t>
      </w:r>
      <w:r>
        <w:rPr>
          <w:rFonts w:hint="eastAsia" w:hAnsi="宋体"/>
          <w:b w:val="0"/>
          <w:bCs/>
          <w:color w:val="auto"/>
          <w:highlight w:val="none"/>
          <w:lang w:eastAsia="zh-CN"/>
        </w:rPr>
        <w:t>供应商</w:t>
      </w:r>
      <w:r>
        <w:rPr>
          <w:rFonts w:hint="eastAsia" w:ascii="宋体" w:hAnsi="宋体" w:eastAsia="宋体"/>
          <w:b w:val="0"/>
          <w:bCs/>
          <w:color w:val="auto"/>
          <w:highlight w:val="none"/>
        </w:rPr>
        <w:t>无需到开标现场参加开标会议，</w:t>
      </w:r>
      <w:r>
        <w:rPr>
          <w:rFonts w:hint="eastAsia" w:hAnsi="宋体"/>
          <w:b w:val="0"/>
          <w:bCs/>
          <w:color w:val="auto"/>
          <w:highlight w:val="none"/>
          <w:lang w:eastAsia="zh-CN"/>
        </w:rPr>
        <w:t>供应商</w:t>
      </w:r>
      <w:r>
        <w:rPr>
          <w:rFonts w:hint="eastAsia" w:ascii="宋体" w:hAnsi="宋体" w:eastAsia="宋体"/>
          <w:b w:val="0"/>
          <w:bCs/>
          <w:color w:val="auto"/>
          <w:highlight w:val="none"/>
        </w:rPr>
        <w:t>应当在投标截止时间前，登陆不见面开标大厅选择登陆三门峡市公共资源电子招投标系统进行登陆（网址为http://120.194.249.36:10094/BidOpening/bidopeninghallaction/hall/login）,在线准时参加开标活动并进行招标</w:t>
      </w:r>
      <w:r>
        <w:rPr>
          <w:rFonts w:hint="eastAsia" w:hAnsi="宋体"/>
          <w:b w:val="0"/>
          <w:bCs/>
          <w:color w:val="auto"/>
          <w:highlight w:val="none"/>
          <w:lang w:eastAsia="zh-CN"/>
        </w:rPr>
        <w:t>响应文件</w:t>
      </w:r>
      <w:r>
        <w:rPr>
          <w:rFonts w:hint="eastAsia" w:ascii="宋体" w:hAnsi="宋体" w:eastAsia="宋体"/>
          <w:b w:val="0"/>
          <w:bCs/>
          <w:color w:val="auto"/>
          <w:highlight w:val="none"/>
        </w:rPr>
        <w:t>解密等。每位</w:t>
      </w:r>
      <w:r>
        <w:rPr>
          <w:rFonts w:hint="eastAsia" w:hAnsi="宋体"/>
          <w:b w:val="0"/>
          <w:bCs/>
          <w:color w:val="auto"/>
          <w:highlight w:val="none"/>
          <w:lang w:eastAsia="zh-CN"/>
        </w:rPr>
        <w:t>供应商</w:t>
      </w:r>
      <w:r>
        <w:rPr>
          <w:rFonts w:hint="eastAsia" w:ascii="宋体" w:hAnsi="宋体" w:eastAsia="宋体"/>
          <w:b w:val="0"/>
          <w:bCs/>
          <w:color w:val="auto"/>
          <w:highlight w:val="none"/>
        </w:rPr>
        <w:t>的解密时间为开标时间起30分钟内完成。因</w:t>
      </w:r>
      <w:r>
        <w:rPr>
          <w:rFonts w:hint="eastAsia" w:hAnsi="宋体"/>
          <w:b w:val="0"/>
          <w:bCs/>
          <w:color w:val="auto"/>
          <w:highlight w:val="none"/>
          <w:lang w:eastAsia="zh-CN"/>
        </w:rPr>
        <w:t>供应商</w:t>
      </w:r>
      <w:r>
        <w:rPr>
          <w:rFonts w:hint="eastAsia" w:ascii="宋体" w:hAnsi="宋体" w:eastAsia="宋体"/>
          <w:b w:val="0"/>
          <w:bCs/>
          <w:color w:val="auto"/>
          <w:highlight w:val="none"/>
        </w:rPr>
        <w:t>原因未能解密、解密失败或解密超时的将被拒绝。</w:t>
      </w:r>
    </w:p>
    <w:p w14:paraId="6364AFE4">
      <w:pPr>
        <w:pStyle w:val="9"/>
        <w:keepNext w:val="0"/>
        <w:keepLines w:val="0"/>
        <w:pageBreakBefore w:val="0"/>
        <w:kinsoku/>
        <w:wordWrap/>
        <w:overflowPunct/>
        <w:topLinePunct w:val="0"/>
        <w:bidi w:val="0"/>
        <w:snapToGrid/>
        <w:spacing w:line="480" w:lineRule="auto"/>
        <w:ind w:firstLine="480" w:firstLineChars="200"/>
        <w:rPr>
          <w:rFonts w:hint="eastAsia" w:ascii="宋体" w:hAnsi="宋体" w:eastAsia="宋体"/>
          <w:b w:val="0"/>
          <w:bCs/>
          <w:color w:val="auto"/>
          <w:highlight w:val="none"/>
        </w:rPr>
      </w:pPr>
      <w:r>
        <w:rPr>
          <w:rFonts w:hint="eastAsia" w:ascii="宋体" w:hAnsi="宋体" w:eastAsia="宋体"/>
          <w:b w:val="0"/>
          <w:bCs/>
          <w:color w:val="auto"/>
          <w:highlight w:val="none"/>
        </w:rPr>
        <w:t>2.本项目为电子化、无纸化交易项目，开标时不再接受任何纸质资料，为保证您能投标成功，请需仔细阅读</w:t>
      </w:r>
      <w:r>
        <w:rPr>
          <w:rFonts w:hint="eastAsia" w:hAnsi="宋体"/>
          <w:b w:val="0"/>
          <w:bCs/>
          <w:color w:val="auto"/>
          <w:highlight w:val="none"/>
          <w:lang w:eastAsia="zh-CN"/>
        </w:rPr>
        <w:t>磋商文件</w:t>
      </w:r>
      <w:r>
        <w:rPr>
          <w:rFonts w:hint="eastAsia" w:ascii="宋体" w:hAnsi="宋体" w:eastAsia="宋体"/>
          <w:b w:val="0"/>
          <w:bCs/>
          <w:color w:val="auto"/>
          <w:highlight w:val="none"/>
        </w:rPr>
        <w:t>和三门峡市公共资源交易中心官网业务办理指南。</w:t>
      </w:r>
    </w:p>
    <w:p w14:paraId="1749580D">
      <w:pPr>
        <w:pStyle w:val="9"/>
        <w:keepNext w:val="0"/>
        <w:keepLines w:val="0"/>
        <w:pageBreakBefore w:val="0"/>
        <w:kinsoku/>
        <w:wordWrap/>
        <w:overflowPunct/>
        <w:topLinePunct w:val="0"/>
        <w:bidi w:val="0"/>
        <w:snapToGrid/>
        <w:spacing w:line="480" w:lineRule="auto"/>
        <w:ind w:firstLine="480" w:firstLineChars="200"/>
        <w:rPr>
          <w:rFonts w:hint="eastAsia" w:ascii="宋体" w:hAnsi="宋体" w:eastAsia="宋体"/>
          <w:b w:val="0"/>
          <w:bCs/>
          <w:color w:val="auto"/>
          <w:highlight w:val="none"/>
        </w:rPr>
      </w:pPr>
      <w:r>
        <w:rPr>
          <w:rFonts w:hint="eastAsia" w:ascii="宋体" w:hAnsi="宋体" w:eastAsia="宋体"/>
          <w:b w:val="0"/>
          <w:bCs/>
          <w:color w:val="auto"/>
          <w:highlight w:val="none"/>
        </w:rPr>
        <w:t>3.根据《河南省财政厅关于优化政府采购营商环境有关问题的通知》（豫财购【2019】4号）第6条的规定，招标保证金不再收取。</w:t>
      </w:r>
    </w:p>
    <w:p w14:paraId="569DD46A">
      <w:pPr>
        <w:pStyle w:val="9"/>
        <w:keepNext w:val="0"/>
        <w:keepLines w:val="0"/>
        <w:pageBreakBefore w:val="0"/>
        <w:kinsoku/>
        <w:wordWrap/>
        <w:overflowPunct/>
        <w:topLinePunct w:val="0"/>
        <w:bidi w:val="0"/>
        <w:snapToGrid/>
        <w:spacing w:line="480" w:lineRule="auto"/>
        <w:ind w:firstLine="480" w:firstLineChars="200"/>
        <w:rPr>
          <w:rFonts w:hint="eastAsia" w:ascii="宋体" w:hAnsi="宋体" w:eastAsia="宋体"/>
          <w:b w:val="0"/>
          <w:bCs/>
          <w:color w:val="auto"/>
          <w:highlight w:val="none"/>
        </w:rPr>
      </w:pPr>
      <w:r>
        <w:rPr>
          <w:rFonts w:hint="eastAsia" w:ascii="宋体" w:hAnsi="宋体" w:eastAsia="宋体"/>
          <w:b w:val="0"/>
          <w:bCs/>
          <w:color w:val="auto"/>
          <w:highlight w:val="none"/>
        </w:rPr>
        <w:t>4.本项目实行</w:t>
      </w:r>
      <w:r>
        <w:rPr>
          <w:rFonts w:hint="eastAsia" w:hAnsi="宋体" w:eastAsia="宋体"/>
          <w:b w:val="0"/>
          <w:bCs/>
          <w:color w:val="auto"/>
          <w:highlight w:val="none"/>
          <w:lang w:eastAsia="zh-CN"/>
        </w:rPr>
        <w:t>资格</w:t>
      </w:r>
      <w:r>
        <w:rPr>
          <w:rFonts w:hint="eastAsia" w:hAnsi="宋体" w:eastAsia="宋体"/>
          <w:b w:val="0"/>
          <w:bCs/>
          <w:color w:val="auto"/>
          <w:highlight w:val="none"/>
          <w:lang w:val="en-US" w:eastAsia="zh-CN"/>
        </w:rPr>
        <w:t>后</w:t>
      </w:r>
      <w:r>
        <w:rPr>
          <w:rFonts w:hint="eastAsia" w:hAnsi="宋体" w:eastAsia="宋体"/>
          <w:b w:val="0"/>
          <w:bCs/>
          <w:color w:val="auto"/>
          <w:highlight w:val="none"/>
          <w:lang w:eastAsia="zh-CN"/>
        </w:rPr>
        <w:t>审</w:t>
      </w:r>
      <w:r>
        <w:rPr>
          <w:rFonts w:hint="eastAsia" w:ascii="宋体" w:hAnsi="宋体" w:eastAsia="宋体"/>
          <w:b w:val="0"/>
          <w:bCs/>
          <w:color w:val="auto"/>
          <w:highlight w:val="none"/>
        </w:rPr>
        <w:t>，审查内容以招标</w:t>
      </w:r>
      <w:r>
        <w:rPr>
          <w:rFonts w:hint="eastAsia" w:hAnsi="宋体"/>
          <w:b w:val="0"/>
          <w:bCs/>
          <w:color w:val="auto"/>
          <w:highlight w:val="none"/>
          <w:lang w:eastAsia="zh-CN"/>
        </w:rPr>
        <w:t>响应文件</w:t>
      </w:r>
      <w:r>
        <w:rPr>
          <w:rFonts w:hint="eastAsia" w:ascii="宋体" w:hAnsi="宋体" w:eastAsia="宋体"/>
          <w:b w:val="0"/>
          <w:bCs/>
          <w:color w:val="auto"/>
          <w:highlight w:val="none"/>
        </w:rPr>
        <w:t>为准，其上传资料真实性由</w:t>
      </w:r>
      <w:r>
        <w:rPr>
          <w:rFonts w:hint="eastAsia" w:hAnsi="宋体"/>
          <w:b w:val="0"/>
          <w:bCs/>
          <w:color w:val="auto"/>
          <w:highlight w:val="none"/>
          <w:lang w:val="en-US" w:eastAsia="zh-CN"/>
        </w:rPr>
        <w:t>供应商</w:t>
      </w:r>
      <w:r>
        <w:rPr>
          <w:rFonts w:hint="eastAsia" w:ascii="宋体" w:hAnsi="宋体" w:eastAsia="宋体"/>
          <w:b w:val="0"/>
          <w:bCs/>
          <w:color w:val="auto"/>
          <w:highlight w:val="none"/>
        </w:rPr>
        <w:t>自行承担，同时，</w:t>
      </w:r>
      <w:r>
        <w:rPr>
          <w:rFonts w:hint="eastAsia" w:hAnsi="宋体"/>
          <w:b w:val="0"/>
          <w:bCs/>
          <w:color w:val="auto"/>
          <w:highlight w:val="none"/>
          <w:lang w:val="en-US" w:eastAsia="zh-CN"/>
        </w:rPr>
        <w:t>供应商</w:t>
      </w:r>
      <w:r>
        <w:rPr>
          <w:rFonts w:hint="eastAsia" w:ascii="宋体" w:hAnsi="宋体" w:eastAsia="宋体"/>
          <w:b w:val="0"/>
          <w:bCs/>
          <w:color w:val="auto"/>
          <w:highlight w:val="none"/>
        </w:rPr>
        <w:t>请完善主体库。</w:t>
      </w:r>
    </w:p>
    <w:p w14:paraId="7B2BFB50">
      <w:pPr>
        <w:pStyle w:val="9"/>
        <w:keepNext w:val="0"/>
        <w:keepLines w:val="0"/>
        <w:pageBreakBefore w:val="0"/>
        <w:kinsoku/>
        <w:wordWrap/>
        <w:overflowPunct/>
        <w:topLinePunct w:val="0"/>
        <w:bidi w:val="0"/>
        <w:snapToGrid/>
        <w:spacing w:line="480" w:lineRule="auto"/>
        <w:ind w:firstLine="480" w:firstLineChars="200"/>
        <w:rPr>
          <w:rFonts w:hint="eastAsia" w:ascii="宋体" w:hAnsi="宋体" w:eastAsia="宋体"/>
          <w:b w:val="0"/>
          <w:bCs/>
          <w:color w:val="auto"/>
          <w:highlight w:val="none"/>
        </w:rPr>
      </w:pPr>
      <w:r>
        <w:rPr>
          <w:rFonts w:hint="eastAsia" w:ascii="宋体" w:hAnsi="宋体" w:eastAsia="宋体"/>
          <w:b w:val="0"/>
          <w:bCs/>
          <w:color w:val="auto"/>
          <w:highlight w:val="none"/>
        </w:rPr>
        <w:t>5.评标打分部分：评标打分部分仍按照100分制原则进行，涉及到资格审查、企业荣誉、企业业绩等计分部分时，以投标单位自行上传到招标</w:t>
      </w:r>
      <w:r>
        <w:rPr>
          <w:rFonts w:hint="eastAsia" w:hAnsi="宋体"/>
          <w:b w:val="0"/>
          <w:bCs/>
          <w:color w:val="auto"/>
          <w:highlight w:val="none"/>
          <w:lang w:eastAsia="zh-CN"/>
        </w:rPr>
        <w:t>响应文件</w:t>
      </w:r>
      <w:r>
        <w:rPr>
          <w:rFonts w:hint="eastAsia" w:ascii="宋体" w:hAnsi="宋体" w:eastAsia="宋体"/>
          <w:b w:val="0"/>
          <w:bCs/>
          <w:color w:val="auto"/>
          <w:highlight w:val="none"/>
        </w:rPr>
        <w:t>中的相应内容为准。</w:t>
      </w:r>
    </w:p>
    <w:p w14:paraId="634F8337">
      <w:pPr>
        <w:pStyle w:val="9"/>
        <w:keepNext w:val="0"/>
        <w:keepLines w:val="0"/>
        <w:pageBreakBefore w:val="0"/>
        <w:kinsoku/>
        <w:wordWrap/>
        <w:overflowPunct/>
        <w:topLinePunct w:val="0"/>
        <w:bidi w:val="0"/>
        <w:snapToGrid/>
        <w:spacing w:line="480" w:lineRule="auto"/>
        <w:ind w:firstLine="480" w:firstLineChars="200"/>
        <w:rPr>
          <w:rFonts w:hint="eastAsia" w:ascii="宋体" w:hAnsi="宋体" w:eastAsia="宋体"/>
          <w:b w:val="0"/>
          <w:bCs/>
          <w:color w:val="auto"/>
          <w:highlight w:val="none"/>
        </w:rPr>
      </w:pPr>
      <w:r>
        <w:rPr>
          <w:rFonts w:hint="eastAsia" w:ascii="宋体" w:hAnsi="宋体" w:eastAsia="宋体"/>
          <w:b w:val="0"/>
          <w:bCs/>
          <w:color w:val="auto"/>
          <w:highlight w:val="none"/>
        </w:rPr>
        <w:t>6.在</w:t>
      </w:r>
      <w:r>
        <w:rPr>
          <w:rFonts w:hint="eastAsia" w:hAnsi="宋体"/>
          <w:b w:val="0"/>
          <w:bCs/>
          <w:color w:val="auto"/>
          <w:highlight w:val="none"/>
          <w:lang w:eastAsia="zh-CN"/>
        </w:rPr>
        <w:t>磋商文件</w:t>
      </w:r>
      <w:r>
        <w:rPr>
          <w:rFonts w:hint="eastAsia" w:ascii="宋体" w:hAnsi="宋体" w:eastAsia="宋体"/>
          <w:b w:val="0"/>
          <w:bCs/>
          <w:color w:val="auto"/>
          <w:highlight w:val="none"/>
        </w:rPr>
        <w:t>中要求</w:t>
      </w:r>
      <w:r>
        <w:rPr>
          <w:rFonts w:hint="eastAsia" w:hAnsi="宋体"/>
          <w:b w:val="0"/>
          <w:bCs/>
          <w:color w:val="auto"/>
          <w:highlight w:val="none"/>
          <w:lang w:eastAsia="zh-CN"/>
        </w:rPr>
        <w:t>供应商</w:t>
      </w:r>
      <w:r>
        <w:rPr>
          <w:rFonts w:hint="eastAsia" w:ascii="宋体" w:hAnsi="宋体" w:eastAsia="宋体"/>
          <w:b w:val="0"/>
          <w:bCs/>
          <w:color w:val="auto"/>
          <w:highlight w:val="none"/>
        </w:rPr>
        <w:t>按照招标</w:t>
      </w:r>
      <w:r>
        <w:rPr>
          <w:rFonts w:hint="eastAsia" w:hAnsi="宋体"/>
          <w:b w:val="0"/>
          <w:bCs/>
          <w:color w:val="auto"/>
          <w:highlight w:val="none"/>
          <w:lang w:eastAsia="zh-CN"/>
        </w:rPr>
        <w:t>响应文件</w:t>
      </w:r>
      <w:r>
        <w:rPr>
          <w:rFonts w:hint="eastAsia" w:ascii="宋体" w:hAnsi="宋体" w:eastAsia="宋体"/>
          <w:b w:val="0"/>
          <w:bCs/>
          <w:color w:val="auto"/>
          <w:highlight w:val="none"/>
        </w:rPr>
        <w:t>格式进行招标</w:t>
      </w:r>
      <w:r>
        <w:rPr>
          <w:rFonts w:hint="eastAsia" w:hAnsi="宋体"/>
          <w:b w:val="0"/>
          <w:bCs/>
          <w:color w:val="auto"/>
          <w:highlight w:val="none"/>
          <w:lang w:eastAsia="zh-CN"/>
        </w:rPr>
        <w:t>响应文件</w:t>
      </w:r>
      <w:r>
        <w:rPr>
          <w:rFonts w:hint="eastAsia" w:ascii="宋体" w:hAnsi="宋体" w:eastAsia="宋体"/>
          <w:b w:val="0"/>
          <w:bCs/>
          <w:color w:val="auto"/>
          <w:highlight w:val="none"/>
        </w:rPr>
        <w:t>编制，在招标</w:t>
      </w:r>
      <w:r>
        <w:rPr>
          <w:rFonts w:hint="eastAsia" w:hAnsi="宋体"/>
          <w:b w:val="0"/>
          <w:bCs/>
          <w:color w:val="auto"/>
          <w:highlight w:val="none"/>
          <w:lang w:eastAsia="zh-CN"/>
        </w:rPr>
        <w:t>响应文件</w:t>
      </w:r>
      <w:r>
        <w:rPr>
          <w:rFonts w:hint="eastAsia" w:ascii="宋体" w:hAnsi="宋体" w:eastAsia="宋体"/>
          <w:b w:val="0"/>
          <w:bCs/>
          <w:color w:val="auto"/>
          <w:highlight w:val="none"/>
        </w:rPr>
        <w:t>编制时，应明确将</w:t>
      </w:r>
      <w:r>
        <w:rPr>
          <w:rFonts w:hint="eastAsia" w:hAnsi="宋体"/>
          <w:b w:val="0"/>
          <w:bCs/>
          <w:color w:val="auto"/>
          <w:highlight w:val="none"/>
          <w:lang w:val="en-US" w:eastAsia="zh-CN"/>
        </w:rPr>
        <w:t>供应商</w:t>
      </w:r>
      <w:r>
        <w:rPr>
          <w:rFonts w:hint="eastAsia" w:ascii="宋体" w:hAnsi="宋体" w:eastAsia="宋体"/>
          <w:b w:val="0"/>
          <w:bCs/>
          <w:color w:val="auto"/>
          <w:highlight w:val="none"/>
        </w:rPr>
        <w:t>企业基本情况、人员情况、业绩情况编入招标</w:t>
      </w:r>
      <w:r>
        <w:rPr>
          <w:rFonts w:hint="eastAsia" w:hAnsi="宋体"/>
          <w:b w:val="0"/>
          <w:bCs/>
          <w:color w:val="auto"/>
          <w:highlight w:val="none"/>
          <w:lang w:eastAsia="zh-CN"/>
        </w:rPr>
        <w:t>响应文件</w:t>
      </w:r>
      <w:r>
        <w:rPr>
          <w:rFonts w:hint="eastAsia" w:ascii="宋体" w:hAnsi="宋体" w:eastAsia="宋体"/>
          <w:b w:val="0"/>
          <w:bCs/>
          <w:color w:val="auto"/>
          <w:highlight w:val="none"/>
        </w:rPr>
        <w:t>，便于进行资格审查及评标打分。</w:t>
      </w:r>
    </w:p>
    <w:p w14:paraId="247CFB64">
      <w:pPr>
        <w:pStyle w:val="9"/>
        <w:keepNext w:val="0"/>
        <w:keepLines w:val="0"/>
        <w:pageBreakBefore w:val="0"/>
        <w:kinsoku/>
        <w:wordWrap/>
        <w:overflowPunct/>
        <w:topLinePunct w:val="0"/>
        <w:bidi w:val="0"/>
        <w:snapToGrid/>
        <w:spacing w:line="480" w:lineRule="auto"/>
        <w:ind w:firstLine="480" w:firstLineChars="200"/>
        <w:rPr>
          <w:rFonts w:hint="eastAsia" w:ascii="宋体" w:hAnsi="宋体" w:eastAsia="宋体"/>
          <w:b w:val="0"/>
          <w:bCs/>
          <w:color w:val="auto"/>
          <w:highlight w:val="none"/>
        </w:rPr>
      </w:pPr>
      <w:r>
        <w:rPr>
          <w:rFonts w:hint="eastAsia" w:ascii="宋体" w:hAnsi="宋体" w:eastAsia="宋体"/>
          <w:b w:val="0"/>
          <w:bCs/>
          <w:color w:val="auto"/>
          <w:highlight w:val="none"/>
        </w:rPr>
        <w:t>7.我单位（</w:t>
      </w:r>
      <w:r>
        <w:rPr>
          <w:rFonts w:hint="eastAsia" w:hAnsi="宋体"/>
          <w:b w:val="0"/>
          <w:bCs/>
          <w:color w:val="auto"/>
          <w:highlight w:val="none"/>
          <w:lang w:val="en-US" w:eastAsia="zh-CN"/>
        </w:rPr>
        <w:t>采购人</w:t>
      </w:r>
      <w:r>
        <w:rPr>
          <w:rFonts w:hint="eastAsia" w:ascii="宋体" w:hAnsi="宋体" w:eastAsia="宋体"/>
          <w:b w:val="0"/>
          <w:bCs/>
          <w:color w:val="auto"/>
          <w:highlight w:val="none"/>
        </w:rPr>
        <w:t>）严格按三财购【2021】9号文要求的时限发布中标结果公告，发出中标通知书，签订</w:t>
      </w:r>
      <w:r>
        <w:rPr>
          <w:rFonts w:hint="eastAsia" w:ascii="宋体" w:hAnsi="宋体" w:eastAsia="宋体"/>
          <w:b w:val="0"/>
          <w:bCs/>
          <w:color w:val="auto"/>
          <w:highlight w:val="none"/>
          <w:lang w:val="en-US" w:eastAsia="zh-CN"/>
        </w:rPr>
        <w:t>施工</w:t>
      </w:r>
      <w:r>
        <w:rPr>
          <w:rFonts w:hint="eastAsia" w:ascii="宋体" w:hAnsi="宋体" w:eastAsia="宋体"/>
          <w:b w:val="0"/>
          <w:bCs/>
          <w:color w:val="auto"/>
          <w:highlight w:val="none"/>
        </w:rPr>
        <w:t>合同，上传</w:t>
      </w:r>
      <w:r>
        <w:rPr>
          <w:rFonts w:hint="eastAsia" w:ascii="宋体" w:hAnsi="宋体" w:eastAsia="宋体"/>
          <w:b w:val="0"/>
          <w:bCs/>
          <w:color w:val="auto"/>
          <w:highlight w:val="none"/>
          <w:lang w:val="en-US" w:eastAsia="zh-CN"/>
        </w:rPr>
        <w:t>施工</w:t>
      </w:r>
      <w:r>
        <w:rPr>
          <w:rFonts w:hint="eastAsia" w:ascii="宋体" w:hAnsi="宋体" w:eastAsia="宋体"/>
          <w:b w:val="0"/>
          <w:bCs/>
          <w:color w:val="auto"/>
          <w:highlight w:val="none"/>
        </w:rPr>
        <w:t>合同。</w:t>
      </w:r>
    </w:p>
    <w:p w14:paraId="3DFCE50D">
      <w:pPr>
        <w:pStyle w:val="9"/>
        <w:keepNext w:val="0"/>
        <w:keepLines w:val="0"/>
        <w:pageBreakBefore w:val="0"/>
        <w:kinsoku/>
        <w:wordWrap/>
        <w:overflowPunct/>
        <w:topLinePunct w:val="0"/>
        <w:bidi w:val="0"/>
        <w:snapToGrid/>
        <w:spacing w:line="480" w:lineRule="auto"/>
        <w:ind w:firstLine="480" w:firstLineChars="200"/>
        <w:rPr>
          <w:rFonts w:hint="eastAsia" w:hAnsi="宋体" w:eastAsia="宋体"/>
          <w:b w:val="0"/>
          <w:bCs/>
          <w:color w:val="auto"/>
          <w:highlight w:val="none"/>
          <w:lang w:val="en-US" w:eastAsia="zh-CN"/>
        </w:rPr>
      </w:pPr>
      <w:r>
        <w:rPr>
          <w:rFonts w:hint="eastAsia" w:hAnsi="宋体" w:eastAsia="宋体"/>
          <w:b w:val="0"/>
          <w:bCs/>
          <w:color w:val="auto"/>
          <w:highlight w:val="none"/>
          <w:lang w:val="en-US" w:eastAsia="zh-CN"/>
        </w:rPr>
        <w:t>8</w:t>
      </w:r>
      <w:r>
        <w:rPr>
          <w:rFonts w:hint="eastAsia" w:ascii="宋体" w:hAnsi="宋体" w:eastAsia="宋体"/>
          <w:b w:val="0"/>
          <w:bCs/>
          <w:color w:val="auto"/>
          <w:highlight w:val="none"/>
        </w:rPr>
        <w:t>.监督单位：三门峡市湖滨区建设工程施工招标投标管理办公室</w:t>
      </w:r>
    </w:p>
    <w:p w14:paraId="73033FF4">
      <w:pPr>
        <w:pStyle w:val="9"/>
        <w:keepNext w:val="0"/>
        <w:keepLines w:val="0"/>
        <w:pageBreakBefore w:val="0"/>
        <w:kinsoku/>
        <w:wordWrap/>
        <w:overflowPunct/>
        <w:topLinePunct w:val="0"/>
        <w:bidi w:val="0"/>
        <w:snapToGrid/>
        <w:spacing w:line="480" w:lineRule="auto"/>
        <w:ind w:firstLine="480" w:firstLineChars="200"/>
        <w:rPr>
          <w:rFonts w:hint="eastAsia" w:ascii="宋体" w:hAnsi="宋体" w:eastAsia="宋体"/>
          <w:b w:val="0"/>
          <w:bCs/>
          <w:color w:val="auto"/>
          <w:highlight w:val="none"/>
        </w:rPr>
      </w:pPr>
      <w:r>
        <w:rPr>
          <w:rFonts w:hint="eastAsia" w:ascii="宋体" w:hAnsi="宋体" w:eastAsia="宋体"/>
          <w:b w:val="0"/>
          <w:bCs/>
          <w:color w:val="auto"/>
          <w:highlight w:val="none"/>
        </w:rPr>
        <w:t>电话：0398-2906166</w:t>
      </w:r>
    </w:p>
    <w:p w14:paraId="43CBB6E1">
      <w:pPr>
        <w:pStyle w:val="9"/>
        <w:keepNext w:val="0"/>
        <w:keepLines w:val="0"/>
        <w:pageBreakBefore w:val="0"/>
        <w:kinsoku/>
        <w:wordWrap/>
        <w:overflowPunct/>
        <w:topLinePunct w:val="0"/>
        <w:bidi w:val="0"/>
        <w:snapToGrid/>
        <w:spacing w:line="480" w:lineRule="auto"/>
        <w:ind w:firstLine="480" w:firstLineChars="200"/>
        <w:rPr>
          <w:rFonts w:hint="eastAsia" w:ascii="宋体" w:hAnsi="宋体" w:eastAsia="宋体"/>
          <w:b w:val="0"/>
          <w:bCs/>
          <w:color w:val="auto"/>
          <w:highlight w:val="none"/>
        </w:rPr>
      </w:pPr>
      <w:r>
        <w:rPr>
          <w:rFonts w:hint="eastAsia" w:ascii="宋体" w:hAnsi="宋体" w:eastAsia="宋体"/>
          <w:b w:val="0"/>
          <w:bCs/>
          <w:color w:val="auto"/>
          <w:highlight w:val="none"/>
        </w:rPr>
        <w:t>八、凡对本次招标提出询问，请按照以下方式联系</w:t>
      </w:r>
    </w:p>
    <w:p w14:paraId="77A753FE">
      <w:pPr>
        <w:pStyle w:val="9"/>
        <w:keepNext w:val="0"/>
        <w:keepLines w:val="0"/>
        <w:pageBreakBefore w:val="0"/>
        <w:kinsoku/>
        <w:wordWrap/>
        <w:overflowPunct/>
        <w:topLinePunct w:val="0"/>
        <w:bidi w:val="0"/>
        <w:snapToGrid/>
        <w:spacing w:line="480" w:lineRule="auto"/>
        <w:ind w:firstLine="480" w:firstLineChars="200"/>
        <w:rPr>
          <w:rFonts w:hint="eastAsia" w:ascii="宋体" w:hAnsi="宋体" w:eastAsia="宋体"/>
          <w:b w:val="0"/>
          <w:bCs/>
          <w:color w:val="auto"/>
          <w:highlight w:val="none"/>
        </w:rPr>
      </w:pPr>
      <w:r>
        <w:rPr>
          <w:rFonts w:hint="eastAsia" w:ascii="宋体" w:hAnsi="宋体" w:eastAsia="宋体"/>
          <w:b w:val="0"/>
          <w:bCs/>
          <w:color w:val="auto"/>
          <w:highlight w:val="none"/>
        </w:rPr>
        <w:t>1.</w:t>
      </w:r>
      <w:r>
        <w:rPr>
          <w:rFonts w:hint="eastAsia" w:ascii="宋体" w:hAnsi="宋体" w:eastAsia="宋体"/>
          <w:b w:val="0"/>
          <w:bCs/>
          <w:color w:val="auto"/>
          <w:highlight w:val="none"/>
          <w:lang w:val="en-US" w:eastAsia="zh-CN"/>
        </w:rPr>
        <w:t>采购人信息</w:t>
      </w:r>
    </w:p>
    <w:p w14:paraId="1633B2BD">
      <w:pPr>
        <w:pStyle w:val="9"/>
        <w:keepNext w:val="0"/>
        <w:keepLines w:val="0"/>
        <w:pageBreakBefore w:val="0"/>
        <w:kinsoku/>
        <w:wordWrap/>
        <w:overflowPunct/>
        <w:topLinePunct w:val="0"/>
        <w:bidi w:val="0"/>
        <w:snapToGrid/>
        <w:spacing w:line="480" w:lineRule="auto"/>
        <w:ind w:firstLine="480" w:firstLineChars="200"/>
        <w:rPr>
          <w:rFonts w:hint="eastAsia" w:ascii="宋体" w:hAnsi="宋体" w:eastAsia="宋体"/>
          <w:b w:val="0"/>
          <w:bCs/>
          <w:color w:val="auto"/>
          <w:highlight w:val="none"/>
          <w:lang w:val="en-US" w:eastAsia="zh-CN"/>
        </w:rPr>
      </w:pPr>
      <w:r>
        <w:rPr>
          <w:rFonts w:hint="eastAsia" w:ascii="宋体" w:hAnsi="宋体" w:eastAsia="宋体"/>
          <w:b w:val="0"/>
          <w:bCs/>
          <w:color w:val="auto"/>
          <w:highlight w:val="none"/>
          <w:lang w:val="en-US" w:eastAsia="zh-CN"/>
        </w:rPr>
        <w:t>名称</w:t>
      </w:r>
      <w:r>
        <w:rPr>
          <w:rFonts w:hint="eastAsia" w:ascii="宋体" w:hAnsi="宋体" w:eastAsia="宋体"/>
          <w:b w:val="0"/>
          <w:bCs/>
          <w:color w:val="auto"/>
          <w:highlight w:val="none"/>
        </w:rPr>
        <w:t>：</w:t>
      </w:r>
      <w:r>
        <w:rPr>
          <w:rFonts w:hint="eastAsia" w:hAnsi="宋体"/>
          <w:b w:val="0"/>
          <w:bCs/>
          <w:color w:val="auto"/>
          <w:highlight w:val="none"/>
          <w:lang w:eastAsia="zh-CN"/>
        </w:rPr>
        <w:t>三门峡市湖滨区交通运输局</w:t>
      </w:r>
      <w:r>
        <w:rPr>
          <w:rFonts w:hint="eastAsia" w:ascii="宋体" w:hAnsi="宋体" w:eastAsia="宋体"/>
          <w:b w:val="0"/>
          <w:bCs/>
          <w:color w:val="auto"/>
          <w:highlight w:val="none"/>
        </w:rPr>
        <w:t xml:space="preserve"> </w:t>
      </w:r>
    </w:p>
    <w:p w14:paraId="2F154547">
      <w:pPr>
        <w:pStyle w:val="9"/>
        <w:keepNext w:val="0"/>
        <w:keepLines w:val="0"/>
        <w:pageBreakBefore w:val="0"/>
        <w:kinsoku/>
        <w:wordWrap/>
        <w:overflowPunct/>
        <w:topLinePunct w:val="0"/>
        <w:bidi w:val="0"/>
        <w:snapToGrid/>
        <w:spacing w:line="480" w:lineRule="auto"/>
        <w:ind w:firstLine="480" w:firstLineChars="200"/>
        <w:rPr>
          <w:rFonts w:hint="eastAsia" w:ascii="宋体" w:hAnsi="宋体" w:eastAsia="宋体"/>
          <w:b w:val="0"/>
          <w:bCs/>
          <w:color w:val="auto"/>
          <w:highlight w:val="none"/>
          <w:lang w:val="en-US" w:eastAsia="zh-CN"/>
        </w:rPr>
      </w:pPr>
      <w:r>
        <w:rPr>
          <w:rFonts w:hint="eastAsia" w:ascii="宋体" w:hAnsi="宋体" w:eastAsia="宋体"/>
          <w:b w:val="0"/>
          <w:bCs/>
          <w:color w:val="auto"/>
          <w:highlight w:val="none"/>
        </w:rPr>
        <w:t>地址：</w:t>
      </w:r>
      <w:r>
        <w:rPr>
          <w:rFonts w:hint="eastAsia" w:hAnsi="宋体"/>
          <w:b w:val="0"/>
          <w:bCs/>
          <w:color w:val="auto"/>
          <w:highlight w:val="none"/>
          <w:lang w:val="en-US" w:eastAsia="zh-CN"/>
        </w:rPr>
        <w:t>三门峡市</w:t>
      </w:r>
      <w:r>
        <w:rPr>
          <w:rFonts w:hint="eastAsia" w:ascii="宋体" w:hAnsi="宋体" w:eastAsia="宋体"/>
          <w:b w:val="0"/>
          <w:bCs/>
          <w:color w:val="auto"/>
          <w:highlight w:val="none"/>
        </w:rPr>
        <w:t>湖滨区青龙路科创大厦A座</w:t>
      </w:r>
    </w:p>
    <w:p w14:paraId="31390809">
      <w:pPr>
        <w:pStyle w:val="9"/>
        <w:keepNext w:val="0"/>
        <w:keepLines w:val="0"/>
        <w:pageBreakBefore w:val="0"/>
        <w:kinsoku/>
        <w:wordWrap/>
        <w:overflowPunct/>
        <w:topLinePunct w:val="0"/>
        <w:bidi w:val="0"/>
        <w:snapToGrid/>
        <w:spacing w:line="480" w:lineRule="auto"/>
        <w:ind w:firstLine="480" w:firstLineChars="200"/>
        <w:rPr>
          <w:rFonts w:hint="eastAsia" w:ascii="宋体" w:hAnsi="宋体" w:eastAsia="宋体"/>
          <w:b w:val="0"/>
          <w:bCs/>
          <w:color w:val="auto"/>
          <w:highlight w:val="none"/>
        </w:rPr>
      </w:pPr>
      <w:r>
        <w:rPr>
          <w:rFonts w:hint="eastAsia" w:ascii="宋体" w:hAnsi="宋体" w:eastAsia="宋体"/>
          <w:b w:val="0"/>
          <w:bCs/>
          <w:color w:val="auto"/>
          <w:highlight w:val="none"/>
        </w:rPr>
        <w:t>联系人：</w:t>
      </w:r>
      <w:r>
        <w:rPr>
          <w:rFonts w:hint="eastAsia" w:hAnsi="宋体"/>
          <w:b w:val="0"/>
          <w:bCs/>
          <w:color w:val="auto"/>
          <w:highlight w:val="none"/>
          <w:lang w:val="en-US" w:eastAsia="zh-CN"/>
        </w:rPr>
        <w:t>裴先生</w:t>
      </w:r>
    </w:p>
    <w:p w14:paraId="72A7B3A8">
      <w:pPr>
        <w:pStyle w:val="9"/>
        <w:keepNext w:val="0"/>
        <w:keepLines w:val="0"/>
        <w:pageBreakBefore w:val="0"/>
        <w:kinsoku/>
        <w:wordWrap/>
        <w:overflowPunct/>
        <w:topLinePunct w:val="0"/>
        <w:bidi w:val="0"/>
        <w:snapToGrid/>
        <w:spacing w:line="480" w:lineRule="auto"/>
        <w:ind w:firstLine="480" w:firstLineChars="200"/>
        <w:rPr>
          <w:rFonts w:hint="eastAsia" w:ascii="宋体" w:hAnsi="宋体" w:eastAsia="宋体"/>
          <w:b w:val="0"/>
          <w:bCs/>
          <w:color w:val="auto"/>
          <w:highlight w:val="none"/>
        </w:rPr>
      </w:pPr>
      <w:r>
        <w:rPr>
          <w:rFonts w:hint="eastAsia" w:ascii="宋体" w:hAnsi="宋体" w:eastAsia="宋体"/>
          <w:b w:val="0"/>
          <w:bCs/>
          <w:color w:val="auto"/>
          <w:highlight w:val="none"/>
        </w:rPr>
        <w:t>联系方式：</w:t>
      </w:r>
      <w:r>
        <w:rPr>
          <w:rFonts w:hint="default" w:ascii="宋体" w:hAnsi="宋体" w:eastAsia="宋体"/>
          <w:color w:val="auto"/>
          <w:sz w:val="24"/>
          <w:highlight w:val="none"/>
          <w:lang w:val="en-US" w:eastAsia="zh-CN"/>
        </w:rPr>
        <w:t>0398-3691213</w:t>
      </w:r>
    </w:p>
    <w:p w14:paraId="03EA1D71">
      <w:pPr>
        <w:pStyle w:val="9"/>
        <w:keepNext w:val="0"/>
        <w:keepLines w:val="0"/>
        <w:pageBreakBefore w:val="0"/>
        <w:numPr>
          <w:ilvl w:val="0"/>
          <w:numId w:val="0"/>
        </w:numPr>
        <w:kinsoku/>
        <w:wordWrap/>
        <w:overflowPunct/>
        <w:topLinePunct w:val="0"/>
        <w:bidi w:val="0"/>
        <w:snapToGrid/>
        <w:spacing w:line="480" w:lineRule="auto"/>
        <w:ind w:left="600" w:leftChars="0"/>
        <w:rPr>
          <w:rFonts w:hint="eastAsia" w:ascii="宋体" w:hAnsi="宋体" w:eastAsia="宋体"/>
          <w:b w:val="0"/>
          <w:bCs/>
          <w:color w:val="auto"/>
          <w:highlight w:val="none"/>
          <w:lang w:val="en-US" w:eastAsia="zh-CN"/>
        </w:rPr>
      </w:pPr>
      <w:r>
        <w:rPr>
          <w:rFonts w:hint="eastAsia" w:ascii="宋体" w:hAnsi="宋体" w:eastAsia="宋体"/>
          <w:b w:val="0"/>
          <w:bCs/>
          <w:color w:val="auto"/>
          <w:highlight w:val="none"/>
          <w:lang w:val="en-US" w:eastAsia="zh-CN"/>
        </w:rPr>
        <w:t>2.</w:t>
      </w:r>
      <w:r>
        <w:rPr>
          <w:rFonts w:hint="eastAsia" w:ascii="宋体" w:hAnsi="宋体" w:eastAsia="宋体"/>
          <w:b w:val="0"/>
          <w:bCs/>
          <w:color w:val="auto"/>
          <w:highlight w:val="none"/>
        </w:rPr>
        <w:t>采购</w:t>
      </w:r>
      <w:r>
        <w:rPr>
          <w:rFonts w:hint="eastAsia" w:ascii="宋体" w:hAnsi="宋体" w:eastAsia="宋体"/>
          <w:b w:val="0"/>
          <w:bCs/>
          <w:color w:val="auto"/>
          <w:highlight w:val="none"/>
          <w:lang w:eastAsia="zh-CN"/>
        </w:rPr>
        <w:t>招标代理机构</w:t>
      </w:r>
      <w:r>
        <w:rPr>
          <w:rFonts w:hint="eastAsia" w:ascii="宋体" w:hAnsi="宋体" w:eastAsia="宋体"/>
          <w:b w:val="0"/>
          <w:bCs/>
          <w:color w:val="auto"/>
          <w:highlight w:val="none"/>
          <w:lang w:val="en-US" w:eastAsia="zh-CN"/>
        </w:rPr>
        <w:t>信息（如有）</w:t>
      </w:r>
    </w:p>
    <w:p w14:paraId="34018D9A">
      <w:pPr>
        <w:pStyle w:val="9"/>
        <w:keepNext w:val="0"/>
        <w:keepLines w:val="0"/>
        <w:pageBreakBefore w:val="0"/>
        <w:numPr>
          <w:ilvl w:val="0"/>
          <w:numId w:val="0"/>
        </w:numPr>
        <w:kinsoku/>
        <w:wordWrap/>
        <w:overflowPunct/>
        <w:topLinePunct w:val="0"/>
        <w:bidi w:val="0"/>
        <w:snapToGrid/>
        <w:spacing w:line="480" w:lineRule="auto"/>
        <w:ind w:firstLine="480" w:firstLineChars="200"/>
        <w:rPr>
          <w:rFonts w:hint="eastAsia" w:ascii="宋体" w:hAnsi="宋体" w:eastAsia="宋体"/>
          <w:b w:val="0"/>
          <w:bCs/>
          <w:color w:val="auto"/>
          <w:highlight w:val="none"/>
          <w:lang w:val="en-US" w:eastAsia="zh-CN"/>
        </w:rPr>
      </w:pPr>
      <w:r>
        <w:rPr>
          <w:rFonts w:hint="eastAsia" w:ascii="宋体" w:hAnsi="宋体" w:eastAsia="宋体"/>
          <w:b w:val="0"/>
          <w:bCs/>
          <w:color w:val="auto"/>
          <w:highlight w:val="none"/>
          <w:lang w:val="en-US" w:eastAsia="zh-CN"/>
        </w:rPr>
        <w:t>名称</w:t>
      </w:r>
      <w:r>
        <w:rPr>
          <w:rFonts w:hint="eastAsia" w:ascii="宋体" w:hAnsi="宋体" w:eastAsia="宋体"/>
          <w:b w:val="0"/>
          <w:bCs/>
          <w:color w:val="auto"/>
          <w:highlight w:val="none"/>
        </w:rPr>
        <w:t>：</w:t>
      </w:r>
      <w:r>
        <w:rPr>
          <w:rFonts w:hint="eastAsia" w:ascii="宋体" w:hAnsi="宋体" w:eastAsia="宋体"/>
          <w:b w:val="0"/>
          <w:bCs/>
          <w:color w:val="auto"/>
          <w:highlight w:val="none"/>
          <w:lang w:eastAsia="zh-CN"/>
        </w:rPr>
        <w:t>河南卯兴工程项目管理有限公司</w:t>
      </w:r>
    </w:p>
    <w:p w14:paraId="67C463C9">
      <w:pPr>
        <w:pStyle w:val="9"/>
        <w:keepNext w:val="0"/>
        <w:keepLines w:val="0"/>
        <w:pageBreakBefore w:val="0"/>
        <w:kinsoku/>
        <w:wordWrap/>
        <w:overflowPunct/>
        <w:topLinePunct w:val="0"/>
        <w:bidi w:val="0"/>
        <w:snapToGrid/>
        <w:spacing w:line="480" w:lineRule="auto"/>
        <w:ind w:firstLine="480" w:firstLineChars="200"/>
        <w:rPr>
          <w:rFonts w:hint="eastAsia" w:ascii="宋体" w:hAnsi="宋体" w:eastAsia="宋体"/>
          <w:b w:val="0"/>
          <w:bCs/>
          <w:color w:val="auto"/>
          <w:highlight w:val="none"/>
        </w:rPr>
      </w:pPr>
      <w:r>
        <w:rPr>
          <w:rFonts w:hint="eastAsia" w:ascii="宋体" w:hAnsi="宋体" w:eastAsia="宋体"/>
          <w:b w:val="0"/>
          <w:bCs/>
          <w:color w:val="auto"/>
          <w:highlight w:val="none"/>
        </w:rPr>
        <w:t>地址：</w:t>
      </w:r>
      <w:r>
        <w:rPr>
          <w:rFonts w:hint="eastAsia" w:ascii="宋体" w:hAnsi="宋体" w:eastAsia="宋体"/>
          <w:b w:val="0"/>
          <w:bCs/>
          <w:color w:val="auto"/>
          <w:highlight w:val="none"/>
          <w:lang w:eastAsia="zh-CN"/>
        </w:rPr>
        <w:t>三门峡市湖滨区崤山路与上阳路交叉口西南角二楼</w:t>
      </w:r>
    </w:p>
    <w:p w14:paraId="18D8442E">
      <w:pPr>
        <w:pStyle w:val="9"/>
        <w:keepNext w:val="0"/>
        <w:keepLines w:val="0"/>
        <w:pageBreakBefore w:val="0"/>
        <w:kinsoku/>
        <w:wordWrap/>
        <w:overflowPunct/>
        <w:topLinePunct w:val="0"/>
        <w:bidi w:val="0"/>
        <w:snapToGrid/>
        <w:spacing w:line="480" w:lineRule="auto"/>
        <w:ind w:firstLine="480" w:firstLineChars="200"/>
        <w:rPr>
          <w:rFonts w:hint="default" w:ascii="宋体" w:hAnsi="宋体" w:eastAsia="宋体"/>
          <w:b w:val="0"/>
          <w:bCs/>
          <w:color w:val="auto"/>
          <w:highlight w:val="none"/>
          <w:lang w:val="en-US" w:eastAsia="zh-CN"/>
        </w:rPr>
      </w:pPr>
      <w:r>
        <w:rPr>
          <w:rFonts w:hint="eastAsia" w:ascii="宋体" w:hAnsi="宋体" w:eastAsia="宋体"/>
          <w:b w:val="0"/>
          <w:bCs/>
          <w:color w:val="auto"/>
          <w:highlight w:val="none"/>
        </w:rPr>
        <w:t>联系人：</w:t>
      </w:r>
      <w:r>
        <w:rPr>
          <w:rFonts w:hint="eastAsia" w:hAnsi="宋体"/>
          <w:b w:val="0"/>
          <w:bCs/>
          <w:color w:val="auto"/>
          <w:highlight w:val="none"/>
          <w:lang w:val="en-US" w:eastAsia="zh-CN"/>
        </w:rPr>
        <w:t>周先生</w:t>
      </w:r>
    </w:p>
    <w:p w14:paraId="14D7340E">
      <w:pPr>
        <w:pStyle w:val="9"/>
        <w:keepNext w:val="0"/>
        <w:keepLines w:val="0"/>
        <w:pageBreakBefore w:val="0"/>
        <w:kinsoku/>
        <w:wordWrap/>
        <w:overflowPunct/>
        <w:topLinePunct w:val="0"/>
        <w:bidi w:val="0"/>
        <w:snapToGrid/>
        <w:spacing w:line="480" w:lineRule="auto"/>
        <w:ind w:firstLine="480" w:firstLineChars="200"/>
        <w:rPr>
          <w:rFonts w:hint="default" w:ascii="宋体" w:hAnsi="宋体" w:eastAsia="宋体"/>
          <w:b w:val="0"/>
          <w:bCs/>
          <w:color w:val="auto"/>
          <w:highlight w:val="none"/>
          <w:lang w:val="en-US" w:eastAsia="zh-CN"/>
        </w:rPr>
      </w:pPr>
      <w:r>
        <w:rPr>
          <w:rFonts w:hint="eastAsia" w:ascii="宋体" w:hAnsi="宋体" w:eastAsia="宋体"/>
          <w:b w:val="0"/>
          <w:bCs/>
          <w:color w:val="auto"/>
          <w:highlight w:val="none"/>
        </w:rPr>
        <w:t>联系方式：1</w:t>
      </w:r>
      <w:r>
        <w:rPr>
          <w:rFonts w:hint="eastAsia" w:hAnsi="宋体"/>
          <w:b w:val="0"/>
          <w:bCs/>
          <w:color w:val="auto"/>
          <w:highlight w:val="none"/>
          <w:lang w:val="en-US" w:eastAsia="zh-CN"/>
        </w:rPr>
        <w:t>8634549826</w:t>
      </w:r>
    </w:p>
    <w:p w14:paraId="14E1C645">
      <w:pPr>
        <w:pStyle w:val="9"/>
        <w:keepNext w:val="0"/>
        <w:keepLines w:val="0"/>
        <w:pageBreakBefore w:val="0"/>
        <w:kinsoku/>
        <w:wordWrap/>
        <w:overflowPunct/>
        <w:topLinePunct w:val="0"/>
        <w:bidi w:val="0"/>
        <w:snapToGrid/>
        <w:spacing w:line="480" w:lineRule="auto"/>
        <w:ind w:firstLine="480" w:firstLineChars="200"/>
        <w:rPr>
          <w:rFonts w:hint="eastAsia" w:ascii="宋体" w:hAnsi="宋体" w:eastAsia="宋体"/>
          <w:b w:val="0"/>
          <w:bCs/>
          <w:color w:val="auto"/>
          <w:highlight w:val="none"/>
        </w:rPr>
      </w:pPr>
      <w:r>
        <w:rPr>
          <w:rFonts w:hint="eastAsia" w:ascii="宋体" w:hAnsi="宋体" w:eastAsia="宋体"/>
          <w:b w:val="0"/>
          <w:bCs/>
          <w:color w:val="auto"/>
          <w:highlight w:val="none"/>
        </w:rPr>
        <w:t>3.项目联系方式</w:t>
      </w:r>
    </w:p>
    <w:p w14:paraId="1A994FC0">
      <w:pPr>
        <w:pStyle w:val="9"/>
        <w:keepNext w:val="0"/>
        <w:keepLines w:val="0"/>
        <w:pageBreakBefore w:val="0"/>
        <w:kinsoku/>
        <w:wordWrap/>
        <w:overflowPunct/>
        <w:topLinePunct w:val="0"/>
        <w:bidi w:val="0"/>
        <w:snapToGrid/>
        <w:spacing w:line="480" w:lineRule="auto"/>
        <w:ind w:firstLine="480" w:firstLineChars="200"/>
        <w:rPr>
          <w:rFonts w:hint="eastAsia" w:hAnsi="宋体"/>
          <w:b w:val="0"/>
          <w:bCs/>
          <w:color w:val="auto"/>
          <w:highlight w:val="none"/>
          <w:lang w:val="en-US" w:eastAsia="zh-CN"/>
        </w:rPr>
      </w:pPr>
      <w:r>
        <w:rPr>
          <w:rFonts w:hint="eastAsia" w:ascii="宋体" w:hAnsi="宋体" w:eastAsia="宋体"/>
          <w:b w:val="0"/>
          <w:bCs/>
          <w:color w:val="auto"/>
          <w:highlight w:val="none"/>
          <w:lang w:val="en-US" w:eastAsia="zh-CN"/>
        </w:rPr>
        <w:t>项目</w:t>
      </w:r>
      <w:r>
        <w:rPr>
          <w:rFonts w:hint="eastAsia" w:ascii="宋体" w:hAnsi="宋体" w:eastAsia="宋体"/>
          <w:b w:val="0"/>
          <w:bCs/>
          <w:color w:val="auto"/>
          <w:highlight w:val="none"/>
        </w:rPr>
        <w:t>联系人：</w:t>
      </w:r>
      <w:r>
        <w:rPr>
          <w:rFonts w:hint="eastAsia" w:hAnsi="宋体"/>
          <w:b w:val="0"/>
          <w:bCs/>
          <w:color w:val="auto"/>
          <w:highlight w:val="none"/>
          <w:lang w:val="en-US" w:eastAsia="zh-CN"/>
        </w:rPr>
        <w:t>周先生</w:t>
      </w:r>
    </w:p>
    <w:p w14:paraId="295481CC">
      <w:pPr>
        <w:pStyle w:val="9"/>
        <w:keepNext w:val="0"/>
        <w:keepLines w:val="0"/>
        <w:pageBreakBefore w:val="0"/>
        <w:kinsoku/>
        <w:wordWrap/>
        <w:overflowPunct/>
        <w:topLinePunct w:val="0"/>
        <w:bidi w:val="0"/>
        <w:snapToGrid/>
        <w:spacing w:line="480" w:lineRule="auto"/>
        <w:ind w:firstLine="480" w:firstLineChars="200"/>
        <w:rPr>
          <w:rFonts w:hint="eastAsia" w:ascii="宋体" w:hAnsi="宋体" w:eastAsia="宋体"/>
          <w:b w:val="0"/>
          <w:bCs/>
          <w:color w:val="auto"/>
          <w:highlight w:val="none"/>
        </w:rPr>
      </w:pPr>
      <w:r>
        <w:rPr>
          <w:rFonts w:hint="eastAsia" w:ascii="宋体" w:hAnsi="宋体" w:eastAsia="宋体"/>
          <w:b w:val="0"/>
          <w:bCs/>
          <w:color w:val="auto"/>
          <w:highlight w:val="none"/>
        </w:rPr>
        <w:t>联系方式：1</w:t>
      </w:r>
      <w:r>
        <w:rPr>
          <w:rFonts w:hint="eastAsia" w:hAnsi="宋体"/>
          <w:b w:val="0"/>
          <w:bCs/>
          <w:color w:val="auto"/>
          <w:highlight w:val="none"/>
          <w:lang w:val="en-US" w:eastAsia="zh-CN"/>
        </w:rPr>
        <w:t>8634549826</w:t>
      </w:r>
    </w:p>
    <w:bookmarkEnd w:id="0"/>
    <w:bookmarkEnd w:id="1"/>
    <w:bookmarkEnd w:id="2"/>
    <w:bookmarkEnd w:id="3"/>
    <w:bookmarkEnd w:id="4"/>
    <w:p w14:paraId="6F8E4E29">
      <w:pPr>
        <w:pStyle w:val="26"/>
        <w:tabs>
          <w:tab w:val="clear" w:pos="420"/>
        </w:tabs>
        <w:jc w:val="center"/>
        <w:rPr>
          <w:rFonts w:hint="eastAsia" w:ascii="宋体" w:hAnsi="宋体" w:eastAsia="宋体"/>
          <w:color w:val="auto"/>
          <w:sz w:val="32"/>
          <w:szCs w:val="28"/>
          <w:highlight w:val="none"/>
        </w:rPr>
      </w:pPr>
      <w:r>
        <w:rPr>
          <w:rFonts w:hint="eastAsia" w:ascii="宋体" w:hAnsi="宋体" w:eastAsia="宋体"/>
          <w:color w:val="auto"/>
          <w:sz w:val="32"/>
          <w:szCs w:val="28"/>
          <w:highlight w:val="none"/>
        </w:rPr>
        <w:br w:type="page"/>
      </w:r>
      <w:r>
        <w:rPr>
          <w:rFonts w:hint="eastAsia" w:ascii="宋体" w:hAnsi="宋体" w:eastAsia="宋体"/>
          <w:color w:val="auto"/>
          <w:sz w:val="32"/>
          <w:szCs w:val="28"/>
          <w:highlight w:val="none"/>
        </w:rPr>
        <w:t>第二章  供应商须知</w:t>
      </w:r>
    </w:p>
    <w:p w14:paraId="61DD43B9">
      <w:pPr>
        <w:keepNext/>
        <w:keepLines/>
        <w:spacing w:line="360" w:lineRule="auto"/>
        <w:jc w:val="center"/>
        <w:outlineLvl w:val="1"/>
        <w:rPr>
          <w:rFonts w:hint="eastAsia" w:ascii="宋体" w:hAnsi="宋体"/>
          <w:b/>
          <w:bCs/>
          <w:color w:val="auto"/>
          <w:sz w:val="28"/>
          <w:szCs w:val="30"/>
          <w:highlight w:val="none"/>
        </w:rPr>
      </w:pPr>
      <w:bookmarkStart w:id="5" w:name="_Toc522273559"/>
      <w:bookmarkEnd w:id="5"/>
      <w:bookmarkStart w:id="6" w:name="_Toc105654849"/>
      <w:bookmarkEnd w:id="6"/>
      <w:bookmarkStart w:id="7" w:name="_Toc104558737"/>
      <w:bookmarkEnd w:id="7"/>
      <w:r>
        <w:rPr>
          <w:rFonts w:hint="eastAsia" w:ascii="宋体" w:hAnsi="宋体"/>
          <w:b/>
          <w:bCs/>
          <w:color w:val="auto"/>
          <w:sz w:val="28"/>
          <w:szCs w:val="30"/>
          <w:highlight w:val="none"/>
          <w:lang w:eastAsia="zh-CN"/>
        </w:rPr>
        <w:t>供应商</w:t>
      </w:r>
      <w:r>
        <w:rPr>
          <w:rFonts w:hint="eastAsia" w:ascii="宋体" w:hAnsi="宋体"/>
          <w:b/>
          <w:bCs/>
          <w:color w:val="auto"/>
          <w:sz w:val="28"/>
          <w:szCs w:val="30"/>
          <w:highlight w:val="none"/>
        </w:rPr>
        <w:t>须知前附表</w:t>
      </w:r>
    </w:p>
    <w:tbl>
      <w:tblPr>
        <w:tblStyle w:val="12"/>
        <w:tblW w:w="90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7"/>
        <w:gridCol w:w="2767"/>
        <w:gridCol w:w="5476"/>
      </w:tblGrid>
      <w:tr w14:paraId="58871E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8" w:hRule="atLeast"/>
          <w:tblHeader/>
        </w:trPr>
        <w:tc>
          <w:tcPr>
            <w:tcW w:w="777" w:type="dxa"/>
            <w:vAlign w:val="center"/>
          </w:tcPr>
          <w:p w14:paraId="69D69367">
            <w:pPr>
              <w:spacing w:line="360" w:lineRule="auto"/>
              <w:jc w:val="center"/>
              <w:rPr>
                <w:rFonts w:hint="eastAsia" w:ascii="宋体" w:hAnsi="宋体"/>
                <w:color w:val="auto"/>
                <w:sz w:val="24"/>
                <w:highlight w:val="none"/>
              </w:rPr>
            </w:pPr>
            <w:r>
              <w:rPr>
                <w:rFonts w:hint="eastAsia" w:ascii="宋体" w:hAnsi="宋体"/>
                <w:color w:val="auto"/>
                <w:sz w:val="24"/>
                <w:highlight w:val="none"/>
              </w:rPr>
              <w:t>条款号</w:t>
            </w:r>
          </w:p>
        </w:tc>
        <w:tc>
          <w:tcPr>
            <w:tcW w:w="2767" w:type="dxa"/>
            <w:vAlign w:val="center"/>
          </w:tcPr>
          <w:p w14:paraId="2DB04485">
            <w:pPr>
              <w:spacing w:line="360" w:lineRule="auto"/>
              <w:jc w:val="center"/>
              <w:rPr>
                <w:rFonts w:hint="eastAsia" w:ascii="宋体" w:hAnsi="宋体"/>
                <w:color w:val="auto"/>
                <w:sz w:val="24"/>
                <w:highlight w:val="none"/>
              </w:rPr>
            </w:pPr>
            <w:r>
              <w:rPr>
                <w:rFonts w:hint="eastAsia" w:ascii="宋体" w:hAnsi="宋体"/>
                <w:color w:val="auto"/>
                <w:sz w:val="24"/>
                <w:highlight w:val="none"/>
              </w:rPr>
              <w:t>条款名称</w:t>
            </w:r>
          </w:p>
        </w:tc>
        <w:tc>
          <w:tcPr>
            <w:tcW w:w="5476" w:type="dxa"/>
            <w:vAlign w:val="center"/>
          </w:tcPr>
          <w:p w14:paraId="08F6D5E5">
            <w:pPr>
              <w:spacing w:line="360" w:lineRule="auto"/>
              <w:jc w:val="center"/>
              <w:rPr>
                <w:rFonts w:hint="eastAsia" w:ascii="宋体" w:hAnsi="宋体"/>
                <w:color w:val="auto"/>
                <w:sz w:val="24"/>
                <w:highlight w:val="none"/>
              </w:rPr>
            </w:pPr>
            <w:r>
              <w:rPr>
                <w:rFonts w:hint="eastAsia" w:ascii="宋体" w:hAnsi="宋体"/>
                <w:color w:val="auto"/>
                <w:sz w:val="24"/>
                <w:highlight w:val="none"/>
              </w:rPr>
              <w:t>编列内容</w:t>
            </w:r>
          </w:p>
        </w:tc>
      </w:tr>
      <w:tr w14:paraId="4CDA9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8" w:hRule="atLeast"/>
        </w:trPr>
        <w:tc>
          <w:tcPr>
            <w:tcW w:w="777" w:type="dxa"/>
            <w:vAlign w:val="center"/>
          </w:tcPr>
          <w:p w14:paraId="1125C6B7">
            <w:pPr>
              <w:spacing w:line="360" w:lineRule="auto"/>
              <w:jc w:val="center"/>
              <w:rPr>
                <w:rFonts w:hint="eastAsia" w:ascii="宋体" w:hAnsi="宋体"/>
                <w:color w:val="auto"/>
                <w:sz w:val="24"/>
                <w:highlight w:val="none"/>
              </w:rPr>
            </w:pPr>
            <w:r>
              <w:rPr>
                <w:rFonts w:hint="eastAsia" w:ascii="宋体" w:hAnsi="宋体"/>
                <w:color w:val="auto"/>
                <w:sz w:val="24"/>
                <w:highlight w:val="none"/>
              </w:rPr>
              <w:t>1</w:t>
            </w:r>
          </w:p>
        </w:tc>
        <w:tc>
          <w:tcPr>
            <w:tcW w:w="2767" w:type="dxa"/>
            <w:vAlign w:val="center"/>
          </w:tcPr>
          <w:p w14:paraId="026F76D6">
            <w:pPr>
              <w:spacing w:line="360" w:lineRule="auto"/>
              <w:jc w:val="center"/>
              <w:rPr>
                <w:rFonts w:hint="eastAsia" w:ascii="宋体" w:hAnsi="宋体" w:eastAsia="宋体"/>
                <w:color w:val="auto"/>
                <w:sz w:val="24"/>
                <w:highlight w:val="none"/>
                <w:lang w:eastAsia="zh-CN"/>
              </w:rPr>
            </w:pPr>
            <w:r>
              <w:rPr>
                <w:rFonts w:hint="eastAsia" w:ascii="宋体" w:hAnsi="宋体"/>
                <w:color w:val="auto"/>
                <w:sz w:val="24"/>
                <w:highlight w:val="none"/>
                <w:lang w:eastAsia="zh-CN"/>
              </w:rPr>
              <w:t>采购人</w:t>
            </w:r>
          </w:p>
        </w:tc>
        <w:tc>
          <w:tcPr>
            <w:tcW w:w="5476" w:type="dxa"/>
            <w:vAlign w:val="top"/>
          </w:tcPr>
          <w:p w14:paraId="46E1CA11">
            <w:pPr>
              <w:spacing w:line="360" w:lineRule="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名称</w:t>
            </w:r>
            <w:r>
              <w:rPr>
                <w:rFonts w:hint="eastAsia" w:ascii="宋体" w:hAnsi="宋体"/>
                <w:color w:val="auto"/>
                <w:sz w:val="24"/>
                <w:highlight w:val="none"/>
              </w:rPr>
              <w:t>：</w:t>
            </w:r>
            <w:r>
              <w:rPr>
                <w:rFonts w:hint="eastAsia" w:ascii="宋体" w:hAnsi="宋体"/>
                <w:color w:val="auto"/>
                <w:sz w:val="24"/>
                <w:highlight w:val="none"/>
                <w:lang w:eastAsia="zh-CN"/>
              </w:rPr>
              <w:t>三门峡市湖滨区交通运输局</w:t>
            </w:r>
            <w:r>
              <w:rPr>
                <w:rFonts w:hint="eastAsia" w:ascii="宋体" w:hAnsi="宋体"/>
                <w:color w:val="auto"/>
                <w:sz w:val="24"/>
                <w:highlight w:val="none"/>
              </w:rPr>
              <w:t xml:space="preserve"> </w:t>
            </w:r>
          </w:p>
          <w:p w14:paraId="6D480E91">
            <w:pPr>
              <w:spacing w:line="360" w:lineRule="auto"/>
              <w:rPr>
                <w:rFonts w:hint="eastAsia" w:ascii="宋体" w:hAnsi="宋体"/>
                <w:color w:val="auto"/>
                <w:sz w:val="24"/>
                <w:highlight w:val="none"/>
                <w:lang w:val="en-US" w:eastAsia="zh-CN"/>
              </w:rPr>
            </w:pPr>
            <w:r>
              <w:rPr>
                <w:rFonts w:hint="eastAsia" w:ascii="宋体" w:hAnsi="宋体"/>
                <w:color w:val="auto"/>
                <w:sz w:val="24"/>
                <w:highlight w:val="none"/>
              </w:rPr>
              <w:t>地址：</w:t>
            </w:r>
            <w:r>
              <w:rPr>
                <w:rFonts w:hint="eastAsia" w:ascii="宋体" w:hAnsi="宋体"/>
                <w:color w:val="auto"/>
                <w:sz w:val="24"/>
                <w:highlight w:val="none"/>
                <w:lang w:val="en-US" w:eastAsia="zh-CN"/>
              </w:rPr>
              <w:t>三门峡市</w:t>
            </w:r>
            <w:r>
              <w:rPr>
                <w:rFonts w:hint="eastAsia" w:ascii="宋体" w:hAnsi="宋体"/>
                <w:color w:val="auto"/>
                <w:sz w:val="24"/>
                <w:highlight w:val="none"/>
              </w:rPr>
              <w:t>湖滨区青龙路科创大厦A座</w:t>
            </w:r>
          </w:p>
          <w:p w14:paraId="2FCD1AA0">
            <w:pPr>
              <w:spacing w:line="360" w:lineRule="auto"/>
              <w:rPr>
                <w:rFonts w:hint="eastAsia" w:ascii="宋体" w:hAnsi="宋体"/>
                <w:color w:val="auto"/>
                <w:sz w:val="24"/>
                <w:highlight w:val="none"/>
              </w:rPr>
            </w:pPr>
            <w:r>
              <w:rPr>
                <w:rFonts w:hint="eastAsia" w:ascii="宋体" w:hAnsi="宋体"/>
                <w:color w:val="auto"/>
                <w:sz w:val="24"/>
                <w:highlight w:val="none"/>
              </w:rPr>
              <w:t>联系人：</w:t>
            </w:r>
            <w:r>
              <w:rPr>
                <w:rFonts w:hint="eastAsia" w:ascii="宋体" w:hAnsi="宋体"/>
                <w:color w:val="auto"/>
                <w:sz w:val="24"/>
                <w:highlight w:val="none"/>
                <w:lang w:val="en-US" w:eastAsia="zh-CN"/>
              </w:rPr>
              <w:t>裴先生</w:t>
            </w:r>
          </w:p>
          <w:p w14:paraId="11460A1F">
            <w:pPr>
              <w:spacing w:line="360" w:lineRule="auto"/>
              <w:rPr>
                <w:rFonts w:hint="eastAsia" w:ascii="宋体" w:hAnsi="宋体"/>
                <w:color w:val="auto"/>
                <w:sz w:val="24"/>
                <w:highlight w:val="none"/>
              </w:rPr>
            </w:pPr>
            <w:r>
              <w:rPr>
                <w:rFonts w:hint="eastAsia" w:ascii="宋体" w:hAnsi="宋体"/>
                <w:color w:val="auto"/>
                <w:sz w:val="24"/>
                <w:highlight w:val="none"/>
              </w:rPr>
              <w:t>联系方式：</w:t>
            </w:r>
            <w:r>
              <w:rPr>
                <w:rFonts w:hint="default" w:ascii="宋体" w:hAnsi="宋体" w:eastAsia="宋体"/>
                <w:color w:val="auto"/>
                <w:sz w:val="24"/>
                <w:highlight w:val="none"/>
                <w:lang w:val="en-US" w:eastAsia="zh-CN"/>
              </w:rPr>
              <w:t>0398-3691213</w:t>
            </w:r>
          </w:p>
        </w:tc>
      </w:tr>
      <w:tr w14:paraId="0DD8CF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8" w:hRule="atLeast"/>
        </w:trPr>
        <w:tc>
          <w:tcPr>
            <w:tcW w:w="777" w:type="dxa"/>
            <w:vAlign w:val="center"/>
          </w:tcPr>
          <w:p w14:paraId="7C836D86">
            <w:pPr>
              <w:spacing w:line="360" w:lineRule="auto"/>
              <w:jc w:val="center"/>
              <w:rPr>
                <w:rFonts w:hint="eastAsia" w:ascii="宋体" w:hAnsi="宋体"/>
                <w:color w:val="auto"/>
                <w:sz w:val="24"/>
                <w:highlight w:val="none"/>
              </w:rPr>
            </w:pPr>
            <w:r>
              <w:rPr>
                <w:rFonts w:hint="eastAsia" w:ascii="宋体" w:hAnsi="宋体"/>
                <w:color w:val="auto"/>
                <w:sz w:val="24"/>
                <w:highlight w:val="none"/>
              </w:rPr>
              <w:t>2</w:t>
            </w:r>
          </w:p>
        </w:tc>
        <w:tc>
          <w:tcPr>
            <w:tcW w:w="2767" w:type="dxa"/>
            <w:vAlign w:val="center"/>
          </w:tcPr>
          <w:p w14:paraId="45A2333A">
            <w:pPr>
              <w:spacing w:line="360" w:lineRule="auto"/>
              <w:jc w:val="center"/>
              <w:rPr>
                <w:rFonts w:hint="eastAsia" w:ascii="宋体" w:hAnsi="宋体"/>
                <w:color w:val="auto"/>
                <w:sz w:val="24"/>
                <w:highlight w:val="none"/>
              </w:rPr>
            </w:pPr>
            <w:r>
              <w:rPr>
                <w:rFonts w:hint="eastAsia" w:ascii="宋体" w:hAnsi="宋体"/>
                <w:color w:val="auto"/>
                <w:sz w:val="24"/>
                <w:highlight w:val="none"/>
                <w:lang w:eastAsia="zh-CN"/>
              </w:rPr>
              <w:t>代理机构</w:t>
            </w:r>
          </w:p>
        </w:tc>
        <w:tc>
          <w:tcPr>
            <w:tcW w:w="5476" w:type="dxa"/>
            <w:vAlign w:val="top"/>
          </w:tcPr>
          <w:p w14:paraId="773D4307">
            <w:pPr>
              <w:spacing w:line="360" w:lineRule="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名称</w:t>
            </w:r>
            <w:r>
              <w:rPr>
                <w:rFonts w:hint="eastAsia" w:ascii="宋体" w:hAnsi="宋体"/>
                <w:color w:val="auto"/>
                <w:sz w:val="24"/>
                <w:highlight w:val="none"/>
              </w:rPr>
              <w:t>：</w:t>
            </w:r>
            <w:r>
              <w:rPr>
                <w:rFonts w:hint="eastAsia" w:ascii="宋体" w:hAnsi="宋体"/>
                <w:color w:val="auto"/>
                <w:sz w:val="24"/>
                <w:highlight w:val="none"/>
                <w:lang w:eastAsia="zh-CN"/>
              </w:rPr>
              <w:t>河南卯兴工程项目管理有限公司</w:t>
            </w:r>
          </w:p>
          <w:p w14:paraId="24EDB3A8">
            <w:pPr>
              <w:spacing w:line="360" w:lineRule="auto"/>
              <w:rPr>
                <w:rFonts w:hint="eastAsia" w:ascii="宋体" w:hAnsi="宋体"/>
                <w:color w:val="auto"/>
                <w:sz w:val="24"/>
                <w:highlight w:val="none"/>
              </w:rPr>
            </w:pPr>
            <w:r>
              <w:rPr>
                <w:rFonts w:hint="eastAsia" w:ascii="宋体" w:hAnsi="宋体"/>
                <w:color w:val="auto"/>
                <w:sz w:val="24"/>
                <w:highlight w:val="none"/>
              </w:rPr>
              <w:t>地址：</w:t>
            </w:r>
            <w:r>
              <w:rPr>
                <w:rFonts w:hint="eastAsia" w:ascii="宋体" w:hAnsi="宋体"/>
                <w:color w:val="auto"/>
                <w:sz w:val="24"/>
                <w:highlight w:val="none"/>
                <w:lang w:eastAsia="zh-CN"/>
              </w:rPr>
              <w:t>三门峡市湖滨区崤山路与上阳路交叉口西南角二楼</w:t>
            </w:r>
          </w:p>
          <w:p w14:paraId="1EF1ABF0">
            <w:pPr>
              <w:spacing w:line="360" w:lineRule="auto"/>
              <w:rPr>
                <w:rFonts w:hint="eastAsia" w:ascii="宋体" w:hAnsi="宋体"/>
                <w:color w:val="auto"/>
                <w:sz w:val="24"/>
                <w:highlight w:val="none"/>
                <w:lang w:val="en-US" w:eastAsia="zh-CN"/>
              </w:rPr>
            </w:pPr>
            <w:r>
              <w:rPr>
                <w:rFonts w:hint="eastAsia" w:ascii="宋体" w:hAnsi="宋体"/>
                <w:color w:val="auto"/>
                <w:sz w:val="24"/>
                <w:highlight w:val="none"/>
              </w:rPr>
              <w:t>联系人：</w:t>
            </w:r>
            <w:r>
              <w:rPr>
                <w:rFonts w:hint="eastAsia" w:ascii="宋体" w:hAnsi="宋体"/>
                <w:color w:val="auto"/>
                <w:sz w:val="24"/>
                <w:highlight w:val="none"/>
                <w:lang w:val="en-US" w:eastAsia="zh-CN"/>
              </w:rPr>
              <w:t>周先生</w:t>
            </w:r>
          </w:p>
          <w:p w14:paraId="1ADE9FF3">
            <w:pPr>
              <w:spacing w:line="360" w:lineRule="auto"/>
              <w:rPr>
                <w:rFonts w:hint="eastAsia" w:ascii="宋体" w:hAnsi="宋体"/>
                <w:color w:val="auto"/>
                <w:sz w:val="24"/>
                <w:highlight w:val="none"/>
              </w:rPr>
            </w:pPr>
            <w:r>
              <w:rPr>
                <w:rFonts w:hint="eastAsia" w:ascii="宋体" w:hAnsi="宋体"/>
                <w:color w:val="auto"/>
                <w:sz w:val="24"/>
                <w:highlight w:val="none"/>
              </w:rPr>
              <w:t>联系方式：1</w:t>
            </w:r>
            <w:r>
              <w:rPr>
                <w:rFonts w:hint="eastAsia" w:ascii="宋体" w:hAnsi="宋体"/>
                <w:color w:val="auto"/>
                <w:sz w:val="24"/>
                <w:highlight w:val="none"/>
                <w:lang w:val="en-US" w:eastAsia="zh-CN"/>
              </w:rPr>
              <w:t>8634549826</w:t>
            </w:r>
          </w:p>
        </w:tc>
      </w:tr>
      <w:tr w14:paraId="3029AF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8" w:hRule="atLeast"/>
        </w:trPr>
        <w:tc>
          <w:tcPr>
            <w:tcW w:w="777" w:type="dxa"/>
            <w:vAlign w:val="center"/>
          </w:tcPr>
          <w:p w14:paraId="312194E8">
            <w:pPr>
              <w:spacing w:line="360" w:lineRule="auto"/>
              <w:jc w:val="center"/>
              <w:rPr>
                <w:rFonts w:hint="eastAsia" w:ascii="宋体" w:hAnsi="宋体"/>
                <w:color w:val="auto"/>
                <w:sz w:val="24"/>
                <w:highlight w:val="none"/>
              </w:rPr>
            </w:pPr>
            <w:r>
              <w:rPr>
                <w:rFonts w:hint="eastAsia" w:ascii="宋体" w:hAnsi="宋体"/>
                <w:color w:val="auto"/>
                <w:sz w:val="24"/>
                <w:highlight w:val="none"/>
              </w:rPr>
              <w:t>3</w:t>
            </w:r>
          </w:p>
        </w:tc>
        <w:tc>
          <w:tcPr>
            <w:tcW w:w="2767" w:type="dxa"/>
            <w:vAlign w:val="center"/>
          </w:tcPr>
          <w:p w14:paraId="1E841A66">
            <w:pPr>
              <w:spacing w:line="360" w:lineRule="auto"/>
              <w:jc w:val="center"/>
              <w:rPr>
                <w:rFonts w:hint="eastAsia" w:ascii="宋体" w:hAnsi="宋体"/>
                <w:color w:val="auto"/>
                <w:sz w:val="24"/>
                <w:highlight w:val="none"/>
              </w:rPr>
            </w:pPr>
            <w:r>
              <w:rPr>
                <w:rFonts w:hint="eastAsia" w:ascii="宋体" w:hAnsi="宋体"/>
                <w:color w:val="auto"/>
                <w:sz w:val="24"/>
                <w:highlight w:val="none"/>
              </w:rPr>
              <w:t>项目名称</w:t>
            </w:r>
          </w:p>
        </w:tc>
        <w:tc>
          <w:tcPr>
            <w:tcW w:w="5476" w:type="dxa"/>
            <w:vAlign w:val="top"/>
          </w:tcPr>
          <w:p w14:paraId="2C0A6237">
            <w:pPr>
              <w:spacing w:line="360" w:lineRule="auto"/>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2025年湖滨区农村公路路网改建项目</w:t>
            </w:r>
          </w:p>
        </w:tc>
      </w:tr>
      <w:tr w14:paraId="166FF4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8" w:hRule="atLeast"/>
        </w:trPr>
        <w:tc>
          <w:tcPr>
            <w:tcW w:w="777" w:type="dxa"/>
            <w:vAlign w:val="center"/>
          </w:tcPr>
          <w:p w14:paraId="5C161901">
            <w:pPr>
              <w:spacing w:line="360" w:lineRule="auto"/>
              <w:jc w:val="center"/>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4</w:t>
            </w:r>
          </w:p>
        </w:tc>
        <w:tc>
          <w:tcPr>
            <w:tcW w:w="2767" w:type="dxa"/>
            <w:vAlign w:val="center"/>
          </w:tcPr>
          <w:p w14:paraId="4C7A0F77">
            <w:pPr>
              <w:spacing w:line="360" w:lineRule="auto"/>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标段划分</w:t>
            </w:r>
          </w:p>
        </w:tc>
        <w:tc>
          <w:tcPr>
            <w:tcW w:w="5476" w:type="dxa"/>
            <w:vAlign w:val="top"/>
          </w:tcPr>
          <w:p w14:paraId="11ACA73B">
            <w:pPr>
              <w:spacing w:line="360" w:lineRule="auto"/>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湖滨区 Y011 线仰韶大道至野鹿桥段路面结构性修复工程，起点位于 Y011 线与仰韶大道（K468+000）交叉处，起点桩号为 K0+000，路线沿涧河南岸向东前行，下穿S312 野鹿桥后，继续前行约 200 米至瑞通汽车城平交口结束,终点桩号为 K1+320，路线全长 1.32km。湖滨区 C049 线S312至Y008段道路改建工程，程起点位于 S312 线泉脑新村处。起点桩号为 K0+000，路线向北前行，至于乡道 008 线，终点桩号为K1+298.142，路线长 1.298 公里。</w:t>
            </w:r>
          </w:p>
        </w:tc>
      </w:tr>
      <w:tr w14:paraId="0EDB83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8" w:hRule="atLeast"/>
        </w:trPr>
        <w:tc>
          <w:tcPr>
            <w:tcW w:w="777" w:type="dxa"/>
            <w:vAlign w:val="center"/>
          </w:tcPr>
          <w:p w14:paraId="7299E296">
            <w:pPr>
              <w:spacing w:line="360" w:lineRule="auto"/>
              <w:jc w:val="center"/>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5</w:t>
            </w:r>
          </w:p>
        </w:tc>
        <w:tc>
          <w:tcPr>
            <w:tcW w:w="2767" w:type="dxa"/>
            <w:vAlign w:val="center"/>
          </w:tcPr>
          <w:p w14:paraId="2F7A477F">
            <w:pPr>
              <w:spacing w:line="360" w:lineRule="auto"/>
              <w:jc w:val="center"/>
              <w:rPr>
                <w:rFonts w:hint="eastAsia" w:ascii="宋体" w:hAnsi="宋体"/>
                <w:color w:val="auto"/>
                <w:sz w:val="24"/>
                <w:highlight w:val="none"/>
              </w:rPr>
            </w:pPr>
            <w:r>
              <w:rPr>
                <w:rFonts w:hint="eastAsia" w:ascii="宋体" w:hAnsi="宋体"/>
                <w:color w:val="auto"/>
                <w:sz w:val="24"/>
                <w:highlight w:val="none"/>
              </w:rPr>
              <w:t>建设地点</w:t>
            </w:r>
          </w:p>
        </w:tc>
        <w:tc>
          <w:tcPr>
            <w:tcW w:w="5476" w:type="dxa"/>
            <w:vAlign w:val="top"/>
          </w:tcPr>
          <w:p w14:paraId="4F2C0E25">
            <w:pPr>
              <w:spacing w:line="360" w:lineRule="auto"/>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三门峡市湖滨区</w:t>
            </w:r>
          </w:p>
        </w:tc>
      </w:tr>
      <w:tr w14:paraId="6810F2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8" w:hRule="atLeast"/>
        </w:trPr>
        <w:tc>
          <w:tcPr>
            <w:tcW w:w="777" w:type="dxa"/>
            <w:vAlign w:val="center"/>
          </w:tcPr>
          <w:p w14:paraId="481131A6">
            <w:pPr>
              <w:spacing w:line="360" w:lineRule="auto"/>
              <w:jc w:val="center"/>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6</w:t>
            </w:r>
          </w:p>
        </w:tc>
        <w:tc>
          <w:tcPr>
            <w:tcW w:w="2767" w:type="dxa"/>
            <w:vAlign w:val="center"/>
          </w:tcPr>
          <w:p w14:paraId="1901D9A0">
            <w:pPr>
              <w:spacing w:line="360" w:lineRule="auto"/>
              <w:jc w:val="center"/>
              <w:rPr>
                <w:rFonts w:hint="eastAsia" w:ascii="宋体" w:hAnsi="宋体"/>
                <w:color w:val="auto"/>
                <w:sz w:val="24"/>
                <w:highlight w:val="none"/>
              </w:rPr>
            </w:pPr>
            <w:r>
              <w:rPr>
                <w:rFonts w:hint="eastAsia" w:ascii="宋体" w:hAnsi="宋体"/>
                <w:color w:val="auto"/>
                <w:sz w:val="24"/>
                <w:highlight w:val="none"/>
              </w:rPr>
              <w:t>资金来源</w:t>
            </w:r>
          </w:p>
        </w:tc>
        <w:tc>
          <w:tcPr>
            <w:tcW w:w="5476" w:type="dxa"/>
            <w:vAlign w:val="top"/>
          </w:tcPr>
          <w:p w14:paraId="2C7F1153">
            <w:pPr>
              <w:spacing w:line="360" w:lineRule="auto"/>
              <w:rPr>
                <w:rFonts w:hint="eastAsia" w:ascii="宋体" w:hAnsi="宋体"/>
                <w:color w:val="auto"/>
                <w:sz w:val="24"/>
                <w:highlight w:val="none"/>
              </w:rPr>
            </w:pPr>
            <w:r>
              <w:rPr>
                <w:rFonts w:hint="eastAsia" w:ascii="宋体" w:hAnsi="宋体"/>
                <w:color w:val="auto"/>
                <w:sz w:val="24"/>
                <w:highlight w:val="none"/>
              </w:rPr>
              <w:t>财政资金</w:t>
            </w:r>
          </w:p>
        </w:tc>
      </w:tr>
      <w:tr w14:paraId="5E6AE9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8" w:hRule="atLeast"/>
        </w:trPr>
        <w:tc>
          <w:tcPr>
            <w:tcW w:w="777" w:type="dxa"/>
            <w:vAlign w:val="center"/>
          </w:tcPr>
          <w:p w14:paraId="74EA0393">
            <w:pPr>
              <w:spacing w:line="360" w:lineRule="auto"/>
              <w:jc w:val="center"/>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7</w:t>
            </w:r>
          </w:p>
        </w:tc>
        <w:tc>
          <w:tcPr>
            <w:tcW w:w="2767" w:type="dxa"/>
            <w:vAlign w:val="center"/>
          </w:tcPr>
          <w:p w14:paraId="73B9459A">
            <w:pPr>
              <w:spacing w:line="360" w:lineRule="auto"/>
              <w:jc w:val="center"/>
              <w:rPr>
                <w:rFonts w:hint="eastAsia" w:ascii="宋体" w:hAnsi="宋体"/>
                <w:color w:val="auto"/>
                <w:sz w:val="24"/>
                <w:highlight w:val="none"/>
              </w:rPr>
            </w:pPr>
            <w:r>
              <w:rPr>
                <w:rFonts w:hint="eastAsia" w:ascii="宋体" w:hAnsi="宋体"/>
                <w:color w:val="auto"/>
                <w:sz w:val="24"/>
                <w:highlight w:val="none"/>
              </w:rPr>
              <w:t>资金落实情况</w:t>
            </w:r>
          </w:p>
        </w:tc>
        <w:tc>
          <w:tcPr>
            <w:tcW w:w="5476" w:type="dxa"/>
            <w:vAlign w:val="top"/>
          </w:tcPr>
          <w:p w14:paraId="075359EC">
            <w:pPr>
              <w:spacing w:line="360" w:lineRule="auto"/>
              <w:rPr>
                <w:rFonts w:hint="eastAsia" w:ascii="宋体" w:hAnsi="宋体"/>
                <w:color w:val="auto"/>
                <w:sz w:val="24"/>
                <w:highlight w:val="none"/>
              </w:rPr>
            </w:pPr>
            <w:r>
              <w:rPr>
                <w:rFonts w:hint="eastAsia" w:ascii="宋体" w:hAnsi="宋体"/>
                <w:color w:val="auto"/>
                <w:sz w:val="24"/>
                <w:highlight w:val="none"/>
              </w:rPr>
              <w:t>已落实</w:t>
            </w:r>
          </w:p>
        </w:tc>
      </w:tr>
      <w:tr w14:paraId="13936E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8" w:hRule="atLeast"/>
        </w:trPr>
        <w:tc>
          <w:tcPr>
            <w:tcW w:w="777" w:type="dxa"/>
            <w:vAlign w:val="center"/>
          </w:tcPr>
          <w:p w14:paraId="4C742BF6">
            <w:pPr>
              <w:spacing w:line="360" w:lineRule="auto"/>
              <w:jc w:val="center"/>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8</w:t>
            </w:r>
          </w:p>
        </w:tc>
        <w:tc>
          <w:tcPr>
            <w:tcW w:w="2767" w:type="dxa"/>
            <w:vAlign w:val="center"/>
          </w:tcPr>
          <w:p w14:paraId="7D602B32">
            <w:pPr>
              <w:spacing w:line="360" w:lineRule="auto"/>
              <w:jc w:val="center"/>
              <w:rPr>
                <w:rFonts w:hint="eastAsia" w:ascii="宋体" w:hAnsi="宋体"/>
                <w:color w:val="auto"/>
                <w:sz w:val="24"/>
                <w:highlight w:val="none"/>
              </w:rPr>
            </w:pPr>
            <w:r>
              <w:rPr>
                <w:rFonts w:hint="eastAsia" w:ascii="宋体" w:hAnsi="宋体"/>
                <w:color w:val="auto"/>
                <w:sz w:val="24"/>
                <w:highlight w:val="none"/>
                <w:lang w:val="en-US" w:eastAsia="zh-CN"/>
              </w:rPr>
              <w:t>磋商</w:t>
            </w:r>
            <w:r>
              <w:rPr>
                <w:rFonts w:hint="eastAsia" w:ascii="宋体" w:hAnsi="宋体"/>
                <w:color w:val="auto"/>
                <w:sz w:val="24"/>
                <w:highlight w:val="none"/>
              </w:rPr>
              <w:t>范围</w:t>
            </w:r>
          </w:p>
        </w:tc>
        <w:tc>
          <w:tcPr>
            <w:tcW w:w="5476" w:type="dxa"/>
            <w:vAlign w:val="top"/>
          </w:tcPr>
          <w:p w14:paraId="71C22DDD">
            <w:pPr>
              <w:spacing w:line="360" w:lineRule="auto"/>
              <w:rPr>
                <w:rFonts w:hint="eastAsia" w:ascii="宋体" w:hAnsi="宋体" w:eastAsia="宋体"/>
                <w:color w:val="auto"/>
                <w:sz w:val="24"/>
                <w:highlight w:val="none"/>
                <w:lang w:eastAsia="zh-CN"/>
              </w:rPr>
            </w:pPr>
            <w:r>
              <w:rPr>
                <w:rFonts w:hint="eastAsia" w:ascii="宋体" w:hAnsi="宋体" w:eastAsia="宋体"/>
                <w:color w:val="auto"/>
                <w:sz w:val="24"/>
                <w:highlight w:val="none"/>
                <w:lang w:eastAsia="zh-CN"/>
              </w:rPr>
              <w:t>本项目磋商文件、工程量清单及答疑纪要等列明的所有内容</w:t>
            </w:r>
          </w:p>
        </w:tc>
      </w:tr>
      <w:tr w14:paraId="4910D9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8" w:hRule="atLeast"/>
        </w:trPr>
        <w:tc>
          <w:tcPr>
            <w:tcW w:w="777" w:type="dxa"/>
            <w:vAlign w:val="center"/>
          </w:tcPr>
          <w:p w14:paraId="5344D6CF">
            <w:pPr>
              <w:spacing w:line="360" w:lineRule="auto"/>
              <w:jc w:val="center"/>
              <w:rPr>
                <w:rFonts w:hint="eastAsia" w:ascii="宋体" w:hAnsi="宋体" w:eastAsia="宋体"/>
                <w:color w:val="auto"/>
                <w:sz w:val="24"/>
                <w:highlight w:val="none"/>
                <w:lang w:eastAsia="zh-CN"/>
              </w:rPr>
            </w:pPr>
            <w:r>
              <w:rPr>
                <w:rFonts w:hint="eastAsia" w:ascii="宋体" w:hAnsi="宋体"/>
                <w:color w:val="auto"/>
                <w:sz w:val="24"/>
                <w:highlight w:val="none"/>
                <w:lang w:val="en-US" w:eastAsia="zh-CN"/>
              </w:rPr>
              <w:t>9</w:t>
            </w:r>
          </w:p>
        </w:tc>
        <w:tc>
          <w:tcPr>
            <w:tcW w:w="2767" w:type="dxa"/>
            <w:vAlign w:val="center"/>
          </w:tcPr>
          <w:p w14:paraId="476C22D7">
            <w:pPr>
              <w:spacing w:line="360" w:lineRule="auto"/>
              <w:jc w:val="center"/>
              <w:rPr>
                <w:rFonts w:hint="eastAsia" w:ascii="宋体" w:hAnsi="宋体"/>
                <w:color w:val="auto"/>
                <w:sz w:val="24"/>
                <w:highlight w:val="none"/>
              </w:rPr>
            </w:pPr>
            <w:r>
              <w:rPr>
                <w:rFonts w:hint="eastAsia" w:ascii="宋体" w:hAnsi="宋体"/>
                <w:color w:val="auto"/>
                <w:sz w:val="24"/>
                <w:highlight w:val="none"/>
                <w:lang w:val="en-US" w:eastAsia="zh-CN"/>
              </w:rPr>
              <w:t>采购</w:t>
            </w:r>
            <w:r>
              <w:rPr>
                <w:rFonts w:hint="eastAsia" w:ascii="宋体" w:hAnsi="宋体"/>
                <w:color w:val="auto"/>
                <w:sz w:val="24"/>
                <w:highlight w:val="none"/>
              </w:rPr>
              <w:t>方式</w:t>
            </w:r>
          </w:p>
        </w:tc>
        <w:tc>
          <w:tcPr>
            <w:tcW w:w="5476" w:type="dxa"/>
            <w:vAlign w:val="top"/>
          </w:tcPr>
          <w:p w14:paraId="1BF507E5">
            <w:pPr>
              <w:spacing w:line="360" w:lineRule="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竞争性磋商</w:t>
            </w:r>
          </w:p>
        </w:tc>
      </w:tr>
      <w:tr w14:paraId="45CE9C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8" w:hRule="atLeast"/>
        </w:trPr>
        <w:tc>
          <w:tcPr>
            <w:tcW w:w="777" w:type="dxa"/>
            <w:vAlign w:val="center"/>
          </w:tcPr>
          <w:p w14:paraId="47DE4EAE">
            <w:pPr>
              <w:spacing w:line="360" w:lineRule="auto"/>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10</w:t>
            </w:r>
          </w:p>
        </w:tc>
        <w:tc>
          <w:tcPr>
            <w:tcW w:w="2767" w:type="dxa"/>
            <w:vAlign w:val="center"/>
          </w:tcPr>
          <w:p w14:paraId="76FC3090">
            <w:pPr>
              <w:spacing w:line="360" w:lineRule="auto"/>
              <w:jc w:val="center"/>
              <w:rPr>
                <w:rFonts w:hint="eastAsia" w:ascii="宋体" w:hAnsi="宋体"/>
                <w:color w:val="auto"/>
                <w:sz w:val="24"/>
                <w:highlight w:val="none"/>
              </w:rPr>
            </w:pPr>
            <w:r>
              <w:rPr>
                <w:rFonts w:hint="eastAsia" w:ascii="宋体" w:hAnsi="宋体"/>
                <w:color w:val="auto"/>
                <w:sz w:val="24"/>
                <w:highlight w:val="none"/>
              </w:rPr>
              <w:t>计划工期</w:t>
            </w:r>
          </w:p>
        </w:tc>
        <w:tc>
          <w:tcPr>
            <w:tcW w:w="5476" w:type="dxa"/>
            <w:vAlign w:val="top"/>
          </w:tcPr>
          <w:p w14:paraId="3104E34B">
            <w:pPr>
              <w:spacing w:line="360" w:lineRule="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90日历天</w:t>
            </w:r>
          </w:p>
        </w:tc>
      </w:tr>
      <w:tr w14:paraId="45365A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8" w:hRule="atLeast"/>
        </w:trPr>
        <w:tc>
          <w:tcPr>
            <w:tcW w:w="777" w:type="dxa"/>
            <w:vAlign w:val="center"/>
          </w:tcPr>
          <w:p w14:paraId="651738E2">
            <w:pPr>
              <w:spacing w:line="360" w:lineRule="auto"/>
              <w:jc w:val="center"/>
              <w:rPr>
                <w:rFonts w:hint="eastAsia" w:ascii="宋体" w:hAnsi="宋体" w:eastAsia="宋体"/>
                <w:color w:val="auto"/>
                <w:sz w:val="24"/>
                <w:highlight w:val="none"/>
                <w:lang w:eastAsia="zh-CN"/>
              </w:rPr>
            </w:pPr>
            <w:r>
              <w:rPr>
                <w:rFonts w:hint="eastAsia" w:ascii="宋体" w:hAnsi="宋体"/>
                <w:color w:val="auto"/>
                <w:sz w:val="24"/>
                <w:highlight w:val="none"/>
              </w:rPr>
              <w:t>1</w:t>
            </w:r>
            <w:r>
              <w:rPr>
                <w:rFonts w:hint="eastAsia" w:ascii="宋体" w:hAnsi="宋体"/>
                <w:color w:val="auto"/>
                <w:sz w:val="24"/>
                <w:highlight w:val="none"/>
                <w:lang w:val="en-US" w:eastAsia="zh-CN"/>
              </w:rPr>
              <w:t>1</w:t>
            </w:r>
          </w:p>
        </w:tc>
        <w:tc>
          <w:tcPr>
            <w:tcW w:w="2767" w:type="dxa"/>
            <w:vAlign w:val="center"/>
          </w:tcPr>
          <w:p w14:paraId="0F5B02D6">
            <w:pPr>
              <w:spacing w:line="360" w:lineRule="auto"/>
              <w:jc w:val="center"/>
              <w:rPr>
                <w:rFonts w:hint="eastAsia" w:ascii="宋体" w:hAnsi="宋体"/>
                <w:color w:val="auto"/>
                <w:sz w:val="24"/>
                <w:highlight w:val="none"/>
              </w:rPr>
            </w:pPr>
            <w:r>
              <w:rPr>
                <w:rFonts w:hint="eastAsia" w:ascii="宋体" w:hAnsi="宋体"/>
                <w:color w:val="auto"/>
                <w:sz w:val="24"/>
                <w:highlight w:val="none"/>
              </w:rPr>
              <w:t>质量要求</w:t>
            </w:r>
          </w:p>
        </w:tc>
        <w:tc>
          <w:tcPr>
            <w:tcW w:w="5476" w:type="dxa"/>
            <w:vAlign w:val="top"/>
          </w:tcPr>
          <w:p w14:paraId="26DF2FB2">
            <w:pPr>
              <w:spacing w:line="360" w:lineRule="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符合国家相关法律、法规政策及技术规范的规定及有关部门的验收要求</w:t>
            </w:r>
            <w:r>
              <w:rPr>
                <w:rFonts w:hint="eastAsia" w:ascii="宋体" w:hAnsi="宋体"/>
                <w:color w:val="auto"/>
                <w:sz w:val="24"/>
                <w:szCs w:val="24"/>
                <w:highlight w:val="none"/>
                <w:lang w:eastAsia="zh-CN"/>
              </w:rPr>
              <w:t>。</w:t>
            </w:r>
          </w:p>
        </w:tc>
      </w:tr>
      <w:tr w14:paraId="609836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8" w:hRule="atLeast"/>
        </w:trPr>
        <w:tc>
          <w:tcPr>
            <w:tcW w:w="777" w:type="dxa"/>
            <w:vAlign w:val="center"/>
          </w:tcPr>
          <w:p w14:paraId="6C4163CE">
            <w:pPr>
              <w:spacing w:line="360" w:lineRule="auto"/>
              <w:jc w:val="center"/>
              <w:rPr>
                <w:rFonts w:hint="eastAsia" w:ascii="宋体" w:hAnsi="宋体" w:eastAsia="宋体"/>
                <w:color w:val="auto"/>
                <w:sz w:val="24"/>
                <w:highlight w:val="none"/>
                <w:lang w:eastAsia="zh-CN"/>
              </w:rPr>
            </w:pPr>
            <w:r>
              <w:rPr>
                <w:rFonts w:hint="eastAsia" w:ascii="宋体" w:hAnsi="宋体"/>
                <w:color w:val="auto"/>
                <w:sz w:val="24"/>
                <w:highlight w:val="none"/>
              </w:rPr>
              <w:t>1</w:t>
            </w:r>
            <w:r>
              <w:rPr>
                <w:rFonts w:hint="eastAsia" w:ascii="宋体" w:hAnsi="宋体"/>
                <w:color w:val="auto"/>
                <w:sz w:val="24"/>
                <w:highlight w:val="none"/>
                <w:lang w:val="en-US" w:eastAsia="zh-CN"/>
              </w:rPr>
              <w:t>2</w:t>
            </w:r>
          </w:p>
        </w:tc>
        <w:tc>
          <w:tcPr>
            <w:tcW w:w="2767" w:type="dxa"/>
            <w:vAlign w:val="center"/>
          </w:tcPr>
          <w:p w14:paraId="3FE61378">
            <w:pPr>
              <w:spacing w:line="360" w:lineRule="auto"/>
              <w:jc w:val="center"/>
              <w:rPr>
                <w:rFonts w:hint="eastAsia" w:ascii="宋体" w:hAnsi="宋体"/>
                <w:color w:val="auto"/>
                <w:sz w:val="24"/>
                <w:highlight w:val="none"/>
              </w:rPr>
            </w:pPr>
            <w:r>
              <w:rPr>
                <w:rFonts w:hint="eastAsia" w:ascii="宋体" w:hAnsi="宋体"/>
                <w:color w:val="auto"/>
                <w:sz w:val="24"/>
                <w:highlight w:val="none"/>
                <w:lang w:eastAsia="zh-CN"/>
              </w:rPr>
              <w:t>供应商</w:t>
            </w:r>
            <w:r>
              <w:rPr>
                <w:rFonts w:hint="eastAsia" w:ascii="宋体" w:hAnsi="宋体"/>
                <w:color w:val="auto"/>
                <w:sz w:val="24"/>
                <w:highlight w:val="none"/>
              </w:rPr>
              <w:t>资质条件、能力和信誉</w:t>
            </w:r>
          </w:p>
        </w:tc>
        <w:tc>
          <w:tcPr>
            <w:tcW w:w="5476" w:type="dxa"/>
            <w:vAlign w:val="top"/>
          </w:tcPr>
          <w:p w14:paraId="41EC865F">
            <w:pPr>
              <w:spacing w:line="360" w:lineRule="auto"/>
              <w:jc w:val="left"/>
              <w:rPr>
                <w:rFonts w:hint="eastAsia" w:ascii="宋体" w:hAnsi="宋体"/>
                <w:color w:val="auto"/>
                <w:sz w:val="24"/>
                <w:highlight w:val="none"/>
                <w:lang w:val="en-US" w:eastAsia="zh-CN"/>
              </w:rPr>
            </w:pPr>
            <w:r>
              <w:rPr>
                <w:rFonts w:hint="eastAsia" w:ascii="宋体" w:hAnsi="宋体"/>
                <w:color w:val="auto"/>
                <w:sz w:val="24"/>
                <w:highlight w:val="none"/>
                <w:lang w:val="en-US" w:eastAsia="zh-CN"/>
              </w:rPr>
              <w:t>1.满足《中华人民共和国政府采购法》第二十二条规定；</w:t>
            </w:r>
          </w:p>
          <w:p w14:paraId="720BEF40">
            <w:pPr>
              <w:spacing w:line="360" w:lineRule="auto"/>
              <w:jc w:val="left"/>
              <w:rPr>
                <w:rFonts w:hint="eastAsia" w:ascii="宋体" w:hAnsi="宋体"/>
                <w:color w:val="auto"/>
                <w:sz w:val="24"/>
                <w:highlight w:val="none"/>
                <w:lang w:val="en-US" w:eastAsia="zh-CN"/>
              </w:rPr>
            </w:pPr>
            <w:r>
              <w:rPr>
                <w:rFonts w:hint="eastAsia" w:ascii="宋体" w:hAnsi="宋体"/>
                <w:color w:val="auto"/>
                <w:sz w:val="24"/>
                <w:highlight w:val="none"/>
                <w:lang w:val="en-US" w:eastAsia="zh-CN"/>
              </w:rPr>
              <w:t>2.落实政府采购政策满足的资格要求：本项目专门面向中小微企业采购项目,执行促进中小企业（监狱企业、残疾人福利性企业）发展等政府采购政策。</w:t>
            </w:r>
          </w:p>
          <w:p w14:paraId="679B89B9">
            <w:pPr>
              <w:spacing w:line="360" w:lineRule="auto"/>
              <w:jc w:val="left"/>
              <w:rPr>
                <w:rFonts w:hint="eastAsia" w:ascii="宋体" w:hAnsi="宋体"/>
                <w:color w:val="auto"/>
                <w:sz w:val="24"/>
                <w:highlight w:val="none"/>
                <w:lang w:val="en-US" w:eastAsia="zh-CN"/>
              </w:rPr>
            </w:pPr>
            <w:r>
              <w:rPr>
                <w:rFonts w:hint="eastAsia" w:ascii="宋体" w:hAnsi="宋体"/>
                <w:color w:val="auto"/>
                <w:sz w:val="24"/>
                <w:highlight w:val="none"/>
                <w:lang w:val="en-US" w:eastAsia="zh-CN"/>
              </w:rPr>
              <w:t>3.本项目的特定资格要求</w:t>
            </w:r>
          </w:p>
          <w:p w14:paraId="22F77F9B">
            <w:pPr>
              <w:spacing w:line="360" w:lineRule="auto"/>
              <w:jc w:val="left"/>
              <w:rPr>
                <w:rFonts w:hint="eastAsia" w:ascii="宋体" w:hAnsi="宋体"/>
                <w:color w:val="auto"/>
                <w:sz w:val="24"/>
                <w:highlight w:val="none"/>
                <w:lang w:val="en-US" w:eastAsia="zh-CN"/>
              </w:rPr>
            </w:pPr>
            <w:r>
              <w:rPr>
                <w:rFonts w:hint="eastAsia" w:ascii="宋体" w:hAnsi="宋体"/>
                <w:color w:val="auto"/>
                <w:sz w:val="24"/>
                <w:highlight w:val="none"/>
                <w:lang w:val="en-US" w:eastAsia="zh-CN"/>
              </w:rPr>
              <w:t>3.1、供应商具有有效的企业营业执照；</w:t>
            </w:r>
          </w:p>
          <w:p w14:paraId="3EEAAB27">
            <w:pPr>
              <w:spacing w:line="360" w:lineRule="auto"/>
              <w:jc w:val="left"/>
              <w:rPr>
                <w:rFonts w:hint="eastAsia" w:ascii="宋体" w:hAnsi="宋体"/>
                <w:color w:val="auto"/>
                <w:sz w:val="24"/>
                <w:highlight w:val="none"/>
                <w:lang w:val="en-US" w:eastAsia="zh-CN"/>
              </w:rPr>
            </w:pPr>
            <w:r>
              <w:rPr>
                <w:rFonts w:hint="eastAsia" w:ascii="宋体" w:hAnsi="宋体"/>
                <w:color w:val="auto"/>
                <w:sz w:val="24"/>
                <w:highlight w:val="none"/>
                <w:lang w:val="en-US" w:eastAsia="zh-CN"/>
              </w:rPr>
              <w:t>3.2、供应商具有公路工程施工总承包叁级（含）以上资质，且具有有效的安全生产许可证；</w:t>
            </w:r>
          </w:p>
          <w:p w14:paraId="70DE1286">
            <w:pPr>
              <w:spacing w:line="360" w:lineRule="auto"/>
              <w:jc w:val="left"/>
              <w:rPr>
                <w:rFonts w:hint="eastAsia" w:ascii="宋体" w:hAnsi="宋体"/>
                <w:color w:val="auto"/>
                <w:sz w:val="24"/>
                <w:highlight w:val="none"/>
                <w:lang w:val="en-US" w:eastAsia="zh-CN"/>
              </w:rPr>
            </w:pPr>
            <w:r>
              <w:rPr>
                <w:rFonts w:hint="eastAsia" w:ascii="宋体" w:hAnsi="宋体"/>
                <w:color w:val="auto"/>
                <w:sz w:val="24"/>
                <w:highlight w:val="none"/>
                <w:lang w:val="en-US" w:eastAsia="zh-CN"/>
              </w:rPr>
              <w:t>3.3、拟派项目经理须具备公路工程专业二级注册建造师资格、B类安全生产考核合格证且无在建工程（单位自行出具无在建项目的证明）；</w:t>
            </w:r>
          </w:p>
          <w:p w14:paraId="6AB04195">
            <w:pPr>
              <w:spacing w:line="360" w:lineRule="auto"/>
              <w:jc w:val="left"/>
              <w:rPr>
                <w:rFonts w:hint="eastAsia" w:ascii="宋体" w:hAnsi="宋体"/>
                <w:color w:val="auto"/>
                <w:sz w:val="24"/>
                <w:highlight w:val="none"/>
                <w:lang w:val="en-US" w:eastAsia="zh-CN"/>
              </w:rPr>
            </w:pPr>
            <w:r>
              <w:rPr>
                <w:rFonts w:hint="eastAsia" w:ascii="宋体" w:hAnsi="宋体"/>
                <w:color w:val="auto"/>
                <w:sz w:val="24"/>
                <w:highlight w:val="none"/>
                <w:lang w:val="en-US" w:eastAsia="zh-CN"/>
              </w:rPr>
              <w:t>3.4、供应商须自行出具本企业无商业贿赂和不正当竞争行为承诺书；</w:t>
            </w:r>
          </w:p>
          <w:p w14:paraId="78311BD3">
            <w:pPr>
              <w:spacing w:line="360" w:lineRule="auto"/>
              <w:jc w:val="left"/>
              <w:rPr>
                <w:rFonts w:hint="eastAsia" w:ascii="宋体" w:hAnsi="宋体"/>
                <w:color w:val="auto"/>
                <w:sz w:val="24"/>
                <w:highlight w:val="none"/>
                <w:lang w:val="en-US" w:eastAsia="zh-CN"/>
              </w:rPr>
            </w:pPr>
            <w:r>
              <w:rPr>
                <w:rFonts w:hint="eastAsia" w:ascii="宋体" w:hAnsi="宋体"/>
                <w:color w:val="auto"/>
                <w:sz w:val="24"/>
                <w:highlight w:val="none"/>
                <w:lang w:val="en-US" w:eastAsia="zh-CN"/>
              </w:rPr>
              <w:t>3.5、供应商须出具无行贿犯罪记录在中国裁判文书网自行查询结果或自行承诺（查询对象：企业、法定代表人、拟派项目经理）；</w:t>
            </w:r>
          </w:p>
          <w:p w14:paraId="6A21F45E">
            <w:pPr>
              <w:spacing w:line="360" w:lineRule="auto"/>
              <w:jc w:val="left"/>
              <w:rPr>
                <w:rFonts w:hint="eastAsia" w:ascii="宋体" w:hAnsi="宋体"/>
                <w:color w:val="auto"/>
                <w:sz w:val="24"/>
                <w:highlight w:val="none"/>
                <w:lang w:val="en-US" w:eastAsia="zh-CN"/>
              </w:rPr>
            </w:pPr>
            <w:r>
              <w:rPr>
                <w:rFonts w:hint="eastAsia" w:ascii="宋体" w:hAnsi="宋体"/>
                <w:color w:val="auto"/>
                <w:sz w:val="24"/>
                <w:highlight w:val="none"/>
                <w:lang w:val="en-US" w:eastAsia="zh-CN"/>
              </w:rPr>
              <w:t>3.6、根据《关于在政府采购活动中查询及使用信用记录有关问题的通知》(财库[2016]125号) 和豫财购【2016】15号的规定，企业没有被列入“信用中国”网站的“失信被执行人”、“重大税收违法失信主体”及“中国政府采购网”网站的“政府采购严重违法失信行为记录名单”的供应商；（查询渠道：“信用中国”网站（www.creditchina.gov.cn）、中国政府采购网（www.ccgp.gov.cn）提供网站的查询信息截图；中国政府采购网查询页；（查询日期必须在公告发布之日之后）；</w:t>
            </w:r>
          </w:p>
          <w:p w14:paraId="4324A477">
            <w:pPr>
              <w:spacing w:line="360" w:lineRule="auto"/>
              <w:jc w:val="left"/>
              <w:rPr>
                <w:rFonts w:hint="eastAsia" w:ascii="宋体" w:hAnsi="宋体"/>
                <w:color w:val="auto"/>
                <w:sz w:val="24"/>
                <w:highlight w:val="none"/>
                <w:lang w:val="en-US" w:eastAsia="zh-CN"/>
              </w:rPr>
            </w:pPr>
            <w:r>
              <w:rPr>
                <w:rFonts w:hint="eastAsia" w:ascii="宋体" w:hAnsi="宋体"/>
                <w:color w:val="auto"/>
                <w:sz w:val="24"/>
                <w:highlight w:val="none"/>
                <w:lang w:val="en-US" w:eastAsia="zh-CN"/>
              </w:rPr>
              <w:t>3.7、 本项目不接受联合体投标；</w:t>
            </w:r>
          </w:p>
          <w:p w14:paraId="5532B5A4">
            <w:pPr>
              <w:spacing w:line="360" w:lineRule="auto"/>
              <w:jc w:val="left"/>
              <w:rPr>
                <w:rFonts w:hint="eastAsia" w:ascii="宋体" w:hAnsi="宋体"/>
                <w:color w:val="auto"/>
                <w:sz w:val="24"/>
                <w:highlight w:val="none"/>
                <w:lang w:val="en-US" w:eastAsia="zh-CN"/>
              </w:rPr>
            </w:pPr>
            <w:r>
              <w:rPr>
                <w:rFonts w:hint="eastAsia" w:ascii="宋体" w:hAnsi="宋体"/>
                <w:color w:val="auto"/>
                <w:sz w:val="24"/>
                <w:highlight w:val="none"/>
                <w:lang w:val="en-US" w:eastAsia="zh-CN"/>
              </w:rPr>
              <w:t>3.8、 本次招标实行资格后审，资格审查的具体要求见采购文件。</w:t>
            </w:r>
          </w:p>
        </w:tc>
      </w:tr>
      <w:tr w14:paraId="780917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8" w:hRule="atLeast"/>
        </w:trPr>
        <w:tc>
          <w:tcPr>
            <w:tcW w:w="777" w:type="dxa"/>
            <w:vAlign w:val="center"/>
          </w:tcPr>
          <w:p w14:paraId="78CDEAFB">
            <w:pPr>
              <w:spacing w:line="360" w:lineRule="auto"/>
              <w:rPr>
                <w:rFonts w:hint="eastAsia" w:ascii="宋体" w:hAnsi="宋体" w:eastAsia="宋体"/>
                <w:color w:val="auto"/>
                <w:sz w:val="24"/>
                <w:highlight w:val="none"/>
                <w:lang w:eastAsia="zh-CN"/>
              </w:rPr>
            </w:pPr>
            <w:r>
              <w:rPr>
                <w:rFonts w:hint="eastAsia" w:ascii="宋体" w:hAnsi="宋体"/>
                <w:color w:val="auto"/>
                <w:sz w:val="24"/>
                <w:highlight w:val="none"/>
              </w:rPr>
              <w:t>1</w:t>
            </w:r>
            <w:r>
              <w:rPr>
                <w:rFonts w:hint="eastAsia" w:ascii="宋体" w:hAnsi="宋体"/>
                <w:color w:val="auto"/>
                <w:sz w:val="24"/>
                <w:highlight w:val="none"/>
                <w:lang w:val="en-US" w:eastAsia="zh-CN"/>
              </w:rPr>
              <w:t>3</w:t>
            </w:r>
          </w:p>
        </w:tc>
        <w:tc>
          <w:tcPr>
            <w:tcW w:w="2767" w:type="dxa"/>
            <w:vAlign w:val="center"/>
          </w:tcPr>
          <w:p w14:paraId="4EFEC0E7">
            <w:pPr>
              <w:spacing w:line="360" w:lineRule="auto"/>
              <w:jc w:val="center"/>
              <w:rPr>
                <w:rFonts w:hint="eastAsia" w:ascii="宋体" w:hAnsi="宋体"/>
                <w:color w:val="auto"/>
                <w:sz w:val="24"/>
                <w:highlight w:val="none"/>
              </w:rPr>
            </w:pPr>
            <w:r>
              <w:rPr>
                <w:rFonts w:hint="eastAsia" w:ascii="宋体" w:hAnsi="宋体"/>
                <w:color w:val="auto"/>
                <w:sz w:val="24"/>
                <w:highlight w:val="none"/>
              </w:rPr>
              <w:t>是否接受联合体投标</w:t>
            </w:r>
          </w:p>
        </w:tc>
        <w:tc>
          <w:tcPr>
            <w:tcW w:w="5476" w:type="dxa"/>
            <w:vAlign w:val="top"/>
          </w:tcPr>
          <w:p w14:paraId="6EE3F18C">
            <w:pPr>
              <w:spacing w:line="360" w:lineRule="auto"/>
              <w:rPr>
                <w:rFonts w:hint="eastAsia" w:ascii="宋体" w:hAnsi="宋体"/>
                <w:color w:val="auto"/>
                <w:sz w:val="24"/>
                <w:highlight w:val="none"/>
              </w:rPr>
            </w:pPr>
            <w:r>
              <w:rPr>
                <w:rFonts w:hint="eastAsia" w:ascii="宋体" w:hAnsi="宋体"/>
                <w:color w:val="auto"/>
                <w:sz w:val="24"/>
                <w:highlight w:val="none"/>
              </w:rPr>
              <w:t>不接受</w:t>
            </w:r>
          </w:p>
        </w:tc>
      </w:tr>
      <w:tr w14:paraId="7AD4B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8" w:hRule="atLeast"/>
        </w:trPr>
        <w:tc>
          <w:tcPr>
            <w:tcW w:w="777" w:type="dxa"/>
            <w:vAlign w:val="center"/>
          </w:tcPr>
          <w:p w14:paraId="3988E0CC">
            <w:pPr>
              <w:spacing w:line="360" w:lineRule="auto"/>
              <w:rPr>
                <w:rFonts w:hint="eastAsia" w:ascii="宋体" w:hAnsi="宋体" w:eastAsia="宋体"/>
                <w:color w:val="auto"/>
                <w:sz w:val="24"/>
                <w:highlight w:val="none"/>
                <w:lang w:eastAsia="zh-CN"/>
              </w:rPr>
            </w:pPr>
            <w:r>
              <w:rPr>
                <w:rFonts w:hint="eastAsia" w:ascii="宋体" w:hAnsi="宋体"/>
                <w:color w:val="auto"/>
                <w:sz w:val="24"/>
                <w:highlight w:val="none"/>
              </w:rPr>
              <w:t>1</w:t>
            </w:r>
            <w:r>
              <w:rPr>
                <w:rFonts w:hint="eastAsia" w:ascii="宋体" w:hAnsi="宋体"/>
                <w:color w:val="auto"/>
                <w:sz w:val="24"/>
                <w:highlight w:val="none"/>
                <w:lang w:val="en-US" w:eastAsia="zh-CN"/>
              </w:rPr>
              <w:t>4</w:t>
            </w:r>
          </w:p>
        </w:tc>
        <w:tc>
          <w:tcPr>
            <w:tcW w:w="2767" w:type="dxa"/>
            <w:vAlign w:val="center"/>
          </w:tcPr>
          <w:p w14:paraId="19E82DE6">
            <w:pPr>
              <w:spacing w:line="360" w:lineRule="auto"/>
              <w:jc w:val="center"/>
              <w:rPr>
                <w:rFonts w:hint="eastAsia" w:ascii="宋体" w:hAnsi="宋体"/>
                <w:color w:val="auto"/>
                <w:sz w:val="24"/>
                <w:highlight w:val="none"/>
              </w:rPr>
            </w:pPr>
            <w:r>
              <w:rPr>
                <w:rFonts w:hint="eastAsia" w:ascii="宋体" w:hAnsi="宋体"/>
                <w:color w:val="auto"/>
                <w:sz w:val="24"/>
                <w:highlight w:val="none"/>
              </w:rPr>
              <w:t>踏勘现场</w:t>
            </w:r>
          </w:p>
        </w:tc>
        <w:tc>
          <w:tcPr>
            <w:tcW w:w="5476" w:type="dxa"/>
            <w:vAlign w:val="top"/>
          </w:tcPr>
          <w:p w14:paraId="4C9043FD">
            <w:pPr>
              <w:spacing w:line="360" w:lineRule="auto"/>
              <w:rPr>
                <w:rFonts w:hint="eastAsia" w:ascii="宋体" w:hAnsi="宋体"/>
                <w:color w:val="auto"/>
                <w:sz w:val="24"/>
                <w:highlight w:val="none"/>
              </w:rPr>
            </w:pPr>
            <w:r>
              <w:rPr>
                <w:rFonts w:hint="eastAsia" w:ascii="宋体" w:hAnsi="宋体"/>
                <w:color w:val="auto"/>
                <w:sz w:val="24"/>
                <w:highlight w:val="none"/>
              </w:rPr>
              <w:t>不组织</w:t>
            </w:r>
          </w:p>
        </w:tc>
      </w:tr>
      <w:tr w14:paraId="103DBD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8" w:hRule="atLeast"/>
        </w:trPr>
        <w:tc>
          <w:tcPr>
            <w:tcW w:w="777" w:type="dxa"/>
            <w:vAlign w:val="center"/>
          </w:tcPr>
          <w:p w14:paraId="1C27A65B">
            <w:pPr>
              <w:spacing w:line="360" w:lineRule="auto"/>
              <w:rPr>
                <w:rFonts w:hint="eastAsia" w:ascii="宋体" w:hAnsi="宋体" w:eastAsia="宋体"/>
                <w:color w:val="auto"/>
                <w:sz w:val="24"/>
                <w:highlight w:val="none"/>
                <w:lang w:eastAsia="zh-CN"/>
              </w:rPr>
            </w:pPr>
            <w:r>
              <w:rPr>
                <w:rFonts w:hint="eastAsia" w:ascii="宋体" w:hAnsi="宋体"/>
                <w:color w:val="auto"/>
                <w:sz w:val="24"/>
                <w:highlight w:val="none"/>
              </w:rPr>
              <w:t>1</w:t>
            </w:r>
            <w:r>
              <w:rPr>
                <w:rFonts w:hint="eastAsia" w:ascii="宋体" w:hAnsi="宋体"/>
                <w:color w:val="auto"/>
                <w:sz w:val="24"/>
                <w:highlight w:val="none"/>
                <w:lang w:val="en-US" w:eastAsia="zh-CN"/>
              </w:rPr>
              <w:t>5</w:t>
            </w:r>
          </w:p>
        </w:tc>
        <w:tc>
          <w:tcPr>
            <w:tcW w:w="2767" w:type="dxa"/>
            <w:vAlign w:val="center"/>
          </w:tcPr>
          <w:p w14:paraId="6E2CCA6B">
            <w:pPr>
              <w:spacing w:line="360" w:lineRule="auto"/>
              <w:jc w:val="center"/>
              <w:rPr>
                <w:rFonts w:hint="eastAsia" w:ascii="宋体" w:hAnsi="宋体"/>
                <w:color w:val="auto"/>
                <w:sz w:val="24"/>
                <w:highlight w:val="none"/>
              </w:rPr>
            </w:pPr>
            <w:r>
              <w:rPr>
                <w:rFonts w:hint="eastAsia" w:ascii="宋体" w:hAnsi="宋体"/>
                <w:color w:val="auto"/>
                <w:sz w:val="24"/>
                <w:highlight w:val="none"/>
              </w:rPr>
              <w:t>投标预备会</w:t>
            </w:r>
          </w:p>
        </w:tc>
        <w:tc>
          <w:tcPr>
            <w:tcW w:w="5476" w:type="dxa"/>
            <w:vAlign w:val="top"/>
          </w:tcPr>
          <w:p w14:paraId="73766224">
            <w:pPr>
              <w:spacing w:line="360" w:lineRule="auto"/>
              <w:rPr>
                <w:rFonts w:hint="eastAsia" w:ascii="宋体" w:hAnsi="宋体"/>
                <w:color w:val="auto"/>
                <w:sz w:val="24"/>
                <w:highlight w:val="none"/>
              </w:rPr>
            </w:pPr>
            <w:r>
              <w:rPr>
                <w:rFonts w:hint="eastAsia" w:ascii="宋体" w:hAnsi="宋体"/>
                <w:color w:val="auto"/>
                <w:sz w:val="24"/>
                <w:highlight w:val="none"/>
              </w:rPr>
              <w:t>不召开</w:t>
            </w:r>
          </w:p>
        </w:tc>
      </w:tr>
      <w:tr w14:paraId="016A01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8" w:hRule="atLeast"/>
        </w:trPr>
        <w:tc>
          <w:tcPr>
            <w:tcW w:w="777" w:type="dxa"/>
            <w:vAlign w:val="center"/>
          </w:tcPr>
          <w:p w14:paraId="74CA431D">
            <w:pPr>
              <w:spacing w:line="360" w:lineRule="auto"/>
              <w:rPr>
                <w:rFonts w:hint="eastAsia" w:ascii="宋体" w:hAnsi="宋体" w:eastAsia="宋体"/>
                <w:color w:val="auto"/>
                <w:sz w:val="24"/>
                <w:highlight w:val="none"/>
                <w:lang w:eastAsia="zh-CN"/>
              </w:rPr>
            </w:pPr>
            <w:r>
              <w:rPr>
                <w:rFonts w:hint="eastAsia" w:ascii="宋体" w:hAnsi="宋体"/>
                <w:color w:val="auto"/>
                <w:sz w:val="24"/>
                <w:highlight w:val="none"/>
              </w:rPr>
              <w:t>1</w:t>
            </w:r>
            <w:r>
              <w:rPr>
                <w:rFonts w:hint="eastAsia" w:ascii="宋体" w:hAnsi="宋体"/>
                <w:color w:val="auto"/>
                <w:sz w:val="24"/>
                <w:highlight w:val="none"/>
                <w:lang w:val="en-US" w:eastAsia="zh-CN"/>
              </w:rPr>
              <w:t>6</w:t>
            </w:r>
          </w:p>
        </w:tc>
        <w:tc>
          <w:tcPr>
            <w:tcW w:w="2767" w:type="dxa"/>
            <w:vAlign w:val="center"/>
          </w:tcPr>
          <w:p w14:paraId="3789188A">
            <w:pPr>
              <w:spacing w:line="360" w:lineRule="auto"/>
              <w:jc w:val="center"/>
              <w:rPr>
                <w:rFonts w:hint="eastAsia" w:ascii="宋体" w:hAnsi="宋体"/>
                <w:color w:val="auto"/>
                <w:sz w:val="24"/>
                <w:highlight w:val="none"/>
              </w:rPr>
            </w:pPr>
            <w:r>
              <w:rPr>
                <w:rFonts w:hint="eastAsia" w:ascii="宋体" w:hAnsi="宋体"/>
                <w:color w:val="auto"/>
                <w:sz w:val="24"/>
                <w:highlight w:val="none"/>
              </w:rPr>
              <w:t>分包</w:t>
            </w:r>
          </w:p>
        </w:tc>
        <w:tc>
          <w:tcPr>
            <w:tcW w:w="5476" w:type="dxa"/>
            <w:vAlign w:val="top"/>
          </w:tcPr>
          <w:p w14:paraId="4F094EC7">
            <w:pPr>
              <w:spacing w:line="360" w:lineRule="auto"/>
              <w:rPr>
                <w:rFonts w:hint="eastAsia" w:ascii="宋体" w:hAnsi="宋体"/>
                <w:color w:val="auto"/>
                <w:sz w:val="24"/>
                <w:highlight w:val="none"/>
              </w:rPr>
            </w:pPr>
            <w:r>
              <w:rPr>
                <w:rFonts w:hint="eastAsia" w:ascii="宋体" w:hAnsi="宋体"/>
                <w:color w:val="auto"/>
                <w:sz w:val="24"/>
                <w:highlight w:val="none"/>
              </w:rPr>
              <w:t>不允许</w:t>
            </w:r>
          </w:p>
        </w:tc>
      </w:tr>
      <w:tr w14:paraId="59CC34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8" w:hRule="atLeast"/>
        </w:trPr>
        <w:tc>
          <w:tcPr>
            <w:tcW w:w="777" w:type="dxa"/>
            <w:vAlign w:val="center"/>
          </w:tcPr>
          <w:p w14:paraId="40C9EDA0">
            <w:pPr>
              <w:spacing w:line="360" w:lineRule="auto"/>
              <w:rPr>
                <w:rFonts w:hint="eastAsia" w:ascii="宋体" w:hAnsi="宋体" w:eastAsia="宋体"/>
                <w:color w:val="auto"/>
                <w:sz w:val="24"/>
                <w:highlight w:val="none"/>
                <w:lang w:eastAsia="zh-CN"/>
              </w:rPr>
            </w:pPr>
            <w:r>
              <w:rPr>
                <w:rFonts w:hint="eastAsia" w:ascii="宋体" w:hAnsi="宋体"/>
                <w:color w:val="auto"/>
                <w:sz w:val="24"/>
                <w:highlight w:val="none"/>
              </w:rPr>
              <w:t>1</w:t>
            </w:r>
            <w:r>
              <w:rPr>
                <w:rFonts w:hint="eastAsia" w:ascii="宋体" w:hAnsi="宋体"/>
                <w:color w:val="auto"/>
                <w:sz w:val="24"/>
                <w:highlight w:val="none"/>
                <w:lang w:val="en-US" w:eastAsia="zh-CN"/>
              </w:rPr>
              <w:t>7</w:t>
            </w:r>
          </w:p>
        </w:tc>
        <w:tc>
          <w:tcPr>
            <w:tcW w:w="2767" w:type="dxa"/>
            <w:vAlign w:val="center"/>
          </w:tcPr>
          <w:p w14:paraId="48E9FB20">
            <w:pPr>
              <w:spacing w:line="360" w:lineRule="auto"/>
              <w:jc w:val="center"/>
              <w:rPr>
                <w:rFonts w:hint="eastAsia" w:ascii="宋体" w:hAnsi="宋体"/>
                <w:color w:val="auto"/>
                <w:sz w:val="24"/>
                <w:highlight w:val="none"/>
              </w:rPr>
            </w:pPr>
            <w:r>
              <w:rPr>
                <w:rFonts w:hint="eastAsia" w:ascii="宋体" w:hAnsi="宋体"/>
                <w:color w:val="auto"/>
                <w:sz w:val="24"/>
                <w:highlight w:val="none"/>
              </w:rPr>
              <w:t>偏离</w:t>
            </w:r>
          </w:p>
        </w:tc>
        <w:tc>
          <w:tcPr>
            <w:tcW w:w="5476" w:type="dxa"/>
            <w:vAlign w:val="top"/>
          </w:tcPr>
          <w:p w14:paraId="6D999290">
            <w:pPr>
              <w:spacing w:line="360" w:lineRule="auto"/>
              <w:rPr>
                <w:rFonts w:hint="eastAsia" w:ascii="宋体" w:hAnsi="宋体"/>
                <w:color w:val="auto"/>
                <w:sz w:val="24"/>
                <w:highlight w:val="none"/>
              </w:rPr>
            </w:pPr>
            <w:r>
              <w:rPr>
                <w:rFonts w:hint="eastAsia" w:ascii="宋体" w:hAnsi="宋体"/>
                <w:color w:val="auto"/>
                <w:sz w:val="24"/>
                <w:highlight w:val="none"/>
              </w:rPr>
              <w:t>不允许</w:t>
            </w:r>
          </w:p>
        </w:tc>
      </w:tr>
      <w:tr w14:paraId="1A6A2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8" w:hRule="atLeast"/>
        </w:trPr>
        <w:tc>
          <w:tcPr>
            <w:tcW w:w="777" w:type="dxa"/>
            <w:vAlign w:val="center"/>
          </w:tcPr>
          <w:p w14:paraId="04DD2F27">
            <w:pPr>
              <w:spacing w:line="360" w:lineRule="auto"/>
              <w:rPr>
                <w:rFonts w:hint="eastAsia" w:ascii="宋体" w:hAnsi="宋体" w:eastAsia="宋体"/>
                <w:color w:val="auto"/>
                <w:sz w:val="24"/>
                <w:highlight w:val="none"/>
                <w:lang w:eastAsia="zh-CN"/>
              </w:rPr>
            </w:pPr>
            <w:r>
              <w:rPr>
                <w:rFonts w:hint="eastAsia" w:ascii="宋体" w:hAnsi="宋体"/>
                <w:color w:val="auto"/>
                <w:sz w:val="24"/>
                <w:highlight w:val="none"/>
              </w:rPr>
              <w:t>1</w:t>
            </w:r>
            <w:r>
              <w:rPr>
                <w:rFonts w:hint="eastAsia" w:ascii="宋体" w:hAnsi="宋体"/>
                <w:color w:val="auto"/>
                <w:sz w:val="24"/>
                <w:highlight w:val="none"/>
                <w:lang w:val="en-US" w:eastAsia="zh-CN"/>
              </w:rPr>
              <w:t>8</w:t>
            </w:r>
          </w:p>
        </w:tc>
        <w:tc>
          <w:tcPr>
            <w:tcW w:w="2767" w:type="dxa"/>
            <w:vAlign w:val="center"/>
          </w:tcPr>
          <w:p w14:paraId="2321956F">
            <w:pPr>
              <w:spacing w:line="360" w:lineRule="auto"/>
              <w:jc w:val="center"/>
              <w:rPr>
                <w:rFonts w:hint="eastAsia" w:ascii="宋体" w:hAnsi="宋体"/>
                <w:color w:val="auto"/>
                <w:sz w:val="24"/>
                <w:highlight w:val="none"/>
              </w:rPr>
            </w:pPr>
            <w:r>
              <w:rPr>
                <w:rFonts w:hint="eastAsia" w:ascii="宋体" w:hAnsi="宋体"/>
                <w:color w:val="auto"/>
                <w:sz w:val="24"/>
                <w:highlight w:val="none"/>
              </w:rPr>
              <w:t>构成</w:t>
            </w:r>
            <w:r>
              <w:rPr>
                <w:rFonts w:hint="eastAsia" w:ascii="宋体" w:hAnsi="宋体"/>
                <w:color w:val="auto"/>
                <w:sz w:val="24"/>
                <w:highlight w:val="none"/>
                <w:lang w:val="en-US" w:eastAsia="zh-CN"/>
              </w:rPr>
              <w:t>磋商</w:t>
            </w:r>
            <w:r>
              <w:rPr>
                <w:rFonts w:hint="eastAsia" w:ascii="宋体" w:hAnsi="宋体"/>
                <w:color w:val="auto"/>
                <w:sz w:val="24"/>
                <w:highlight w:val="none"/>
              </w:rPr>
              <w:t>文件的其他材料</w:t>
            </w:r>
          </w:p>
        </w:tc>
        <w:tc>
          <w:tcPr>
            <w:tcW w:w="5476" w:type="dxa"/>
            <w:vAlign w:val="top"/>
          </w:tcPr>
          <w:p w14:paraId="4562DF04">
            <w:pPr>
              <w:spacing w:line="360" w:lineRule="auto"/>
              <w:rPr>
                <w:rFonts w:hint="eastAsia" w:ascii="宋体" w:hAnsi="宋体"/>
                <w:color w:val="auto"/>
                <w:sz w:val="24"/>
                <w:highlight w:val="none"/>
              </w:rPr>
            </w:pPr>
            <w:r>
              <w:rPr>
                <w:rFonts w:hint="eastAsia" w:ascii="宋体" w:hAnsi="宋体"/>
                <w:color w:val="auto"/>
                <w:sz w:val="24"/>
                <w:highlight w:val="none"/>
              </w:rPr>
              <w:t>对</w:t>
            </w:r>
            <w:r>
              <w:rPr>
                <w:rFonts w:hint="eastAsia" w:ascii="宋体" w:hAnsi="宋体"/>
                <w:color w:val="auto"/>
                <w:sz w:val="24"/>
                <w:highlight w:val="none"/>
                <w:lang w:eastAsia="zh-CN"/>
              </w:rPr>
              <w:t>磋商文件</w:t>
            </w:r>
            <w:r>
              <w:rPr>
                <w:rFonts w:hint="eastAsia" w:ascii="宋体" w:hAnsi="宋体"/>
                <w:color w:val="auto"/>
                <w:sz w:val="24"/>
                <w:highlight w:val="none"/>
              </w:rPr>
              <w:t>的澄清、答疑、</w:t>
            </w:r>
            <w:r>
              <w:rPr>
                <w:rFonts w:hint="eastAsia" w:ascii="宋体" w:hAnsi="宋体"/>
                <w:color w:val="auto"/>
                <w:sz w:val="24"/>
                <w:highlight w:val="none"/>
                <w:lang w:eastAsia="zh-CN"/>
              </w:rPr>
              <w:t>磋商文件</w:t>
            </w:r>
            <w:r>
              <w:rPr>
                <w:rFonts w:hint="eastAsia" w:ascii="宋体" w:hAnsi="宋体"/>
                <w:color w:val="auto"/>
                <w:sz w:val="24"/>
                <w:highlight w:val="none"/>
              </w:rPr>
              <w:t>的修改、补充等构成</w:t>
            </w:r>
            <w:r>
              <w:rPr>
                <w:rFonts w:hint="eastAsia" w:ascii="宋体" w:hAnsi="宋体"/>
                <w:color w:val="auto"/>
                <w:sz w:val="24"/>
                <w:highlight w:val="none"/>
                <w:lang w:eastAsia="zh-CN"/>
              </w:rPr>
              <w:t>磋商文件</w:t>
            </w:r>
            <w:r>
              <w:rPr>
                <w:rFonts w:hint="eastAsia" w:ascii="宋体" w:hAnsi="宋体"/>
                <w:color w:val="auto"/>
                <w:sz w:val="24"/>
                <w:highlight w:val="none"/>
              </w:rPr>
              <w:t>的组成部分</w:t>
            </w:r>
          </w:p>
        </w:tc>
      </w:tr>
      <w:tr w14:paraId="5534D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8" w:hRule="atLeast"/>
        </w:trPr>
        <w:tc>
          <w:tcPr>
            <w:tcW w:w="777" w:type="dxa"/>
            <w:vAlign w:val="center"/>
          </w:tcPr>
          <w:p w14:paraId="6965195E">
            <w:pPr>
              <w:spacing w:line="360" w:lineRule="auto"/>
              <w:rPr>
                <w:rFonts w:hint="eastAsia" w:ascii="宋体" w:hAnsi="宋体" w:eastAsia="宋体"/>
                <w:color w:val="auto"/>
                <w:sz w:val="24"/>
                <w:highlight w:val="none"/>
                <w:lang w:eastAsia="zh-CN"/>
              </w:rPr>
            </w:pPr>
            <w:r>
              <w:rPr>
                <w:rFonts w:hint="eastAsia" w:ascii="宋体" w:hAnsi="宋体"/>
                <w:color w:val="auto"/>
                <w:sz w:val="24"/>
                <w:highlight w:val="none"/>
              </w:rPr>
              <w:t>1</w:t>
            </w:r>
            <w:r>
              <w:rPr>
                <w:rFonts w:hint="eastAsia" w:ascii="宋体" w:hAnsi="宋体"/>
                <w:color w:val="auto"/>
                <w:sz w:val="24"/>
                <w:highlight w:val="none"/>
                <w:lang w:val="en-US" w:eastAsia="zh-CN"/>
              </w:rPr>
              <w:t>9</w:t>
            </w:r>
          </w:p>
        </w:tc>
        <w:tc>
          <w:tcPr>
            <w:tcW w:w="2767" w:type="dxa"/>
            <w:vAlign w:val="center"/>
          </w:tcPr>
          <w:p w14:paraId="0707EBB4">
            <w:pPr>
              <w:spacing w:line="360" w:lineRule="auto"/>
              <w:jc w:val="center"/>
              <w:rPr>
                <w:rFonts w:hint="eastAsia" w:ascii="宋体" w:hAnsi="宋体"/>
                <w:color w:val="auto"/>
                <w:sz w:val="24"/>
                <w:highlight w:val="none"/>
              </w:rPr>
            </w:pPr>
            <w:r>
              <w:rPr>
                <w:rFonts w:hint="eastAsia" w:ascii="宋体" w:hAnsi="宋体"/>
                <w:color w:val="auto"/>
                <w:sz w:val="24"/>
                <w:highlight w:val="none"/>
                <w:lang w:eastAsia="zh-CN"/>
              </w:rPr>
              <w:t>供应商</w:t>
            </w:r>
            <w:r>
              <w:rPr>
                <w:rFonts w:hint="eastAsia" w:ascii="宋体" w:hAnsi="宋体"/>
                <w:color w:val="auto"/>
                <w:sz w:val="24"/>
                <w:highlight w:val="none"/>
              </w:rPr>
              <w:t>要求澄清</w:t>
            </w:r>
            <w:r>
              <w:rPr>
                <w:rFonts w:hint="eastAsia" w:ascii="宋体" w:hAnsi="宋体"/>
                <w:color w:val="auto"/>
                <w:sz w:val="24"/>
                <w:highlight w:val="none"/>
                <w:lang w:eastAsia="zh-CN"/>
              </w:rPr>
              <w:t>磋商文件</w:t>
            </w:r>
            <w:r>
              <w:rPr>
                <w:rFonts w:hint="eastAsia" w:ascii="宋体" w:hAnsi="宋体"/>
                <w:color w:val="auto"/>
                <w:sz w:val="24"/>
                <w:highlight w:val="none"/>
              </w:rPr>
              <w:t>的截止时间</w:t>
            </w:r>
          </w:p>
        </w:tc>
        <w:tc>
          <w:tcPr>
            <w:tcW w:w="5476" w:type="dxa"/>
            <w:vAlign w:val="top"/>
          </w:tcPr>
          <w:p w14:paraId="1536DF46">
            <w:pPr>
              <w:spacing w:line="360" w:lineRule="auto"/>
              <w:rPr>
                <w:rFonts w:hint="eastAsia" w:ascii="宋体" w:hAnsi="宋体"/>
                <w:color w:val="auto"/>
                <w:sz w:val="24"/>
                <w:highlight w:val="none"/>
              </w:rPr>
            </w:pPr>
            <w:r>
              <w:rPr>
                <w:rFonts w:hint="eastAsia" w:ascii="宋体" w:hAnsi="宋体"/>
                <w:color w:val="auto"/>
                <w:sz w:val="24"/>
                <w:highlight w:val="none"/>
                <w:lang w:val="en-US" w:eastAsia="zh-CN"/>
              </w:rPr>
              <w:t>磋商</w:t>
            </w:r>
            <w:r>
              <w:rPr>
                <w:rFonts w:hint="eastAsia" w:ascii="宋体" w:hAnsi="宋体"/>
                <w:color w:val="auto"/>
                <w:sz w:val="24"/>
                <w:highlight w:val="none"/>
              </w:rPr>
              <w:t>截止前5天</w:t>
            </w:r>
          </w:p>
        </w:tc>
      </w:tr>
      <w:tr w14:paraId="6C8F02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8" w:hRule="atLeast"/>
        </w:trPr>
        <w:tc>
          <w:tcPr>
            <w:tcW w:w="777" w:type="dxa"/>
            <w:vAlign w:val="center"/>
          </w:tcPr>
          <w:p w14:paraId="547468DC">
            <w:pPr>
              <w:spacing w:line="360" w:lineRule="auto"/>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20</w:t>
            </w:r>
          </w:p>
        </w:tc>
        <w:tc>
          <w:tcPr>
            <w:tcW w:w="2767" w:type="dxa"/>
            <w:vAlign w:val="center"/>
          </w:tcPr>
          <w:p w14:paraId="1AB16ABC">
            <w:pPr>
              <w:spacing w:line="360" w:lineRule="auto"/>
              <w:jc w:val="center"/>
              <w:rPr>
                <w:rFonts w:hint="eastAsia" w:ascii="宋体" w:hAnsi="宋体"/>
                <w:color w:val="auto"/>
                <w:sz w:val="24"/>
                <w:highlight w:val="none"/>
              </w:rPr>
            </w:pPr>
            <w:r>
              <w:rPr>
                <w:rFonts w:hint="eastAsia" w:ascii="宋体" w:hAnsi="宋体"/>
                <w:color w:val="auto"/>
                <w:sz w:val="24"/>
                <w:highlight w:val="none"/>
                <w:lang w:val="en-US" w:eastAsia="zh-CN"/>
              </w:rPr>
              <w:t>磋商</w:t>
            </w:r>
            <w:r>
              <w:rPr>
                <w:rFonts w:hint="eastAsia" w:ascii="宋体" w:hAnsi="宋体"/>
                <w:color w:val="auto"/>
                <w:sz w:val="24"/>
                <w:highlight w:val="none"/>
              </w:rPr>
              <w:t>截止时间</w:t>
            </w:r>
          </w:p>
        </w:tc>
        <w:tc>
          <w:tcPr>
            <w:tcW w:w="5476" w:type="dxa"/>
            <w:vAlign w:val="top"/>
          </w:tcPr>
          <w:p w14:paraId="66682CDF">
            <w:pPr>
              <w:spacing w:line="360" w:lineRule="auto"/>
              <w:rPr>
                <w:rFonts w:hint="eastAsia" w:ascii="宋体" w:hAnsi="宋体"/>
                <w:bCs/>
                <w:color w:val="auto"/>
                <w:sz w:val="24"/>
                <w:highlight w:val="none"/>
                <w:lang w:eastAsia="zh-CN"/>
              </w:rPr>
            </w:pPr>
            <w:r>
              <w:rPr>
                <w:rFonts w:hint="eastAsia" w:ascii="宋体" w:hAnsi="宋体"/>
                <w:bCs/>
                <w:color w:val="auto"/>
                <w:sz w:val="24"/>
                <w:highlight w:val="none"/>
              </w:rPr>
              <w:t>2025年9月30日9时00分（北京时间）</w:t>
            </w:r>
          </w:p>
        </w:tc>
      </w:tr>
      <w:tr w14:paraId="09F2D4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trPr>
        <w:tc>
          <w:tcPr>
            <w:tcW w:w="777" w:type="dxa"/>
            <w:vAlign w:val="center"/>
          </w:tcPr>
          <w:p w14:paraId="6AC2ADF6">
            <w:pPr>
              <w:spacing w:line="360" w:lineRule="auto"/>
              <w:rPr>
                <w:rFonts w:hint="eastAsia" w:ascii="宋体" w:hAnsi="宋体" w:eastAsia="宋体"/>
                <w:color w:val="auto"/>
                <w:sz w:val="24"/>
                <w:highlight w:val="none"/>
                <w:lang w:eastAsia="zh-CN"/>
              </w:rPr>
            </w:pPr>
            <w:r>
              <w:rPr>
                <w:rFonts w:hint="eastAsia" w:ascii="宋体" w:hAnsi="宋体"/>
                <w:color w:val="auto"/>
                <w:sz w:val="24"/>
                <w:highlight w:val="none"/>
              </w:rPr>
              <w:t>2</w:t>
            </w:r>
            <w:r>
              <w:rPr>
                <w:rFonts w:hint="eastAsia" w:ascii="宋体" w:hAnsi="宋体"/>
                <w:color w:val="auto"/>
                <w:sz w:val="24"/>
                <w:highlight w:val="none"/>
                <w:lang w:val="en-US" w:eastAsia="zh-CN"/>
              </w:rPr>
              <w:t>1</w:t>
            </w:r>
          </w:p>
        </w:tc>
        <w:tc>
          <w:tcPr>
            <w:tcW w:w="2767" w:type="dxa"/>
            <w:vAlign w:val="center"/>
          </w:tcPr>
          <w:p w14:paraId="0EB36577">
            <w:pPr>
              <w:spacing w:line="360" w:lineRule="auto"/>
              <w:jc w:val="center"/>
              <w:rPr>
                <w:rFonts w:hint="eastAsia" w:ascii="宋体" w:hAnsi="宋体"/>
                <w:color w:val="auto"/>
                <w:sz w:val="24"/>
                <w:highlight w:val="none"/>
              </w:rPr>
            </w:pPr>
            <w:r>
              <w:rPr>
                <w:rFonts w:hint="eastAsia" w:ascii="宋体" w:hAnsi="宋体"/>
                <w:color w:val="auto"/>
                <w:sz w:val="24"/>
                <w:highlight w:val="none"/>
              </w:rPr>
              <w:t>构成</w:t>
            </w:r>
            <w:r>
              <w:rPr>
                <w:rFonts w:hint="eastAsia" w:ascii="宋体" w:hAnsi="宋体"/>
                <w:color w:val="auto"/>
                <w:sz w:val="24"/>
                <w:highlight w:val="none"/>
                <w:lang w:eastAsia="zh-CN"/>
              </w:rPr>
              <w:t>响应文件</w:t>
            </w:r>
            <w:r>
              <w:rPr>
                <w:rFonts w:hint="eastAsia" w:ascii="宋体" w:hAnsi="宋体"/>
                <w:color w:val="auto"/>
                <w:sz w:val="24"/>
                <w:highlight w:val="none"/>
              </w:rPr>
              <w:t>的其他材料</w:t>
            </w:r>
          </w:p>
        </w:tc>
        <w:tc>
          <w:tcPr>
            <w:tcW w:w="5476" w:type="dxa"/>
            <w:vAlign w:val="top"/>
          </w:tcPr>
          <w:p w14:paraId="50D076FC">
            <w:pPr>
              <w:spacing w:line="360" w:lineRule="auto"/>
              <w:rPr>
                <w:rFonts w:hint="eastAsia" w:ascii="宋体" w:hAnsi="宋体"/>
                <w:color w:val="auto"/>
                <w:sz w:val="24"/>
                <w:highlight w:val="none"/>
              </w:rPr>
            </w:pPr>
            <w:r>
              <w:rPr>
                <w:rFonts w:hint="eastAsia" w:ascii="宋体" w:hAnsi="宋体"/>
                <w:color w:val="auto"/>
                <w:sz w:val="24"/>
                <w:highlight w:val="none"/>
              </w:rPr>
              <w:t>/</w:t>
            </w:r>
          </w:p>
        </w:tc>
      </w:tr>
      <w:tr w14:paraId="7E701A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8" w:hRule="atLeast"/>
        </w:trPr>
        <w:tc>
          <w:tcPr>
            <w:tcW w:w="777" w:type="dxa"/>
            <w:vAlign w:val="center"/>
          </w:tcPr>
          <w:p w14:paraId="606FAA42">
            <w:pPr>
              <w:spacing w:line="360" w:lineRule="auto"/>
              <w:rPr>
                <w:rFonts w:hint="eastAsia" w:ascii="宋体" w:hAnsi="宋体" w:eastAsia="宋体"/>
                <w:color w:val="auto"/>
                <w:sz w:val="24"/>
                <w:highlight w:val="none"/>
                <w:lang w:eastAsia="zh-CN"/>
              </w:rPr>
            </w:pPr>
            <w:r>
              <w:rPr>
                <w:rFonts w:hint="eastAsia" w:ascii="宋体" w:hAnsi="宋体"/>
                <w:color w:val="auto"/>
                <w:sz w:val="24"/>
                <w:highlight w:val="none"/>
              </w:rPr>
              <w:t>2</w:t>
            </w:r>
            <w:r>
              <w:rPr>
                <w:rFonts w:hint="eastAsia" w:ascii="宋体" w:hAnsi="宋体"/>
                <w:color w:val="auto"/>
                <w:sz w:val="24"/>
                <w:highlight w:val="none"/>
                <w:lang w:val="en-US" w:eastAsia="zh-CN"/>
              </w:rPr>
              <w:t>5</w:t>
            </w:r>
          </w:p>
        </w:tc>
        <w:tc>
          <w:tcPr>
            <w:tcW w:w="2767" w:type="dxa"/>
            <w:vAlign w:val="center"/>
          </w:tcPr>
          <w:p w14:paraId="7706AD35">
            <w:pPr>
              <w:spacing w:line="360" w:lineRule="auto"/>
              <w:jc w:val="center"/>
              <w:rPr>
                <w:rFonts w:hint="eastAsia" w:ascii="宋体" w:hAnsi="宋体"/>
                <w:color w:val="auto"/>
                <w:sz w:val="24"/>
                <w:highlight w:val="none"/>
                <w:lang w:val="en-US" w:eastAsia="zh-CN"/>
              </w:rPr>
            </w:pPr>
            <w:r>
              <w:rPr>
                <w:rFonts w:hint="eastAsia" w:ascii="宋体" w:hAnsi="宋体"/>
                <w:color w:val="auto"/>
                <w:sz w:val="24"/>
                <w:highlight w:val="none"/>
                <w:lang w:val="en-US" w:eastAsia="zh-CN"/>
              </w:rPr>
              <w:t>磋商</w:t>
            </w:r>
            <w:r>
              <w:rPr>
                <w:rFonts w:hint="eastAsia" w:ascii="宋体" w:hAnsi="宋体"/>
                <w:color w:val="auto"/>
                <w:sz w:val="24"/>
                <w:highlight w:val="none"/>
              </w:rPr>
              <w:t>有效期</w:t>
            </w:r>
          </w:p>
        </w:tc>
        <w:tc>
          <w:tcPr>
            <w:tcW w:w="5476" w:type="dxa"/>
            <w:vAlign w:val="top"/>
          </w:tcPr>
          <w:p w14:paraId="093C87FC">
            <w:pPr>
              <w:spacing w:line="360" w:lineRule="auto"/>
              <w:rPr>
                <w:rStyle w:val="195"/>
                <w:rFonts w:hint="eastAsia" w:ascii="宋体" w:hAnsi="宋体"/>
                <w:color w:val="auto"/>
                <w:sz w:val="24"/>
                <w:highlight w:val="none"/>
                <w:lang w:val="en-US" w:eastAsia="zh-CN"/>
              </w:rPr>
            </w:pPr>
            <w:r>
              <w:rPr>
                <w:rStyle w:val="195"/>
                <w:rFonts w:hint="eastAsia" w:ascii="宋体" w:hAnsi="宋体"/>
                <w:color w:val="auto"/>
                <w:sz w:val="24"/>
                <w:highlight w:val="none"/>
                <w:lang w:val="en-US" w:eastAsia="zh-CN"/>
              </w:rPr>
              <w:t>磋商</w:t>
            </w:r>
            <w:r>
              <w:rPr>
                <w:rStyle w:val="195"/>
                <w:rFonts w:ascii="宋体" w:hAnsi="宋体"/>
                <w:color w:val="auto"/>
                <w:sz w:val="24"/>
                <w:highlight w:val="none"/>
              </w:rPr>
              <w:t>截止时间起</w:t>
            </w:r>
            <w:r>
              <w:rPr>
                <w:rStyle w:val="195"/>
                <w:rFonts w:hint="eastAsia" w:ascii="宋体" w:hAnsi="宋体"/>
                <w:color w:val="auto"/>
                <w:sz w:val="24"/>
                <w:highlight w:val="none"/>
              </w:rPr>
              <w:t>6</w:t>
            </w:r>
            <w:r>
              <w:rPr>
                <w:rStyle w:val="195"/>
                <w:rFonts w:ascii="宋体" w:hAnsi="宋体"/>
                <w:color w:val="auto"/>
                <w:sz w:val="24"/>
                <w:highlight w:val="none"/>
              </w:rPr>
              <w:t>0日历天</w:t>
            </w:r>
          </w:p>
        </w:tc>
      </w:tr>
      <w:tr w14:paraId="5557EE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8" w:hRule="atLeast"/>
        </w:trPr>
        <w:tc>
          <w:tcPr>
            <w:tcW w:w="777" w:type="dxa"/>
            <w:vAlign w:val="center"/>
          </w:tcPr>
          <w:p w14:paraId="0787DCF7">
            <w:pPr>
              <w:spacing w:line="360" w:lineRule="auto"/>
              <w:rPr>
                <w:rFonts w:hint="eastAsia" w:ascii="宋体" w:hAnsi="宋体" w:eastAsia="宋体"/>
                <w:color w:val="auto"/>
                <w:sz w:val="24"/>
                <w:highlight w:val="none"/>
                <w:lang w:eastAsia="zh-CN"/>
              </w:rPr>
            </w:pPr>
            <w:r>
              <w:rPr>
                <w:rFonts w:hint="eastAsia" w:ascii="宋体" w:hAnsi="宋体"/>
                <w:color w:val="auto"/>
                <w:sz w:val="24"/>
                <w:highlight w:val="none"/>
              </w:rPr>
              <w:t>2</w:t>
            </w:r>
            <w:r>
              <w:rPr>
                <w:rFonts w:hint="eastAsia" w:ascii="宋体" w:hAnsi="宋体"/>
                <w:color w:val="auto"/>
                <w:sz w:val="24"/>
                <w:highlight w:val="none"/>
                <w:lang w:val="en-US" w:eastAsia="zh-CN"/>
              </w:rPr>
              <w:t>3</w:t>
            </w:r>
          </w:p>
        </w:tc>
        <w:tc>
          <w:tcPr>
            <w:tcW w:w="2767" w:type="dxa"/>
            <w:vAlign w:val="center"/>
          </w:tcPr>
          <w:p w14:paraId="7F620DDE">
            <w:pPr>
              <w:spacing w:line="360" w:lineRule="auto"/>
              <w:jc w:val="center"/>
              <w:rPr>
                <w:rFonts w:hint="eastAsia" w:ascii="宋体" w:hAnsi="宋体"/>
                <w:color w:val="auto"/>
                <w:sz w:val="24"/>
                <w:highlight w:val="none"/>
              </w:rPr>
            </w:pPr>
            <w:r>
              <w:rPr>
                <w:rFonts w:hint="eastAsia" w:ascii="宋体" w:hAnsi="宋体"/>
                <w:color w:val="auto"/>
                <w:sz w:val="24"/>
                <w:highlight w:val="none"/>
                <w:lang w:val="en-US" w:eastAsia="zh-CN"/>
              </w:rPr>
              <w:t>磋商</w:t>
            </w:r>
            <w:r>
              <w:rPr>
                <w:rFonts w:hint="eastAsia" w:ascii="宋体" w:hAnsi="宋体"/>
                <w:color w:val="auto"/>
                <w:sz w:val="24"/>
                <w:highlight w:val="none"/>
              </w:rPr>
              <w:t>保证金</w:t>
            </w:r>
          </w:p>
        </w:tc>
        <w:tc>
          <w:tcPr>
            <w:tcW w:w="5476" w:type="dxa"/>
            <w:vAlign w:val="top"/>
          </w:tcPr>
          <w:p w14:paraId="2F38C557">
            <w:pPr>
              <w:spacing w:line="240" w:lineRule="auto"/>
              <w:jc w:val="left"/>
              <w:rPr>
                <w:rFonts w:hint="eastAsia" w:ascii="宋体" w:hAnsi="宋体"/>
                <w:color w:val="auto"/>
                <w:sz w:val="24"/>
                <w:highlight w:val="none"/>
              </w:rPr>
            </w:pPr>
            <w:r>
              <w:rPr>
                <w:rFonts w:hint="eastAsia" w:ascii="宋体" w:hAnsi="宋体"/>
                <w:color w:val="auto"/>
                <w:sz w:val="24"/>
                <w:highlight w:val="none"/>
              </w:rPr>
              <w:t>根据《河南省财政厅关于优化政府采购营商环境有关问题的通知》（豫财购【2019】4号）第6条的规定，</w:t>
            </w:r>
            <w:r>
              <w:rPr>
                <w:rFonts w:hint="eastAsia" w:ascii="宋体" w:hAnsi="宋体"/>
                <w:color w:val="auto"/>
                <w:sz w:val="24"/>
                <w:highlight w:val="none"/>
                <w:lang w:val="en-US" w:eastAsia="zh-CN"/>
              </w:rPr>
              <w:t>磋商</w:t>
            </w:r>
            <w:r>
              <w:rPr>
                <w:rFonts w:hint="eastAsia" w:ascii="宋体" w:hAnsi="宋体"/>
                <w:color w:val="auto"/>
                <w:sz w:val="24"/>
                <w:highlight w:val="none"/>
              </w:rPr>
              <w:t>保证金不再收取。</w:t>
            </w:r>
          </w:p>
        </w:tc>
      </w:tr>
      <w:tr w14:paraId="1FDA02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8" w:hRule="atLeast"/>
        </w:trPr>
        <w:tc>
          <w:tcPr>
            <w:tcW w:w="777" w:type="dxa"/>
            <w:vAlign w:val="center"/>
          </w:tcPr>
          <w:p w14:paraId="7019416E">
            <w:pPr>
              <w:spacing w:line="360" w:lineRule="auto"/>
              <w:rPr>
                <w:rFonts w:hint="eastAsia" w:ascii="宋体" w:hAnsi="宋体" w:eastAsia="宋体"/>
                <w:color w:val="auto"/>
                <w:sz w:val="24"/>
                <w:highlight w:val="none"/>
                <w:lang w:eastAsia="zh-CN"/>
              </w:rPr>
            </w:pPr>
            <w:r>
              <w:rPr>
                <w:rFonts w:hint="eastAsia" w:ascii="宋体" w:hAnsi="宋体"/>
                <w:color w:val="auto"/>
                <w:sz w:val="24"/>
                <w:highlight w:val="none"/>
              </w:rPr>
              <w:t>2</w:t>
            </w:r>
            <w:r>
              <w:rPr>
                <w:rFonts w:hint="eastAsia" w:ascii="宋体" w:hAnsi="宋体"/>
                <w:color w:val="auto"/>
                <w:sz w:val="24"/>
                <w:highlight w:val="none"/>
                <w:lang w:val="en-US" w:eastAsia="zh-CN"/>
              </w:rPr>
              <w:t>4</w:t>
            </w:r>
          </w:p>
        </w:tc>
        <w:tc>
          <w:tcPr>
            <w:tcW w:w="2767" w:type="dxa"/>
            <w:vAlign w:val="center"/>
          </w:tcPr>
          <w:p w14:paraId="4DD1A6AC">
            <w:pPr>
              <w:spacing w:line="360" w:lineRule="auto"/>
              <w:jc w:val="center"/>
              <w:rPr>
                <w:rFonts w:hint="eastAsia" w:ascii="宋体" w:hAnsi="宋体"/>
                <w:color w:val="auto"/>
                <w:sz w:val="24"/>
                <w:highlight w:val="none"/>
              </w:rPr>
            </w:pPr>
            <w:r>
              <w:rPr>
                <w:rFonts w:hint="eastAsia" w:ascii="宋体" w:hAnsi="宋体"/>
                <w:color w:val="auto"/>
                <w:sz w:val="24"/>
                <w:highlight w:val="none"/>
              </w:rPr>
              <w:t>是否允许递交备选</w:t>
            </w:r>
            <w:r>
              <w:rPr>
                <w:rFonts w:hint="eastAsia" w:ascii="宋体" w:hAnsi="宋体"/>
                <w:color w:val="auto"/>
                <w:sz w:val="24"/>
                <w:highlight w:val="none"/>
                <w:lang w:val="en-US" w:eastAsia="zh-CN"/>
              </w:rPr>
              <w:t>响应</w:t>
            </w:r>
            <w:r>
              <w:rPr>
                <w:rFonts w:hint="eastAsia" w:ascii="宋体" w:hAnsi="宋体"/>
                <w:color w:val="auto"/>
                <w:sz w:val="24"/>
                <w:highlight w:val="none"/>
              </w:rPr>
              <w:t>方案</w:t>
            </w:r>
          </w:p>
        </w:tc>
        <w:tc>
          <w:tcPr>
            <w:tcW w:w="5476" w:type="dxa"/>
            <w:vAlign w:val="center"/>
          </w:tcPr>
          <w:p w14:paraId="365CC2C5">
            <w:pPr>
              <w:spacing w:line="360" w:lineRule="auto"/>
              <w:jc w:val="both"/>
              <w:rPr>
                <w:rFonts w:hint="eastAsia" w:ascii="宋体" w:hAnsi="宋体"/>
                <w:color w:val="auto"/>
                <w:sz w:val="24"/>
                <w:highlight w:val="none"/>
              </w:rPr>
            </w:pPr>
            <w:r>
              <w:rPr>
                <w:rFonts w:hint="eastAsia" w:ascii="宋体" w:hAnsi="宋体"/>
                <w:color w:val="auto"/>
                <w:sz w:val="24"/>
                <w:highlight w:val="none"/>
              </w:rPr>
              <w:t>不允许</w:t>
            </w:r>
          </w:p>
        </w:tc>
      </w:tr>
      <w:tr w14:paraId="47DC25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8" w:hRule="atLeast"/>
        </w:trPr>
        <w:tc>
          <w:tcPr>
            <w:tcW w:w="777" w:type="dxa"/>
            <w:vAlign w:val="center"/>
          </w:tcPr>
          <w:p w14:paraId="5EEBB658">
            <w:pPr>
              <w:spacing w:line="360" w:lineRule="auto"/>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25</w:t>
            </w:r>
          </w:p>
        </w:tc>
        <w:tc>
          <w:tcPr>
            <w:tcW w:w="2767" w:type="dxa"/>
            <w:shd w:val="clear" w:color="auto" w:fill="auto"/>
            <w:vAlign w:val="center"/>
          </w:tcPr>
          <w:p w14:paraId="1F6D085D">
            <w:pPr>
              <w:keepNext w:val="0"/>
              <w:keepLines w:val="0"/>
              <w:pageBreakBefore w:val="0"/>
              <w:widowControl w:val="0"/>
              <w:kinsoku/>
              <w:wordWrap w:val="0"/>
              <w:overflowPunct/>
              <w:topLinePunct/>
              <w:autoSpaceDE/>
              <w:autoSpaceDN/>
              <w:bidi w:val="0"/>
              <w:adjustRightInd/>
              <w:snapToGrid/>
              <w:ind w:firstLine="0" w:firstLineChars="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近年财务状况的年份要求</w:t>
            </w:r>
          </w:p>
        </w:tc>
        <w:tc>
          <w:tcPr>
            <w:tcW w:w="5476" w:type="dxa"/>
            <w:shd w:val="clear" w:color="auto" w:fill="auto"/>
            <w:vAlign w:val="center"/>
          </w:tcPr>
          <w:p w14:paraId="02753AD5">
            <w:pPr>
              <w:keepNext w:val="0"/>
              <w:keepLines w:val="0"/>
              <w:pageBreakBefore w:val="0"/>
              <w:widowControl w:val="0"/>
              <w:kinsoku/>
              <w:wordWrap w:val="0"/>
              <w:overflowPunct/>
              <w:topLinePunct/>
              <w:autoSpaceDE/>
              <w:autoSpaceDN/>
              <w:bidi w:val="0"/>
              <w:adjustRightInd/>
              <w:snapToGrid/>
              <w:ind w:firstLine="0" w:firstLineChars="0"/>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提供近三年202</w:t>
            </w:r>
            <w:r>
              <w:rPr>
                <w:rFonts w:hint="eastAsia" w:ascii="宋体" w:hAnsi="宋体" w:cs="宋体"/>
                <w:color w:val="auto"/>
                <w:kern w:val="0"/>
                <w:sz w:val="24"/>
                <w:szCs w:val="24"/>
                <w:highlight w:val="none"/>
                <w:lang w:val="en-US" w:eastAsia="zh-CN"/>
              </w:rPr>
              <w:t>2</w:t>
            </w:r>
            <w:r>
              <w:rPr>
                <w:rFonts w:hint="eastAsia" w:ascii="宋体" w:hAnsi="宋体" w:eastAsia="宋体" w:cs="宋体"/>
                <w:color w:val="auto"/>
                <w:kern w:val="0"/>
                <w:sz w:val="24"/>
                <w:szCs w:val="24"/>
                <w:highlight w:val="none"/>
              </w:rPr>
              <w:t>、202</w:t>
            </w:r>
            <w:r>
              <w:rPr>
                <w:rFonts w:hint="eastAsia" w:ascii="宋体" w:hAnsi="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、202</w:t>
            </w:r>
            <w:r>
              <w:rPr>
                <w:rFonts w:hint="eastAsia" w:ascii="宋体" w:hAnsi="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年度的经第三方审计机构出具的审计报告。供应商成立不满三年的提供公司成立以来第三方审计机构出具的审计报告，供应商成立不满一年的提供最近一月的财务报表。</w:t>
            </w:r>
          </w:p>
        </w:tc>
      </w:tr>
      <w:tr w14:paraId="134786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8" w:hRule="atLeast"/>
        </w:trPr>
        <w:tc>
          <w:tcPr>
            <w:tcW w:w="777" w:type="dxa"/>
            <w:vAlign w:val="center"/>
          </w:tcPr>
          <w:p w14:paraId="57243CE9">
            <w:pPr>
              <w:spacing w:line="360" w:lineRule="auto"/>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26</w:t>
            </w:r>
          </w:p>
        </w:tc>
        <w:tc>
          <w:tcPr>
            <w:tcW w:w="2767" w:type="dxa"/>
            <w:shd w:val="clear" w:color="auto" w:fill="auto"/>
            <w:vAlign w:val="center"/>
          </w:tcPr>
          <w:p w14:paraId="74509222">
            <w:pPr>
              <w:keepNext w:val="0"/>
              <w:keepLines w:val="0"/>
              <w:pageBreakBefore w:val="0"/>
              <w:widowControl w:val="0"/>
              <w:kinsoku/>
              <w:wordWrap w:val="0"/>
              <w:overflowPunct/>
              <w:topLinePunct/>
              <w:autoSpaceDE/>
              <w:autoSpaceDN/>
              <w:bidi w:val="0"/>
              <w:adjustRightInd/>
              <w:snapToGrid/>
              <w:ind w:firstLine="0" w:firstLineChars="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44"/>
                <w:sz w:val="24"/>
                <w:szCs w:val="24"/>
                <w:highlight w:val="none"/>
              </w:rPr>
              <w:t>近年完成的类似项目的年份要求</w:t>
            </w:r>
          </w:p>
        </w:tc>
        <w:tc>
          <w:tcPr>
            <w:tcW w:w="5476" w:type="dxa"/>
            <w:shd w:val="clear" w:color="auto" w:fill="auto"/>
            <w:vAlign w:val="center"/>
          </w:tcPr>
          <w:p w14:paraId="0E424A8A">
            <w:pPr>
              <w:keepNext w:val="0"/>
              <w:keepLines w:val="0"/>
              <w:pageBreakBefore w:val="0"/>
              <w:widowControl w:val="0"/>
              <w:kinsoku/>
              <w:wordWrap w:val="0"/>
              <w:overflowPunct/>
              <w:topLinePunct/>
              <w:autoSpaceDE/>
              <w:autoSpaceDN/>
              <w:bidi w:val="0"/>
              <w:adjustRightInd/>
              <w:snapToGrid/>
              <w:ind w:firstLine="0" w:firstLineChars="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44"/>
                <w:sz w:val="24"/>
                <w:szCs w:val="24"/>
                <w:highlight w:val="none"/>
              </w:rPr>
              <w:t>202</w:t>
            </w:r>
            <w:r>
              <w:rPr>
                <w:rFonts w:hint="eastAsia" w:ascii="宋体" w:hAnsi="宋体" w:cs="宋体"/>
                <w:color w:val="auto"/>
                <w:kern w:val="44"/>
                <w:sz w:val="24"/>
                <w:szCs w:val="24"/>
                <w:highlight w:val="none"/>
                <w:lang w:val="en-US" w:eastAsia="zh-CN"/>
              </w:rPr>
              <w:t>2</w:t>
            </w:r>
            <w:r>
              <w:rPr>
                <w:rFonts w:hint="eastAsia" w:ascii="宋体" w:hAnsi="宋体" w:eastAsia="宋体" w:cs="宋体"/>
                <w:color w:val="auto"/>
                <w:kern w:val="44"/>
                <w:sz w:val="24"/>
                <w:szCs w:val="24"/>
                <w:highlight w:val="none"/>
              </w:rPr>
              <w:t>年1月1日以来</w:t>
            </w:r>
          </w:p>
        </w:tc>
      </w:tr>
      <w:tr w14:paraId="75F9A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8" w:hRule="atLeast"/>
        </w:trPr>
        <w:tc>
          <w:tcPr>
            <w:tcW w:w="777" w:type="dxa"/>
            <w:vAlign w:val="center"/>
          </w:tcPr>
          <w:p w14:paraId="2DDD2DE0">
            <w:pPr>
              <w:spacing w:line="360" w:lineRule="auto"/>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27</w:t>
            </w:r>
          </w:p>
        </w:tc>
        <w:tc>
          <w:tcPr>
            <w:tcW w:w="2767" w:type="dxa"/>
            <w:shd w:val="clear" w:color="auto" w:fill="auto"/>
            <w:vAlign w:val="center"/>
          </w:tcPr>
          <w:p w14:paraId="16B95D27">
            <w:pPr>
              <w:keepNext w:val="0"/>
              <w:keepLines w:val="0"/>
              <w:pageBreakBefore w:val="0"/>
              <w:widowControl w:val="0"/>
              <w:kinsoku/>
              <w:wordWrap w:val="0"/>
              <w:overflowPunct/>
              <w:topLinePunct/>
              <w:autoSpaceDE/>
              <w:autoSpaceDN/>
              <w:bidi w:val="0"/>
              <w:adjustRightInd/>
              <w:snapToGrid/>
              <w:ind w:firstLine="0" w:firstLineChars="0"/>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44"/>
                <w:sz w:val="24"/>
                <w:szCs w:val="24"/>
                <w:highlight w:val="none"/>
              </w:rPr>
              <w:t>近年发生的诉讼及仲裁情况的年份要求</w:t>
            </w:r>
          </w:p>
        </w:tc>
        <w:tc>
          <w:tcPr>
            <w:tcW w:w="5476" w:type="dxa"/>
            <w:shd w:val="clear" w:color="auto" w:fill="auto"/>
            <w:vAlign w:val="center"/>
          </w:tcPr>
          <w:p w14:paraId="06884E9F">
            <w:pPr>
              <w:keepNext w:val="0"/>
              <w:keepLines w:val="0"/>
              <w:pageBreakBefore w:val="0"/>
              <w:widowControl w:val="0"/>
              <w:kinsoku/>
              <w:wordWrap w:val="0"/>
              <w:overflowPunct/>
              <w:topLinePunct/>
              <w:autoSpaceDE/>
              <w:autoSpaceDN/>
              <w:bidi w:val="0"/>
              <w:adjustRightInd/>
              <w:snapToGrid/>
              <w:ind w:firstLine="0" w:firstLineChars="0"/>
              <w:jc w:val="left"/>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44"/>
                <w:sz w:val="24"/>
                <w:szCs w:val="24"/>
                <w:highlight w:val="none"/>
              </w:rPr>
              <w:t>202</w:t>
            </w:r>
            <w:r>
              <w:rPr>
                <w:rFonts w:hint="eastAsia" w:ascii="宋体" w:hAnsi="宋体" w:cs="宋体"/>
                <w:color w:val="auto"/>
                <w:kern w:val="44"/>
                <w:sz w:val="24"/>
                <w:szCs w:val="24"/>
                <w:highlight w:val="none"/>
                <w:lang w:val="en-US" w:eastAsia="zh-CN"/>
              </w:rPr>
              <w:t>2</w:t>
            </w:r>
            <w:r>
              <w:rPr>
                <w:rFonts w:hint="eastAsia" w:ascii="宋体" w:hAnsi="宋体" w:eastAsia="宋体" w:cs="宋体"/>
                <w:color w:val="auto"/>
                <w:kern w:val="44"/>
                <w:sz w:val="24"/>
                <w:szCs w:val="24"/>
                <w:highlight w:val="none"/>
              </w:rPr>
              <w:t>年1月1日以来</w:t>
            </w:r>
          </w:p>
        </w:tc>
      </w:tr>
      <w:tr w14:paraId="1DF539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8" w:hRule="atLeast"/>
        </w:trPr>
        <w:tc>
          <w:tcPr>
            <w:tcW w:w="777" w:type="dxa"/>
            <w:vAlign w:val="center"/>
          </w:tcPr>
          <w:p w14:paraId="361D59F2">
            <w:pPr>
              <w:spacing w:line="360" w:lineRule="auto"/>
              <w:rPr>
                <w:rFonts w:hint="eastAsia" w:ascii="宋体" w:hAnsi="宋体" w:eastAsia="宋体"/>
                <w:color w:val="auto"/>
                <w:sz w:val="24"/>
                <w:highlight w:val="none"/>
                <w:lang w:eastAsia="zh-CN"/>
              </w:rPr>
            </w:pPr>
            <w:r>
              <w:rPr>
                <w:rFonts w:hint="eastAsia" w:ascii="宋体" w:hAnsi="宋体"/>
                <w:color w:val="auto"/>
                <w:sz w:val="24"/>
                <w:highlight w:val="none"/>
              </w:rPr>
              <w:t>2</w:t>
            </w:r>
            <w:r>
              <w:rPr>
                <w:rFonts w:hint="eastAsia" w:ascii="宋体" w:hAnsi="宋体"/>
                <w:color w:val="auto"/>
                <w:sz w:val="24"/>
                <w:highlight w:val="none"/>
                <w:lang w:val="en-US" w:eastAsia="zh-CN"/>
              </w:rPr>
              <w:t>8</w:t>
            </w:r>
          </w:p>
        </w:tc>
        <w:tc>
          <w:tcPr>
            <w:tcW w:w="2767" w:type="dxa"/>
            <w:vAlign w:val="center"/>
          </w:tcPr>
          <w:p w14:paraId="51AFF6B3">
            <w:pPr>
              <w:spacing w:line="360" w:lineRule="auto"/>
              <w:jc w:val="center"/>
              <w:rPr>
                <w:rFonts w:hint="eastAsia" w:ascii="宋体" w:hAnsi="宋体"/>
                <w:color w:val="auto"/>
                <w:sz w:val="24"/>
                <w:highlight w:val="none"/>
              </w:rPr>
            </w:pPr>
            <w:r>
              <w:rPr>
                <w:rFonts w:hint="eastAsia" w:ascii="宋体" w:hAnsi="宋体"/>
                <w:color w:val="auto"/>
                <w:sz w:val="24"/>
                <w:highlight w:val="none"/>
              </w:rPr>
              <w:t>电子</w:t>
            </w:r>
            <w:r>
              <w:rPr>
                <w:rFonts w:hint="eastAsia" w:ascii="宋体" w:hAnsi="宋体"/>
                <w:color w:val="auto"/>
                <w:sz w:val="24"/>
                <w:highlight w:val="none"/>
                <w:lang w:eastAsia="zh-CN"/>
              </w:rPr>
              <w:t>响应文件</w:t>
            </w:r>
            <w:r>
              <w:rPr>
                <w:rFonts w:hint="eastAsia" w:ascii="宋体" w:hAnsi="宋体"/>
                <w:color w:val="auto"/>
                <w:sz w:val="24"/>
                <w:highlight w:val="none"/>
              </w:rPr>
              <w:t>签章</w:t>
            </w:r>
          </w:p>
        </w:tc>
        <w:tc>
          <w:tcPr>
            <w:tcW w:w="5476" w:type="dxa"/>
            <w:vAlign w:val="top"/>
          </w:tcPr>
          <w:p w14:paraId="6BBA2D06">
            <w:pPr>
              <w:spacing w:line="240" w:lineRule="auto"/>
              <w:ind w:right="105" w:rightChars="50"/>
              <w:rPr>
                <w:rFonts w:hint="eastAsia" w:ascii="宋体" w:hAnsi="宋体"/>
                <w:b/>
                <w:bCs/>
                <w:color w:val="auto"/>
                <w:sz w:val="24"/>
                <w:highlight w:val="none"/>
              </w:rPr>
            </w:pPr>
            <w:r>
              <w:rPr>
                <w:rFonts w:hint="eastAsia" w:ascii="宋体" w:hAnsi="宋体"/>
                <w:b/>
                <w:bCs/>
                <w:color w:val="auto"/>
                <w:sz w:val="24"/>
                <w:highlight w:val="none"/>
              </w:rPr>
              <w:t>电子化</w:t>
            </w:r>
            <w:r>
              <w:rPr>
                <w:rFonts w:hint="eastAsia" w:ascii="宋体" w:hAnsi="宋体"/>
                <w:b/>
                <w:bCs/>
                <w:color w:val="auto"/>
                <w:sz w:val="24"/>
                <w:highlight w:val="none"/>
                <w:lang w:eastAsia="zh-CN"/>
              </w:rPr>
              <w:t>响应文件</w:t>
            </w:r>
            <w:r>
              <w:rPr>
                <w:rFonts w:hint="eastAsia" w:ascii="宋体" w:hAnsi="宋体"/>
                <w:b/>
                <w:bCs/>
                <w:color w:val="auto"/>
                <w:sz w:val="24"/>
                <w:highlight w:val="none"/>
              </w:rPr>
              <w:t>的签章：</w:t>
            </w:r>
          </w:p>
          <w:p w14:paraId="0B00C024">
            <w:pPr>
              <w:spacing w:line="240" w:lineRule="auto"/>
              <w:rPr>
                <w:rFonts w:hint="eastAsia" w:ascii="宋体" w:hAnsi="宋体"/>
                <w:color w:val="auto"/>
                <w:kern w:val="0"/>
                <w:sz w:val="24"/>
                <w:highlight w:val="none"/>
                <w:lang w:bidi="ar"/>
              </w:rPr>
            </w:pPr>
            <w:r>
              <w:rPr>
                <w:rFonts w:hint="eastAsia" w:ascii="宋体" w:hAnsi="宋体"/>
                <w:color w:val="auto"/>
                <w:kern w:val="0"/>
                <w:sz w:val="24"/>
                <w:highlight w:val="none"/>
                <w:lang w:bidi="ar"/>
              </w:rPr>
              <w:t>1、</w:t>
            </w:r>
            <w:r>
              <w:rPr>
                <w:rFonts w:hint="eastAsia" w:ascii="宋体" w:hAnsi="宋体"/>
                <w:color w:val="auto"/>
                <w:kern w:val="0"/>
                <w:sz w:val="24"/>
                <w:highlight w:val="none"/>
                <w:lang w:eastAsia="zh-CN" w:bidi="ar"/>
              </w:rPr>
              <w:t>供应商</w:t>
            </w:r>
            <w:r>
              <w:rPr>
                <w:rFonts w:hint="eastAsia" w:ascii="宋体" w:hAnsi="宋体"/>
                <w:color w:val="auto"/>
                <w:kern w:val="0"/>
                <w:sz w:val="24"/>
                <w:highlight w:val="none"/>
                <w:lang w:bidi="ar"/>
              </w:rPr>
              <w:t>在生成电子化</w:t>
            </w:r>
            <w:r>
              <w:rPr>
                <w:rFonts w:hint="eastAsia" w:ascii="宋体" w:hAnsi="宋体"/>
                <w:color w:val="auto"/>
                <w:kern w:val="0"/>
                <w:sz w:val="24"/>
                <w:highlight w:val="none"/>
                <w:lang w:eastAsia="zh-CN" w:bidi="ar"/>
              </w:rPr>
              <w:t>响应文件</w:t>
            </w:r>
            <w:r>
              <w:rPr>
                <w:rFonts w:hint="eastAsia" w:ascii="宋体" w:hAnsi="宋体"/>
                <w:color w:val="auto"/>
                <w:kern w:val="0"/>
                <w:sz w:val="24"/>
                <w:highlight w:val="none"/>
                <w:lang w:bidi="ar"/>
              </w:rPr>
              <w:t>后，应对电子化</w:t>
            </w:r>
            <w:r>
              <w:rPr>
                <w:rFonts w:hint="eastAsia" w:ascii="宋体" w:hAnsi="宋体"/>
                <w:color w:val="auto"/>
                <w:kern w:val="0"/>
                <w:sz w:val="24"/>
                <w:highlight w:val="none"/>
                <w:lang w:eastAsia="zh-CN" w:bidi="ar"/>
              </w:rPr>
              <w:t>响应文件</w:t>
            </w:r>
            <w:r>
              <w:rPr>
                <w:rFonts w:hint="eastAsia" w:ascii="宋体" w:hAnsi="宋体"/>
                <w:color w:val="auto"/>
                <w:kern w:val="0"/>
                <w:sz w:val="24"/>
                <w:highlight w:val="none"/>
                <w:lang w:bidi="ar"/>
              </w:rPr>
              <w:t>进行签章，未对电子化</w:t>
            </w:r>
            <w:r>
              <w:rPr>
                <w:rFonts w:hint="eastAsia" w:ascii="宋体" w:hAnsi="宋体"/>
                <w:color w:val="auto"/>
                <w:kern w:val="0"/>
                <w:sz w:val="24"/>
                <w:highlight w:val="none"/>
                <w:lang w:eastAsia="zh-CN" w:bidi="ar"/>
              </w:rPr>
              <w:t>响应文件</w:t>
            </w:r>
            <w:r>
              <w:rPr>
                <w:rFonts w:hint="eastAsia" w:ascii="宋体" w:hAnsi="宋体"/>
                <w:color w:val="auto"/>
                <w:kern w:val="0"/>
                <w:sz w:val="24"/>
                <w:highlight w:val="none"/>
                <w:lang w:bidi="ar"/>
              </w:rPr>
              <w:t>进行签章的视为无效投标。</w:t>
            </w:r>
          </w:p>
          <w:p w14:paraId="3278A7E6">
            <w:pPr>
              <w:spacing w:line="240" w:lineRule="auto"/>
              <w:rPr>
                <w:rFonts w:hint="eastAsia" w:ascii="宋体" w:hAnsi="宋体"/>
                <w:color w:val="auto"/>
                <w:kern w:val="0"/>
                <w:sz w:val="24"/>
                <w:highlight w:val="none"/>
                <w:lang w:bidi="ar"/>
              </w:rPr>
            </w:pPr>
            <w:r>
              <w:rPr>
                <w:rFonts w:hint="eastAsia" w:ascii="宋体" w:hAnsi="宋体"/>
                <w:color w:val="auto"/>
                <w:kern w:val="0"/>
                <w:sz w:val="24"/>
                <w:highlight w:val="none"/>
                <w:lang w:bidi="ar"/>
              </w:rPr>
              <w:t>2、</w:t>
            </w:r>
            <w:r>
              <w:rPr>
                <w:rFonts w:hint="eastAsia" w:ascii="宋体" w:hAnsi="宋体"/>
                <w:color w:val="auto"/>
                <w:kern w:val="0"/>
                <w:sz w:val="24"/>
                <w:highlight w:val="none"/>
                <w:lang w:eastAsia="zh-CN" w:bidi="ar"/>
              </w:rPr>
              <w:t>磋商文件</w:t>
            </w:r>
            <w:r>
              <w:rPr>
                <w:rFonts w:hint="eastAsia" w:ascii="宋体" w:hAnsi="宋体"/>
                <w:color w:val="auto"/>
                <w:kern w:val="0"/>
                <w:sz w:val="24"/>
                <w:highlight w:val="none"/>
                <w:lang w:bidi="ar"/>
              </w:rPr>
              <w:t>中要求法定代表人或授权委托人盖章的，</w:t>
            </w:r>
            <w:r>
              <w:rPr>
                <w:rFonts w:hint="eastAsia" w:ascii="宋体" w:hAnsi="宋体"/>
                <w:color w:val="auto"/>
                <w:kern w:val="0"/>
                <w:sz w:val="24"/>
                <w:highlight w:val="none"/>
                <w:lang w:eastAsia="zh-CN" w:bidi="ar"/>
              </w:rPr>
              <w:t>供应商</w:t>
            </w:r>
            <w:r>
              <w:rPr>
                <w:rFonts w:hint="eastAsia" w:ascii="宋体" w:hAnsi="宋体"/>
                <w:color w:val="auto"/>
                <w:kern w:val="0"/>
                <w:sz w:val="24"/>
                <w:highlight w:val="none"/>
                <w:lang w:bidi="ar"/>
              </w:rPr>
              <w:t>在进行电子化</w:t>
            </w:r>
            <w:r>
              <w:rPr>
                <w:rFonts w:hint="eastAsia" w:ascii="宋体" w:hAnsi="宋体"/>
                <w:color w:val="auto"/>
                <w:kern w:val="0"/>
                <w:sz w:val="24"/>
                <w:highlight w:val="none"/>
                <w:lang w:eastAsia="zh-CN" w:bidi="ar"/>
              </w:rPr>
              <w:t>响应文件</w:t>
            </w:r>
            <w:r>
              <w:rPr>
                <w:rFonts w:hint="eastAsia" w:ascii="宋体" w:hAnsi="宋体"/>
                <w:color w:val="auto"/>
                <w:kern w:val="0"/>
                <w:sz w:val="24"/>
                <w:highlight w:val="none"/>
                <w:lang w:bidi="ar"/>
              </w:rPr>
              <w:t>签章时，以签盖法定代表人签章为准。</w:t>
            </w:r>
          </w:p>
          <w:p w14:paraId="359C4E46">
            <w:pPr>
              <w:spacing w:line="240" w:lineRule="auto"/>
              <w:rPr>
                <w:rFonts w:hint="eastAsia" w:ascii="宋体" w:hAnsi="宋体"/>
                <w:color w:val="auto"/>
                <w:kern w:val="0"/>
                <w:sz w:val="24"/>
                <w:highlight w:val="none"/>
                <w:lang w:bidi="ar"/>
              </w:rPr>
            </w:pPr>
            <w:r>
              <w:rPr>
                <w:rFonts w:hint="eastAsia" w:ascii="宋体" w:hAnsi="宋体"/>
                <w:color w:val="auto"/>
                <w:kern w:val="0"/>
                <w:sz w:val="24"/>
                <w:highlight w:val="none"/>
                <w:lang w:bidi="ar"/>
              </w:rPr>
              <w:t>3、电子化</w:t>
            </w:r>
            <w:r>
              <w:rPr>
                <w:rFonts w:hint="eastAsia" w:ascii="宋体" w:hAnsi="宋体"/>
                <w:color w:val="auto"/>
                <w:kern w:val="0"/>
                <w:sz w:val="24"/>
                <w:highlight w:val="none"/>
                <w:lang w:eastAsia="zh-CN" w:bidi="ar"/>
              </w:rPr>
              <w:t>响应文件</w:t>
            </w:r>
            <w:r>
              <w:rPr>
                <w:rFonts w:hint="eastAsia" w:ascii="宋体" w:hAnsi="宋体"/>
                <w:color w:val="auto"/>
                <w:kern w:val="0"/>
                <w:sz w:val="24"/>
                <w:highlight w:val="none"/>
                <w:lang w:bidi="ar"/>
              </w:rPr>
              <w:t>工具请点击http://t.cn/A6ZvtVob进行下载。</w:t>
            </w:r>
          </w:p>
        </w:tc>
      </w:tr>
      <w:tr w14:paraId="5F5D99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8" w:hRule="atLeast"/>
        </w:trPr>
        <w:tc>
          <w:tcPr>
            <w:tcW w:w="777" w:type="dxa"/>
            <w:vAlign w:val="center"/>
          </w:tcPr>
          <w:p w14:paraId="3BA59E7E">
            <w:pPr>
              <w:spacing w:line="360" w:lineRule="auto"/>
              <w:rPr>
                <w:rFonts w:hint="eastAsia" w:ascii="宋体" w:hAnsi="宋体" w:eastAsia="宋体"/>
                <w:color w:val="auto"/>
                <w:sz w:val="24"/>
                <w:highlight w:val="none"/>
                <w:lang w:eastAsia="zh-CN"/>
              </w:rPr>
            </w:pPr>
            <w:r>
              <w:rPr>
                <w:rFonts w:hint="eastAsia" w:ascii="宋体" w:hAnsi="宋体"/>
                <w:color w:val="auto"/>
                <w:sz w:val="24"/>
                <w:highlight w:val="none"/>
              </w:rPr>
              <w:t>2</w:t>
            </w:r>
            <w:r>
              <w:rPr>
                <w:rFonts w:hint="eastAsia" w:ascii="宋体" w:hAnsi="宋体"/>
                <w:color w:val="auto"/>
                <w:sz w:val="24"/>
                <w:highlight w:val="none"/>
                <w:lang w:val="en-US" w:eastAsia="zh-CN"/>
              </w:rPr>
              <w:t>9</w:t>
            </w:r>
          </w:p>
        </w:tc>
        <w:tc>
          <w:tcPr>
            <w:tcW w:w="2767" w:type="dxa"/>
            <w:vAlign w:val="center"/>
          </w:tcPr>
          <w:p w14:paraId="70722DF2">
            <w:pPr>
              <w:spacing w:line="360" w:lineRule="auto"/>
              <w:jc w:val="center"/>
              <w:rPr>
                <w:rFonts w:hint="eastAsia" w:ascii="宋体" w:hAnsi="宋体" w:eastAsia="宋体"/>
                <w:color w:val="auto"/>
                <w:sz w:val="24"/>
                <w:highlight w:val="none"/>
                <w:lang w:eastAsia="zh-CN"/>
              </w:rPr>
            </w:pPr>
            <w:r>
              <w:rPr>
                <w:rFonts w:hint="eastAsia" w:ascii="宋体" w:hAnsi="宋体"/>
                <w:color w:val="auto"/>
                <w:sz w:val="24"/>
                <w:highlight w:val="none"/>
                <w:lang w:eastAsia="zh-CN"/>
              </w:rPr>
              <w:t>响应文件</w:t>
            </w:r>
          </w:p>
        </w:tc>
        <w:tc>
          <w:tcPr>
            <w:tcW w:w="5476" w:type="dxa"/>
            <w:vAlign w:val="top"/>
          </w:tcPr>
          <w:p w14:paraId="4F50A87D">
            <w:pPr>
              <w:spacing w:line="240" w:lineRule="auto"/>
              <w:rPr>
                <w:rFonts w:hint="eastAsia" w:eastAsia="宋体"/>
                <w:b/>
                <w:bCs/>
                <w:color w:val="auto"/>
                <w:sz w:val="24"/>
                <w:highlight w:val="none"/>
                <w:lang w:eastAsia="zh-CN"/>
              </w:rPr>
            </w:pPr>
            <w:r>
              <w:rPr>
                <w:rFonts w:hint="eastAsia"/>
                <w:b/>
                <w:bCs/>
                <w:color w:val="auto"/>
                <w:sz w:val="24"/>
                <w:highlight w:val="none"/>
              </w:rPr>
              <w:t>用CA在电子平台上传电子</w:t>
            </w:r>
            <w:r>
              <w:rPr>
                <w:rFonts w:hint="eastAsia"/>
                <w:b/>
                <w:bCs/>
                <w:color w:val="auto"/>
                <w:sz w:val="24"/>
                <w:highlight w:val="none"/>
                <w:lang w:eastAsia="zh-CN"/>
              </w:rPr>
              <w:t>响应文件</w:t>
            </w:r>
          </w:p>
          <w:p w14:paraId="3A2966E7">
            <w:pPr>
              <w:widowControl/>
              <w:spacing w:line="240" w:lineRule="auto"/>
              <w:jc w:val="left"/>
              <w:rPr>
                <w:rFonts w:hint="eastAsia" w:ascii="宋体" w:hAnsi="宋体"/>
                <w:color w:val="auto"/>
                <w:kern w:val="0"/>
                <w:sz w:val="24"/>
                <w:highlight w:val="none"/>
                <w:lang w:bidi="ar"/>
              </w:rPr>
            </w:pPr>
            <w:r>
              <w:rPr>
                <w:rFonts w:hint="eastAsia" w:ascii="宋体" w:hAnsi="宋体"/>
                <w:color w:val="auto"/>
                <w:kern w:val="0"/>
                <w:sz w:val="24"/>
                <w:highlight w:val="none"/>
                <w:lang w:bidi="ar"/>
              </w:rPr>
              <w:t>1、本项目采用电子招标，根据三门峡市公共资源交易中心系统编制</w:t>
            </w:r>
            <w:r>
              <w:rPr>
                <w:rFonts w:hint="eastAsia" w:ascii="宋体" w:hAnsi="宋体"/>
                <w:color w:val="auto"/>
                <w:kern w:val="0"/>
                <w:sz w:val="24"/>
                <w:highlight w:val="none"/>
                <w:lang w:eastAsia="zh-CN" w:bidi="ar"/>
              </w:rPr>
              <w:t>响应文件</w:t>
            </w:r>
            <w:r>
              <w:rPr>
                <w:rFonts w:hint="eastAsia" w:ascii="宋体" w:hAnsi="宋体"/>
                <w:color w:val="auto"/>
                <w:kern w:val="0"/>
                <w:sz w:val="24"/>
                <w:highlight w:val="none"/>
                <w:lang w:bidi="ar"/>
              </w:rPr>
              <w:t>；</w:t>
            </w:r>
          </w:p>
          <w:p w14:paraId="075BC8EE">
            <w:pPr>
              <w:spacing w:line="240" w:lineRule="auto"/>
              <w:rPr>
                <w:rFonts w:hint="eastAsia" w:ascii="宋体" w:hAnsi="宋体"/>
                <w:color w:val="auto"/>
                <w:kern w:val="0"/>
                <w:sz w:val="24"/>
                <w:highlight w:val="none"/>
                <w:lang w:bidi="ar"/>
              </w:rPr>
            </w:pPr>
            <w:r>
              <w:rPr>
                <w:rFonts w:hint="eastAsia" w:ascii="宋体" w:hAnsi="宋体"/>
                <w:color w:val="auto"/>
                <w:kern w:val="0"/>
                <w:sz w:val="24"/>
                <w:highlight w:val="none"/>
                <w:lang w:bidi="ar"/>
              </w:rPr>
              <w:t>2、开标时不再递交纸质</w:t>
            </w:r>
            <w:r>
              <w:rPr>
                <w:rFonts w:hint="eastAsia" w:ascii="宋体" w:hAnsi="宋体"/>
                <w:color w:val="auto"/>
                <w:kern w:val="0"/>
                <w:sz w:val="24"/>
                <w:highlight w:val="none"/>
                <w:lang w:eastAsia="zh-CN" w:bidi="ar"/>
              </w:rPr>
              <w:t>响应文件</w:t>
            </w:r>
            <w:r>
              <w:rPr>
                <w:rFonts w:hint="eastAsia" w:ascii="宋体" w:hAnsi="宋体"/>
                <w:color w:val="auto"/>
                <w:kern w:val="0"/>
                <w:sz w:val="24"/>
                <w:highlight w:val="none"/>
                <w:lang w:bidi="ar"/>
              </w:rPr>
              <w:t>，中标单位领取中标通知书时提交四份纸质</w:t>
            </w:r>
            <w:r>
              <w:rPr>
                <w:rFonts w:hint="eastAsia" w:ascii="宋体" w:hAnsi="宋体"/>
                <w:color w:val="auto"/>
                <w:kern w:val="0"/>
                <w:sz w:val="24"/>
                <w:highlight w:val="none"/>
                <w:lang w:eastAsia="zh-CN" w:bidi="ar"/>
              </w:rPr>
              <w:t>响应文件</w:t>
            </w:r>
            <w:r>
              <w:rPr>
                <w:rFonts w:hint="eastAsia" w:ascii="宋体" w:hAnsi="宋体"/>
                <w:color w:val="auto"/>
                <w:kern w:val="0"/>
                <w:sz w:val="24"/>
                <w:highlight w:val="none"/>
                <w:lang w:bidi="ar"/>
              </w:rPr>
              <w:t>，</w:t>
            </w:r>
            <w:r>
              <w:rPr>
                <w:rFonts w:hint="eastAsia" w:ascii="宋体" w:hAnsi="宋体"/>
                <w:color w:val="auto"/>
                <w:kern w:val="0"/>
                <w:sz w:val="24"/>
                <w:highlight w:val="none"/>
                <w:lang w:eastAsia="zh-CN" w:bidi="ar"/>
              </w:rPr>
              <w:t>响应文件</w:t>
            </w:r>
            <w:r>
              <w:rPr>
                <w:rFonts w:hint="eastAsia" w:ascii="宋体" w:hAnsi="宋体"/>
                <w:color w:val="auto"/>
                <w:kern w:val="0"/>
                <w:sz w:val="24"/>
                <w:highlight w:val="none"/>
                <w:lang w:bidi="ar"/>
              </w:rPr>
              <w:t>应按以下要求装订：胶装（不得采用活页装订），应有目录，并逐页标注连续页码，需加盖公章。</w:t>
            </w:r>
            <w:r>
              <w:rPr>
                <w:rFonts w:hint="eastAsia" w:ascii="宋体" w:hAnsi="宋体"/>
                <w:color w:val="auto"/>
                <w:sz w:val="24"/>
                <w:highlight w:val="none"/>
              </w:rPr>
              <w:t>预算软件版1份。</w:t>
            </w:r>
          </w:p>
        </w:tc>
      </w:tr>
      <w:tr w14:paraId="52A5BB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28" w:hRule="atLeast"/>
        </w:trPr>
        <w:tc>
          <w:tcPr>
            <w:tcW w:w="777" w:type="dxa"/>
            <w:vAlign w:val="center"/>
          </w:tcPr>
          <w:p w14:paraId="257108F1">
            <w:pPr>
              <w:spacing w:line="360" w:lineRule="auto"/>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30</w:t>
            </w:r>
          </w:p>
        </w:tc>
        <w:tc>
          <w:tcPr>
            <w:tcW w:w="2767" w:type="dxa"/>
            <w:vAlign w:val="center"/>
          </w:tcPr>
          <w:p w14:paraId="5B95077D">
            <w:pPr>
              <w:spacing w:line="360" w:lineRule="auto"/>
              <w:jc w:val="center"/>
              <w:rPr>
                <w:rFonts w:hint="eastAsia" w:ascii="宋体" w:hAnsi="宋体"/>
                <w:color w:val="auto"/>
                <w:sz w:val="24"/>
                <w:highlight w:val="none"/>
              </w:rPr>
            </w:pPr>
            <w:r>
              <w:rPr>
                <w:rFonts w:hint="eastAsia" w:ascii="宋体" w:hAnsi="宋体"/>
                <w:color w:val="auto"/>
                <w:sz w:val="24"/>
                <w:highlight w:val="none"/>
              </w:rPr>
              <w:t>递交</w:t>
            </w:r>
            <w:r>
              <w:rPr>
                <w:rFonts w:hint="eastAsia" w:ascii="宋体" w:hAnsi="宋体"/>
                <w:color w:val="auto"/>
                <w:sz w:val="24"/>
                <w:highlight w:val="none"/>
                <w:lang w:eastAsia="zh-CN"/>
              </w:rPr>
              <w:t>响应文件</w:t>
            </w:r>
            <w:r>
              <w:rPr>
                <w:rFonts w:hint="eastAsia" w:ascii="宋体" w:hAnsi="宋体"/>
                <w:color w:val="auto"/>
                <w:sz w:val="24"/>
                <w:highlight w:val="none"/>
              </w:rPr>
              <w:t>地点</w:t>
            </w:r>
          </w:p>
        </w:tc>
        <w:tc>
          <w:tcPr>
            <w:tcW w:w="5476" w:type="dxa"/>
            <w:vAlign w:val="top"/>
          </w:tcPr>
          <w:p w14:paraId="3E5E0516">
            <w:pPr>
              <w:spacing w:line="360" w:lineRule="auto"/>
              <w:rPr>
                <w:rFonts w:hint="eastAsia" w:ascii="宋体" w:hAnsi="宋体"/>
                <w:color w:val="auto"/>
                <w:sz w:val="24"/>
                <w:highlight w:val="none"/>
              </w:rPr>
            </w:pPr>
            <w:r>
              <w:rPr>
                <w:rFonts w:hint="eastAsia" w:ascii="宋体" w:hAnsi="宋体"/>
                <w:color w:val="auto"/>
                <w:sz w:val="24"/>
                <w:highlight w:val="none"/>
              </w:rPr>
              <w:t>三门峡市公共资源电子化交易系统</w:t>
            </w:r>
          </w:p>
        </w:tc>
      </w:tr>
      <w:tr w14:paraId="00001D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 w:hRule="atLeast"/>
        </w:trPr>
        <w:tc>
          <w:tcPr>
            <w:tcW w:w="777" w:type="dxa"/>
            <w:vAlign w:val="center"/>
          </w:tcPr>
          <w:p w14:paraId="2005C728">
            <w:pPr>
              <w:spacing w:line="360" w:lineRule="auto"/>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31</w:t>
            </w:r>
          </w:p>
        </w:tc>
        <w:tc>
          <w:tcPr>
            <w:tcW w:w="2767" w:type="dxa"/>
            <w:vAlign w:val="center"/>
          </w:tcPr>
          <w:p w14:paraId="7C2652A7">
            <w:pPr>
              <w:spacing w:line="360" w:lineRule="auto"/>
              <w:jc w:val="center"/>
              <w:rPr>
                <w:rFonts w:hint="eastAsia" w:ascii="宋体" w:hAnsi="宋体" w:eastAsia="宋体"/>
                <w:color w:val="auto"/>
                <w:sz w:val="24"/>
                <w:highlight w:val="none"/>
                <w:lang w:eastAsia="zh-CN"/>
              </w:rPr>
            </w:pPr>
            <w:r>
              <w:rPr>
                <w:rFonts w:hint="eastAsia" w:ascii="宋体" w:hAnsi="宋体"/>
                <w:color w:val="auto"/>
                <w:sz w:val="24"/>
                <w:highlight w:val="none"/>
              </w:rPr>
              <w:t>是否退还</w:t>
            </w:r>
            <w:r>
              <w:rPr>
                <w:rFonts w:hint="eastAsia" w:ascii="宋体" w:hAnsi="宋体"/>
                <w:color w:val="auto"/>
                <w:sz w:val="24"/>
                <w:highlight w:val="none"/>
                <w:lang w:eastAsia="zh-CN"/>
              </w:rPr>
              <w:t>响应文件</w:t>
            </w:r>
          </w:p>
        </w:tc>
        <w:tc>
          <w:tcPr>
            <w:tcW w:w="5476" w:type="dxa"/>
            <w:vAlign w:val="top"/>
          </w:tcPr>
          <w:p w14:paraId="24FF5A35">
            <w:pPr>
              <w:spacing w:line="360" w:lineRule="auto"/>
              <w:rPr>
                <w:rFonts w:hint="eastAsia" w:ascii="宋体" w:hAnsi="宋体"/>
                <w:color w:val="auto"/>
                <w:sz w:val="24"/>
                <w:highlight w:val="none"/>
              </w:rPr>
            </w:pPr>
            <w:r>
              <w:rPr>
                <w:rFonts w:hint="eastAsia" w:ascii="宋体" w:hAnsi="宋体"/>
                <w:color w:val="auto"/>
                <w:sz w:val="24"/>
                <w:highlight w:val="none"/>
              </w:rPr>
              <w:t>否</w:t>
            </w:r>
          </w:p>
        </w:tc>
      </w:tr>
      <w:tr w14:paraId="7C4E18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79" w:hRule="atLeast"/>
        </w:trPr>
        <w:tc>
          <w:tcPr>
            <w:tcW w:w="777" w:type="dxa"/>
            <w:vAlign w:val="center"/>
          </w:tcPr>
          <w:p w14:paraId="4370C3CF">
            <w:pPr>
              <w:spacing w:line="360" w:lineRule="auto"/>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32</w:t>
            </w:r>
          </w:p>
        </w:tc>
        <w:tc>
          <w:tcPr>
            <w:tcW w:w="2767" w:type="dxa"/>
            <w:vAlign w:val="center"/>
          </w:tcPr>
          <w:p w14:paraId="1B586877">
            <w:pPr>
              <w:spacing w:line="360" w:lineRule="auto"/>
              <w:jc w:val="center"/>
              <w:rPr>
                <w:rFonts w:hint="eastAsia" w:ascii="宋体" w:hAnsi="宋体"/>
                <w:color w:val="auto"/>
                <w:sz w:val="24"/>
                <w:highlight w:val="none"/>
                <w:lang w:val="en-US" w:eastAsia="zh-CN"/>
              </w:rPr>
            </w:pPr>
            <w:r>
              <w:rPr>
                <w:rFonts w:hint="eastAsia" w:ascii="宋体" w:hAnsi="宋体"/>
                <w:color w:val="auto"/>
                <w:sz w:val="24"/>
                <w:highlight w:val="none"/>
                <w:lang w:val="en-US" w:eastAsia="zh-CN"/>
              </w:rPr>
              <w:t>磋商</w:t>
            </w:r>
            <w:r>
              <w:rPr>
                <w:rFonts w:hint="eastAsia" w:ascii="宋体" w:hAnsi="宋体"/>
                <w:color w:val="auto"/>
                <w:sz w:val="24"/>
                <w:highlight w:val="none"/>
              </w:rPr>
              <w:t>时间和地点</w:t>
            </w:r>
          </w:p>
        </w:tc>
        <w:tc>
          <w:tcPr>
            <w:tcW w:w="5476" w:type="dxa"/>
            <w:vAlign w:val="center"/>
          </w:tcPr>
          <w:p w14:paraId="5D58B5C3">
            <w:pPr>
              <w:spacing w:line="360" w:lineRule="auto"/>
              <w:rPr>
                <w:rFonts w:hint="eastAsia" w:ascii="宋体" w:hAnsi="宋体"/>
                <w:bCs/>
                <w:color w:val="auto"/>
                <w:sz w:val="24"/>
                <w:highlight w:val="none"/>
              </w:rPr>
            </w:pPr>
            <w:r>
              <w:rPr>
                <w:rFonts w:hint="eastAsia" w:ascii="宋体" w:hAnsi="宋体"/>
                <w:bCs/>
                <w:color w:val="auto"/>
                <w:sz w:val="24"/>
                <w:highlight w:val="none"/>
                <w:lang w:val="en-US" w:eastAsia="zh-CN"/>
              </w:rPr>
              <w:t>磋商</w:t>
            </w:r>
            <w:r>
              <w:rPr>
                <w:rFonts w:hint="eastAsia" w:ascii="宋体" w:hAnsi="宋体"/>
                <w:bCs/>
                <w:color w:val="auto"/>
                <w:sz w:val="24"/>
                <w:highlight w:val="none"/>
              </w:rPr>
              <w:t>时间: 2025年9月30日9时00分（北京时间）。</w:t>
            </w:r>
          </w:p>
          <w:p w14:paraId="0E5DDDF6">
            <w:pPr>
              <w:spacing w:line="360" w:lineRule="auto"/>
              <w:rPr>
                <w:rFonts w:hint="eastAsia" w:ascii="宋体" w:hAnsi="宋体"/>
                <w:bCs/>
                <w:color w:val="auto"/>
                <w:sz w:val="24"/>
                <w:highlight w:val="none"/>
              </w:rPr>
            </w:pPr>
            <w:r>
              <w:rPr>
                <w:rFonts w:hint="eastAsia" w:ascii="宋体" w:hAnsi="宋体"/>
                <w:bCs/>
                <w:color w:val="auto"/>
                <w:sz w:val="24"/>
                <w:highlight w:val="none"/>
              </w:rPr>
              <w:t>地点：</w:t>
            </w:r>
            <w:r>
              <w:rPr>
                <w:rFonts w:hint="eastAsia" w:ascii="宋体" w:hAnsi="宋体"/>
                <w:color w:val="auto"/>
                <w:sz w:val="24"/>
                <w:highlight w:val="none"/>
              </w:rPr>
              <w:t>三门峡市公共资源交易中心五楼开标区。</w:t>
            </w:r>
          </w:p>
        </w:tc>
      </w:tr>
      <w:tr w14:paraId="60167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1" w:hRule="atLeast"/>
        </w:trPr>
        <w:tc>
          <w:tcPr>
            <w:tcW w:w="777" w:type="dxa"/>
            <w:vAlign w:val="center"/>
          </w:tcPr>
          <w:p w14:paraId="2BF0E9BF">
            <w:pPr>
              <w:spacing w:line="360" w:lineRule="auto"/>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33</w:t>
            </w:r>
          </w:p>
        </w:tc>
        <w:tc>
          <w:tcPr>
            <w:tcW w:w="2767" w:type="dxa"/>
            <w:vAlign w:val="center"/>
          </w:tcPr>
          <w:p w14:paraId="777B0AD8">
            <w:pPr>
              <w:spacing w:line="360" w:lineRule="auto"/>
              <w:jc w:val="center"/>
              <w:rPr>
                <w:rFonts w:hint="eastAsia" w:ascii="宋体" w:hAnsi="宋体"/>
                <w:color w:val="auto"/>
                <w:sz w:val="24"/>
                <w:highlight w:val="none"/>
                <w:lang w:val="en-US" w:eastAsia="zh-CN"/>
              </w:rPr>
            </w:pPr>
            <w:r>
              <w:rPr>
                <w:rFonts w:hint="eastAsia" w:ascii="宋体" w:hAnsi="宋体"/>
                <w:color w:val="auto"/>
                <w:sz w:val="24"/>
                <w:highlight w:val="none"/>
                <w:lang w:val="en-US" w:eastAsia="zh-CN"/>
              </w:rPr>
              <w:t>磋商</w:t>
            </w:r>
            <w:r>
              <w:rPr>
                <w:rFonts w:hint="eastAsia" w:ascii="宋体" w:hAnsi="宋体"/>
                <w:color w:val="auto"/>
                <w:sz w:val="24"/>
                <w:highlight w:val="none"/>
              </w:rPr>
              <w:t>程序</w:t>
            </w:r>
          </w:p>
        </w:tc>
        <w:tc>
          <w:tcPr>
            <w:tcW w:w="5476" w:type="dxa"/>
            <w:vAlign w:val="center"/>
          </w:tcPr>
          <w:p w14:paraId="4FE6DD3B">
            <w:pPr>
              <w:spacing w:line="240" w:lineRule="auto"/>
              <w:rPr>
                <w:rFonts w:hint="eastAsia" w:ascii="宋体" w:hAnsi="宋体"/>
                <w:color w:val="auto"/>
                <w:sz w:val="24"/>
                <w:highlight w:val="none"/>
              </w:rPr>
            </w:pPr>
            <w:r>
              <w:rPr>
                <w:rFonts w:hint="eastAsia" w:ascii="宋体" w:hAnsi="宋体"/>
                <w:color w:val="auto"/>
                <w:sz w:val="24"/>
                <w:highlight w:val="none"/>
              </w:rPr>
              <w:t>1、 本项目采用电子化、无纸化进行招标，开标当日，</w:t>
            </w:r>
            <w:r>
              <w:rPr>
                <w:rFonts w:hint="eastAsia" w:ascii="宋体" w:hAnsi="宋体"/>
                <w:color w:val="auto"/>
                <w:sz w:val="24"/>
                <w:highlight w:val="none"/>
                <w:lang w:eastAsia="zh-CN"/>
              </w:rPr>
              <w:t>供应商</w:t>
            </w:r>
            <w:r>
              <w:rPr>
                <w:rFonts w:hint="eastAsia" w:ascii="宋体" w:hAnsi="宋体"/>
                <w:color w:val="auto"/>
                <w:sz w:val="24"/>
                <w:highlight w:val="none"/>
              </w:rPr>
              <w:t>无需到开标现场参加开标会议，</w:t>
            </w:r>
            <w:r>
              <w:rPr>
                <w:rFonts w:hint="eastAsia" w:ascii="宋体" w:hAnsi="宋体"/>
                <w:color w:val="auto"/>
                <w:sz w:val="24"/>
                <w:highlight w:val="none"/>
                <w:lang w:eastAsia="zh-CN"/>
              </w:rPr>
              <w:t>供应商</w:t>
            </w:r>
            <w:r>
              <w:rPr>
                <w:rFonts w:hint="eastAsia" w:ascii="宋体" w:hAnsi="宋体"/>
                <w:color w:val="auto"/>
                <w:sz w:val="24"/>
                <w:highlight w:val="none"/>
              </w:rPr>
              <w:t>应当在投标截止时间前，登陆不见面开标大厅选择登陆三门峡市公共资源电子招投标系统进行登陆（网址为http://t.cn/A6huPROa）,在线准时参加开标活动并进行</w:t>
            </w:r>
            <w:r>
              <w:rPr>
                <w:rFonts w:hint="eastAsia" w:ascii="宋体" w:hAnsi="宋体"/>
                <w:color w:val="auto"/>
                <w:sz w:val="24"/>
                <w:highlight w:val="none"/>
                <w:lang w:eastAsia="zh-CN"/>
              </w:rPr>
              <w:t>响应文件</w:t>
            </w:r>
            <w:r>
              <w:rPr>
                <w:rFonts w:hint="eastAsia" w:ascii="宋体" w:hAnsi="宋体"/>
                <w:color w:val="auto"/>
                <w:sz w:val="24"/>
                <w:highlight w:val="none"/>
              </w:rPr>
              <w:t>解密等。</w:t>
            </w:r>
          </w:p>
          <w:p w14:paraId="7DFC88E3">
            <w:pPr>
              <w:spacing w:line="240" w:lineRule="auto"/>
              <w:rPr>
                <w:rFonts w:hint="eastAsia" w:ascii="宋体" w:hAnsi="宋体"/>
                <w:color w:val="auto"/>
                <w:sz w:val="24"/>
                <w:highlight w:val="none"/>
              </w:rPr>
            </w:pPr>
            <w:r>
              <w:rPr>
                <w:rFonts w:hint="eastAsia" w:ascii="宋体" w:hAnsi="宋体"/>
                <w:color w:val="auto"/>
                <w:sz w:val="24"/>
                <w:highlight w:val="none"/>
              </w:rPr>
              <w:t>2、 电子化</w:t>
            </w:r>
            <w:r>
              <w:rPr>
                <w:rFonts w:hint="eastAsia" w:ascii="宋体" w:hAnsi="宋体"/>
                <w:color w:val="auto"/>
                <w:sz w:val="24"/>
                <w:highlight w:val="none"/>
                <w:lang w:eastAsia="zh-CN"/>
              </w:rPr>
              <w:t>响应文件</w:t>
            </w:r>
            <w:r>
              <w:rPr>
                <w:rFonts w:hint="eastAsia" w:ascii="宋体" w:hAnsi="宋体"/>
                <w:color w:val="auto"/>
                <w:sz w:val="24"/>
                <w:highlight w:val="none"/>
              </w:rPr>
              <w:t>采用一次加密方式。开标时，由</w:t>
            </w:r>
            <w:r>
              <w:rPr>
                <w:rFonts w:hint="eastAsia" w:ascii="宋体" w:hAnsi="宋体"/>
                <w:color w:val="auto"/>
                <w:sz w:val="24"/>
                <w:highlight w:val="none"/>
                <w:lang w:eastAsia="zh-CN"/>
              </w:rPr>
              <w:t>供应商</w:t>
            </w:r>
            <w:r>
              <w:rPr>
                <w:rFonts w:hint="eastAsia" w:ascii="宋体" w:hAnsi="宋体"/>
                <w:color w:val="auto"/>
                <w:sz w:val="24"/>
                <w:highlight w:val="none"/>
              </w:rPr>
              <w:t>使用CA 证书，在规定时间内对其电子化</w:t>
            </w:r>
            <w:r>
              <w:rPr>
                <w:rFonts w:hint="eastAsia" w:ascii="宋体" w:hAnsi="宋体"/>
                <w:color w:val="auto"/>
                <w:sz w:val="24"/>
                <w:highlight w:val="none"/>
                <w:lang w:eastAsia="zh-CN"/>
              </w:rPr>
              <w:t>响应文件</w:t>
            </w:r>
            <w:r>
              <w:rPr>
                <w:rFonts w:hint="eastAsia" w:ascii="宋体" w:hAnsi="宋体"/>
                <w:color w:val="auto"/>
                <w:sz w:val="24"/>
                <w:highlight w:val="none"/>
              </w:rPr>
              <w:t>进行解密。每位</w:t>
            </w:r>
            <w:r>
              <w:rPr>
                <w:rFonts w:hint="eastAsia" w:ascii="宋体" w:hAnsi="宋体"/>
                <w:color w:val="auto"/>
                <w:sz w:val="24"/>
                <w:highlight w:val="none"/>
                <w:lang w:eastAsia="zh-CN"/>
              </w:rPr>
              <w:t>供应商</w:t>
            </w:r>
            <w:r>
              <w:rPr>
                <w:rFonts w:hint="eastAsia" w:ascii="宋体" w:hAnsi="宋体"/>
                <w:color w:val="auto"/>
                <w:sz w:val="24"/>
                <w:highlight w:val="none"/>
              </w:rPr>
              <w:t>的解密时间为开标时间起30 分钟内，如在规定时间内未完成解密的，其</w:t>
            </w:r>
            <w:r>
              <w:rPr>
                <w:rFonts w:hint="eastAsia" w:ascii="宋体" w:hAnsi="宋体"/>
                <w:color w:val="auto"/>
                <w:sz w:val="24"/>
                <w:highlight w:val="none"/>
                <w:lang w:eastAsia="zh-CN"/>
              </w:rPr>
              <w:t>响应文件</w:t>
            </w:r>
            <w:r>
              <w:rPr>
                <w:rFonts w:hint="eastAsia" w:ascii="宋体" w:hAnsi="宋体"/>
                <w:color w:val="auto"/>
                <w:sz w:val="24"/>
                <w:highlight w:val="none"/>
              </w:rPr>
              <w:t>不予开标、唱标。每位</w:t>
            </w:r>
            <w:r>
              <w:rPr>
                <w:rFonts w:hint="eastAsia" w:ascii="宋体" w:hAnsi="宋体"/>
                <w:color w:val="auto"/>
                <w:sz w:val="24"/>
                <w:highlight w:val="none"/>
                <w:lang w:eastAsia="zh-CN"/>
              </w:rPr>
              <w:t>供应商</w:t>
            </w:r>
            <w:r>
              <w:rPr>
                <w:rFonts w:hint="eastAsia" w:ascii="宋体" w:hAnsi="宋体"/>
                <w:color w:val="auto"/>
                <w:sz w:val="24"/>
                <w:highlight w:val="none"/>
              </w:rPr>
              <w:t>的解密时间为开标时间起30分钟内完成。</w:t>
            </w:r>
          </w:p>
          <w:p w14:paraId="7F67CF98">
            <w:pPr>
              <w:spacing w:line="240" w:lineRule="auto"/>
              <w:rPr>
                <w:rFonts w:hint="eastAsia" w:ascii="宋体" w:hAnsi="宋体"/>
                <w:color w:val="auto"/>
                <w:sz w:val="24"/>
                <w:highlight w:val="none"/>
              </w:rPr>
            </w:pPr>
            <w:r>
              <w:rPr>
                <w:rFonts w:hint="eastAsia" w:ascii="宋体" w:hAnsi="宋体"/>
                <w:color w:val="auto"/>
                <w:sz w:val="24"/>
                <w:highlight w:val="none"/>
              </w:rPr>
              <w:t>3 、电子化</w:t>
            </w:r>
            <w:r>
              <w:rPr>
                <w:rFonts w:hint="eastAsia" w:ascii="宋体" w:hAnsi="宋体"/>
                <w:color w:val="auto"/>
                <w:sz w:val="24"/>
                <w:highlight w:val="none"/>
                <w:lang w:eastAsia="zh-CN"/>
              </w:rPr>
              <w:t>响应文件</w:t>
            </w:r>
            <w:r>
              <w:rPr>
                <w:rFonts w:hint="eastAsia" w:ascii="宋体" w:hAnsi="宋体"/>
                <w:color w:val="auto"/>
                <w:sz w:val="24"/>
                <w:highlight w:val="none"/>
              </w:rPr>
              <w:t>解密异常的处理</w:t>
            </w:r>
          </w:p>
          <w:p w14:paraId="3A2D5A9E">
            <w:pPr>
              <w:spacing w:line="240" w:lineRule="auto"/>
              <w:rPr>
                <w:rFonts w:hint="eastAsia" w:ascii="宋体" w:hAnsi="宋体"/>
                <w:color w:val="auto"/>
                <w:sz w:val="24"/>
                <w:highlight w:val="none"/>
              </w:rPr>
            </w:pPr>
            <w:r>
              <w:rPr>
                <w:rFonts w:hint="eastAsia" w:ascii="宋体" w:hAnsi="宋体"/>
                <w:color w:val="auto"/>
                <w:sz w:val="24"/>
                <w:highlight w:val="none"/>
              </w:rPr>
              <w:t>如出现</w:t>
            </w:r>
            <w:r>
              <w:rPr>
                <w:rFonts w:hint="eastAsia" w:ascii="宋体" w:hAnsi="宋体"/>
                <w:color w:val="auto"/>
                <w:sz w:val="24"/>
                <w:highlight w:val="none"/>
                <w:lang w:eastAsia="zh-CN"/>
              </w:rPr>
              <w:t>供应商</w:t>
            </w:r>
            <w:r>
              <w:rPr>
                <w:rFonts w:hint="eastAsia" w:ascii="宋体" w:hAnsi="宋体"/>
                <w:color w:val="auto"/>
                <w:sz w:val="24"/>
                <w:highlight w:val="none"/>
              </w:rPr>
              <w:t>的电子</w:t>
            </w:r>
            <w:r>
              <w:rPr>
                <w:rFonts w:hint="eastAsia" w:ascii="宋体" w:hAnsi="宋体"/>
                <w:color w:val="auto"/>
                <w:sz w:val="24"/>
                <w:highlight w:val="none"/>
                <w:lang w:eastAsia="zh-CN"/>
              </w:rPr>
              <w:t>响应文件</w:t>
            </w:r>
            <w:r>
              <w:rPr>
                <w:rFonts w:hint="eastAsia" w:ascii="宋体" w:hAnsi="宋体"/>
                <w:color w:val="auto"/>
                <w:sz w:val="24"/>
                <w:highlight w:val="none"/>
              </w:rPr>
              <w:t>无法解密等异常情况，</w:t>
            </w:r>
            <w:r>
              <w:rPr>
                <w:rFonts w:hint="eastAsia" w:ascii="宋体" w:hAnsi="宋体"/>
                <w:color w:val="auto"/>
                <w:sz w:val="24"/>
                <w:highlight w:val="none"/>
                <w:lang w:eastAsia="zh-CN"/>
              </w:rPr>
              <w:t>供应商</w:t>
            </w:r>
            <w:r>
              <w:rPr>
                <w:rFonts w:hint="eastAsia" w:ascii="宋体" w:hAnsi="宋体"/>
                <w:color w:val="auto"/>
                <w:sz w:val="24"/>
                <w:highlight w:val="none"/>
              </w:rPr>
              <w:t>应及时致电中介服务机构说明。</w:t>
            </w:r>
            <w:r>
              <w:rPr>
                <w:rFonts w:hint="eastAsia" w:ascii="宋体" w:hAnsi="宋体"/>
                <w:color w:val="auto"/>
                <w:sz w:val="24"/>
                <w:highlight w:val="none"/>
                <w:lang w:eastAsia="zh-CN"/>
              </w:rPr>
              <w:t>响应文件</w:t>
            </w:r>
            <w:r>
              <w:rPr>
                <w:rFonts w:hint="eastAsia" w:ascii="宋体" w:hAnsi="宋体"/>
                <w:color w:val="auto"/>
                <w:sz w:val="24"/>
                <w:highlight w:val="none"/>
              </w:rPr>
              <w:t>异常，按以下步骤进行处理：</w:t>
            </w:r>
          </w:p>
          <w:p w14:paraId="409E4EF7">
            <w:pPr>
              <w:spacing w:line="240" w:lineRule="auto"/>
              <w:rPr>
                <w:rFonts w:hint="eastAsia" w:ascii="宋体" w:hAnsi="宋体"/>
                <w:color w:val="auto"/>
                <w:sz w:val="24"/>
                <w:highlight w:val="none"/>
              </w:rPr>
            </w:pPr>
            <w:r>
              <w:rPr>
                <w:rFonts w:hint="eastAsia" w:ascii="宋体" w:hAnsi="宋体"/>
                <w:color w:val="auto"/>
                <w:sz w:val="24"/>
                <w:highlight w:val="none"/>
              </w:rPr>
              <w:t>（1）首先由技术人员进行问题排查。</w:t>
            </w:r>
          </w:p>
          <w:p w14:paraId="42E51598">
            <w:pPr>
              <w:spacing w:line="240" w:lineRule="auto"/>
              <w:rPr>
                <w:rFonts w:hint="eastAsia" w:ascii="宋体" w:hAnsi="宋体"/>
                <w:color w:val="auto"/>
                <w:sz w:val="24"/>
                <w:highlight w:val="none"/>
              </w:rPr>
            </w:pPr>
            <w:r>
              <w:rPr>
                <w:rFonts w:hint="eastAsia" w:ascii="宋体" w:hAnsi="宋体"/>
                <w:color w:val="auto"/>
                <w:sz w:val="24"/>
                <w:highlight w:val="none"/>
              </w:rPr>
              <w:t>（2）经技术人员排查后，是</w:t>
            </w:r>
            <w:r>
              <w:rPr>
                <w:rFonts w:hint="eastAsia" w:ascii="宋体" w:hAnsi="宋体"/>
                <w:color w:val="auto"/>
                <w:sz w:val="24"/>
                <w:highlight w:val="none"/>
                <w:lang w:eastAsia="zh-CN"/>
              </w:rPr>
              <w:t>供应商</w:t>
            </w:r>
            <w:r>
              <w:rPr>
                <w:rFonts w:hint="eastAsia" w:ascii="宋体" w:hAnsi="宋体"/>
                <w:color w:val="auto"/>
                <w:sz w:val="24"/>
                <w:highlight w:val="none"/>
              </w:rPr>
              <w:t>文件自身问题导致</w:t>
            </w:r>
            <w:r>
              <w:rPr>
                <w:rFonts w:hint="eastAsia" w:ascii="宋体" w:hAnsi="宋体"/>
                <w:color w:val="auto"/>
                <w:sz w:val="24"/>
                <w:highlight w:val="none"/>
                <w:lang w:eastAsia="zh-CN"/>
              </w:rPr>
              <w:t>响应文件</w:t>
            </w:r>
            <w:r>
              <w:rPr>
                <w:rFonts w:hint="eastAsia" w:ascii="宋体" w:hAnsi="宋体"/>
                <w:color w:val="auto"/>
                <w:sz w:val="24"/>
                <w:highlight w:val="none"/>
              </w:rPr>
              <w:t>无法解密的，该</w:t>
            </w:r>
            <w:r>
              <w:rPr>
                <w:rFonts w:hint="eastAsia" w:ascii="宋体" w:hAnsi="宋体"/>
                <w:color w:val="auto"/>
                <w:sz w:val="24"/>
                <w:highlight w:val="none"/>
                <w:lang w:eastAsia="zh-CN"/>
              </w:rPr>
              <w:t>响应文件</w:t>
            </w:r>
            <w:r>
              <w:rPr>
                <w:rFonts w:hint="eastAsia" w:ascii="宋体" w:hAnsi="宋体"/>
                <w:color w:val="auto"/>
                <w:sz w:val="24"/>
                <w:highlight w:val="none"/>
              </w:rPr>
              <w:t>将不予接收、解密和唱标。开标会议继续进行。</w:t>
            </w:r>
          </w:p>
          <w:p w14:paraId="14DCB0BC">
            <w:pPr>
              <w:spacing w:line="240" w:lineRule="auto"/>
              <w:rPr>
                <w:rFonts w:hint="eastAsia" w:ascii="宋体" w:hAnsi="宋体"/>
                <w:color w:val="auto"/>
                <w:sz w:val="24"/>
                <w:highlight w:val="none"/>
              </w:rPr>
            </w:pPr>
            <w:r>
              <w:rPr>
                <w:rFonts w:hint="eastAsia" w:ascii="宋体" w:hAnsi="宋体"/>
                <w:color w:val="auto"/>
                <w:sz w:val="24"/>
                <w:highlight w:val="none"/>
              </w:rPr>
              <w:t>（3）经技术人员排查后，如果是电子化交易系统问题造成</w:t>
            </w:r>
            <w:r>
              <w:rPr>
                <w:rFonts w:hint="eastAsia" w:ascii="宋体" w:hAnsi="宋体"/>
                <w:color w:val="auto"/>
                <w:sz w:val="24"/>
                <w:highlight w:val="none"/>
                <w:lang w:eastAsia="zh-CN"/>
              </w:rPr>
              <w:t>响应文件</w:t>
            </w:r>
            <w:r>
              <w:rPr>
                <w:rFonts w:hint="eastAsia" w:ascii="宋体" w:hAnsi="宋体"/>
                <w:color w:val="auto"/>
                <w:sz w:val="24"/>
                <w:highlight w:val="none"/>
              </w:rPr>
              <w:t>无法解密的，将由技术人员对问题进行处理。如短时间内问题无法解决的，将由中介服务机构向监督部门申请，经监督部门同意后，暂停开标会议，待问题解决后继续开标。</w:t>
            </w:r>
          </w:p>
          <w:p w14:paraId="3DC063EE">
            <w:pPr>
              <w:spacing w:line="240" w:lineRule="auto"/>
              <w:rPr>
                <w:rFonts w:hint="eastAsia" w:ascii="宋体" w:hAnsi="宋体"/>
                <w:color w:val="auto"/>
                <w:sz w:val="24"/>
                <w:highlight w:val="none"/>
              </w:rPr>
            </w:pPr>
            <w:r>
              <w:rPr>
                <w:rFonts w:hint="eastAsia" w:ascii="宋体" w:hAnsi="宋体"/>
                <w:color w:val="auto"/>
                <w:sz w:val="24"/>
                <w:highlight w:val="none"/>
              </w:rPr>
              <w:t>4 、待所有</w:t>
            </w:r>
            <w:r>
              <w:rPr>
                <w:rFonts w:hint="eastAsia" w:ascii="宋体" w:hAnsi="宋体"/>
                <w:color w:val="auto"/>
                <w:sz w:val="24"/>
                <w:highlight w:val="none"/>
                <w:lang w:eastAsia="zh-CN"/>
              </w:rPr>
              <w:t>供应商响应文件</w:t>
            </w:r>
            <w:r>
              <w:rPr>
                <w:rFonts w:hint="eastAsia" w:ascii="宋体" w:hAnsi="宋体"/>
                <w:color w:val="auto"/>
                <w:sz w:val="24"/>
                <w:highlight w:val="none"/>
              </w:rPr>
              <w:t>解密完成后，由中介服务机构操作，对所有已解密</w:t>
            </w:r>
            <w:r>
              <w:rPr>
                <w:rFonts w:hint="eastAsia" w:ascii="宋体" w:hAnsi="宋体"/>
                <w:color w:val="auto"/>
                <w:sz w:val="24"/>
                <w:highlight w:val="none"/>
                <w:lang w:eastAsia="zh-CN"/>
              </w:rPr>
              <w:t>响应文件</w:t>
            </w:r>
            <w:r>
              <w:rPr>
                <w:rFonts w:hint="eastAsia" w:ascii="宋体" w:hAnsi="宋体"/>
                <w:color w:val="auto"/>
                <w:sz w:val="24"/>
                <w:highlight w:val="none"/>
              </w:rPr>
              <w:t>进行唱标。</w:t>
            </w:r>
          </w:p>
          <w:p w14:paraId="37D37AA7">
            <w:pPr>
              <w:spacing w:line="240" w:lineRule="auto"/>
              <w:rPr>
                <w:rFonts w:hint="eastAsia" w:ascii="宋体" w:hAnsi="宋体"/>
                <w:color w:val="auto"/>
                <w:sz w:val="24"/>
                <w:highlight w:val="none"/>
              </w:rPr>
            </w:pPr>
            <w:r>
              <w:rPr>
                <w:rFonts w:hint="eastAsia" w:ascii="宋体" w:hAnsi="宋体"/>
                <w:color w:val="auto"/>
                <w:sz w:val="24"/>
                <w:highlight w:val="none"/>
                <w:lang w:eastAsia="zh-CN"/>
              </w:rPr>
              <w:t>供应商</w:t>
            </w:r>
            <w:r>
              <w:rPr>
                <w:rFonts w:hint="eastAsia" w:ascii="宋体" w:hAnsi="宋体"/>
                <w:color w:val="auto"/>
                <w:sz w:val="24"/>
                <w:highlight w:val="none"/>
              </w:rPr>
              <w:t>应保证在开标期间电话、电脑、网络能够正常工作，</w:t>
            </w:r>
            <w:r>
              <w:rPr>
                <w:rFonts w:hint="eastAsia" w:ascii="宋体" w:hAnsi="宋体"/>
                <w:color w:val="auto"/>
                <w:sz w:val="24"/>
                <w:highlight w:val="none"/>
                <w:lang w:eastAsia="zh-CN"/>
              </w:rPr>
              <w:t>供应商</w:t>
            </w:r>
            <w:r>
              <w:rPr>
                <w:rFonts w:hint="eastAsia" w:ascii="宋体" w:hAnsi="宋体"/>
                <w:color w:val="auto"/>
                <w:sz w:val="24"/>
                <w:highlight w:val="none"/>
              </w:rPr>
              <w:t>因停电、电脑病毒、网络堵塞等原因，未在规定的解密时间内对</w:t>
            </w:r>
            <w:r>
              <w:rPr>
                <w:rFonts w:hint="eastAsia" w:ascii="宋体" w:hAnsi="宋体"/>
                <w:color w:val="auto"/>
                <w:sz w:val="24"/>
                <w:highlight w:val="none"/>
                <w:lang w:eastAsia="zh-CN"/>
              </w:rPr>
              <w:t>响应文件</w:t>
            </w:r>
            <w:r>
              <w:rPr>
                <w:rFonts w:hint="eastAsia" w:ascii="宋体" w:hAnsi="宋体"/>
                <w:color w:val="auto"/>
                <w:sz w:val="24"/>
                <w:highlight w:val="none"/>
              </w:rPr>
              <w:t>进行解密的，其</w:t>
            </w:r>
            <w:r>
              <w:rPr>
                <w:rFonts w:hint="eastAsia" w:ascii="宋体" w:hAnsi="宋体"/>
                <w:color w:val="auto"/>
                <w:sz w:val="24"/>
                <w:highlight w:val="none"/>
                <w:lang w:eastAsia="zh-CN"/>
              </w:rPr>
              <w:t>响应文件</w:t>
            </w:r>
            <w:r>
              <w:rPr>
                <w:rFonts w:hint="eastAsia" w:ascii="宋体" w:hAnsi="宋体"/>
                <w:color w:val="auto"/>
                <w:sz w:val="24"/>
                <w:highlight w:val="none"/>
              </w:rPr>
              <w:t>不予接收、唱标。</w:t>
            </w:r>
          </w:p>
          <w:p w14:paraId="7001DD3B">
            <w:pPr>
              <w:spacing w:line="240" w:lineRule="auto"/>
              <w:rPr>
                <w:rFonts w:hint="eastAsia" w:ascii="宋体" w:hAnsi="宋体"/>
                <w:color w:val="auto"/>
                <w:sz w:val="24"/>
                <w:highlight w:val="none"/>
              </w:rPr>
            </w:pPr>
            <w:r>
              <w:rPr>
                <w:rFonts w:hint="eastAsia" w:ascii="宋体" w:hAnsi="宋体"/>
                <w:color w:val="auto"/>
                <w:sz w:val="24"/>
                <w:highlight w:val="none"/>
              </w:rPr>
              <w:t>5 、开标时</w:t>
            </w:r>
            <w:r>
              <w:rPr>
                <w:rFonts w:hint="eastAsia" w:ascii="宋体" w:hAnsi="宋体"/>
                <w:color w:val="auto"/>
                <w:sz w:val="24"/>
                <w:highlight w:val="none"/>
                <w:lang w:eastAsia="zh-CN"/>
              </w:rPr>
              <w:t>供应商</w:t>
            </w:r>
            <w:r>
              <w:rPr>
                <w:rFonts w:hint="eastAsia" w:ascii="宋体" w:hAnsi="宋体"/>
                <w:color w:val="auto"/>
                <w:sz w:val="24"/>
                <w:highlight w:val="none"/>
              </w:rPr>
              <w:t>可登录到交易系统中在开标大厅中点击开标一览表查看自己的投标报价。如对自己的唱标内容有异议的，应在唱标内容显示后10分钟内向中介服务机构电话质疑。中介服务机构应在监督人员的监督下进行免提通话接受</w:t>
            </w:r>
            <w:r>
              <w:rPr>
                <w:rFonts w:hint="eastAsia" w:ascii="宋体" w:hAnsi="宋体"/>
                <w:color w:val="auto"/>
                <w:sz w:val="24"/>
                <w:highlight w:val="none"/>
                <w:lang w:eastAsia="zh-CN"/>
              </w:rPr>
              <w:t>供应商</w:t>
            </w:r>
            <w:r>
              <w:rPr>
                <w:rFonts w:hint="eastAsia" w:ascii="宋体" w:hAnsi="宋体"/>
                <w:color w:val="auto"/>
                <w:sz w:val="24"/>
                <w:highlight w:val="none"/>
              </w:rPr>
              <w:t>的质疑并做好书面记录。</w:t>
            </w:r>
            <w:r>
              <w:rPr>
                <w:rFonts w:hint="eastAsia" w:ascii="宋体" w:hAnsi="宋体"/>
                <w:color w:val="auto"/>
                <w:sz w:val="24"/>
                <w:highlight w:val="none"/>
                <w:lang w:eastAsia="zh-CN"/>
              </w:rPr>
              <w:t>供应商</w:t>
            </w:r>
            <w:r>
              <w:rPr>
                <w:rFonts w:hint="eastAsia" w:ascii="宋体" w:hAnsi="宋体"/>
                <w:color w:val="auto"/>
                <w:sz w:val="24"/>
                <w:highlight w:val="none"/>
              </w:rPr>
              <w:t>未在规定时间内提出质疑的，视为认可唱标内容。</w:t>
            </w:r>
          </w:p>
        </w:tc>
      </w:tr>
      <w:tr w14:paraId="144C40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2" w:hRule="atLeast"/>
        </w:trPr>
        <w:tc>
          <w:tcPr>
            <w:tcW w:w="777" w:type="dxa"/>
            <w:vAlign w:val="center"/>
          </w:tcPr>
          <w:p w14:paraId="704BA50F">
            <w:pPr>
              <w:spacing w:line="360" w:lineRule="auto"/>
              <w:rPr>
                <w:rFonts w:hint="eastAsia" w:ascii="宋体" w:hAnsi="宋体" w:eastAsia="宋体"/>
                <w:color w:val="auto"/>
                <w:sz w:val="24"/>
                <w:highlight w:val="none"/>
                <w:lang w:eastAsia="zh-CN"/>
              </w:rPr>
            </w:pPr>
            <w:r>
              <w:rPr>
                <w:rFonts w:hint="eastAsia" w:ascii="宋体" w:hAnsi="宋体"/>
                <w:color w:val="auto"/>
                <w:sz w:val="24"/>
                <w:highlight w:val="none"/>
              </w:rPr>
              <w:t>3</w:t>
            </w:r>
            <w:r>
              <w:rPr>
                <w:rFonts w:hint="eastAsia" w:ascii="宋体" w:hAnsi="宋体"/>
                <w:color w:val="auto"/>
                <w:sz w:val="24"/>
                <w:highlight w:val="none"/>
                <w:lang w:val="en-US" w:eastAsia="zh-CN"/>
              </w:rPr>
              <w:t>4</w:t>
            </w:r>
          </w:p>
        </w:tc>
        <w:tc>
          <w:tcPr>
            <w:tcW w:w="2767" w:type="dxa"/>
            <w:vAlign w:val="center"/>
          </w:tcPr>
          <w:p w14:paraId="196247CE">
            <w:pPr>
              <w:spacing w:line="360" w:lineRule="auto"/>
              <w:jc w:val="center"/>
              <w:rPr>
                <w:rFonts w:hint="eastAsia" w:ascii="宋体" w:hAnsi="宋体"/>
                <w:color w:val="auto"/>
                <w:sz w:val="24"/>
                <w:highlight w:val="none"/>
                <w:lang w:val="en-US" w:eastAsia="zh-CN"/>
              </w:rPr>
            </w:pPr>
            <w:r>
              <w:rPr>
                <w:rFonts w:hint="eastAsia" w:ascii="宋体" w:hAnsi="宋体"/>
                <w:color w:val="auto"/>
                <w:sz w:val="24"/>
                <w:highlight w:val="none"/>
                <w:lang w:val="en-US" w:eastAsia="zh-CN"/>
              </w:rPr>
              <w:t>磋商小组</w:t>
            </w:r>
            <w:r>
              <w:rPr>
                <w:rFonts w:hint="eastAsia" w:ascii="宋体" w:hAnsi="宋体"/>
                <w:color w:val="auto"/>
                <w:sz w:val="24"/>
                <w:highlight w:val="none"/>
              </w:rPr>
              <w:t>的组建</w:t>
            </w:r>
          </w:p>
        </w:tc>
        <w:tc>
          <w:tcPr>
            <w:tcW w:w="5476" w:type="dxa"/>
            <w:vAlign w:val="top"/>
          </w:tcPr>
          <w:p w14:paraId="6BB81EF1">
            <w:pPr>
              <w:spacing w:line="240" w:lineRule="auto"/>
              <w:rPr>
                <w:rFonts w:hint="eastAsia" w:ascii="宋体" w:hAnsi="宋体"/>
                <w:color w:val="auto"/>
                <w:sz w:val="24"/>
                <w:highlight w:val="none"/>
                <w:lang w:val="en-US" w:eastAsia="zh-CN"/>
              </w:rPr>
            </w:pPr>
            <w:r>
              <w:rPr>
                <w:rFonts w:hint="eastAsia" w:ascii="宋体" w:hAnsi="宋体"/>
                <w:color w:val="auto"/>
                <w:sz w:val="24"/>
                <w:highlight w:val="none"/>
                <w:lang w:val="en-US" w:eastAsia="zh-CN"/>
              </w:rPr>
              <w:t>磋商小组</w:t>
            </w:r>
            <w:r>
              <w:rPr>
                <w:rFonts w:hint="eastAsia" w:ascii="宋体" w:hAnsi="宋体"/>
                <w:color w:val="auto"/>
                <w:sz w:val="24"/>
                <w:highlight w:val="none"/>
              </w:rPr>
              <w:t>构成：</w:t>
            </w:r>
            <w:r>
              <w:rPr>
                <w:rFonts w:hint="eastAsia" w:ascii="宋体" w:hAnsi="宋体"/>
                <w:color w:val="auto"/>
                <w:sz w:val="24"/>
                <w:highlight w:val="none"/>
                <w:lang w:val="en-US" w:eastAsia="zh-CN"/>
              </w:rPr>
              <w:t>3</w:t>
            </w:r>
            <w:r>
              <w:rPr>
                <w:rFonts w:hint="eastAsia" w:ascii="宋体" w:hAnsi="宋体"/>
                <w:color w:val="auto"/>
                <w:sz w:val="24"/>
                <w:highlight w:val="none"/>
              </w:rPr>
              <w:t>人，其中</w:t>
            </w:r>
            <w:r>
              <w:rPr>
                <w:rFonts w:hint="eastAsia" w:ascii="宋体" w:hAnsi="宋体"/>
                <w:color w:val="auto"/>
                <w:sz w:val="24"/>
                <w:highlight w:val="none"/>
                <w:lang w:eastAsia="zh-CN"/>
              </w:rPr>
              <w:t>采购人</w:t>
            </w:r>
            <w:r>
              <w:rPr>
                <w:rFonts w:hint="eastAsia" w:ascii="宋体" w:hAnsi="宋体"/>
                <w:color w:val="auto"/>
                <w:sz w:val="24"/>
                <w:highlight w:val="none"/>
              </w:rPr>
              <w:t>代表1人，经济、技术类评标专家</w:t>
            </w:r>
            <w:r>
              <w:rPr>
                <w:rFonts w:hint="eastAsia" w:ascii="宋体" w:hAnsi="宋体"/>
                <w:color w:val="auto"/>
                <w:sz w:val="24"/>
                <w:highlight w:val="none"/>
                <w:lang w:val="en-US" w:eastAsia="zh-CN"/>
              </w:rPr>
              <w:t>2</w:t>
            </w:r>
            <w:r>
              <w:rPr>
                <w:rFonts w:hint="eastAsia" w:ascii="宋体" w:hAnsi="宋体"/>
                <w:color w:val="auto"/>
                <w:sz w:val="24"/>
                <w:highlight w:val="none"/>
              </w:rPr>
              <w:t>人；</w:t>
            </w:r>
            <w:r>
              <w:rPr>
                <w:rFonts w:hint="eastAsia" w:ascii="宋体" w:hAnsi="宋体"/>
                <w:color w:val="auto"/>
                <w:sz w:val="24"/>
                <w:highlight w:val="none"/>
                <w:lang w:val="en-US" w:eastAsia="zh-CN"/>
              </w:rPr>
              <w:t>采购人代表没有评标劳务费用。</w:t>
            </w:r>
          </w:p>
        </w:tc>
      </w:tr>
      <w:tr w14:paraId="5D31A8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8" w:hRule="atLeast"/>
        </w:trPr>
        <w:tc>
          <w:tcPr>
            <w:tcW w:w="777" w:type="dxa"/>
            <w:vAlign w:val="center"/>
          </w:tcPr>
          <w:p w14:paraId="2FB3AE42">
            <w:pPr>
              <w:spacing w:line="360" w:lineRule="auto"/>
              <w:rPr>
                <w:rFonts w:hint="eastAsia" w:ascii="宋体" w:hAnsi="宋体" w:eastAsia="宋体"/>
                <w:color w:val="auto"/>
                <w:sz w:val="24"/>
                <w:highlight w:val="none"/>
                <w:lang w:eastAsia="zh-CN"/>
              </w:rPr>
            </w:pPr>
            <w:r>
              <w:rPr>
                <w:rFonts w:hint="eastAsia" w:ascii="宋体" w:hAnsi="宋体"/>
                <w:color w:val="auto"/>
                <w:sz w:val="24"/>
                <w:highlight w:val="none"/>
              </w:rPr>
              <w:t>3</w:t>
            </w:r>
            <w:r>
              <w:rPr>
                <w:rFonts w:hint="eastAsia" w:ascii="宋体" w:hAnsi="宋体"/>
                <w:color w:val="auto"/>
                <w:sz w:val="24"/>
                <w:highlight w:val="none"/>
                <w:lang w:val="en-US" w:eastAsia="zh-CN"/>
              </w:rPr>
              <w:t>5</w:t>
            </w:r>
          </w:p>
        </w:tc>
        <w:tc>
          <w:tcPr>
            <w:tcW w:w="2767" w:type="dxa"/>
            <w:vAlign w:val="center"/>
          </w:tcPr>
          <w:p w14:paraId="7E2D59D2">
            <w:pPr>
              <w:spacing w:line="360" w:lineRule="auto"/>
              <w:jc w:val="center"/>
              <w:rPr>
                <w:rFonts w:hint="eastAsia" w:ascii="宋体" w:hAnsi="宋体"/>
                <w:color w:val="auto"/>
                <w:sz w:val="24"/>
                <w:highlight w:val="none"/>
              </w:rPr>
            </w:pPr>
            <w:r>
              <w:rPr>
                <w:rFonts w:hint="eastAsia" w:ascii="宋体" w:hAnsi="宋体"/>
                <w:color w:val="auto"/>
                <w:sz w:val="24"/>
                <w:highlight w:val="none"/>
              </w:rPr>
              <w:t>是否授权</w:t>
            </w:r>
            <w:r>
              <w:rPr>
                <w:rFonts w:hint="eastAsia" w:ascii="宋体" w:hAnsi="宋体"/>
                <w:color w:val="auto"/>
                <w:sz w:val="24"/>
                <w:highlight w:val="none"/>
                <w:lang w:val="en-US" w:eastAsia="zh-CN"/>
              </w:rPr>
              <w:t>磋商小组</w:t>
            </w:r>
            <w:r>
              <w:rPr>
                <w:rFonts w:hint="eastAsia" w:ascii="宋体" w:hAnsi="宋体"/>
                <w:color w:val="auto"/>
                <w:sz w:val="24"/>
                <w:highlight w:val="none"/>
              </w:rPr>
              <w:t>确定中标人</w:t>
            </w:r>
          </w:p>
        </w:tc>
        <w:tc>
          <w:tcPr>
            <w:tcW w:w="5476" w:type="dxa"/>
            <w:vAlign w:val="center"/>
          </w:tcPr>
          <w:p w14:paraId="3DAC3464">
            <w:pPr>
              <w:spacing w:line="360" w:lineRule="auto"/>
              <w:rPr>
                <w:rFonts w:hint="eastAsia" w:ascii="宋体" w:hAnsi="宋体"/>
                <w:color w:val="auto"/>
                <w:sz w:val="24"/>
                <w:highlight w:val="none"/>
              </w:rPr>
            </w:pPr>
            <w:r>
              <w:rPr>
                <w:rFonts w:hint="eastAsia" w:ascii="宋体" w:hAnsi="宋体"/>
                <w:color w:val="auto"/>
                <w:sz w:val="24"/>
                <w:highlight w:val="none"/>
              </w:rPr>
              <w:t>否，按顺序推荐的中标候选人数：1-3 名</w:t>
            </w:r>
          </w:p>
        </w:tc>
      </w:tr>
      <w:tr w14:paraId="628CC2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8" w:hRule="atLeast"/>
        </w:trPr>
        <w:tc>
          <w:tcPr>
            <w:tcW w:w="777" w:type="dxa"/>
            <w:vAlign w:val="center"/>
          </w:tcPr>
          <w:p w14:paraId="75F8F4F3">
            <w:pPr>
              <w:spacing w:line="360" w:lineRule="auto"/>
              <w:rPr>
                <w:rFonts w:hint="eastAsia" w:ascii="宋体" w:hAnsi="宋体" w:eastAsia="宋体"/>
                <w:color w:val="auto"/>
                <w:sz w:val="24"/>
                <w:highlight w:val="none"/>
                <w:lang w:eastAsia="zh-CN"/>
              </w:rPr>
            </w:pPr>
            <w:r>
              <w:rPr>
                <w:rFonts w:hint="eastAsia" w:ascii="宋体" w:hAnsi="宋体"/>
                <w:color w:val="auto"/>
                <w:sz w:val="24"/>
                <w:highlight w:val="none"/>
              </w:rPr>
              <w:t>3</w:t>
            </w:r>
            <w:r>
              <w:rPr>
                <w:rFonts w:hint="eastAsia" w:ascii="宋体" w:hAnsi="宋体"/>
                <w:color w:val="auto"/>
                <w:sz w:val="24"/>
                <w:highlight w:val="none"/>
                <w:lang w:val="en-US" w:eastAsia="zh-CN"/>
              </w:rPr>
              <w:t>6</w:t>
            </w:r>
          </w:p>
        </w:tc>
        <w:tc>
          <w:tcPr>
            <w:tcW w:w="2767" w:type="dxa"/>
            <w:vAlign w:val="center"/>
          </w:tcPr>
          <w:p w14:paraId="3B0EDE8B">
            <w:pPr>
              <w:spacing w:line="360" w:lineRule="auto"/>
              <w:ind w:left="-107" w:leftChars="-51" w:right="-107" w:rightChars="-51"/>
              <w:jc w:val="center"/>
              <w:rPr>
                <w:rFonts w:hint="eastAsia" w:ascii="宋体" w:hAnsi="宋体"/>
                <w:color w:val="auto"/>
                <w:sz w:val="24"/>
                <w:highlight w:val="none"/>
              </w:rPr>
            </w:pPr>
            <w:r>
              <w:rPr>
                <w:rFonts w:hint="eastAsia" w:ascii="宋体" w:hAnsi="宋体"/>
                <w:color w:val="auto"/>
                <w:sz w:val="24"/>
                <w:highlight w:val="none"/>
              </w:rPr>
              <w:t>履约担保</w:t>
            </w:r>
          </w:p>
        </w:tc>
        <w:tc>
          <w:tcPr>
            <w:tcW w:w="5476" w:type="dxa"/>
            <w:vAlign w:val="center"/>
          </w:tcPr>
          <w:p w14:paraId="0FE548E5">
            <w:pPr>
              <w:numPr>
                <w:ilvl w:val="0"/>
                <w:numId w:val="0"/>
              </w:numPr>
              <w:spacing w:line="240" w:lineRule="auto"/>
              <w:rPr>
                <w:rFonts w:hint="eastAsia" w:ascii="宋体" w:hAnsi="宋体"/>
                <w:color w:val="auto"/>
                <w:sz w:val="24"/>
                <w:highlight w:val="none"/>
              </w:rPr>
            </w:pPr>
            <w:r>
              <w:rPr>
                <w:rFonts w:hint="eastAsia"/>
                <w:color w:val="auto"/>
                <w:sz w:val="24"/>
                <w:highlight w:val="none"/>
              </w:rPr>
              <w:t>履约担保金额：</w:t>
            </w:r>
            <w:r>
              <w:rPr>
                <w:rFonts w:hint="eastAsia"/>
                <w:color w:val="auto"/>
                <w:sz w:val="24"/>
                <w:highlight w:val="none"/>
                <w:lang w:val="en-US" w:eastAsia="zh-CN"/>
              </w:rPr>
              <w:t>不收取</w:t>
            </w:r>
          </w:p>
        </w:tc>
      </w:tr>
      <w:tr w14:paraId="5C70A7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8" w:hRule="atLeast"/>
        </w:trPr>
        <w:tc>
          <w:tcPr>
            <w:tcW w:w="9020" w:type="dxa"/>
            <w:gridSpan w:val="3"/>
            <w:vAlign w:val="center"/>
          </w:tcPr>
          <w:p w14:paraId="390B2175">
            <w:pPr>
              <w:spacing w:line="360" w:lineRule="auto"/>
              <w:rPr>
                <w:rFonts w:hint="eastAsia" w:ascii="宋体" w:hAnsi="宋体"/>
                <w:color w:val="auto"/>
                <w:sz w:val="24"/>
                <w:highlight w:val="none"/>
              </w:rPr>
            </w:pPr>
            <w:r>
              <w:rPr>
                <w:rFonts w:hint="eastAsia" w:ascii="宋体" w:hAnsi="宋体"/>
                <w:color w:val="auto"/>
                <w:sz w:val="24"/>
                <w:highlight w:val="none"/>
              </w:rPr>
              <w:t>3</w:t>
            </w:r>
            <w:r>
              <w:rPr>
                <w:rFonts w:hint="eastAsia" w:ascii="宋体" w:hAnsi="宋体"/>
                <w:color w:val="auto"/>
                <w:sz w:val="24"/>
                <w:highlight w:val="none"/>
                <w:lang w:val="en-US" w:eastAsia="zh-CN"/>
              </w:rPr>
              <w:t>7</w:t>
            </w:r>
            <w:r>
              <w:rPr>
                <w:rFonts w:hint="eastAsia" w:ascii="宋体" w:hAnsi="宋体"/>
                <w:color w:val="auto"/>
                <w:sz w:val="24"/>
                <w:highlight w:val="none"/>
              </w:rPr>
              <w:t>. 需要补充的其他内容</w:t>
            </w:r>
          </w:p>
        </w:tc>
      </w:tr>
      <w:tr w14:paraId="676460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66" w:hRule="atLeast"/>
        </w:trPr>
        <w:tc>
          <w:tcPr>
            <w:tcW w:w="777" w:type="dxa"/>
            <w:vAlign w:val="center"/>
          </w:tcPr>
          <w:p w14:paraId="186E0A4A">
            <w:pPr>
              <w:spacing w:line="360" w:lineRule="auto"/>
              <w:rPr>
                <w:rFonts w:hint="eastAsia" w:ascii="宋体" w:hAnsi="宋体"/>
                <w:color w:val="auto"/>
                <w:sz w:val="24"/>
                <w:highlight w:val="none"/>
              </w:rPr>
            </w:pPr>
            <w:r>
              <w:rPr>
                <w:rFonts w:hint="eastAsia" w:ascii="宋体" w:hAnsi="宋体"/>
                <w:color w:val="auto"/>
                <w:sz w:val="24"/>
                <w:highlight w:val="none"/>
              </w:rPr>
              <w:t>3</w:t>
            </w:r>
            <w:r>
              <w:rPr>
                <w:rFonts w:hint="eastAsia" w:ascii="宋体" w:hAnsi="宋体"/>
                <w:color w:val="auto"/>
                <w:sz w:val="24"/>
                <w:highlight w:val="none"/>
                <w:lang w:val="en-US" w:eastAsia="zh-CN"/>
              </w:rPr>
              <w:t>7</w:t>
            </w:r>
            <w:r>
              <w:rPr>
                <w:rFonts w:hint="eastAsia" w:ascii="宋体" w:hAnsi="宋体"/>
                <w:color w:val="auto"/>
                <w:sz w:val="24"/>
                <w:highlight w:val="none"/>
              </w:rPr>
              <w:t>.1</w:t>
            </w:r>
          </w:p>
        </w:tc>
        <w:tc>
          <w:tcPr>
            <w:tcW w:w="2767" w:type="dxa"/>
            <w:vAlign w:val="center"/>
          </w:tcPr>
          <w:p w14:paraId="518D2027">
            <w:pPr>
              <w:spacing w:line="360" w:lineRule="auto"/>
              <w:ind w:left="-107" w:leftChars="-51" w:right="-107" w:rightChars="-51"/>
              <w:jc w:val="center"/>
              <w:rPr>
                <w:rFonts w:hint="eastAsia" w:ascii="宋体" w:hAnsi="宋体"/>
                <w:color w:val="auto"/>
                <w:sz w:val="24"/>
                <w:highlight w:val="none"/>
              </w:rPr>
            </w:pPr>
            <w:r>
              <w:rPr>
                <w:rFonts w:hint="eastAsia" w:ascii="宋体" w:hAnsi="宋体"/>
                <w:color w:val="auto"/>
                <w:sz w:val="24"/>
                <w:highlight w:val="none"/>
                <w:lang w:val="en-US" w:eastAsia="zh-CN"/>
              </w:rPr>
              <w:t>磋商</w:t>
            </w:r>
            <w:r>
              <w:rPr>
                <w:rFonts w:hint="eastAsia" w:ascii="宋体" w:hAnsi="宋体"/>
                <w:color w:val="auto"/>
                <w:sz w:val="24"/>
                <w:highlight w:val="none"/>
              </w:rPr>
              <w:t>控制价</w:t>
            </w:r>
          </w:p>
        </w:tc>
        <w:tc>
          <w:tcPr>
            <w:tcW w:w="5476" w:type="dxa"/>
            <w:vAlign w:val="center"/>
          </w:tcPr>
          <w:p w14:paraId="0DDE34E8">
            <w:pPr>
              <w:spacing w:line="240" w:lineRule="auto"/>
              <w:rPr>
                <w:rFonts w:hint="eastAsia" w:ascii="宋体" w:hAnsi="宋体"/>
                <w:color w:val="auto"/>
                <w:sz w:val="24"/>
                <w:highlight w:val="none"/>
              </w:rPr>
            </w:pPr>
            <w:r>
              <w:rPr>
                <w:rFonts w:hint="eastAsia" w:ascii="宋体" w:hAnsi="宋体"/>
                <w:color w:val="auto"/>
                <w:sz w:val="24"/>
                <w:highlight w:val="none"/>
                <w:lang w:val="en-US" w:eastAsia="zh-CN"/>
              </w:rPr>
              <w:t>磋商</w:t>
            </w:r>
            <w:r>
              <w:rPr>
                <w:rFonts w:hint="eastAsia" w:ascii="宋体" w:hAnsi="宋体"/>
                <w:color w:val="auto"/>
                <w:sz w:val="24"/>
                <w:highlight w:val="none"/>
              </w:rPr>
              <w:t>控制价（人民币）：3004076.49</w:t>
            </w:r>
            <w:r>
              <w:rPr>
                <w:rFonts w:hint="eastAsia" w:ascii="宋体" w:hAnsi="宋体"/>
                <w:color w:val="auto"/>
                <w:sz w:val="24"/>
                <w:highlight w:val="none"/>
                <w:lang w:val="en-US" w:eastAsia="zh-CN"/>
              </w:rPr>
              <w:t>元</w:t>
            </w:r>
            <w:r>
              <w:rPr>
                <w:rFonts w:hint="eastAsia" w:ascii="宋体" w:hAnsi="宋体"/>
                <w:color w:val="auto"/>
                <w:sz w:val="24"/>
                <w:highlight w:val="none"/>
              </w:rPr>
              <w:t>。</w:t>
            </w:r>
          </w:p>
          <w:p w14:paraId="6A64FFC3">
            <w:pPr>
              <w:spacing w:line="240" w:lineRule="auto"/>
              <w:rPr>
                <w:rFonts w:hint="eastAsia" w:ascii="宋体" w:hAnsi="宋体"/>
                <w:color w:val="auto"/>
                <w:sz w:val="24"/>
                <w:highlight w:val="none"/>
              </w:rPr>
            </w:pPr>
            <w:r>
              <w:rPr>
                <w:rFonts w:hint="eastAsia" w:ascii="宋体" w:hAnsi="宋体"/>
                <w:color w:val="auto"/>
                <w:sz w:val="24"/>
                <w:highlight w:val="none"/>
                <w:lang w:val="en-US" w:eastAsia="zh-CN"/>
              </w:rPr>
              <w:t>响应</w:t>
            </w:r>
            <w:r>
              <w:rPr>
                <w:rFonts w:hint="eastAsia" w:ascii="宋体" w:hAnsi="宋体"/>
                <w:color w:val="auto"/>
                <w:sz w:val="24"/>
                <w:highlight w:val="none"/>
              </w:rPr>
              <w:t>总报价高于</w:t>
            </w:r>
            <w:r>
              <w:rPr>
                <w:rFonts w:hint="eastAsia" w:ascii="宋体" w:hAnsi="宋体"/>
                <w:color w:val="auto"/>
                <w:sz w:val="24"/>
                <w:highlight w:val="none"/>
                <w:lang w:val="en-US" w:eastAsia="zh-CN"/>
              </w:rPr>
              <w:t>磋商</w:t>
            </w:r>
            <w:r>
              <w:rPr>
                <w:rFonts w:hint="eastAsia" w:ascii="宋体" w:hAnsi="宋体"/>
                <w:color w:val="auto"/>
                <w:sz w:val="24"/>
                <w:highlight w:val="none"/>
              </w:rPr>
              <w:t>控制价按废标处理。</w:t>
            </w:r>
          </w:p>
        </w:tc>
      </w:tr>
      <w:tr w14:paraId="06B436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12" w:hRule="atLeast"/>
        </w:trPr>
        <w:tc>
          <w:tcPr>
            <w:tcW w:w="777" w:type="dxa"/>
            <w:vAlign w:val="center"/>
          </w:tcPr>
          <w:p w14:paraId="33ED34EE">
            <w:pPr>
              <w:spacing w:line="360" w:lineRule="auto"/>
              <w:rPr>
                <w:rFonts w:hint="eastAsia" w:ascii="宋体" w:hAnsi="宋体"/>
                <w:color w:val="auto"/>
                <w:sz w:val="24"/>
                <w:highlight w:val="none"/>
              </w:rPr>
            </w:pPr>
            <w:r>
              <w:rPr>
                <w:rFonts w:hint="eastAsia" w:ascii="宋体" w:hAnsi="宋体"/>
                <w:color w:val="auto"/>
                <w:sz w:val="24"/>
                <w:highlight w:val="none"/>
              </w:rPr>
              <w:t>3</w:t>
            </w:r>
            <w:r>
              <w:rPr>
                <w:rFonts w:hint="eastAsia" w:ascii="宋体" w:hAnsi="宋体"/>
                <w:color w:val="auto"/>
                <w:sz w:val="24"/>
                <w:highlight w:val="none"/>
                <w:lang w:val="en-US" w:eastAsia="zh-CN"/>
              </w:rPr>
              <w:t>7</w:t>
            </w:r>
            <w:r>
              <w:rPr>
                <w:rFonts w:hint="eastAsia" w:ascii="宋体" w:hAnsi="宋体"/>
                <w:color w:val="auto"/>
                <w:sz w:val="24"/>
                <w:highlight w:val="none"/>
              </w:rPr>
              <w:t>.2</w:t>
            </w:r>
          </w:p>
        </w:tc>
        <w:tc>
          <w:tcPr>
            <w:tcW w:w="2767" w:type="dxa"/>
            <w:vAlign w:val="center"/>
          </w:tcPr>
          <w:p w14:paraId="52BEA049">
            <w:pPr>
              <w:widowControl/>
              <w:jc w:val="center"/>
              <w:rPr>
                <w:rFonts w:hint="eastAsia" w:ascii="宋体" w:hAnsi="宋体"/>
                <w:color w:val="auto"/>
                <w:kern w:val="0"/>
                <w:sz w:val="24"/>
                <w:highlight w:val="none"/>
                <w:lang w:bidi="ar"/>
              </w:rPr>
            </w:pPr>
            <w:r>
              <w:rPr>
                <w:rFonts w:hint="eastAsia" w:ascii="宋体" w:hAnsi="宋体"/>
                <w:color w:val="auto"/>
                <w:kern w:val="0"/>
                <w:sz w:val="24"/>
                <w:highlight w:val="none"/>
                <w:lang w:bidi="ar"/>
              </w:rPr>
              <w:t>农民工工资保障金</w:t>
            </w:r>
          </w:p>
        </w:tc>
        <w:tc>
          <w:tcPr>
            <w:tcW w:w="5476" w:type="dxa"/>
            <w:vAlign w:val="center"/>
          </w:tcPr>
          <w:p w14:paraId="4426EE44">
            <w:pPr>
              <w:widowControl/>
              <w:spacing w:line="240" w:lineRule="auto"/>
              <w:jc w:val="left"/>
              <w:rPr>
                <w:rFonts w:hint="eastAsia" w:ascii="宋体" w:hAnsi="宋体"/>
                <w:color w:val="auto"/>
                <w:kern w:val="0"/>
                <w:sz w:val="24"/>
                <w:highlight w:val="none"/>
                <w:lang w:bidi="ar"/>
              </w:rPr>
            </w:pPr>
            <w:r>
              <w:rPr>
                <w:rFonts w:hint="eastAsia" w:ascii="宋体" w:hAnsi="宋体"/>
                <w:color w:val="auto"/>
                <w:kern w:val="0"/>
                <w:sz w:val="24"/>
                <w:highlight w:val="none"/>
                <w:lang w:bidi="ar"/>
              </w:rPr>
              <w:t>根据《中华人民共和国劳动法》、《建筑领域农民工工资支付暂行办法》等法律法规规定，中标单位中标后能够及时、足额存入农民工工资保障金或工资保函，保障金为中标价的2%。一旦其承包的建筑工程项目中出现拖欠农民工工资情况的，可由建设行政主管部门从农民工工资保障金中先予划支</w:t>
            </w:r>
            <w:r>
              <w:rPr>
                <w:rFonts w:hint="eastAsia" w:ascii="宋体" w:hAnsi="宋体"/>
                <w:color w:val="auto"/>
                <w:kern w:val="0"/>
                <w:sz w:val="24"/>
                <w:highlight w:val="none"/>
                <w:lang w:eastAsia="zh-CN" w:bidi="ar"/>
              </w:rPr>
              <w:t>。</w:t>
            </w:r>
          </w:p>
        </w:tc>
      </w:tr>
      <w:tr w14:paraId="02B39E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8" w:hRule="atLeast"/>
        </w:trPr>
        <w:tc>
          <w:tcPr>
            <w:tcW w:w="777" w:type="dxa"/>
            <w:vAlign w:val="center"/>
          </w:tcPr>
          <w:p w14:paraId="3E649DF9">
            <w:pPr>
              <w:spacing w:line="360" w:lineRule="auto"/>
              <w:rPr>
                <w:rFonts w:hint="eastAsia" w:ascii="宋体" w:hAnsi="宋体"/>
                <w:color w:val="auto"/>
                <w:sz w:val="24"/>
                <w:highlight w:val="none"/>
              </w:rPr>
            </w:pPr>
            <w:r>
              <w:rPr>
                <w:rFonts w:hint="eastAsia" w:ascii="宋体" w:hAnsi="宋体"/>
                <w:color w:val="auto"/>
                <w:sz w:val="24"/>
                <w:highlight w:val="none"/>
              </w:rPr>
              <w:t>3</w:t>
            </w:r>
            <w:r>
              <w:rPr>
                <w:rFonts w:hint="eastAsia" w:ascii="宋体" w:hAnsi="宋体"/>
                <w:color w:val="auto"/>
                <w:sz w:val="24"/>
                <w:highlight w:val="none"/>
                <w:lang w:val="en-US" w:eastAsia="zh-CN"/>
              </w:rPr>
              <w:t>7</w:t>
            </w:r>
            <w:r>
              <w:rPr>
                <w:rFonts w:hint="eastAsia" w:ascii="宋体" w:hAnsi="宋体"/>
                <w:color w:val="auto"/>
                <w:sz w:val="24"/>
                <w:highlight w:val="none"/>
              </w:rPr>
              <w:t>.3</w:t>
            </w:r>
          </w:p>
        </w:tc>
        <w:tc>
          <w:tcPr>
            <w:tcW w:w="2767" w:type="dxa"/>
            <w:vAlign w:val="center"/>
          </w:tcPr>
          <w:p w14:paraId="575868C4">
            <w:pPr>
              <w:spacing w:line="360" w:lineRule="auto"/>
              <w:jc w:val="center"/>
              <w:rPr>
                <w:rFonts w:hint="eastAsia" w:ascii="宋体" w:hAnsi="宋体"/>
                <w:color w:val="auto"/>
                <w:sz w:val="24"/>
                <w:highlight w:val="none"/>
              </w:rPr>
            </w:pPr>
            <w:r>
              <w:rPr>
                <w:rFonts w:hint="eastAsia" w:ascii="宋体" w:hAnsi="宋体"/>
                <w:color w:val="auto"/>
                <w:sz w:val="24"/>
                <w:highlight w:val="none"/>
              </w:rPr>
              <w:t>合同价款及支付</w:t>
            </w:r>
          </w:p>
        </w:tc>
        <w:tc>
          <w:tcPr>
            <w:tcW w:w="5476" w:type="dxa"/>
            <w:vAlign w:val="center"/>
          </w:tcPr>
          <w:p w14:paraId="6084A96A">
            <w:pPr>
              <w:spacing w:line="360" w:lineRule="auto"/>
              <w:rPr>
                <w:rFonts w:hint="eastAsia" w:ascii="宋体" w:hAnsi="宋体"/>
                <w:color w:val="auto"/>
                <w:sz w:val="24"/>
                <w:highlight w:val="none"/>
              </w:rPr>
            </w:pPr>
            <w:r>
              <w:rPr>
                <w:rFonts w:hint="eastAsia" w:ascii="宋体" w:hAnsi="宋体"/>
                <w:color w:val="auto"/>
                <w:sz w:val="24"/>
                <w:highlight w:val="none"/>
              </w:rPr>
              <w:t>按财政资金管理办法支付</w:t>
            </w:r>
          </w:p>
        </w:tc>
      </w:tr>
      <w:tr w14:paraId="53689B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8" w:hRule="atLeast"/>
        </w:trPr>
        <w:tc>
          <w:tcPr>
            <w:tcW w:w="777" w:type="dxa"/>
            <w:vAlign w:val="center"/>
          </w:tcPr>
          <w:p w14:paraId="5EC849BB">
            <w:pPr>
              <w:spacing w:line="360" w:lineRule="auto"/>
              <w:rPr>
                <w:rFonts w:hint="eastAsia" w:ascii="宋体" w:hAnsi="宋体"/>
                <w:color w:val="auto"/>
                <w:sz w:val="24"/>
                <w:highlight w:val="none"/>
              </w:rPr>
            </w:pPr>
            <w:r>
              <w:rPr>
                <w:rFonts w:hint="eastAsia" w:ascii="宋体" w:hAnsi="宋体"/>
                <w:color w:val="auto"/>
                <w:sz w:val="24"/>
                <w:highlight w:val="none"/>
              </w:rPr>
              <w:t>3</w:t>
            </w:r>
            <w:r>
              <w:rPr>
                <w:rFonts w:hint="eastAsia" w:ascii="宋体" w:hAnsi="宋体"/>
                <w:color w:val="auto"/>
                <w:sz w:val="24"/>
                <w:highlight w:val="none"/>
                <w:lang w:val="en-US" w:eastAsia="zh-CN"/>
              </w:rPr>
              <w:t>7</w:t>
            </w:r>
            <w:r>
              <w:rPr>
                <w:rFonts w:hint="eastAsia" w:ascii="宋体" w:hAnsi="宋体"/>
                <w:color w:val="auto"/>
                <w:sz w:val="24"/>
                <w:highlight w:val="none"/>
              </w:rPr>
              <w:t>.4</w:t>
            </w:r>
          </w:p>
        </w:tc>
        <w:tc>
          <w:tcPr>
            <w:tcW w:w="2767" w:type="dxa"/>
            <w:vAlign w:val="center"/>
          </w:tcPr>
          <w:p w14:paraId="1D641DCD">
            <w:pPr>
              <w:spacing w:line="360" w:lineRule="auto"/>
              <w:ind w:left="-107" w:leftChars="-51" w:right="-107" w:rightChars="-51"/>
              <w:jc w:val="center"/>
              <w:rPr>
                <w:rFonts w:hint="eastAsia" w:ascii="宋体" w:hAnsi="宋体"/>
                <w:color w:val="auto"/>
                <w:sz w:val="24"/>
                <w:highlight w:val="none"/>
              </w:rPr>
            </w:pPr>
            <w:r>
              <w:rPr>
                <w:rFonts w:hint="eastAsia" w:ascii="宋体" w:hAnsi="宋体"/>
                <w:color w:val="auto"/>
                <w:sz w:val="24"/>
                <w:highlight w:val="none"/>
                <w:lang w:eastAsia="zh-CN"/>
              </w:rPr>
              <w:t>磋商文件</w:t>
            </w:r>
            <w:r>
              <w:rPr>
                <w:rFonts w:hint="eastAsia" w:ascii="宋体" w:hAnsi="宋体"/>
                <w:color w:val="auto"/>
                <w:sz w:val="24"/>
                <w:highlight w:val="none"/>
              </w:rPr>
              <w:t>的解释</w:t>
            </w:r>
          </w:p>
        </w:tc>
        <w:tc>
          <w:tcPr>
            <w:tcW w:w="5476" w:type="dxa"/>
            <w:vAlign w:val="center"/>
          </w:tcPr>
          <w:p w14:paraId="64503376">
            <w:pPr>
              <w:spacing w:line="360" w:lineRule="auto"/>
              <w:rPr>
                <w:rFonts w:hint="eastAsia" w:ascii="宋体" w:hAnsi="宋体"/>
                <w:color w:val="auto"/>
                <w:sz w:val="24"/>
                <w:highlight w:val="none"/>
              </w:rPr>
            </w:pPr>
            <w:r>
              <w:rPr>
                <w:rFonts w:hint="eastAsia" w:ascii="宋体" w:hAnsi="宋体"/>
                <w:color w:val="auto"/>
                <w:sz w:val="24"/>
                <w:highlight w:val="none"/>
              </w:rPr>
              <w:t>在符合相关法律法规的前题下，</w:t>
            </w:r>
            <w:r>
              <w:rPr>
                <w:rFonts w:hint="eastAsia" w:ascii="宋体" w:hAnsi="宋体"/>
                <w:color w:val="auto"/>
                <w:sz w:val="24"/>
                <w:highlight w:val="none"/>
                <w:lang w:eastAsia="zh-CN"/>
              </w:rPr>
              <w:t>磋商文件</w:t>
            </w:r>
            <w:r>
              <w:rPr>
                <w:rFonts w:hint="eastAsia" w:ascii="宋体" w:hAnsi="宋体"/>
                <w:color w:val="auto"/>
                <w:sz w:val="24"/>
                <w:highlight w:val="none"/>
              </w:rPr>
              <w:t>的解释权归</w:t>
            </w:r>
            <w:r>
              <w:rPr>
                <w:rFonts w:hint="eastAsia" w:ascii="宋体" w:hAnsi="宋体"/>
                <w:color w:val="auto"/>
                <w:sz w:val="24"/>
                <w:highlight w:val="none"/>
                <w:lang w:eastAsia="zh-CN"/>
              </w:rPr>
              <w:t>采购人</w:t>
            </w:r>
            <w:r>
              <w:rPr>
                <w:rFonts w:hint="eastAsia" w:ascii="宋体" w:hAnsi="宋体"/>
                <w:color w:val="auto"/>
                <w:sz w:val="24"/>
                <w:highlight w:val="none"/>
              </w:rPr>
              <w:t>所有。本</w:t>
            </w:r>
            <w:r>
              <w:rPr>
                <w:rFonts w:hint="eastAsia" w:ascii="宋体" w:hAnsi="宋体"/>
                <w:color w:val="auto"/>
                <w:sz w:val="24"/>
                <w:highlight w:val="none"/>
                <w:lang w:eastAsia="zh-CN"/>
              </w:rPr>
              <w:t>磋商文件</w:t>
            </w:r>
            <w:r>
              <w:rPr>
                <w:rFonts w:hint="eastAsia" w:ascii="宋体" w:hAnsi="宋体"/>
                <w:color w:val="auto"/>
                <w:sz w:val="24"/>
                <w:highlight w:val="none"/>
              </w:rPr>
              <w:t>中其他部分内容与</w:t>
            </w:r>
            <w:r>
              <w:rPr>
                <w:rFonts w:hint="eastAsia" w:ascii="宋体" w:hAnsi="宋体"/>
                <w:color w:val="auto"/>
                <w:sz w:val="24"/>
                <w:highlight w:val="none"/>
                <w:lang w:eastAsia="zh-CN"/>
              </w:rPr>
              <w:t>供应商</w:t>
            </w:r>
            <w:r>
              <w:rPr>
                <w:rFonts w:hint="eastAsia" w:ascii="宋体" w:hAnsi="宋体"/>
                <w:color w:val="auto"/>
                <w:sz w:val="24"/>
                <w:highlight w:val="none"/>
              </w:rPr>
              <w:t>须知前附表不一致的，以</w:t>
            </w:r>
            <w:r>
              <w:rPr>
                <w:rFonts w:hint="eastAsia" w:ascii="宋体" w:hAnsi="宋体"/>
                <w:color w:val="auto"/>
                <w:sz w:val="24"/>
                <w:highlight w:val="none"/>
                <w:lang w:eastAsia="zh-CN"/>
              </w:rPr>
              <w:t>供应商</w:t>
            </w:r>
            <w:r>
              <w:rPr>
                <w:rFonts w:hint="eastAsia" w:ascii="宋体" w:hAnsi="宋体"/>
                <w:color w:val="auto"/>
                <w:sz w:val="24"/>
                <w:highlight w:val="none"/>
              </w:rPr>
              <w:t>须知前附表为准。</w:t>
            </w:r>
          </w:p>
        </w:tc>
      </w:tr>
      <w:tr w14:paraId="646067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8" w:hRule="atLeast"/>
        </w:trPr>
        <w:tc>
          <w:tcPr>
            <w:tcW w:w="777" w:type="dxa"/>
            <w:vAlign w:val="center"/>
          </w:tcPr>
          <w:p w14:paraId="5A9DA6D2">
            <w:pPr>
              <w:spacing w:line="360" w:lineRule="auto"/>
              <w:rPr>
                <w:rFonts w:hint="eastAsia" w:ascii="宋体" w:hAnsi="宋体"/>
                <w:color w:val="auto"/>
                <w:sz w:val="24"/>
                <w:highlight w:val="none"/>
              </w:rPr>
            </w:pPr>
            <w:r>
              <w:rPr>
                <w:rFonts w:hint="eastAsia" w:ascii="宋体" w:hAnsi="宋体"/>
                <w:color w:val="auto"/>
                <w:sz w:val="24"/>
                <w:highlight w:val="none"/>
              </w:rPr>
              <w:t>3</w:t>
            </w:r>
            <w:r>
              <w:rPr>
                <w:rFonts w:hint="eastAsia" w:ascii="宋体" w:hAnsi="宋体"/>
                <w:color w:val="auto"/>
                <w:sz w:val="24"/>
                <w:highlight w:val="none"/>
                <w:lang w:val="en-US" w:eastAsia="zh-CN"/>
              </w:rPr>
              <w:t>7</w:t>
            </w:r>
            <w:r>
              <w:rPr>
                <w:rFonts w:hint="eastAsia" w:ascii="宋体" w:hAnsi="宋体"/>
                <w:color w:val="auto"/>
                <w:sz w:val="24"/>
                <w:highlight w:val="none"/>
              </w:rPr>
              <w:t>.5</w:t>
            </w:r>
          </w:p>
        </w:tc>
        <w:tc>
          <w:tcPr>
            <w:tcW w:w="2767" w:type="dxa"/>
            <w:vAlign w:val="center"/>
          </w:tcPr>
          <w:p w14:paraId="05BCD2DE">
            <w:pPr>
              <w:spacing w:line="360" w:lineRule="auto"/>
              <w:ind w:left="-107" w:leftChars="-51" w:right="-107" w:rightChars="-51"/>
              <w:jc w:val="center"/>
              <w:rPr>
                <w:rFonts w:hint="eastAsia" w:ascii="宋体" w:hAnsi="宋体"/>
                <w:color w:val="auto"/>
                <w:sz w:val="24"/>
                <w:highlight w:val="none"/>
              </w:rPr>
            </w:pPr>
            <w:r>
              <w:rPr>
                <w:rFonts w:hint="eastAsia" w:ascii="宋体" w:hAnsi="宋体"/>
                <w:color w:val="auto"/>
                <w:sz w:val="24"/>
                <w:highlight w:val="none"/>
              </w:rPr>
              <w:t>是否要求递交</w:t>
            </w:r>
            <w:r>
              <w:rPr>
                <w:rFonts w:hint="eastAsia" w:ascii="宋体" w:hAnsi="宋体"/>
                <w:color w:val="auto"/>
                <w:sz w:val="24"/>
                <w:highlight w:val="none"/>
                <w:lang w:eastAsia="zh-CN"/>
              </w:rPr>
              <w:t>响应文件</w:t>
            </w:r>
            <w:r>
              <w:rPr>
                <w:rFonts w:hint="eastAsia" w:ascii="宋体" w:hAnsi="宋体"/>
                <w:color w:val="auto"/>
                <w:sz w:val="24"/>
                <w:highlight w:val="none"/>
              </w:rPr>
              <w:t>电子版</w:t>
            </w:r>
          </w:p>
        </w:tc>
        <w:tc>
          <w:tcPr>
            <w:tcW w:w="5476" w:type="dxa"/>
            <w:vAlign w:val="center"/>
          </w:tcPr>
          <w:p w14:paraId="4650FE2D">
            <w:pPr>
              <w:spacing w:line="360" w:lineRule="auto"/>
              <w:rPr>
                <w:rFonts w:hint="eastAsia" w:ascii="宋体" w:hAnsi="宋体"/>
                <w:color w:val="auto"/>
                <w:sz w:val="24"/>
                <w:highlight w:val="none"/>
              </w:rPr>
            </w:pPr>
            <w:r>
              <w:rPr>
                <w:rFonts w:hint="eastAsia" w:ascii="宋体" w:hAnsi="宋体"/>
                <w:color w:val="auto"/>
                <w:sz w:val="24"/>
                <w:highlight w:val="none"/>
              </w:rPr>
              <w:t>是（需要用 CA 在电子平台上开标前上传电子</w:t>
            </w:r>
            <w:r>
              <w:rPr>
                <w:rFonts w:hint="eastAsia" w:ascii="宋体" w:hAnsi="宋体"/>
                <w:color w:val="auto"/>
                <w:sz w:val="24"/>
                <w:highlight w:val="none"/>
                <w:lang w:eastAsia="zh-CN"/>
              </w:rPr>
              <w:t>响应文件</w:t>
            </w:r>
            <w:r>
              <w:rPr>
                <w:rFonts w:hint="eastAsia" w:ascii="宋体" w:hAnsi="宋体"/>
                <w:color w:val="auto"/>
                <w:sz w:val="24"/>
                <w:highlight w:val="none"/>
              </w:rPr>
              <w:t>）；</w:t>
            </w:r>
          </w:p>
        </w:tc>
      </w:tr>
      <w:tr w14:paraId="2CB610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8" w:hRule="atLeast"/>
        </w:trPr>
        <w:tc>
          <w:tcPr>
            <w:tcW w:w="777" w:type="dxa"/>
            <w:vAlign w:val="center"/>
          </w:tcPr>
          <w:p w14:paraId="31CADA06">
            <w:pPr>
              <w:spacing w:line="360" w:lineRule="auto"/>
              <w:rPr>
                <w:rFonts w:hint="eastAsia" w:ascii="宋体" w:hAnsi="宋体"/>
                <w:color w:val="auto"/>
                <w:sz w:val="24"/>
                <w:highlight w:val="none"/>
              </w:rPr>
            </w:pPr>
            <w:r>
              <w:rPr>
                <w:rFonts w:hint="eastAsia" w:ascii="宋体" w:hAnsi="宋体"/>
                <w:color w:val="auto"/>
                <w:sz w:val="24"/>
                <w:highlight w:val="none"/>
              </w:rPr>
              <w:t>3</w:t>
            </w:r>
            <w:r>
              <w:rPr>
                <w:rFonts w:hint="eastAsia" w:ascii="宋体" w:hAnsi="宋体"/>
                <w:color w:val="auto"/>
                <w:sz w:val="24"/>
                <w:highlight w:val="none"/>
                <w:lang w:val="en-US" w:eastAsia="zh-CN"/>
              </w:rPr>
              <w:t>7</w:t>
            </w:r>
            <w:r>
              <w:rPr>
                <w:rFonts w:hint="eastAsia" w:ascii="宋体" w:hAnsi="宋体"/>
                <w:color w:val="auto"/>
                <w:sz w:val="24"/>
                <w:highlight w:val="none"/>
              </w:rPr>
              <w:t>.6</w:t>
            </w:r>
          </w:p>
        </w:tc>
        <w:tc>
          <w:tcPr>
            <w:tcW w:w="2767" w:type="dxa"/>
            <w:vAlign w:val="center"/>
          </w:tcPr>
          <w:p w14:paraId="35EE8637">
            <w:pPr>
              <w:jc w:val="center"/>
              <w:rPr>
                <w:rFonts w:hint="eastAsia" w:ascii="宋体" w:hAnsi="宋体"/>
                <w:color w:val="auto"/>
                <w:sz w:val="24"/>
                <w:highlight w:val="none"/>
              </w:rPr>
            </w:pPr>
            <w:r>
              <w:rPr>
                <w:rFonts w:hint="eastAsia" w:ascii="宋体" w:hAnsi="宋体"/>
                <w:color w:val="auto"/>
                <w:sz w:val="24"/>
                <w:highlight w:val="none"/>
                <w:lang w:eastAsia="zh-CN"/>
              </w:rPr>
              <w:t>响应文件</w:t>
            </w:r>
            <w:r>
              <w:rPr>
                <w:rFonts w:hint="eastAsia" w:ascii="宋体" w:hAnsi="宋体"/>
                <w:color w:val="auto"/>
                <w:sz w:val="24"/>
                <w:highlight w:val="none"/>
              </w:rPr>
              <w:t>份数</w:t>
            </w:r>
          </w:p>
        </w:tc>
        <w:tc>
          <w:tcPr>
            <w:tcW w:w="5476" w:type="dxa"/>
            <w:vAlign w:val="center"/>
          </w:tcPr>
          <w:p w14:paraId="5DE72177">
            <w:pPr>
              <w:pStyle w:val="56"/>
              <w:spacing w:after="0"/>
              <w:rPr>
                <w:rFonts w:hint="eastAsia" w:ascii="宋体" w:hAnsi="宋体"/>
                <w:color w:val="auto"/>
                <w:sz w:val="24"/>
                <w:highlight w:val="none"/>
              </w:rPr>
            </w:pPr>
            <w:r>
              <w:rPr>
                <w:rFonts w:hint="eastAsia" w:ascii="宋体" w:hAnsi="宋体"/>
                <w:color w:val="auto"/>
                <w:sz w:val="24"/>
                <w:highlight w:val="none"/>
              </w:rPr>
              <w:t>开标时不再递交纸质</w:t>
            </w:r>
            <w:r>
              <w:rPr>
                <w:rFonts w:hint="eastAsia" w:ascii="宋体" w:hAnsi="宋体"/>
                <w:color w:val="auto"/>
                <w:sz w:val="24"/>
                <w:highlight w:val="none"/>
                <w:lang w:eastAsia="zh-CN"/>
              </w:rPr>
              <w:t>响应文件</w:t>
            </w:r>
            <w:r>
              <w:rPr>
                <w:rFonts w:hint="eastAsia" w:ascii="宋体" w:hAnsi="宋体"/>
                <w:color w:val="auto"/>
                <w:sz w:val="24"/>
                <w:highlight w:val="none"/>
              </w:rPr>
              <w:t>，</w:t>
            </w:r>
            <w:r>
              <w:rPr>
                <w:rFonts w:hint="eastAsia" w:ascii="宋体" w:hAnsi="宋体"/>
                <w:color w:val="auto"/>
                <w:sz w:val="24"/>
                <w:highlight w:val="none"/>
                <w:lang w:val="en-US" w:eastAsia="zh-CN"/>
              </w:rPr>
              <w:t>成交</w:t>
            </w:r>
            <w:r>
              <w:rPr>
                <w:rFonts w:hint="eastAsia" w:ascii="宋体" w:hAnsi="宋体"/>
                <w:color w:val="auto"/>
                <w:sz w:val="24"/>
                <w:highlight w:val="none"/>
              </w:rPr>
              <w:t>单位领取</w:t>
            </w:r>
            <w:r>
              <w:rPr>
                <w:rFonts w:hint="eastAsia" w:ascii="宋体" w:hAnsi="宋体"/>
                <w:color w:val="auto"/>
                <w:sz w:val="24"/>
                <w:highlight w:val="none"/>
                <w:lang w:val="en-US" w:eastAsia="zh-CN"/>
              </w:rPr>
              <w:t>成交</w:t>
            </w:r>
            <w:r>
              <w:rPr>
                <w:rFonts w:hint="eastAsia" w:ascii="宋体" w:hAnsi="宋体"/>
                <w:color w:val="auto"/>
                <w:sz w:val="24"/>
                <w:highlight w:val="none"/>
              </w:rPr>
              <w:t>通知书时提交</w:t>
            </w:r>
            <w:r>
              <w:rPr>
                <w:rFonts w:hint="eastAsia" w:ascii="宋体" w:hAnsi="宋体"/>
                <w:color w:val="auto"/>
                <w:sz w:val="24"/>
                <w:highlight w:val="none"/>
                <w:lang w:val="en-US" w:eastAsia="zh-CN"/>
              </w:rPr>
              <w:t>二</w:t>
            </w:r>
            <w:r>
              <w:rPr>
                <w:rFonts w:hint="eastAsia" w:ascii="宋体" w:hAnsi="宋体"/>
                <w:color w:val="auto"/>
                <w:sz w:val="24"/>
                <w:highlight w:val="none"/>
              </w:rPr>
              <w:t>份纸质</w:t>
            </w:r>
            <w:r>
              <w:rPr>
                <w:rFonts w:hint="eastAsia" w:ascii="宋体" w:hAnsi="宋体"/>
                <w:color w:val="auto"/>
                <w:sz w:val="24"/>
                <w:highlight w:val="none"/>
                <w:lang w:eastAsia="zh-CN"/>
              </w:rPr>
              <w:t>响应文件</w:t>
            </w:r>
            <w:r>
              <w:rPr>
                <w:rFonts w:hint="eastAsia" w:ascii="宋体" w:hAnsi="宋体"/>
                <w:color w:val="auto"/>
                <w:sz w:val="24"/>
                <w:highlight w:val="none"/>
              </w:rPr>
              <w:t>（</w:t>
            </w:r>
            <w:r>
              <w:rPr>
                <w:rFonts w:hint="eastAsia" w:ascii="宋体" w:hAnsi="宋体"/>
                <w:color w:val="auto"/>
                <w:sz w:val="24"/>
                <w:highlight w:val="none"/>
                <w:lang w:eastAsia="zh-CN"/>
              </w:rPr>
              <w:t>响应文件</w:t>
            </w:r>
            <w:r>
              <w:rPr>
                <w:rFonts w:hint="eastAsia" w:ascii="宋体" w:hAnsi="宋体"/>
                <w:color w:val="auto"/>
                <w:sz w:val="24"/>
                <w:highlight w:val="none"/>
              </w:rPr>
              <w:t>应按以下要求装订：胶装，应有目录，并逐页标注连续页码），</w:t>
            </w:r>
            <w:r>
              <w:rPr>
                <w:rFonts w:hint="eastAsia" w:ascii="宋体" w:hAnsi="宋体"/>
                <w:color w:val="auto"/>
                <w:sz w:val="24"/>
                <w:highlight w:val="none"/>
                <w:lang w:eastAsia="zh-CN"/>
              </w:rPr>
              <w:t>需加盖公章。</w:t>
            </w:r>
          </w:p>
        </w:tc>
      </w:tr>
      <w:tr w14:paraId="2D8578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8" w:hRule="atLeast"/>
        </w:trPr>
        <w:tc>
          <w:tcPr>
            <w:tcW w:w="777" w:type="dxa"/>
            <w:vAlign w:val="center"/>
          </w:tcPr>
          <w:p w14:paraId="7B4B6530">
            <w:pPr>
              <w:spacing w:line="360" w:lineRule="auto"/>
              <w:rPr>
                <w:rFonts w:hint="eastAsia" w:ascii="宋体" w:hAnsi="宋体"/>
                <w:color w:val="auto"/>
                <w:sz w:val="24"/>
                <w:highlight w:val="none"/>
              </w:rPr>
            </w:pPr>
            <w:r>
              <w:rPr>
                <w:rFonts w:hint="eastAsia" w:ascii="宋体" w:hAnsi="宋体"/>
                <w:color w:val="auto"/>
                <w:sz w:val="24"/>
                <w:highlight w:val="none"/>
              </w:rPr>
              <w:t>3</w:t>
            </w:r>
            <w:r>
              <w:rPr>
                <w:rFonts w:hint="eastAsia" w:ascii="宋体" w:hAnsi="宋体"/>
                <w:color w:val="auto"/>
                <w:sz w:val="24"/>
                <w:highlight w:val="none"/>
                <w:lang w:val="en-US" w:eastAsia="zh-CN"/>
              </w:rPr>
              <w:t>7</w:t>
            </w:r>
            <w:r>
              <w:rPr>
                <w:rFonts w:hint="eastAsia" w:ascii="宋体" w:hAnsi="宋体"/>
                <w:color w:val="auto"/>
                <w:sz w:val="24"/>
                <w:highlight w:val="none"/>
              </w:rPr>
              <w:t>.7</w:t>
            </w:r>
          </w:p>
        </w:tc>
        <w:tc>
          <w:tcPr>
            <w:tcW w:w="2767" w:type="dxa"/>
            <w:vAlign w:val="center"/>
          </w:tcPr>
          <w:p w14:paraId="6955BDA2">
            <w:pPr>
              <w:spacing w:line="360" w:lineRule="auto"/>
              <w:ind w:left="-107" w:leftChars="-51" w:right="-107" w:rightChars="-51"/>
              <w:jc w:val="center"/>
              <w:rPr>
                <w:rFonts w:hint="eastAsia" w:ascii="宋体" w:hAnsi="宋体"/>
                <w:color w:val="auto"/>
                <w:sz w:val="24"/>
                <w:highlight w:val="none"/>
              </w:rPr>
            </w:pPr>
            <w:r>
              <w:rPr>
                <w:rFonts w:hint="eastAsia" w:ascii="宋体" w:hAnsi="宋体"/>
                <w:color w:val="auto"/>
                <w:sz w:val="24"/>
                <w:highlight w:val="none"/>
              </w:rPr>
              <w:t>答疑</w:t>
            </w:r>
          </w:p>
        </w:tc>
        <w:tc>
          <w:tcPr>
            <w:tcW w:w="5476" w:type="dxa"/>
            <w:vAlign w:val="center"/>
          </w:tcPr>
          <w:p w14:paraId="022D8D80">
            <w:pPr>
              <w:spacing w:line="360" w:lineRule="auto"/>
              <w:rPr>
                <w:rFonts w:hint="eastAsia" w:ascii="宋体" w:hAnsi="宋体"/>
                <w:color w:val="auto"/>
                <w:sz w:val="24"/>
                <w:highlight w:val="none"/>
              </w:rPr>
            </w:pPr>
            <w:r>
              <w:rPr>
                <w:rFonts w:hint="eastAsia" w:ascii="宋体" w:hAnsi="宋体"/>
                <w:color w:val="auto"/>
                <w:sz w:val="24"/>
                <w:highlight w:val="none"/>
              </w:rPr>
              <w:t>需要解答的疑问以书面形式加盖单位公章递交至</w:t>
            </w:r>
            <w:r>
              <w:rPr>
                <w:rFonts w:hint="eastAsia" w:ascii="宋体" w:hAnsi="宋体"/>
                <w:color w:val="auto"/>
                <w:sz w:val="24"/>
                <w:highlight w:val="none"/>
                <w:lang w:eastAsia="zh-CN"/>
              </w:rPr>
              <w:t>采购人</w:t>
            </w:r>
            <w:r>
              <w:rPr>
                <w:rFonts w:hint="eastAsia" w:ascii="宋体" w:hAnsi="宋体"/>
                <w:color w:val="auto"/>
                <w:sz w:val="24"/>
                <w:highlight w:val="none"/>
              </w:rPr>
              <w:t>或</w:t>
            </w:r>
            <w:r>
              <w:rPr>
                <w:rFonts w:hint="eastAsia" w:ascii="宋体" w:hAnsi="宋体"/>
                <w:color w:val="auto"/>
                <w:sz w:val="24"/>
                <w:highlight w:val="none"/>
                <w:lang w:eastAsia="zh-CN"/>
              </w:rPr>
              <w:t>招标代理机构</w:t>
            </w:r>
            <w:r>
              <w:rPr>
                <w:rFonts w:hint="eastAsia" w:ascii="宋体" w:hAnsi="宋体"/>
                <w:color w:val="auto"/>
                <w:sz w:val="24"/>
                <w:highlight w:val="none"/>
              </w:rPr>
              <w:t>，逾期提交的问题概不做回复。</w:t>
            </w:r>
            <w:r>
              <w:rPr>
                <w:rFonts w:hint="eastAsia" w:ascii="宋体" w:hAnsi="宋体"/>
                <w:color w:val="auto"/>
                <w:sz w:val="24"/>
                <w:highlight w:val="none"/>
                <w:lang w:eastAsia="zh-CN"/>
              </w:rPr>
              <w:t>采购人</w:t>
            </w:r>
            <w:r>
              <w:rPr>
                <w:rFonts w:hint="eastAsia" w:ascii="宋体" w:hAnsi="宋体"/>
                <w:color w:val="auto"/>
                <w:sz w:val="24"/>
                <w:highlight w:val="none"/>
              </w:rPr>
              <w:t>将需要解答的内容以公告形式发至所有潜在</w:t>
            </w:r>
            <w:r>
              <w:rPr>
                <w:rFonts w:hint="eastAsia" w:ascii="宋体" w:hAnsi="宋体"/>
                <w:color w:val="auto"/>
                <w:sz w:val="24"/>
                <w:highlight w:val="none"/>
                <w:lang w:eastAsia="zh-CN"/>
              </w:rPr>
              <w:t>供应商</w:t>
            </w:r>
            <w:r>
              <w:rPr>
                <w:rFonts w:hint="eastAsia" w:ascii="宋体" w:hAnsi="宋体"/>
                <w:color w:val="auto"/>
                <w:sz w:val="24"/>
                <w:highlight w:val="none"/>
              </w:rPr>
              <w:t>。</w:t>
            </w:r>
          </w:p>
        </w:tc>
      </w:tr>
      <w:tr w14:paraId="00F7A3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8" w:hRule="atLeast"/>
        </w:trPr>
        <w:tc>
          <w:tcPr>
            <w:tcW w:w="777" w:type="dxa"/>
            <w:vAlign w:val="center"/>
          </w:tcPr>
          <w:p w14:paraId="7E3E84B3">
            <w:pPr>
              <w:spacing w:line="360" w:lineRule="auto"/>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37.8</w:t>
            </w:r>
          </w:p>
        </w:tc>
        <w:tc>
          <w:tcPr>
            <w:tcW w:w="2767" w:type="dxa"/>
            <w:vAlign w:val="center"/>
          </w:tcPr>
          <w:p w14:paraId="3B6D04A8">
            <w:pPr>
              <w:spacing w:line="360" w:lineRule="auto"/>
              <w:ind w:left="-107" w:leftChars="-51" w:right="-107" w:rightChars="-51"/>
              <w:jc w:val="center"/>
              <w:rPr>
                <w:rFonts w:hint="default" w:ascii="宋体" w:hAnsi="宋体" w:eastAsia="宋体"/>
                <w:color w:val="auto"/>
                <w:sz w:val="24"/>
                <w:highlight w:val="none"/>
                <w:lang w:val="en-US" w:eastAsia="zh-CN"/>
              </w:rPr>
            </w:pPr>
            <w:r>
              <w:rPr>
                <w:rFonts w:hint="eastAsia" w:ascii="宋体" w:hAnsi="宋体"/>
                <w:color w:val="auto"/>
                <w:sz w:val="24"/>
                <w:highlight w:val="none"/>
                <w:lang w:val="en-US" w:eastAsia="zh-CN"/>
              </w:rPr>
              <w:t>招标代理费收费标准</w:t>
            </w:r>
          </w:p>
        </w:tc>
        <w:tc>
          <w:tcPr>
            <w:tcW w:w="5476" w:type="dxa"/>
            <w:vAlign w:val="center"/>
          </w:tcPr>
          <w:p w14:paraId="6E0BB04D">
            <w:pPr>
              <w:spacing w:line="360" w:lineRule="auto"/>
              <w:rPr>
                <w:rFonts w:hint="eastAsia" w:ascii="宋体" w:hAnsi="宋体"/>
                <w:color w:val="auto"/>
                <w:sz w:val="24"/>
                <w:highlight w:val="none"/>
              </w:rPr>
            </w:pPr>
            <w:r>
              <w:rPr>
                <w:rFonts w:hint="eastAsia" w:ascii="宋体" w:hAnsi="宋体"/>
                <w:b w:val="0"/>
                <w:i w:val="0"/>
                <w:caps w:val="0"/>
                <w:color w:val="auto"/>
                <w:spacing w:val="0"/>
                <w:w w:val="100"/>
                <w:sz w:val="24"/>
                <w:highlight w:val="none"/>
              </w:rPr>
              <w:t>参照河南省招标投标协会《河南省招标代理服务收费指导意见》的通知[豫招协 (2023) 002号] 文件中招标代理服务收费标准，向中标方收取招标代理服务费。</w:t>
            </w:r>
          </w:p>
        </w:tc>
      </w:tr>
      <w:tr w14:paraId="28DC94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8" w:hRule="atLeast"/>
        </w:trPr>
        <w:tc>
          <w:tcPr>
            <w:tcW w:w="777" w:type="dxa"/>
            <w:vAlign w:val="center"/>
          </w:tcPr>
          <w:p w14:paraId="29D51F11">
            <w:pPr>
              <w:spacing w:line="360" w:lineRule="auto"/>
              <w:rPr>
                <w:rFonts w:hint="default" w:ascii="宋体" w:hAnsi="宋体"/>
                <w:color w:val="auto"/>
                <w:sz w:val="24"/>
                <w:highlight w:val="none"/>
                <w:lang w:val="en-US" w:eastAsia="zh-CN"/>
              </w:rPr>
            </w:pPr>
            <w:r>
              <w:rPr>
                <w:rFonts w:hint="eastAsia" w:ascii="宋体" w:hAnsi="宋体"/>
                <w:color w:val="auto"/>
                <w:sz w:val="24"/>
                <w:highlight w:val="none"/>
                <w:lang w:val="en-US" w:eastAsia="zh-CN"/>
              </w:rPr>
              <w:t>37.9</w:t>
            </w:r>
          </w:p>
        </w:tc>
        <w:tc>
          <w:tcPr>
            <w:tcW w:w="2767" w:type="dxa"/>
            <w:shd w:val="clear" w:color="auto" w:fill="auto"/>
            <w:vAlign w:val="center"/>
          </w:tcPr>
          <w:p w14:paraId="49EDB85A">
            <w:pPr>
              <w:widowControl w:val="0"/>
              <w:adjustRightInd w:val="0"/>
              <w:spacing w:line="600" w:lineRule="exact"/>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本项目所属行业</w:t>
            </w:r>
          </w:p>
        </w:tc>
        <w:tc>
          <w:tcPr>
            <w:tcW w:w="5476" w:type="dxa"/>
            <w:shd w:val="clear" w:color="auto" w:fill="auto"/>
            <w:vAlign w:val="center"/>
          </w:tcPr>
          <w:p w14:paraId="0E0C7094">
            <w:pPr>
              <w:spacing w:line="600" w:lineRule="exac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建筑业</w:t>
            </w:r>
          </w:p>
        </w:tc>
      </w:tr>
      <w:tr w14:paraId="09D4C0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8" w:hRule="atLeast"/>
        </w:trPr>
        <w:tc>
          <w:tcPr>
            <w:tcW w:w="9020" w:type="dxa"/>
            <w:gridSpan w:val="3"/>
            <w:vAlign w:val="center"/>
          </w:tcPr>
          <w:p w14:paraId="45373B24">
            <w:pPr>
              <w:spacing w:line="360" w:lineRule="auto"/>
              <w:rPr>
                <w:rFonts w:hint="eastAsia" w:ascii="宋体" w:hAnsi="宋体" w:eastAsia="宋体"/>
                <w:color w:val="auto"/>
                <w:sz w:val="24"/>
                <w:highlight w:val="none"/>
                <w:lang w:eastAsia="zh-CN"/>
              </w:rPr>
            </w:pPr>
            <w:r>
              <w:rPr>
                <w:rFonts w:hint="eastAsia" w:ascii="宋体" w:hAnsi="宋体"/>
                <w:color w:val="auto"/>
                <w:sz w:val="24"/>
                <w:highlight w:val="none"/>
              </w:rPr>
              <w:t>3</w:t>
            </w:r>
            <w:r>
              <w:rPr>
                <w:rFonts w:hint="eastAsia" w:ascii="宋体" w:hAnsi="宋体"/>
                <w:color w:val="auto"/>
                <w:sz w:val="24"/>
                <w:highlight w:val="none"/>
                <w:lang w:val="en-US" w:eastAsia="zh-CN"/>
              </w:rPr>
              <w:t>8成交</w:t>
            </w:r>
            <w:r>
              <w:rPr>
                <w:rFonts w:hint="eastAsia" w:ascii="宋体" w:hAnsi="宋体"/>
                <w:color w:val="auto"/>
                <w:sz w:val="24"/>
                <w:highlight w:val="none"/>
              </w:rPr>
              <w:t>公</w:t>
            </w:r>
            <w:r>
              <w:rPr>
                <w:rFonts w:hint="eastAsia" w:ascii="宋体" w:hAnsi="宋体"/>
                <w:color w:val="auto"/>
                <w:sz w:val="24"/>
                <w:highlight w:val="none"/>
                <w:lang w:val="en-US" w:eastAsia="zh-CN"/>
              </w:rPr>
              <w:t>告</w:t>
            </w:r>
          </w:p>
        </w:tc>
      </w:tr>
      <w:tr w14:paraId="42CE22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8" w:hRule="atLeast"/>
        </w:trPr>
        <w:tc>
          <w:tcPr>
            <w:tcW w:w="777" w:type="dxa"/>
            <w:vAlign w:val="center"/>
          </w:tcPr>
          <w:p w14:paraId="31E3D52D">
            <w:pPr>
              <w:spacing w:line="360" w:lineRule="auto"/>
              <w:rPr>
                <w:rFonts w:hint="eastAsia" w:ascii="宋体" w:hAnsi="宋体"/>
                <w:color w:val="auto"/>
                <w:sz w:val="24"/>
                <w:highlight w:val="none"/>
              </w:rPr>
            </w:pPr>
          </w:p>
        </w:tc>
        <w:tc>
          <w:tcPr>
            <w:tcW w:w="8243" w:type="dxa"/>
            <w:gridSpan w:val="2"/>
            <w:vAlign w:val="center"/>
          </w:tcPr>
          <w:p w14:paraId="33CC549E">
            <w:pPr>
              <w:spacing w:line="360" w:lineRule="auto"/>
              <w:rPr>
                <w:rFonts w:hint="eastAsia" w:ascii="宋体" w:hAnsi="宋体"/>
                <w:color w:val="auto"/>
                <w:sz w:val="24"/>
                <w:highlight w:val="none"/>
              </w:rPr>
            </w:pPr>
            <w:r>
              <w:rPr>
                <w:rFonts w:hint="eastAsia" w:ascii="宋体" w:hAnsi="宋体"/>
                <w:color w:val="auto"/>
                <w:sz w:val="24"/>
                <w:highlight w:val="none"/>
              </w:rPr>
              <w:t>在</w:t>
            </w:r>
            <w:r>
              <w:rPr>
                <w:rFonts w:hint="eastAsia" w:ascii="宋体" w:hAnsi="宋体"/>
                <w:color w:val="auto"/>
                <w:sz w:val="24"/>
                <w:highlight w:val="none"/>
                <w:lang w:val="en-US" w:eastAsia="zh-CN"/>
              </w:rPr>
              <w:t>成交</w:t>
            </w:r>
            <w:r>
              <w:rPr>
                <w:rFonts w:hint="eastAsia" w:ascii="宋体" w:hAnsi="宋体"/>
                <w:color w:val="auto"/>
                <w:sz w:val="24"/>
                <w:highlight w:val="none"/>
              </w:rPr>
              <w:t>通知书发出前，</w:t>
            </w:r>
            <w:r>
              <w:rPr>
                <w:rFonts w:hint="eastAsia" w:ascii="宋体" w:hAnsi="宋体"/>
                <w:color w:val="auto"/>
                <w:sz w:val="24"/>
                <w:highlight w:val="none"/>
                <w:lang w:val="en-US" w:eastAsia="zh-CN"/>
              </w:rPr>
              <w:t>采购</w:t>
            </w:r>
            <w:r>
              <w:rPr>
                <w:rFonts w:hint="eastAsia" w:ascii="宋体" w:hAnsi="宋体"/>
                <w:color w:val="auto"/>
                <w:sz w:val="24"/>
                <w:highlight w:val="none"/>
              </w:rPr>
              <w:t>人将</w:t>
            </w:r>
            <w:r>
              <w:rPr>
                <w:rFonts w:hint="eastAsia" w:ascii="宋体" w:hAnsi="宋体"/>
                <w:color w:val="auto"/>
                <w:sz w:val="24"/>
                <w:highlight w:val="none"/>
                <w:lang w:val="en-US" w:eastAsia="zh-CN"/>
              </w:rPr>
              <w:t>成交</w:t>
            </w:r>
            <w:r>
              <w:rPr>
                <w:rFonts w:hint="eastAsia" w:ascii="宋体" w:hAnsi="宋体"/>
                <w:color w:val="auto"/>
                <w:sz w:val="24"/>
                <w:highlight w:val="none"/>
              </w:rPr>
              <w:t>人的情况在本招标项目</w:t>
            </w:r>
            <w:r>
              <w:rPr>
                <w:rFonts w:hint="eastAsia" w:ascii="宋体" w:hAnsi="宋体"/>
                <w:color w:val="auto"/>
                <w:sz w:val="24"/>
                <w:highlight w:val="none"/>
                <w:lang w:val="en-US" w:eastAsia="zh-CN"/>
              </w:rPr>
              <w:t>磋商</w:t>
            </w:r>
            <w:r>
              <w:rPr>
                <w:rFonts w:hint="eastAsia" w:ascii="宋体" w:hAnsi="宋体"/>
                <w:color w:val="auto"/>
                <w:sz w:val="24"/>
                <w:highlight w:val="none"/>
              </w:rPr>
              <w:t>公告发布的同一媒介《河南省政府采购网》、</w:t>
            </w:r>
            <w:r>
              <w:rPr>
                <w:rFonts w:hint="eastAsia" w:ascii="宋体" w:hAnsi="宋体" w:cs="宋体"/>
                <w:color w:val="auto"/>
                <w:sz w:val="24"/>
                <w:highlight w:val="none"/>
              </w:rPr>
              <w:t>《河南省电子招标投标公共服务平台》</w:t>
            </w:r>
            <w:r>
              <w:rPr>
                <w:rFonts w:hint="eastAsia" w:ascii="宋体" w:hAnsi="宋体"/>
                <w:color w:val="auto"/>
                <w:sz w:val="24"/>
                <w:highlight w:val="none"/>
              </w:rPr>
              <w:t>、《三门峡市公共资源交易中心网》予以公</w:t>
            </w:r>
            <w:r>
              <w:rPr>
                <w:rFonts w:hint="eastAsia" w:ascii="宋体" w:hAnsi="宋体"/>
                <w:color w:val="auto"/>
                <w:sz w:val="24"/>
                <w:highlight w:val="none"/>
                <w:lang w:val="en-US" w:eastAsia="zh-CN"/>
              </w:rPr>
              <w:t>告</w:t>
            </w:r>
            <w:r>
              <w:rPr>
                <w:rFonts w:hint="eastAsia" w:ascii="宋体" w:hAnsi="宋体"/>
                <w:color w:val="auto"/>
                <w:sz w:val="24"/>
                <w:highlight w:val="none"/>
              </w:rPr>
              <w:t>，公示期为</w:t>
            </w:r>
            <w:r>
              <w:rPr>
                <w:rFonts w:hint="eastAsia" w:ascii="宋体" w:hAnsi="宋体"/>
                <w:color w:val="auto"/>
                <w:sz w:val="24"/>
                <w:highlight w:val="none"/>
                <w:lang w:val="en-US" w:eastAsia="zh-CN"/>
              </w:rPr>
              <w:t>1个工作室</w:t>
            </w:r>
            <w:r>
              <w:rPr>
                <w:rFonts w:hint="eastAsia" w:ascii="宋体" w:hAnsi="宋体"/>
                <w:color w:val="auto"/>
                <w:sz w:val="24"/>
                <w:highlight w:val="none"/>
              </w:rPr>
              <w:t>。</w:t>
            </w:r>
          </w:p>
        </w:tc>
      </w:tr>
      <w:tr w14:paraId="3E357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8" w:hRule="atLeast"/>
        </w:trPr>
        <w:tc>
          <w:tcPr>
            <w:tcW w:w="9020" w:type="dxa"/>
            <w:gridSpan w:val="3"/>
            <w:vAlign w:val="center"/>
          </w:tcPr>
          <w:p w14:paraId="3C229143">
            <w:pPr>
              <w:spacing w:line="360" w:lineRule="auto"/>
              <w:rPr>
                <w:rFonts w:hint="eastAsia" w:ascii="宋体" w:hAnsi="宋体"/>
                <w:color w:val="auto"/>
                <w:sz w:val="24"/>
                <w:highlight w:val="none"/>
              </w:rPr>
            </w:pPr>
            <w:r>
              <w:rPr>
                <w:rFonts w:hint="eastAsia" w:ascii="宋体" w:hAnsi="宋体"/>
                <w:color w:val="auto"/>
                <w:sz w:val="24"/>
                <w:highlight w:val="none"/>
              </w:rPr>
              <w:t>3</w:t>
            </w:r>
            <w:r>
              <w:rPr>
                <w:rFonts w:hint="eastAsia" w:ascii="宋体" w:hAnsi="宋体"/>
                <w:color w:val="auto"/>
                <w:sz w:val="24"/>
                <w:highlight w:val="none"/>
                <w:lang w:val="en-US" w:eastAsia="zh-CN"/>
              </w:rPr>
              <w:t>9</w:t>
            </w:r>
            <w:r>
              <w:rPr>
                <w:rFonts w:hint="eastAsia" w:ascii="宋体" w:hAnsi="宋体"/>
                <w:color w:val="auto"/>
                <w:sz w:val="24"/>
                <w:highlight w:val="none"/>
              </w:rPr>
              <w:t>知识产权</w:t>
            </w:r>
          </w:p>
        </w:tc>
      </w:tr>
      <w:tr w14:paraId="2398EF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8" w:hRule="atLeast"/>
        </w:trPr>
        <w:tc>
          <w:tcPr>
            <w:tcW w:w="777" w:type="dxa"/>
            <w:vAlign w:val="center"/>
          </w:tcPr>
          <w:p w14:paraId="36099E98">
            <w:pPr>
              <w:spacing w:line="360" w:lineRule="auto"/>
              <w:rPr>
                <w:rFonts w:hint="eastAsia" w:ascii="宋体" w:hAnsi="宋体"/>
                <w:color w:val="auto"/>
                <w:sz w:val="24"/>
                <w:highlight w:val="none"/>
              </w:rPr>
            </w:pPr>
          </w:p>
        </w:tc>
        <w:tc>
          <w:tcPr>
            <w:tcW w:w="8243" w:type="dxa"/>
            <w:gridSpan w:val="2"/>
            <w:vAlign w:val="center"/>
          </w:tcPr>
          <w:p w14:paraId="496F8867">
            <w:pPr>
              <w:spacing w:line="360" w:lineRule="auto"/>
              <w:rPr>
                <w:rFonts w:hint="eastAsia" w:ascii="宋体" w:hAnsi="宋体"/>
                <w:color w:val="auto"/>
                <w:sz w:val="24"/>
                <w:highlight w:val="none"/>
              </w:rPr>
            </w:pPr>
            <w:r>
              <w:rPr>
                <w:rFonts w:hint="eastAsia" w:ascii="宋体" w:hAnsi="宋体"/>
                <w:color w:val="auto"/>
                <w:sz w:val="24"/>
                <w:highlight w:val="none"/>
              </w:rPr>
              <w:t>构成本</w:t>
            </w:r>
            <w:r>
              <w:rPr>
                <w:rFonts w:hint="eastAsia" w:ascii="宋体" w:hAnsi="宋体"/>
                <w:color w:val="auto"/>
                <w:sz w:val="24"/>
                <w:highlight w:val="none"/>
                <w:lang w:eastAsia="zh-CN"/>
              </w:rPr>
              <w:t>磋商文件</w:t>
            </w:r>
            <w:r>
              <w:rPr>
                <w:rFonts w:hint="eastAsia" w:ascii="宋体" w:hAnsi="宋体"/>
                <w:color w:val="auto"/>
                <w:sz w:val="24"/>
                <w:highlight w:val="none"/>
              </w:rPr>
              <w:t>各个组成部分的文件，未经</w:t>
            </w:r>
            <w:r>
              <w:rPr>
                <w:rFonts w:hint="eastAsia" w:ascii="宋体" w:hAnsi="宋体"/>
                <w:color w:val="auto"/>
                <w:sz w:val="24"/>
                <w:highlight w:val="none"/>
                <w:lang w:eastAsia="zh-CN"/>
              </w:rPr>
              <w:t>采购人</w:t>
            </w:r>
            <w:r>
              <w:rPr>
                <w:rFonts w:hint="eastAsia" w:ascii="宋体" w:hAnsi="宋体"/>
                <w:color w:val="auto"/>
                <w:sz w:val="24"/>
                <w:highlight w:val="none"/>
              </w:rPr>
              <w:t>书面同意，</w:t>
            </w:r>
            <w:r>
              <w:rPr>
                <w:rFonts w:hint="eastAsia" w:ascii="宋体" w:hAnsi="宋体"/>
                <w:color w:val="auto"/>
                <w:sz w:val="24"/>
                <w:highlight w:val="none"/>
                <w:lang w:eastAsia="zh-CN"/>
              </w:rPr>
              <w:t>供应商</w:t>
            </w:r>
            <w:r>
              <w:rPr>
                <w:rFonts w:hint="eastAsia" w:ascii="宋体" w:hAnsi="宋体"/>
                <w:color w:val="auto"/>
                <w:sz w:val="24"/>
                <w:highlight w:val="none"/>
              </w:rPr>
              <w:t>不得擅自复印和用于非本招标项目所需的其他目的。</w:t>
            </w:r>
            <w:r>
              <w:rPr>
                <w:rFonts w:hint="eastAsia" w:ascii="宋体" w:hAnsi="宋体"/>
                <w:color w:val="auto"/>
                <w:sz w:val="24"/>
                <w:highlight w:val="none"/>
                <w:lang w:eastAsia="zh-CN"/>
              </w:rPr>
              <w:t>采购人</w:t>
            </w:r>
            <w:r>
              <w:rPr>
                <w:rFonts w:hint="eastAsia" w:ascii="宋体" w:hAnsi="宋体"/>
                <w:color w:val="auto"/>
                <w:sz w:val="24"/>
                <w:highlight w:val="none"/>
              </w:rPr>
              <w:t>全部或者部分使用未中标人</w:t>
            </w:r>
            <w:r>
              <w:rPr>
                <w:rFonts w:hint="eastAsia" w:ascii="宋体" w:hAnsi="宋体"/>
                <w:color w:val="auto"/>
                <w:sz w:val="24"/>
                <w:highlight w:val="none"/>
                <w:lang w:eastAsia="zh-CN"/>
              </w:rPr>
              <w:t>响应文件</w:t>
            </w:r>
            <w:r>
              <w:rPr>
                <w:rFonts w:hint="eastAsia" w:ascii="宋体" w:hAnsi="宋体"/>
                <w:color w:val="auto"/>
                <w:sz w:val="24"/>
                <w:highlight w:val="none"/>
              </w:rPr>
              <w:t>中的技术成果或技术方案时，需征得其书面同意，并不得擅自复印或提供给第三人。</w:t>
            </w:r>
          </w:p>
        </w:tc>
      </w:tr>
      <w:tr w14:paraId="2736F0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8" w:hRule="atLeast"/>
        </w:trPr>
        <w:tc>
          <w:tcPr>
            <w:tcW w:w="9020" w:type="dxa"/>
            <w:gridSpan w:val="3"/>
            <w:vAlign w:val="center"/>
          </w:tcPr>
          <w:p w14:paraId="5BF3B9F2">
            <w:pPr>
              <w:spacing w:line="360" w:lineRule="auto"/>
              <w:rPr>
                <w:rFonts w:hint="eastAsia" w:ascii="宋体" w:hAnsi="宋体"/>
                <w:color w:val="auto"/>
                <w:sz w:val="24"/>
                <w:highlight w:val="none"/>
              </w:rPr>
            </w:pPr>
            <w:r>
              <w:rPr>
                <w:rFonts w:hint="eastAsia" w:ascii="宋体" w:hAnsi="宋体"/>
                <w:color w:val="auto"/>
                <w:sz w:val="24"/>
                <w:highlight w:val="none"/>
                <w:lang w:val="en-US" w:eastAsia="zh-CN"/>
              </w:rPr>
              <w:t>40</w:t>
            </w:r>
            <w:r>
              <w:rPr>
                <w:rFonts w:hint="eastAsia" w:ascii="宋体" w:hAnsi="宋体"/>
                <w:color w:val="auto"/>
                <w:sz w:val="24"/>
                <w:highlight w:val="none"/>
              </w:rPr>
              <w:t>重新招标的其他情形</w:t>
            </w:r>
          </w:p>
        </w:tc>
      </w:tr>
      <w:tr w14:paraId="0A9CBE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8" w:hRule="atLeast"/>
        </w:trPr>
        <w:tc>
          <w:tcPr>
            <w:tcW w:w="777" w:type="dxa"/>
            <w:vAlign w:val="center"/>
          </w:tcPr>
          <w:p w14:paraId="1E82C9B8">
            <w:pPr>
              <w:spacing w:line="360" w:lineRule="auto"/>
              <w:rPr>
                <w:rFonts w:hint="eastAsia" w:ascii="宋体" w:hAnsi="宋体"/>
                <w:color w:val="auto"/>
                <w:sz w:val="24"/>
                <w:highlight w:val="none"/>
              </w:rPr>
            </w:pPr>
          </w:p>
        </w:tc>
        <w:tc>
          <w:tcPr>
            <w:tcW w:w="8243" w:type="dxa"/>
            <w:gridSpan w:val="2"/>
            <w:vAlign w:val="center"/>
          </w:tcPr>
          <w:p w14:paraId="49E3E69F">
            <w:pPr>
              <w:spacing w:line="360" w:lineRule="auto"/>
              <w:rPr>
                <w:rFonts w:hint="eastAsia" w:ascii="宋体" w:hAnsi="宋体"/>
                <w:color w:val="auto"/>
                <w:sz w:val="24"/>
                <w:highlight w:val="none"/>
              </w:rPr>
            </w:pPr>
            <w:r>
              <w:rPr>
                <w:rFonts w:hint="eastAsia" w:ascii="宋体" w:hAnsi="宋体"/>
                <w:color w:val="auto"/>
                <w:sz w:val="24"/>
                <w:highlight w:val="none"/>
              </w:rPr>
              <w:t>除</w:t>
            </w:r>
            <w:r>
              <w:rPr>
                <w:rFonts w:hint="eastAsia" w:ascii="宋体" w:hAnsi="宋体"/>
                <w:color w:val="auto"/>
                <w:sz w:val="24"/>
                <w:highlight w:val="none"/>
                <w:lang w:eastAsia="zh-CN"/>
              </w:rPr>
              <w:t>供应商</w:t>
            </w:r>
            <w:r>
              <w:rPr>
                <w:rFonts w:hint="eastAsia" w:ascii="宋体" w:hAnsi="宋体"/>
                <w:color w:val="auto"/>
                <w:sz w:val="24"/>
                <w:highlight w:val="none"/>
              </w:rPr>
              <w:t>须知页第9条规定的情形外，除非已经产生中标候选人，在</w:t>
            </w:r>
            <w:r>
              <w:rPr>
                <w:rFonts w:hint="eastAsia" w:ascii="宋体" w:hAnsi="宋体"/>
                <w:color w:val="auto"/>
                <w:sz w:val="24"/>
                <w:highlight w:val="none"/>
                <w:lang w:eastAsia="zh-CN"/>
              </w:rPr>
              <w:t>磋商有效期</w:t>
            </w:r>
            <w:r>
              <w:rPr>
                <w:rFonts w:hint="eastAsia" w:ascii="宋体" w:hAnsi="宋体"/>
                <w:color w:val="auto"/>
                <w:sz w:val="24"/>
                <w:highlight w:val="none"/>
              </w:rPr>
              <w:t>内同意延长</w:t>
            </w:r>
            <w:r>
              <w:rPr>
                <w:rFonts w:hint="eastAsia" w:ascii="宋体" w:hAnsi="宋体"/>
                <w:color w:val="auto"/>
                <w:sz w:val="24"/>
                <w:highlight w:val="none"/>
                <w:lang w:eastAsia="zh-CN"/>
              </w:rPr>
              <w:t>磋商有效期</w:t>
            </w:r>
            <w:r>
              <w:rPr>
                <w:rFonts w:hint="eastAsia" w:ascii="宋体" w:hAnsi="宋体"/>
                <w:color w:val="auto"/>
                <w:sz w:val="24"/>
                <w:highlight w:val="none"/>
              </w:rPr>
              <w:t>的</w:t>
            </w:r>
            <w:r>
              <w:rPr>
                <w:rFonts w:hint="eastAsia" w:ascii="宋体" w:hAnsi="宋体"/>
                <w:color w:val="auto"/>
                <w:sz w:val="24"/>
                <w:highlight w:val="none"/>
                <w:lang w:eastAsia="zh-CN"/>
              </w:rPr>
              <w:t>供应商</w:t>
            </w:r>
            <w:r>
              <w:rPr>
                <w:rFonts w:hint="eastAsia" w:ascii="宋体" w:hAnsi="宋体"/>
                <w:color w:val="auto"/>
                <w:sz w:val="24"/>
                <w:highlight w:val="none"/>
              </w:rPr>
              <w:t>少于三个的，</w:t>
            </w:r>
            <w:r>
              <w:rPr>
                <w:rFonts w:hint="eastAsia" w:ascii="宋体" w:hAnsi="宋体"/>
                <w:color w:val="auto"/>
                <w:sz w:val="24"/>
                <w:highlight w:val="none"/>
                <w:lang w:eastAsia="zh-CN"/>
              </w:rPr>
              <w:t>采购人</w:t>
            </w:r>
            <w:r>
              <w:rPr>
                <w:rFonts w:hint="eastAsia" w:ascii="宋体" w:hAnsi="宋体"/>
                <w:color w:val="auto"/>
                <w:sz w:val="24"/>
                <w:highlight w:val="none"/>
              </w:rPr>
              <w:t>应当依法重新招标。</w:t>
            </w:r>
          </w:p>
        </w:tc>
      </w:tr>
      <w:tr w14:paraId="432210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8" w:hRule="atLeast"/>
        </w:trPr>
        <w:tc>
          <w:tcPr>
            <w:tcW w:w="9020" w:type="dxa"/>
            <w:gridSpan w:val="3"/>
            <w:vAlign w:val="center"/>
          </w:tcPr>
          <w:p w14:paraId="76F56F6B">
            <w:pPr>
              <w:spacing w:line="360" w:lineRule="auto"/>
              <w:rPr>
                <w:rFonts w:hint="eastAsia" w:ascii="宋体" w:hAnsi="宋体"/>
                <w:color w:val="auto"/>
                <w:sz w:val="24"/>
                <w:highlight w:val="none"/>
              </w:rPr>
            </w:pPr>
            <w:r>
              <w:rPr>
                <w:rFonts w:hint="eastAsia" w:ascii="宋体" w:hAnsi="宋体"/>
                <w:color w:val="auto"/>
                <w:sz w:val="24"/>
                <w:highlight w:val="none"/>
                <w:lang w:val="en-US" w:eastAsia="zh-CN"/>
              </w:rPr>
              <w:t>41</w:t>
            </w:r>
            <w:r>
              <w:rPr>
                <w:rFonts w:hint="eastAsia" w:ascii="宋体" w:hAnsi="宋体"/>
                <w:color w:val="auto"/>
                <w:sz w:val="24"/>
                <w:highlight w:val="none"/>
              </w:rPr>
              <w:t xml:space="preserve"> 同义词语</w:t>
            </w:r>
          </w:p>
        </w:tc>
      </w:tr>
      <w:tr w14:paraId="3363C5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8" w:hRule="atLeast"/>
        </w:trPr>
        <w:tc>
          <w:tcPr>
            <w:tcW w:w="777" w:type="dxa"/>
            <w:vAlign w:val="center"/>
          </w:tcPr>
          <w:p w14:paraId="166E7E3D">
            <w:pPr>
              <w:spacing w:line="360" w:lineRule="auto"/>
              <w:rPr>
                <w:rFonts w:hint="eastAsia" w:ascii="宋体" w:hAnsi="宋体"/>
                <w:color w:val="auto"/>
                <w:sz w:val="24"/>
                <w:highlight w:val="none"/>
              </w:rPr>
            </w:pPr>
          </w:p>
        </w:tc>
        <w:tc>
          <w:tcPr>
            <w:tcW w:w="8243" w:type="dxa"/>
            <w:gridSpan w:val="2"/>
            <w:vAlign w:val="center"/>
          </w:tcPr>
          <w:p w14:paraId="452BC903">
            <w:pPr>
              <w:spacing w:line="360" w:lineRule="auto"/>
              <w:rPr>
                <w:rFonts w:hint="eastAsia" w:ascii="宋体" w:hAnsi="宋体"/>
                <w:color w:val="auto"/>
                <w:sz w:val="24"/>
                <w:highlight w:val="none"/>
              </w:rPr>
            </w:pPr>
            <w:r>
              <w:rPr>
                <w:rFonts w:hint="eastAsia" w:ascii="宋体" w:hAnsi="宋体"/>
                <w:color w:val="auto"/>
                <w:sz w:val="24"/>
                <w:highlight w:val="none"/>
              </w:rPr>
              <w:t>构成</w:t>
            </w:r>
            <w:r>
              <w:rPr>
                <w:rFonts w:hint="eastAsia" w:ascii="宋体" w:hAnsi="宋体"/>
                <w:color w:val="auto"/>
                <w:sz w:val="24"/>
                <w:highlight w:val="none"/>
                <w:lang w:val="en-US" w:eastAsia="zh-CN"/>
              </w:rPr>
              <w:t>磋商</w:t>
            </w:r>
            <w:r>
              <w:rPr>
                <w:rFonts w:hint="eastAsia" w:ascii="宋体" w:hAnsi="宋体"/>
                <w:color w:val="auto"/>
                <w:sz w:val="24"/>
                <w:highlight w:val="none"/>
              </w:rPr>
              <w:t>文件组成部分的“通用合同条款”、“专用合同条款”、“技术标准和要求”和“工程量清单”等章节中出现的措辞“发包人”和“承包人”，在招标投标阶段应当分别按“</w:t>
            </w:r>
            <w:r>
              <w:rPr>
                <w:rFonts w:hint="eastAsia" w:ascii="宋体" w:hAnsi="宋体"/>
                <w:color w:val="auto"/>
                <w:sz w:val="24"/>
                <w:highlight w:val="none"/>
                <w:lang w:eastAsia="zh-CN"/>
              </w:rPr>
              <w:t>采购人</w:t>
            </w:r>
            <w:r>
              <w:rPr>
                <w:rFonts w:hint="eastAsia" w:ascii="宋体" w:hAnsi="宋体"/>
                <w:color w:val="auto"/>
                <w:sz w:val="24"/>
                <w:highlight w:val="none"/>
              </w:rPr>
              <w:t>”和“</w:t>
            </w:r>
            <w:r>
              <w:rPr>
                <w:rFonts w:hint="eastAsia" w:ascii="宋体" w:hAnsi="宋体"/>
                <w:color w:val="auto"/>
                <w:sz w:val="24"/>
                <w:highlight w:val="none"/>
                <w:lang w:eastAsia="zh-CN"/>
              </w:rPr>
              <w:t>供应商</w:t>
            </w:r>
            <w:r>
              <w:rPr>
                <w:rFonts w:hint="eastAsia" w:ascii="宋体" w:hAnsi="宋体"/>
                <w:color w:val="auto"/>
                <w:sz w:val="24"/>
                <w:highlight w:val="none"/>
              </w:rPr>
              <w:t>”进行理解。</w:t>
            </w:r>
          </w:p>
        </w:tc>
      </w:tr>
      <w:tr w14:paraId="494E6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8" w:hRule="atLeast"/>
        </w:trPr>
        <w:tc>
          <w:tcPr>
            <w:tcW w:w="9020" w:type="dxa"/>
            <w:gridSpan w:val="3"/>
            <w:vAlign w:val="center"/>
          </w:tcPr>
          <w:p w14:paraId="26CF0395">
            <w:pPr>
              <w:spacing w:line="360" w:lineRule="auto"/>
              <w:rPr>
                <w:rFonts w:hint="eastAsia" w:ascii="宋体" w:hAnsi="宋体"/>
                <w:color w:val="auto"/>
                <w:sz w:val="24"/>
                <w:highlight w:val="none"/>
              </w:rPr>
            </w:pPr>
            <w:r>
              <w:rPr>
                <w:rFonts w:hint="eastAsia" w:ascii="宋体" w:hAnsi="宋体"/>
                <w:color w:val="auto"/>
                <w:sz w:val="24"/>
                <w:highlight w:val="none"/>
                <w:lang w:val="en-US" w:eastAsia="zh-CN"/>
              </w:rPr>
              <w:t>42</w:t>
            </w:r>
            <w:r>
              <w:rPr>
                <w:rFonts w:hint="eastAsia" w:ascii="宋体" w:hAnsi="宋体"/>
                <w:color w:val="auto"/>
                <w:sz w:val="24"/>
                <w:highlight w:val="none"/>
              </w:rPr>
              <w:t>监督</w:t>
            </w:r>
          </w:p>
        </w:tc>
      </w:tr>
      <w:tr w14:paraId="473880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8" w:hRule="atLeast"/>
        </w:trPr>
        <w:tc>
          <w:tcPr>
            <w:tcW w:w="777" w:type="dxa"/>
            <w:vAlign w:val="center"/>
          </w:tcPr>
          <w:p w14:paraId="1812A9C5">
            <w:pPr>
              <w:spacing w:line="360" w:lineRule="auto"/>
              <w:rPr>
                <w:rFonts w:hint="eastAsia" w:ascii="宋体" w:hAnsi="宋体"/>
                <w:color w:val="auto"/>
                <w:sz w:val="24"/>
                <w:highlight w:val="none"/>
              </w:rPr>
            </w:pPr>
          </w:p>
        </w:tc>
        <w:tc>
          <w:tcPr>
            <w:tcW w:w="8243" w:type="dxa"/>
            <w:gridSpan w:val="2"/>
            <w:vAlign w:val="center"/>
          </w:tcPr>
          <w:p w14:paraId="30EAED63">
            <w:pPr>
              <w:spacing w:line="360" w:lineRule="auto"/>
              <w:rPr>
                <w:rFonts w:hint="eastAsia" w:ascii="宋体" w:hAnsi="宋体"/>
                <w:color w:val="auto"/>
                <w:sz w:val="24"/>
                <w:highlight w:val="none"/>
              </w:rPr>
            </w:pPr>
            <w:r>
              <w:rPr>
                <w:rFonts w:hint="eastAsia" w:ascii="宋体" w:hAnsi="宋体"/>
                <w:color w:val="auto"/>
                <w:sz w:val="24"/>
                <w:highlight w:val="none"/>
              </w:rPr>
              <w:t>本项目的招标投标活动及其相关当事人应当接受有管辖权的建设工程招标投标行政监督部门依法实施的监督。</w:t>
            </w:r>
          </w:p>
        </w:tc>
      </w:tr>
      <w:tr w14:paraId="2996BE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8" w:hRule="atLeast"/>
        </w:trPr>
        <w:tc>
          <w:tcPr>
            <w:tcW w:w="9020" w:type="dxa"/>
            <w:gridSpan w:val="3"/>
            <w:vAlign w:val="center"/>
          </w:tcPr>
          <w:p w14:paraId="7DBCB6FD">
            <w:pPr>
              <w:spacing w:line="360" w:lineRule="auto"/>
              <w:rPr>
                <w:rFonts w:hint="eastAsia" w:ascii="宋体" w:hAnsi="宋体"/>
                <w:color w:val="auto"/>
                <w:sz w:val="24"/>
                <w:highlight w:val="none"/>
              </w:rPr>
            </w:pPr>
            <w:r>
              <w:rPr>
                <w:rFonts w:hint="eastAsia" w:ascii="宋体" w:hAnsi="宋体"/>
                <w:color w:val="auto"/>
                <w:sz w:val="24"/>
                <w:highlight w:val="none"/>
                <w:lang w:val="en-US" w:eastAsia="zh-CN"/>
              </w:rPr>
              <w:t>43</w:t>
            </w:r>
            <w:r>
              <w:rPr>
                <w:rFonts w:hint="eastAsia" w:ascii="宋体" w:hAnsi="宋体"/>
                <w:color w:val="auto"/>
                <w:sz w:val="24"/>
                <w:highlight w:val="none"/>
              </w:rPr>
              <w:t>开标注意事项</w:t>
            </w:r>
          </w:p>
        </w:tc>
      </w:tr>
      <w:tr w14:paraId="6B2DB4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8" w:hRule="atLeast"/>
        </w:trPr>
        <w:tc>
          <w:tcPr>
            <w:tcW w:w="777" w:type="dxa"/>
            <w:vMerge w:val="restart"/>
            <w:vAlign w:val="center"/>
          </w:tcPr>
          <w:p w14:paraId="6F0DB8D4">
            <w:pPr>
              <w:spacing w:line="360" w:lineRule="auto"/>
              <w:rPr>
                <w:rFonts w:hint="eastAsia" w:ascii="宋体" w:hAnsi="宋体"/>
                <w:color w:val="auto"/>
                <w:sz w:val="24"/>
                <w:highlight w:val="none"/>
              </w:rPr>
            </w:pPr>
            <w:r>
              <w:rPr>
                <w:rFonts w:hint="eastAsia" w:ascii="宋体" w:hAnsi="宋体"/>
                <w:color w:val="auto"/>
                <w:sz w:val="24"/>
                <w:highlight w:val="none"/>
              </w:rPr>
              <w:t>说明</w:t>
            </w:r>
          </w:p>
        </w:tc>
        <w:tc>
          <w:tcPr>
            <w:tcW w:w="8243" w:type="dxa"/>
            <w:gridSpan w:val="2"/>
            <w:vAlign w:val="center"/>
          </w:tcPr>
          <w:p w14:paraId="00CACE80">
            <w:pPr>
              <w:spacing w:line="360" w:lineRule="auto"/>
              <w:rPr>
                <w:rFonts w:hint="eastAsia" w:ascii="宋体" w:hAnsi="宋体"/>
                <w:color w:val="auto"/>
                <w:sz w:val="24"/>
                <w:highlight w:val="none"/>
              </w:rPr>
            </w:pPr>
            <w:r>
              <w:rPr>
                <w:rFonts w:hint="eastAsia" w:ascii="宋体" w:hAnsi="宋体"/>
                <w:color w:val="auto"/>
                <w:sz w:val="24"/>
                <w:highlight w:val="none"/>
              </w:rPr>
              <w:t>开标时需使用CA。</w:t>
            </w:r>
          </w:p>
        </w:tc>
      </w:tr>
      <w:tr w14:paraId="1D8A25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8" w:hRule="atLeast"/>
        </w:trPr>
        <w:tc>
          <w:tcPr>
            <w:tcW w:w="777" w:type="dxa"/>
            <w:vMerge w:val="continue"/>
            <w:vAlign w:val="center"/>
          </w:tcPr>
          <w:p w14:paraId="3BA78353">
            <w:pPr>
              <w:spacing w:line="360" w:lineRule="auto"/>
              <w:rPr>
                <w:rFonts w:hint="eastAsia" w:ascii="宋体" w:hAnsi="宋体"/>
                <w:color w:val="auto"/>
                <w:sz w:val="24"/>
                <w:highlight w:val="none"/>
              </w:rPr>
            </w:pPr>
          </w:p>
        </w:tc>
        <w:tc>
          <w:tcPr>
            <w:tcW w:w="8243" w:type="dxa"/>
            <w:gridSpan w:val="2"/>
            <w:vAlign w:val="center"/>
          </w:tcPr>
          <w:p w14:paraId="0F1696B4">
            <w:pPr>
              <w:spacing w:line="360" w:lineRule="auto"/>
              <w:rPr>
                <w:rFonts w:hint="eastAsia" w:ascii="宋体" w:hAnsi="宋体"/>
                <w:color w:val="auto"/>
                <w:sz w:val="24"/>
                <w:highlight w:val="none"/>
              </w:rPr>
            </w:pPr>
            <w:r>
              <w:rPr>
                <w:rFonts w:hint="eastAsia" w:ascii="宋体" w:hAnsi="宋体"/>
                <w:color w:val="auto"/>
                <w:sz w:val="24"/>
                <w:highlight w:val="none"/>
              </w:rPr>
              <w:t>中标单位在中标公示结束后应及时领取中标通知书并签订合同。</w:t>
            </w:r>
          </w:p>
        </w:tc>
      </w:tr>
      <w:tr w14:paraId="6823B4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8" w:hRule="atLeast"/>
        </w:trPr>
        <w:tc>
          <w:tcPr>
            <w:tcW w:w="9020" w:type="dxa"/>
            <w:gridSpan w:val="3"/>
            <w:vAlign w:val="center"/>
          </w:tcPr>
          <w:p w14:paraId="093906E6">
            <w:pPr>
              <w:spacing w:line="360" w:lineRule="auto"/>
              <w:rPr>
                <w:rFonts w:hint="eastAsia" w:ascii="宋体" w:hAnsi="宋体"/>
                <w:color w:val="auto"/>
                <w:sz w:val="24"/>
                <w:highlight w:val="none"/>
              </w:rPr>
            </w:pPr>
            <w:r>
              <w:rPr>
                <w:rFonts w:hint="eastAsia" w:ascii="宋体" w:hAnsi="宋体"/>
                <w:color w:val="auto"/>
                <w:sz w:val="24"/>
                <w:highlight w:val="none"/>
                <w:lang w:val="en-US" w:eastAsia="zh-CN"/>
              </w:rPr>
              <w:t>44</w:t>
            </w:r>
            <w:r>
              <w:rPr>
                <w:rFonts w:hint="eastAsia" w:ascii="宋体" w:hAnsi="宋体"/>
                <w:color w:val="auto"/>
                <w:sz w:val="24"/>
                <w:highlight w:val="none"/>
              </w:rPr>
              <w:t>电子化交易注意事项</w:t>
            </w:r>
          </w:p>
        </w:tc>
      </w:tr>
      <w:tr w14:paraId="44C5F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8" w:hRule="atLeast"/>
        </w:trPr>
        <w:tc>
          <w:tcPr>
            <w:tcW w:w="777" w:type="dxa"/>
            <w:vAlign w:val="center"/>
          </w:tcPr>
          <w:p w14:paraId="227CBB77">
            <w:pPr>
              <w:spacing w:line="360" w:lineRule="auto"/>
              <w:rPr>
                <w:rFonts w:hint="eastAsia" w:ascii="宋体" w:hAnsi="宋体"/>
                <w:color w:val="auto"/>
                <w:sz w:val="24"/>
                <w:highlight w:val="none"/>
              </w:rPr>
            </w:pPr>
          </w:p>
        </w:tc>
        <w:tc>
          <w:tcPr>
            <w:tcW w:w="8243" w:type="dxa"/>
            <w:gridSpan w:val="2"/>
            <w:vAlign w:val="center"/>
          </w:tcPr>
          <w:p w14:paraId="01218BC5">
            <w:pPr>
              <w:spacing w:line="240" w:lineRule="auto"/>
              <w:rPr>
                <w:rFonts w:hint="eastAsia" w:ascii="宋体" w:hAnsi="宋体"/>
                <w:b/>
                <w:bCs/>
                <w:color w:val="auto"/>
                <w:sz w:val="24"/>
                <w:highlight w:val="none"/>
              </w:rPr>
            </w:pPr>
            <w:r>
              <w:rPr>
                <w:rFonts w:hint="eastAsia" w:ascii="宋体" w:hAnsi="宋体"/>
                <w:b/>
                <w:bCs/>
                <w:color w:val="auto"/>
                <w:sz w:val="24"/>
                <w:highlight w:val="none"/>
              </w:rPr>
              <w:t>电子化须知：</w:t>
            </w:r>
          </w:p>
          <w:p w14:paraId="289B35E4">
            <w:pPr>
              <w:spacing w:line="240" w:lineRule="auto"/>
              <w:ind w:firstLine="480" w:firstLineChars="200"/>
              <w:rPr>
                <w:rFonts w:hint="eastAsia" w:ascii="宋体" w:hAnsi="宋体"/>
                <w:color w:val="auto"/>
                <w:sz w:val="24"/>
                <w:highlight w:val="none"/>
              </w:rPr>
            </w:pPr>
            <w:r>
              <w:rPr>
                <w:rFonts w:hint="eastAsia" w:ascii="宋体" w:hAnsi="宋体"/>
                <w:color w:val="auto"/>
                <w:sz w:val="24"/>
                <w:highlight w:val="none"/>
              </w:rPr>
              <w:t>具体要求：本项目为电子化、无纸化交易项目，</w:t>
            </w:r>
            <w:r>
              <w:rPr>
                <w:rFonts w:hint="eastAsia" w:ascii="宋体" w:hAnsi="宋体"/>
                <w:color w:val="auto"/>
                <w:sz w:val="24"/>
                <w:highlight w:val="none"/>
                <w:lang w:eastAsia="zh-CN"/>
              </w:rPr>
              <w:t>响应文件</w:t>
            </w:r>
            <w:r>
              <w:rPr>
                <w:rFonts w:hint="eastAsia" w:ascii="宋体" w:hAnsi="宋体"/>
                <w:color w:val="auto"/>
                <w:sz w:val="24"/>
                <w:highlight w:val="none"/>
              </w:rPr>
              <w:t>是</w:t>
            </w:r>
            <w:r>
              <w:rPr>
                <w:rFonts w:hint="eastAsia" w:ascii="宋体" w:hAnsi="宋体"/>
                <w:color w:val="auto"/>
                <w:sz w:val="24"/>
                <w:highlight w:val="none"/>
                <w:lang w:eastAsia="zh-CN"/>
              </w:rPr>
              <w:t>供应商</w:t>
            </w:r>
            <w:r>
              <w:rPr>
                <w:rFonts w:hint="eastAsia" w:ascii="宋体" w:hAnsi="宋体"/>
                <w:color w:val="auto"/>
                <w:sz w:val="24"/>
                <w:highlight w:val="none"/>
              </w:rPr>
              <w:t>、供应商（以下简称“</w:t>
            </w:r>
            <w:r>
              <w:rPr>
                <w:rFonts w:hint="eastAsia" w:ascii="宋体" w:hAnsi="宋体"/>
                <w:color w:val="auto"/>
                <w:sz w:val="24"/>
                <w:highlight w:val="none"/>
                <w:lang w:eastAsia="zh-CN"/>
              </w:rPr>
              <w:t>供应商</w:t>
            </w:r>
            <w:r>
              <w:rPr>
                <w:rFonts w:hint="eastAsia" w:ascii="宋体" w:hAnsi="宋体"/>
                <w:color w:val="auto"/>
                <w:sz w:val="24"/>
                <w:highlight w:val="none"/>
              </w:rPr>
              <w:t>”）通过中心</w:t>
            </w:r>
            <w:r>
              <w:rPr>
                <w:rFonts w:hint="eastAsia" w:ascii="宋体" w:hAnsi="宋体"/>
                <w:color w:val="auto"/>
                <w:sz w:val="24"/>
                <w:highlight w:val="none"/>
                <w:lang w:eastAsia="zh-CN"/>
              </w:rPr>
              <w:t>响应文件</w:t>
            </w:r>
            <w:r>
              <w:rPr>
                <w:rFonts w:hint="eastAsia" w:ascii="宋体" w:hAnsi="宋体"/>
                <w:color w:val="auto"/>
                <w:sz w:val="24"/>
                <w:highlight w:val="none"/>
              </w:rPr>
              <w:t>制作系统制作，并经过签章和加密后生成的电子版</w:t>
            </w:r>
            <w:r>
              <w:rPr>
                <w:rFonts w:hint="eastAsia" w:ascii="宋体" w:hAnsi="宋体"/>
                <w:color w:val="auto"/>
                <w:sz w:val="24"/>
                <w:highlight w:val="none"/>
                <w:lang w:eastAsia="zh-CN"/>
              </w:rPr>
              <w:t>响应文件</w:t>
            </w:r>
            <w:r>
              <w:rPr>
                <w:rFonts w:hint="eastAsia" w:ascii="宋体" w:hAnsi="宋体"/>
                <w:color w:val="auto"/>
                <w:sz w:val="24"/>
                <w:highlight w:val="none"/>
              </w:rPr>
              <w:t>。</w:t>
            </w:r>
          </w:p>
          <w:p w14:paraId="70CD1C08">
            <w:pPr>
              <w:spacing w:line="240" w:lineRule="auto"/>
              <w:ind w:firstLine="480" w:firstLineChars="200"/>
              <w:rPr>
                <w:rFonts w:hint="eastAsia" w:ascii="宋体" w:hAnsi="宋体"/>
                <w:color w:val="auto"/>
                <w:sz w:val="24"/>
                <w:highlight w:val="none"/>
              </w:rPr>
            </w:pPr>
            <w:r>
              <w:rPr>
                <w:rFonts w:hint="eastAsia" w:ascii="宋体" w:hAnsi="宋体"/>
                <w:color w:val="auto"/>
                <w:sz w:val="24"/>
                <w:highlight w:val="none"/>
              </w:rPr>
              <w:t>电子化</w:t>
            </w:r>
            <w:r>
              <w:rPr>
                <w:rFonts w:hint="eastAsia" w:ascii="宋体" w:hAnsi="宋体"/>
                <w:color w:val="auto"/>
                <w:sz w:val="24"/>
                <w:highlight w:val="none"/>
                <w:lang w:eastAsia="zh-CN"/>
              </w:rPr>
              <w:t>响应文件</w:t>
            </w:r>
            <w:r>
              <w:rPr>
                <w:rFonts w:hint="eastAsia" w:ascii="宋体" w:hAnsi="宋体"/>
                <w:color w:val="auto"/>
                <w:sz w:val="24"/>
                <w:highlight w:val="none"/>
              </w:rPr>
              <w:t>具体制作文件请点击</w:t>
            </w:r>
            <w:r>
              <w:rPr>
                <w:color w:val="auto"/>
                <w:sz w:val="24"/>
                <w:highlight w:val="none"/>
              </w:rPr>
              <w:fldChar w:fldCharType="begin"/>
            </w:r>
            <w:r>
              <w:rPr>
                <w:color w:val="auto"/>
                <w:sz w:val="24"/>
                <w:highlight w:val="none"/>
              </w:rPr>
              <w:instrText xml:space="preserve"> HYPERLINK "http://t.cn/A6ZvtVob" </w:instrText>
            </w:r>
            <w:r>
              <w:rPr>
                <w:color w:val="auto"/>
                <w:sz w:val="24"/>
                <w:highlight w:val="none"/>
              </w:rPr>
              <w:fldChar w:fldCharType="separate"/>
            </w:r>
            <w:r>
              <w:rPr>
                <w:rStyle w:val="105"/>
                <w:rFonts w:hint="eastAsia" w:ascii="宋体" w:hAnsi="宋体"/>
                <w:color w:val="auto"/>
                <w:sz w:val="24"/>
                <w:highlight w:val="none"/>
              </w:rPr>
              <w:t>http://t.cn/A6ZvtVob</w:t>
            </w:r>
            <w:r>
              <w:rPr>
                <w:rFonts w:hint="eastAsia" w:ascii="宋体" w:hAnsi="宋体"/>
                <w:color w:val="auto"/>
                <w:sz w:val="24"/>
                <w:highlight w:val="none"/>
              </w:rPr>
              <w:fldChar w:fldCharType="end"/>
            </w:r>
            <w:r>
              <w:rPr>
                <w:rFonts w:hint="eastAsia" w:ascii="宋体" w:hAnsi="宋体"/>
                <w:color w:val="auto"/>
                <w:sz w:val="24"/>
                <w:highlight w:val="none"/>
              </w:rPr>
              <w:t>进行下载。</w:t>
            </w:r>
          </w:p>
          <w:p w14:paraId="3F9F9555">
            <w:pPr>
              <w:spacing w:line="240" w:lineRule="auto"/>
              <w:ind w:firstLine="482" w:firstLineChars="200"/>
              <w:rPr>
                <w:rFonts w:hint="eastAsia" w:ascii="宋体" w:hAnsi="宋体"/>
                <w:b/>
                <w:color w:val="auto"/>
                <w:sz w:val="24"/>
                <w:highlight w:val="none"/>
              </w:rPr>
            </w:pPr>
            <w:r>
              <w:rPr>
                <w:rFonts w:hint="eastAsia" w:ascii="宋体" w:hAnsi="宋体"/>
                <w:b/>
                <w:color w:val="auto"/>
                <w:sz w:val="24"/>
                <w:highlight w:val="none"/>
              </w:rPr>
              <w:t>温馨提示：本项目为电子化、无纸化交易项目，为保证您能投标成功，请需仔细阅读以下条款。</w:t>
            </w:r>
          </w:p>
          <w:p w14:paraId="6B9E9CD1">
            <w:pPr>
              <w:spacing w:line="240" w:lineRule="auto"/>
              <w:rPr>
                <w:rFonts w:hint="eastAsia" w:ascii="宋体" w:hAnsi="宋体"/>
                <w:b/>
                <w:color w:val="auto"/>
                <w:sz w:val="24"/>
                <w:highlight w:val="none"/>
              </w:rPr>
            </w:pPr>
            <w:r>
              <w:rPr>
                <w:rFonts w:hint="eastAsia" w:ascii="宋体" w:hAnsi="宋体"/>
                <w:b/>
                <w:color w:val="auto"/>
                <w:sz w:val="24"/>
                <w:highlight w:val="none"/>
              </w:rPr>
              <w:t>一、电子化投标</w:t>
            </w:r>
          </w:p>
          <w:p w14:paraId="49A00138">
            <w:pPr>
              <w:spacing w:line="240" w:lineRule="auto"/>
              <w:rPr>
                <w:rFonts w:hint="eastAsia" w:ascii="宋体" w:hAnsi="宋体"/>
                <w:color w:val="auto"/>
                <w:sz w:val="24"/>
                <w:highlight w:val="none"/>
              </w:rPr>
            </w:pPr>
            <w:r>
              <w:rPr>
                <w:rFonts w:hint="eastAsia" w:ascii="宋体" w:hAnsi="宋体"/>
                <w:color w:val="auto"/>
                <w:sz w:val="24"/>
                <w:highlight w:val="none"/>
              </w:rPr>
              <w:t>（一）网上投标保证金的缴纳</w:t>
            </w:r>
          </w:p>
          <w:p w14:paraId="26A7F9DB">
            <w:pPr>
              <w:spacing w:line="240" w:lineRule="auto"/>
              <w:ind w:firstLine="480" w:firstLineChars="200"/>
              <w:rPr>
                <w:rFonts w:hint="eastAsia" w:ascii="宋体" w:hAnsi="宋体"/>
                <w:color w:val="auto"/>
                <w:sz w:val="24"/>
                <w:highlight w:val="none"/>
              </w:rPr>
            </w:pPr>
            <w:r>
              <w:rPr>
                <w:rFonts w:hint="eastAsia" w:ascii="宋体" w:hAnsi="宋体"/>
                <w:color w:val="auto"/>
                <w:sz w:val="24"/>
                <w:highlight w:val="none"/>
              </w:rPr>
              <w:t>1、递交形式：</w:t>
            </w:r>
            <w:r>
              <w:rPr>
                <w:rFonts w:hint="eastAsia" w:ascii="宋体" w:hAnsi="宋体"/>
                <w:color w:val="auto"/>
                <w:sz w:val="24"/>
                <w:highlight w:val="none"/>
                <w:lang w:eastAsia="zh-CN"/>
              </w:rPr>
              <w:t>供应商</w:t>
            </w:r>
            <w:r>
              <w:rPr>
                <w:rFonts w:hint="eastAsia" w:ascii="宋体" w:hAnsi="宋体"/>
                <w:color w:val="auto"/>
                <w:sz w:val="24"/>
                <w:highlight w:val="none"/>
              </w:rPr>
              <w:t>的投标保证金必须通过</w:t>
            </w:r>
            <w:r>
              <w:rPr>
                <w:rFonts w:hint="eastAsia" w:ascii="宋体" w:hAnsi="宋体"/>
                <w:color w:val="auto"/>
                <w:sz w:val="24"/>
                <w:highlight w:val="none"/>
                <w:lang w:eastAsia="zh-CN"/>
              </w:rPr>
              <w:t>供应商</w:t>
            </w:r>
            <w:r>
              <w:rPr>
                <w:rFonts w:hint="eastAsia" w:ascii="宋体" w:hAnsi="宋体"/>
                <w:color w:val="auto"/>
                <w:sz w:val="24"/>
                <w:highlight w:val="none"/>
              </w:rPr>
              <w:t>基本账户以转账或电汇的形式缴纳（账户必须是已加入三门峡市公共资源交易</w:t>
            </w:r>
            <w:r>
              <w:rPr>
                <w:rFonts w:hint="eastAsia" w:ascii="宋体" w:hAnsi="宋体"/>
                <w:color w:val="auto"/>
                <w:sz w:val="24"/>
                <w:highlight w:val="none"/>
                <w:lang w:eastAsia="zh-CN"/>
              </w:rPr>
              <w:t>供应商</w:t>
            </w:r>
            <w:r>
              <w:rPr>
                <w:rFonts w:hint="eastAsia" w:ascii="宋体" w:hAnsi="宋体"/>
                <w:color w:val="auto"/>
                <w:sz w:val="24"/>
                <w:highlight w:val="none"/>
              </w:rPr>
              <w:t>或供应商市场主体信息库中的账户）。</w:t>
            </w:r>
          </w:p>
          <w:p w14:paraId="718A7F40">
            <w:pPr>
              <w:spacing w:line="240" w:lineRule="auto"/>
              <w:ind w:firstLine="480" w:firstLineChars="200"/>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lang w:eastAsia="zh-CN"/>
              </w:rPr>
              <w:t>供应商</w:t>
            </w:r>
            <w:r>
              <w:rPr>
                <w:rFonts w:hint="eastAsia" w:ascii="宋体" w:hAnsi="宋体"/>
                <w:color w:val="auto"/>
                <w:sz w:val="24"/>
                <w:highlight w:val="none"/>
              </w:rPr>
              <w:t>在成功缴纳后，可以将银行回单制作在</w:t>
            </w:r>
            <w:r>
              <w:rPr>
                <w:rFonts w:hint="eastAsia" w:ascii="宋体" w:hAnsi="宋体"/>
                <w:color w:val="auto"/>
                <w:sz w:val="24"/>
                <w:highlight w:val="none"/>
                <w:lang w:eastAsia="zh-CN"/>
              </w:rPr>
              <w:t>响应文件</w:t>
            </w:r>
            <w:r>
              <w:rPr>
                <w:rFonts w:hint="eastAsia" w:ascii="宋体" w:hAnsi="宋体"/>
                <w:color w:val="auto"/>
                <w:sz w:val="24"/>
                <w:highlight w:val="none"/>
              </w:rPr>
              <w:t>中，作为缴纳保证金的依据。</w:t>
            </w:r>
          </w:p>
          <w:p w14:paraId="355F36DB">
            <w:pPr>
              <w:spacing w:line="240" w:lineRule="auto"/>
              <w:ind w:firstLine="480" w:firstLineChars="200"/>
              <w:rPr>
                <w:rFonts w:hint="eastAsia" w:ascii="宋体" w:hAnsi="宋体"/>
                <w:color w:val="auto"/>
                <w:sz w:val="24"/>
                <w:highlight w:val="none"/>
              </w:rPr>
            </w:pPr>
            <w:r>
              <w:rPr>
                <w:rFonts w:hint="eastAsia" w:ascii="宋体" w:hAnsi="宋体"/>
                <w:color w:val="auto"/>
                <w:sz w:val="24"/>
                <w:highlight w:val="none"/>
              </w:rPr>
              <w:t>3、</w:t>
            </w:r>
            <w:r>
              <w:rPr>
                <w:rFonts w:hint="eastAsia" w:ascii="宋体" w:hAnsi="宋体"/>
                <w:color w:val="auto"/>
                <w:sz w:val="24"/>
                <w:highlight w:val="none"/>
                <w:lang w:eastAsia="zh-CN"/>
              </w:rPr>
              <w:t>供应商</w:t>
            </w:r>
            <w:r>
              <w:rPr>
                <w:rFonts w:hint="eastAsia" w:ascii="宋体" w:hAnsi="宋体"/>
                <w:color w:val="auto"/>
                <w:sz w:val="24"/>
                <w:highlight w:val="none"/>
              </w:rPr>
              <w:t>应仔细阅读操作手册并</w:t>
            </w:r>
            <w:r>
              <w:rPr>
                <w:rFonts w:hint="eastAsia" w:ascii="宋体" w:hAnsi="宋体"/>
                <w:b/>
                <w:color w:val="auto"/>
                <w:sz w:val="24"/>
                <w:highlight w:val="none"/>
              </w:rPr>
              <w:t>充分考虑异地跨行转账到账时间等因素</w:t>
            </w:r>
            <w:r>
              <w:rPr>
                <w:rFonts w:hint="eastAsia" w:ascii="宋体" w:hAnsi="宋体"/>
                <w:color w:val="auto"/>
                <w:sz w:val="24"/>
                <w:highlight w:val="none"/>
              </w:rPr>
              <w:t>，因</w:t>
            </w:r>
            <w:r>
              <w:rPr>
                <w:rFonts w:hint="eastAsia" w:ascii="宋体" w:hAnsi="宋体"/>
                <w:color w:val="auto"/>
                <w:sz w:val="24"/>
                <w:highlight w:val="none"/>
                <w:lang w:eastAsia="zh-CN"/>
              </w:rPr>
              <w:t>供应商</w:t>
            </w:r>
            <w:r>
              <w:rPr>
                <w:rFonts w:hint="eastAsia" w:ascii="宋体" w:hAnsi="宋体"/>
                <w:color w:val="auto"/>
                <w:sz w:val="24"/>
                <w:highlight w:val="none"/>
              </w:rPr>
              <w:t>操作不当或银行到账时间等问题造成开标时间未到达指定账户影响投标的，由</w:t>
            </w:r>
            <w:r>
              <w:rPr>
                <w:rFonts w:hint="eastAsia" w:ascii="宋体" w:hAnsi="宋体"/>
                <w:color w:val="auto"/>
                <w:sz w:val="24"/>
                <w:highlight w:val="none"/>
                <w:lang w:eastAsia="zh-CN"/>
              </w:rPr>
              <w:t>供应商</w:t>
            </w:r>
            <w:r>
              <w:rPr>
                <w:rFonts w:hint="eastAsia" w:ascii="宋体" w:hAnsi="宋体"/>
                <w:color w:val="auto"/>
                <w:sz w:val="24"/>
                <w:highlight w:val="none"/>
              </w:rPr>
              <w:t>自行承担后果。</w:t>
            </w:r>
          </w:p>
          <w:p w14:paraId="6AA07CBC">
            <w:pPr>
              <w:spacing w:line="240" w:lineRule="auto"/>
              <w:ind w:firstLine="480" w:firstLineChars="200"/>
              <w:rPr>
                <w:rFonts w:hint="eastAsia" w:ascii="宋体" w:hAnsi="宋体"/>
                <w:color w:val="auto"/>
                <w:sz w:val="24"/>
                <w:highlight w:val="none"/>
              </w:rPr>
            </w:pPr>
            <w:r>
              <w:rPr>
                <w:rFonts w:hint="eastAsia" w:ascii="宋体" w:hAnsi="宋体"/>
                <w:color w:val="auto"/>
                <w:sz w:val="24"/>
                <w:highlight w:val="none"/>
              </w:rPr>
              <w:t>4、未中标</w:t>
            </w:r>
            <w:r>
              <w:rPr>
                <w:rFonts w:hint="eastAsia" w:ascii="宋体" w:hAnsi="宋体"/>
                <w:color w:val="auto"/>
                <w:sz w:val="24"/>
                <w:highlight w:val="none"/>
                <w:lang w:eastAsia="zh-CN"/>
              </w:rPr>
              <w:t>供应商</w:t>
            </w:r>
            <w:r>
              <w:rPr>
                <w:rFonts w:hint="eastAsia" w:ascii="宋体" w:hAnsi="宋体"/>
                <w:color w:val="auto"/>
                <w:sz w:val="24"/>
                <w:highlight w:val="none"/>
              </w:rPr>
              <w:t>的投标保证金在项目结束后，将通过中心交易平台退还。</w:t>
            </w:r>
          </w:p>
          <w:p w14:paraId="5B35C4A8">
            <w:pPr>
              <w:spacing w:line="240" w:lineRule="auto"/>
              <w:rPr>
                <w:rFonts w:hint="eastAsia" w:ascii="宋体" w:hAnsi="宋体"/>
                <w:color w:val="auto"/>
                <w:sz w:val="24"/>
                <w:highlight w:val="none"/>
              </w:rPr>
            </w:pPr>
            <w:r>
              <w:rPr>
                <w:rFonts w:hint="eastAsia" w:ascii="宋体" w:hAnsi="宋体"/>
                <w:color w:val="auto"/>
                <w:sz w:val="24"/>
                <w:highlight w:val="none"/>
              </w:rPr>
              <w:t>（二）电子化</w:t>
            </w:r>
            <w:r>
              <w:rPr>
                <w:rFonts w:hint="eastAsia" w:ascii="宋体" w:hAnsi="宋体"/>
                <w:color w:val="auto"/>
                <w:sz w:val="24"/>
                <w:highlight w:val="none"/>
                <w:lang w:eastAsia="zh-CN"/>
              </w:rPr>
              <w:t>响应文件</w:t>
            </w:r>
            <w:r>
              <w:rPr>
                <w:rFonts w:hint="eastAsia" w:ascii="宋体" w:hAnsi="宋体"/>
                <w:color w:val="auto"/>
                <w:sz w:val="24"/>
                <w:highlight w:val="none"/>
              </w:rPr>
              <w:t>的签章</w:t>
            </w:r>
          </w:p>
          <w:p w14:paraId="24787CEC">
            <w:pPr>
              <w:spacing w:line="240" w:lineRule="auto"/>
              <w:ind w:firstLine="573"/>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eastAsia="zh-CN"/>
              </w:rPr>
              <w:t>供应商</w:t>
            </w:r>
            <w:r>
              <w:rPr>
                <w:rFonts w:hint="eastAsia" w:ascii="宋体" w:hAnsi="宋体"/>
                <w:color w:val="auto"/>
                <w:sz w:val="24"/>
                <w:highlight w:val="none"/>
              </w:rPr>
              <w:t>在生成电子化</w:t>
            </w:r>
            <w:r>
              <w:rPr>
                <w:rFonts w:hint="eastAsia" w:ascii="宋体" w:hAnsi="宋体"/>
                <w:color w:val="auto"/>
                <w:sz w:val="24"/>
                <w:highlight w:val="none"/>
                <w:lang w:eastAsia="zh-CN"/>
              </w:rPr>
              <w:t>响应文件</w:t>
            </w:r>
            <w:r>
              <w:rPr>
                <w:rFonts w:hint="eastAsia" w:ascii="宋体" w:hAnsi="宋体"/>
                <w:color w:val="auto"/>
                <w:sz w:val="24"/>
                <w:highlight w:val="none"/>
              </w:rPr>
              <w:t>后，应对电子化</w:t>
            </w:r>
            <w:r>
              <w:rPr>
                <w:rFonts w:hint="eastAsia" w:ascii="宋体" w:hAnsi="宋体"/>
                <w:color w:val="auto"/>
                <w:sz w:val="24"/>
                <w:highlight w:val="none"/>
                <w:lang w:eastAsia="zh-CN"/>
              </w:rPr>
              <w:t>响应文件</w:t>
            </w:r>
            <w:r>
              <w:rPr>
                <w:rFonts w:hint="eastAsia" w:ascii="宋体" w:hAnsi="宋体"/>
                <w:color w:val="auto"/>
                <w:sz w:val="24"/>
                <w:highlight w:val="none"/>
              </w:rPr>
              <w:t>进行签章，未进行签章的视为无效投标。</w:t>
            </w:r>
          </w:p>
          <w:p w14:paraId="26417C9D">
            <w:pPr>
              <w:spacing w:line="240" w:lineRule="auto"/>
              <w:ind w:firstLine="720" w:firstLineChars="300"/>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lang w:eastAsia="zh-CN"/>
              </w:rPr>
              <w:t>磋商文件</w:t>
            </w:r>
            <w:r>
              <w:rPr>
                <w:rFonts w:hint="eastAsia" w:ascii="宋体" w:hAnsi="宋体"/>
                <w:color w:val="auto"/>
                <w:sz w:val="24"/>
                <w:highlight w:val="none"/>
              </w:rPr>
              <w:t>中要求</w:t>
            </w:r>
            <w:r>
              <w:rPr>
                <w:rFonts w:hint="eastAsia" w:ascii="宋体" w:hAnsi="宋体"/>
                <w:b/>
                <w:color w:val="auto"/>
                <w:sz w:val="24"/>
                <w:highlight w:val="none"/>
              </w:rPr>
              <w:t>法定代表人或授权委托人签字或盖章的，</w:t>
            </w:r>
            <w:r>
              <w:rPr>
                <w:rFonts w:hint="eastAsia" w:ascii="宋体" w:hAnsi="宋体"/>
                <w:color w:val="auto"/>
                <w:sz w:val="24"/>
                <w:highlight w:val="none"/>
                <w:lang w:eastAsia="zh-CN"/>
              </w:rPr>
              <w:t>供应商</w:t>
            </w:r>
            <w:r>
              <w:rPr>
                <w:rFonts w:hint="eastAsia" w:ascii="宋体" w:hAnsi="宋体"/>
                <w:color w:val="auto"/>
                <w:sz w:val="24"/>
                <w:highlight w:val="none"/>
              </w:rPr>
              <w:t>在进行</w:t>
            </w:r>
            <w:r>
              <w:rPr>
                <w:rFonts w:hint="eastAsia" w:ascii="宋体" w:hAnsi="宋体"/>
                <w:b/>
                <w:color w:val="auto"/>
                <w:sz w:val="24"/>
                <w:highlight w:val="none"/>
              </w:rPr>
              <w:t>电子化</w:t>
            </w:r>
            <w:r>
              <w:rPr>
                <w:rFonts w:hint="eastAsia" w:ascii="宋体" w:hAnsi="宋体"/>
                <w:b/>
                <w:color w:val="auto"/>
                <w:sz w:val="24"/>
                <w:highlight w:val="none"/>
                <w:lang w:eastAsia="zh-CN"/>
              </w:rPr>
              <w:t>响应文件</w:t>
            </w:r>
            <w:r>
              <w:rPr>
                <w:rFonts w:hint="eastAsia" w:ascii="宋体" w:hAnsi="宋体"/>
                <w:b/>
                <w:color w:val="auto"/>
                <w:sz w:val="24"/>
                <w:highlight w:val="none"/>
              </w:rPr>
              <w:t>签章时，以签盖法定代表人签章为准</w:t>
            </w:r>
            <w:r>
              <w:rPr>
                <w:rFonts w:hint="eastAsia" w:ascii="宋体" w:hAnsi="宋体"/>
                <w:color w:val="auto"/>
                <w:sz w:val="24"/>
                <w:highlight w:val="none"/>
              </w:rPr>
              <w:t>。</w:t>
            </w:r>
          </w:p>
          <w:p w14:paraId="4777E85D">
            <w:pPr>
              <w:spacing w:line="240" w:lineRule="auto"/>
              <w:rPr>
                <w:rFonts w:hint="eastAsia" w:ascii="宋体" w:hAnsi="宋体"/>
                <w:color w:val="auto"/>
                <w:sz w:val="24"/>
                <w:highlight w:val="none"/>
              </w:rPr>
            </w:pPr>
            <w:r>
              <w:rPr>
                <w:rFonts w:hint="eastAsia" w:ascii="宋体" w:hAnsi="宋体"/>
                <w:color w:val="auto"/>
                <w:sz w:val="24"/>
                <w:highlight w:val="none"/>
              </w:rPr>
              <w:t>（三）电子化</w:t>
            </w:r>
            <w:r>
              <w:rPr>
                <w:rFonts w:hint="eastAsia" w:ascii="宋体" w:hAnsi="宋体"/>
                <w:color w:val="auto"/>
                <w:sz w:val="24"/>
                <w:highlight w:val="none"/>
                <w:lang w:eastAsia="zh-CN"/>
              </w:rPr>
              <w:t>响应文件</w:t>
            </w:r>
            <w:r>
              <w:rPr>
                <w:rFonts w:hint="eastAsia" w:ascii="宋体" w:hAnsi="宋体"/>
                <w:color w:val="auto"/>
                <w:sz w:val="24"/>
                <w:highlight w:val="none"/>
              </w:rPr>
              <w:t>的格式及上传投标</w:t>
            </w:r>
          </w:p>
          <w:p w14:paraId="3FB3F32E">
            <w:pPr>
              <w:spacing w:line="240" w:lineRule="auto"/>
              <w:ind w:firstLine="573"/>
              <w:rPr>
                <w:rFonts w:hint="eastAsia" w:ascii="宋体" w:hAnsi="宋体"/>
                <w:color w:val="auto"/>
                <w:sz w:val="24"/>
                <w:highlight w:val="none"/>
              </w:rPr>
            </w:pPr>
            <w:r>
              <w:rPr>
                <w:rFonts w:hint="eastAsia" w:ascii="宋体" w:hAnsi="宋体"/>
                <w:color w:val="auto"/>
                <w:sz w:val="24"/>
                <w:highlight w:val="none"/>
              </w:rPr>
              <w:t>1、</w:t>
            </w:r>
            <w:r>
              <w:rPr>
                <w:rFonts w:hint="eastAsia" w:ascii="宋体" w:hAnsi="宋体"/>
                <w:color w:val="auto"/>
                <w:sz w:val="24"/>
                <w:highlight w:val="none"/>
                <w:lang w:eastAsia="zh-CN"/>
              </w:rPr>
              <w:t>供应商</w:t>
            </w:r>
            <w:r>
              <w:rPr>
                <w:rFonts w:hint="eastAsia" w:ascii="宋体" w:hAnsi="宋体"/>
                <w:color w:val="auto"/>
                <w:sz w:val="24"/>
                <w:highlight w:val="none"/>
              </w:rPr>
              <w:t>所上传的电子化</w:t>
            </w:r>
            <w:r>
              <w:rPr>
                <w:rFonts w:hint="eastAsia" w:ascii="宋体" w:hAnsi="宋体"/>
                <w:color w:val="auto"/>
                <w:sz w:val="24"/>
                <w:highlight w:val="none"/>
                <w:lang w:eastAsia="zh-CN"/>
              </w:rPr>
              <w:t>响应文件</w:t>
            </w:r>
            <w:r>
              <w:rPr>
                <w:rFonts w:hint="eastAsia" w:ascii="宋体" w:hAnsi="宋体"/>
                <w:color w:val="auto"/>
                <w:sz w:val="24"/>
                <w:highlight w:val="none"/>
              </w:rPr>
              <w:t>，应是通过中心</w:t>
            </w:r>
            <w:r>
              <w:rPr>
                <w:rFonts w:hint="eastAsia" w:ascii="宋体" w:hAnsi="宋体"/>
                <w:color w:val="auto"/>
                <w:sz w:val="24"/>
                <w:highlight w:val="none"/>
                <w:lang w:eastAsia="zh-CN"/>
              </w:rPr>
              <w:t>响应文件</w:t>
            </w:r>
            <w:r>
              <w:rPr>
                <w:rFonts w:hint="eastAsia" w:ascii="宋体" w:hAnsi="宋体"/>
                <w:color w:val="auto"/>
                <w:sz w:val="24"/>
                <w:highlight w:val="none"/>
              </w:rPr>
              <w:t>制作系统制作的（</w:t>
            </w:r>
            <w:r>
              <w:rPr>
                <w:rFonts w:hint="eastAsia" w:ascii="宋体" w:hAnsi="宋体"/>
                <w:color w:val="auto"/>
                <w:sz w:val="24"/>
                <w:highlight w:val="none"/>
                <w:lang w:eastAsia="zh-CN"/>
              </w:rPr>
              <w:t>响应文件</w:t>
            </w:r>
            <w:r>
              <w:rPr>
                <w:rFonts w:hint="eastAsia" w:ascii="宋体" w:hAnsi="宋体"/>
                <w:color w:val="auto"/>
                <w:sz w:val="24"/>
                <w:highlight w:val="none"/>
              </w:rPr>
              <w:t>制作工具下载地址：http://t.cn/A6ZvtVob），经过签章和加密后生成的电子版</w:t>
            </w:r>
            <w:r>
              <w:rPr>
                <w:rFonts w:hint="eastAsia" w:ascii="宋体" w:hAnsi="宋体"/>
                <w:color w:val="auto"/>
                <w:sz w:val="24"/>
                <w:highlight w:val="none"/>
                <w:lang w:eastAsia="zh-CN"/>
              </w:rPr>
              <w:t>响应文件</w:t>
            </w:r>
            <w:r>
              <w:rPr>
                <w:rFonts w:hint="eastAsia" w:ascii="宋体" w:hAnsi="宋体"/>
                <w:color w:val="auto"/>
                <w:sz w:val="24"/>
                <w:highlight w:val="none"/>
              </w:rPr>
              <w:t>。其中包含用于</w:t>
            </w:r>
            <w:r>
              <w:rPr>
                <w:rFonts w:hint="eastAsia" w:ascii="宋体" w:hAnsi="宋体"/>
                <w:color w:val="auto"/>
                <w:sz w:val="24"/>
                <w:highlight w:val="none"/>
                <w:lang w:eastAsia="zh-CN"/>
              </w:rPr>
              <w:t>响应文件</w:t>
            </w:r>
            <w:r>
              <w:rPr>
                <w:rFonts w:hint="eastAsia" w:ascii="宋体" w:hAnsi="宋体"/>
                <w:color w:val="auto"/>
                <w:sz w:val="24"/>
                <w:highlight w:val="none"/>
              </w:rPr>
              <w:t>上传的主文件（后缀为.smxtf）和用于应急补救的</w:t>
            </w:r>
            <w:r>
              <w:rPr>
                <w:rFonts w:hint="eastAsia" w:ascii="宋体" w:hAnsi="宋体"/>
                <w:color w:val="auto"/>
                <w:sz w:val="24"/>
                <w:highlight w:val="none"/>
                <w:lang w:eastAsia="zh-CN"/>
              </w:rPr>
              <w:t>响应文件</w:t>
            </w:r>
            <w:r>
              <w:rPr>
                <w:rFonts w:hint="eastAsia" w:ascii="宋体" w:hAnsi="宋体"/>
                <w:color w:val="auto"/>
                <w:sz w:val="24"/>
                <w:highlight w:val="none"/>
              </w:rPr>
              <w:t>备份文件（后缀为.nsmxtf）。备份文件主要用于电子化开标出现技术问题后的补救，请</w:t>
            </w:r>
            <w:r>
              <w:rPr>
                <w:rFonts w:hint="eastAsia" w:ascii="宋体" w:hAnsi="宋体"/>
                <w:color w:val="auto"/>
                <w:sz w:val="24"/>
                <w:highlight w:val="none"/>
                <w:lang w:eastAsia="zh-CN"/>
              </w:rPr>
              <w:t>供应商</w:t>
            </w:r>
            <w:r>
              <w:rPr>
                <w:rFonts w:hint="eastAsia" w:ascii="宋体" w:hAnsi="宋体"/>
                <w:color w:val="auto"/>
                <w:sz w:val="24"/>
                <w:highlight w:val="none"/>
              </w:rPr>
              <w:t>随身携带。</w:t>
            </w:r>
          </w:p>
          <w:p w14:paraId="6BCBDDD2">
            <w:pPr>
              <w:spacing w:line="240" w:lineRule="auto"/>
              <w:ind w:firstLine="573"/>
              <w:rPr>
                <w:rFonts w:hint="eastAsia" w:ascii="宋体" w:hAnsi="宋体"/>
                <w:color w:val="auto"/>
                <w:sz w:val="24"/>
                <w:highlight w:val="none"/>
              </w:rPr>
            </w:pPr>
            <w:r>
              <w:rPr>
                <w:rFonts w:hint="eastAsia" w:ascii="宋体" w:hAnsi="宋体"/>
                <w:color w:val="auto"/>
                <w:sz w:val="24"/>
                <w:highlight w:val="none"/>
              </w:rPr>
              <w:t>2、电子化</w:t>
            </w:r>
            <w:r>
              <w:rPr>
                <w:rFonts w:hint="eastAsia" w:ascii="宋体" w:hAnsi="宋体"/>
                <w:color w:val="auto"/>
                <w:sz w:val="24"/>
                <w:highlight w:val="none"/>
                <w:lang w:eastAsia="zh-CN"/>
              </w:rPr>
              <w:t>响应文件</w:t>
            </w:r>
            <w:r>
              <w:rPr>
                <w:rFonts w:hint="eastAsia" w:ascii="宋体" w:hAnsi="宋体"/>
                <w:color w:val="auto"/>
                <w:sz w:val="24"/>
                <w:highlight w:val="none"/>
              </w:rPr>
              <w:t>应在投标截止时间前成功上传至三门峡市公共资源电子化交易系统。至投标截止时间止，仍未上传成功的电子化</w:t>
            </w:r>
            <w:r>
              <w:rPr>
                <w:rFonts w:hint="eastAsia" w:ascii="宋体" w:hAnsi="宋体"/>
                <w:color w:val="auto"/>
                <w:sz w:val="24"/>
                <w:highlight w:val="none"/>
                <w:lang w:eastAsia="zh-CN"/>
              </w:rPr>
              <w:t>响应文件</w:t>
            </w:r>
            <w:r>
              <w:rPr>
                <w:rFonts w:hint="eastAsia" w:ascii="宋体" w:hAnsi="宋体"/>
                <w:color w:val="auto"/>
                <w:sz w:val="24"/>
                <w:highlight w:val="none"/>
              </w:rPr>
              <w:t>将不予接收。</w:t>
            </w:r>
          </w:p>
          <w:p w14:paraId="50FFF22F">
            <w:pPr>
              <w:spacing w:line="240" w:lineRule="auto"/>
              <w:ind w:firstLine="573"/>
              <w:rPr>
                <w:rFonts w:hint="eastAsia" w:ascii="宋体" w:hAnsi="宋体"/>
                <w:b/>
                <w:color w:val="auto"/>
                <w:sz w:val="24"/>
                <w:highlight w:val="none"/>
              </w:rPr>
            </w:pPr>
            <w:r>
              <w:rPr>
                <w:rFonts w:hint="eastAsia" w:ascii="宋体" w:hAnsi="宋体"/>
                <w:b/>
                <w:color w:val="auto"/>
                <w:sz w:val="24"/>
                <w:highlight w:val="none"/>
              </w:rPr>
              <w:t>注：</w:t>
            </w:r>
            <w:r>
              <w:rPr>
                <w:rFonts w:hint="eastAsia" w:ascii="宋体" w:hAnsi="宋体"/>
                <w:color w:val="auto"/>
                <w:sz w:val="24"/>
                <w:highlight w:val="none"/>
              </w:rPr>
              <w:t>如按照电子化投标操作教材制作完成的电子化</w:t>
            </w:r>
            <w:r>
              <w:rPr>
                <w:rFonts w:hint="eastAsia" w:ascii="宋体" w:hAnsi="宋体"/>
                <w:color w:val="auto"/>
                <w:sz w:val="24"/>
                <w:highlight w:val="none"/>
                <w:lang w:eastAsia="zh-CN"/>
              </w:rPr>
              <w:t>响应文件</w:t>
            </w:r>
            <w:r>
              <w:rPr>
                <w:rFonts w:hint="eastAsia" w:ascii="宋体" w:hAnsi="宋体"/>
                <w:color w:val="auto"/>
                <w:sz w:val="24"/>
                <w:highlight w:val="none"/>
              </w:rPr>
              <w:t>无法上传的，</w:t>
            </w:r>
            <w:r>
              <w:rPr>
                <w:rFonts w:hint="eastAsia" w:ascii="宋体" w:hAnsi="宋体"/>
                <w:color w:val="auto"/>
                <w:sz w:val="24"/>
                <w:highlight w:val="none"/>
                <w:lang w:eastAsia="zh-CN"/>
              </w:rPr>
              <w:t>供应商</w:t>
            </w:r>
            <w:r>
              <w:rPr>
                <w:rFonts w:hint="eastAsia" w:ascii="宋体" w:hAnsi="宋体"/>
                <w:color w:val="auto"/>
                <w:sz w:val="24"/>
                <w:highlight w:val="none"/>
              </w:rPr>
              <w:t>应在</w:t>
            </w:r>
            <w:r>
              <w:rPr>
                <w:rFonts w:hint="eastAsia" w:ascii="宋体" w:hAnsi="宋体"/>
                <w:b/>
                <w:color w:val="auto"/>
                <w:sz w:val="24"/>
                <w:highlight w:val="none"/>
              </w:rPr>
              <w:t>投标截止时间前尽早的</w:t>
            </w:r>
            <w:r>
              <w:rPr>
                <w:rFonts w:hint="eastAsia" w:ascii="宋体" w:hAnsi="宋体"/>
                <w:color w:val="auto"/>
                <w:sz w:val="24"/>
                <w:highlight w:val="none"/>
              </w:rPr>
              <w:t>联系中心技术人员，以便有充分的时间进行处理。</w:t>
            </w:r>
            <w:r>
              <w:rPr>
                <w:rFonts w:hint="eastAsia" w:ascii="宋体" w:hAnsi="宋体"/>
                <w:b/>
                <w:color w:val="auto"/>
                <w:sz w:val="24"/>
                <w:highlight w:val="none"/>
                <w:lang w:eastAsia="zh-CN"/>
              </w:rPr>
              <w:t>供应商</w:t>
            </w:r>
            <w:r>
              <w:rPr>
                <w:rFonts w:hint="eastAsia" w:ascii="宋体" w:hAnsi="宋体"/>
                <w:b/>
                <w:color w:val="auto"/>
                <w:sz w:val="24"/>
                <w:highlight w:val="none"/>
              </w:rPr>
              <w:t>应充分考虑到处理技术问题和上传数据等工作所需的时间问题，</w:t>
            </w:r>
            <w:r>
              <w:rPr>
                <w:rFonts w:hint="eastAsia" w:ascii="宋体" w:hAnsi="宋体"/>
                <w:b/>
                <w:color w:val="auto"/>
                <w:sz w:val="24"/>
                <w:highlight w:val="none"/>
                <w:lang w:eastAsia="zh-CN"/>
              </w:rPr>
              <w:t>响应文件</w:t>
            </w:r>
            <w:r>
              <w:rPr>
                <w:rFonts w:hint="eastAsia" w:ascii="宋体" w:hAnsi="宋体"/>
                <w:b/>
                <w:color w:val="auto"/>
                <w:sz w:val="24"/>
                <w:highlight w:val="none"/>
              </w:rPr>
              <w:t>未在投标截止时间前成功上传的，其</w:t>
            </w:r>
            <w:r>
              <w:rPr>
                <w:rFonts w:hint="eastAsia" w:ascii="宋体" w:hAnsi="宋体"/>
                <w:b/>
                <w:color w:val="auto"/>
                <w:sz w:val="24"/>
                <w:highlight w:val="none"/>
                <w:lang w:eastAsia="zh-CN"/>
              </w:rPr>
              <w:t>响应文件</w:t>
            </w:r>
            <w:r>
              <w:rPr>
                <w:rFonts w:hint="eastAsia" w:ascii="宋体" w:hAnsi="宋体"/>
                <w:b/>
                <w:color w:val="auto"/>
                <w:sz w:val="24"/>
                <w:highlight w:val="none"/>
              </w:rPr>
              <w:t>不予接收。</w:t>
            </w:r>
          </w:p>
          <w:p w14:paraId="541A2559">
            <w:pPr>
              <w:spacing w:line="240" w:lineRule="auto"/>
              <w:ind w:left="1680" w:hanging="1680" w:hangingChars="700"/>
              <w:rPr>
                <w:rFonts w:hint="eastAsia" w:ascii="宋体" w:hAnsi="宋体"/>
                <w:color w:val="auto"/>
                <w:sz w:val="24"/>
                <w:highlight w:val="none"/>
              </w:rPr>
            </w:pPr>
            <w:r>
              <w:rPr>
                <w:rFonts w:hint="eastAsia" w:ascii="宋体" w:hAnsi="宋体"/>
                <w:color w:val="auto"/>
                <w:sz w:val="24"/>
                <w:highlight w:val="none"/>
              </w:rPr>
              <w:t>技术联系电话：0398-3117871</w:t>
            </w:r>
          </w:p>
          <w:p w14:paraId="43F7A59B">
            <w:pPr>
              <w:spacing w:line="240" w:lineRule="auto"/>
              <w:rPr>
                <w:rFonts w:hint="eastAsia" w:ascii="宋体" w:hAnsi="宋体"/>
                <w:color w:val="auto"/>
                <w:sz w:val="24"/>
                <w:highlight w:val="none"/>
              </w:rPr>
            </w:pPr>
            <w:r>
              <w:rPr>
                <w:rFonts w:hint="eastAsia" w:ascii="宋体" w:hAnsi="宋体"/>
                <w:color w:val="auto"/>
                <w:sz w:val="24"/>
                <w:highlight w:val="none"/>
              </w:rPr>
              <w:t>（四）电子化项目开标、解密、唱标、评标</w:t>
            </w:r>
          </w:p>
          <w:p w14:paraId="2A7C5253">
            <w:pPr>
              <w:spacing w:line="240" w:lineRule="auto"/>
              <w:ind w:firstLine="573"/>
              <w:rPr>
                <w:rFonts w:hint="eastAsia" w:ascii="宋体" w:hAnsi="宋体"/>
                <w:color w:val="auto"/>
                <w:sz w:val="24"/>
                <w:highlight w:val="none"/>
              </w:rPr>
            </w:pPr>
            <w:r>
              <w:rPr>
                <w:rFonts w:hint="eastAsia" w:ascii="宋体" w:hAnsi="宋体"/>
                <w:color w:val="auto"/>
                <w:sz w:val="24"/>
                <w:highlight w:val="none"/>
              </w:rPr>
              <w:t>1、本项目采用</w:t>
            </w:r>
            <w:r>
              <w:rPr>
                <w:rFonts w:hint="eastAsia" w:ascii="宋体" w:hAnsi="宋体"/>
                <w:b/>
                <w:color w:val="auto"/>
                <w:sz w:val="24"/>
                <w:highlight w:val="none"/>
              </w:rPr>
              <w:t>电子化、无纸化</w:t>
            </w:r>
            <w:r>
              <w:rPr>
                <w:rFonts w:hint="eastAsia" w:ascii="宋体" w:hAnsi="宋体"/>
                <w:color w:val="auto"/>
                <w:sz w:val="24"/>
                <w:highlight w:val="none"/>
              </w:rPr>
              <w:t>进行招标，开标当日，</w:t>
            </w:r>
            <w:r>
              <w:rPr>
                <w:rFonts w:hint="eastAsia" w:ascii="宋体" w:hAnsi="宋体"/>
                <w:color w:val="auto"/>
                <w:sz w:val="24"/>
                <w:highlight w:val="none"/>
                <w:lang w:eastAsia="zh-CN"/>
              </w:rPr>
              <w:t>供应商</w:t>
            </w:r>
            <w:r>
              <w:rPr>
                <w:rFonts w:hint="eastAsia" w:ascii="宋体" w:hAnsi="宋体"/>
                <w:color w:val="auto"/>
                <w:sz w:val="24"/>
                <w:highlight w:val="none"/>
              </w:rPr>
              <w:t>无需到开标现场参加开标会议，</w:t>
            </w:r>
            <w:r>
              <w:rPr>
                <w:rFonts w:hint="eastAsia" w:ascii="宋体" w:hAnsi="宋体"/>
                <w:color w:val="auto"/>
                <w:sz w:val="24"/>
                <w:highlight w:val="none"/>
                <w:lang w:eastAsia="zh-CN"/>
              </w:rPr>
              <w:t>供应商</w:t>
            </w:r>
            <w:r>
              <w:rPr>
                <w:rFonts w:hint="eastAsia" w:ascii="宋体" w:hAnsi="宋体"/>
                <w:color w:val="auto"/>
                <w:sz w:val="24"/>
                <w:highlight w:val="none"/>
              </w:rPr>
              <w:t>应当在投标截止时间前，登陆不见面开标大厅选择登陆三门峡市公共资源电子招投标系统进行登陆（网址为http://122.112.246.33/BidOpening/bidopeninghallaction/hall/login）,在线准时参加开标活动并进行</w:t>
            </w:r>
            <w:r>
              <w:rPr>
                <w:rFonts w:hint="eastAsia" w:ascii="宋体" w:hAnsi="宋体"/>
                <w:color w:val="auto"/>
                <w:sz w:val="24"/>
                <w:highlight w:val="none"/>
                <w:lang w:eastAsia="zh-CN"/>
              </w:rPr>
              <w:t>响应文件</w:t>
            </w:r>
            <w:r>
              <w:rPr>
                <w:rFonts w:hint="eastAsia" w:ascii="宋体" w:hAnsi="宋体"/>
                <w:color w:val="auto"/>
                <w:sz w:val="24"/>
                <w:highlight w:val="none"/>
              </w:rPr>
              <w:t>解密等</w:t>
            </w:r>
          </w:p>
          <w:p w14:paraId="2E23F4DA">
            <w:pPr>
              <w:spacing w:line="240" w:lineRule="auto"/>
              <w:ind w:firstLine="573"/>
              <w:rPr>
                <w:rFonts w:hint="eastAsia" w:ascii="宋体" w:hAnsi="宋体"/>
                <w:color w:val="auto"/>
                <w:sz w:val="24"/>
                <w:highlight w:val="none"/>
              </w:rPr>
            </w:pPr>
            <w:r>
              <w:rPr>
                <w:rFonts w:hint="eastAsia" w:ascii="宋体" w:hAnsi="宋体"/>
                <w:color w:val="auto"/>
                <w:sz w:val="24"/>
                <w:highlight w:val="none"/>
              </w:rPr>
              <w:t>2、电子化</w:t>
            </w:r>
            <w:r>
              <w:rPr>
                <w:rFonts w:hint="eastAsia" w:ascii="宋体" w:hAnsi="宋体"/>
                <w:color w:val="auto"/>
                <w:sz w:val="24"/>
                <w:highlight w:val="none"/>
                <w:lang w:eastAsia="zh-CN"/>
              </w:rPr>
              <w:t>响应文件</w:t>
            </w:r>
            <w:r>
              <w:rPr>
                <w:rFonts w:hint="eastAsia" w:ascii="宋体" w:hAnsi="宋体"/>
                <w:color w:val="auto"/>
                <w:sz w:val="24"/>
                <w:highlight w:val="none"/>
              </w:rPr>
              <w:t>采用一次加密方式。开标时，由</w:t>
            </w:r>
            <w:r>
              <w:rPr>
                <w:rFonts w:hint="eastAsia" w:ascii="宋体" w:hAnsi="宋体"/>
                <w:color w:val="auto"/>
                <w:sz w:val="24"/>
                <w:highlight w:val="none"/>
                <w:lang w:eastAsia="zh-CN"/>
              </w:rPr>
              <w:t>供应商</w:t>
            </w:r>
            <w:r>
              <w:rPr>
                <w:rFonts w:hint="eastAsia" w:ascii="宋体" w:hAnsi="宋体"/>
                <w:color w:val="auto"/>
                <w:sz w:val="24"/>
                <w:highlight w:val="none"/>
              </w:rPr>
              <w:t>使用CA证书，在规定时间内对其电子化</w:t>
            </w:r>
            <w:r>
              <w:rPr>
                <w:rFonts w:hint="eastAsia" w:ascii="宋体" w:hAnsi="宋体"/>
                <w:color w:val="auto"/>
                <w:sz w:val="24"/>
                <w:highlight w:val="none"/>
                <w:lang w:eastAsia="zh-CN"/>
              </w:rPr>
              <w:t>响应文件</w:t>
            </w:r>
            <w:r>
              <w:rPr>
                <w:rFonts w:hint="eastAsia" w:ascii="宋体" w:hAnsi="宋体"/>
                <w:color w:val="auto"/>
                <w:sz w:val="24"/>
                <w:highlight w:val="none"/>
              </w:rPr>
              <w:t>进行解密。每位</w:t>
            </w:r>
            <w:r>
              <w:rPr>
                <w:rFonts w:hint="eastAsia" w:ascii="宋体" w:hAnsi="宋体"/>
                <w:color w:val="auto"/>
                <w:sz w:val="24"/>
                <w:highlight w:val="none"/>
                <w:lang w:eastAsia="zh-CN"/>
              </w:rPr>
              <w:t>供应商</w:t>
            </w:r>
            <w:r>
              <w:rPr>
                <w:rFonts w:hint="eastAsia" w:ascii="宋体" w:hAnsi="宋体"/>
                <w:color w:val="auto"/>
                <w:sz w:val="24"/>
                <w:highlight w:val="none"/>
              </w:rPr>
              <w:t>的解密时间为开标时间起30分钟内，如在规定时间内未完成解密的，其</w:t>
            </w:r>
            <w:r>
              <w:rPr>
                <w:rFonts w:hint="eastAsia" w:ascii="宋体" w:hAnsi="宋体"/>
                <w:color w:val="auto"/>
                <w:sz w:val="24"/>
                <w:highlight w:val="none"/>
                <w:lang w:eastAsia="zh-CN"/>
              </w:rPr>
              <w:t>响应文件</w:t>
            </w:r>
            <w:r>
              <w:rPr>
                <w:rFonts w:hint="eastAsia" w:ascii="宋体" w:hAnsi="宋体"/>
                <w:color w:val="auto"/>
                <w:sz w:val="24"/>
                <w:highlight w:val="none"/>
              </w:rPr>
              <w:t>不予开标、唱标。</w:t>
            </w:r>
          </w:p>
          <w:p w14:paraId="3AD22BA3">
            <w:pPr>
              <w:spacing w:line="240" w:lineRule="auto"/>
              <w:ind w:firstLine="573"/>
              <w:rPr>
                <w:rFonts w:hint="eastAsia" w:ascii="宋体" w:hAnsi="宋体"/>
                <w:color w:val="auto"/>
                <w:sz w:val="24"/>
                <w:highlight w:val="none"/>
              </w:rPr>
            </w:pPr>
            <w:r>
              <w:rPr>
                <w:rFonts w:hint="eastAsia" w:ascii="宋体" w:hAnsi="宋体"/>
                <w:color w:val="auto"/>
                <w:sz w:val="24"/>
                <w:highlight w:val="none"/>
              </w:rPr>
              <w:t>3、电子化</w:t>
            </w:r>
            <w:r>
              <w:rPr>
                <w:rFonts w:hint="eastAsia" w:ascii="宋体" w:hAnsi="宋体"/>
                <w:color w:val="auto"/>
                <w:sz w:val="24"/>
                <w:highlight w:val="none"/>
                <w:lang w:eastAsia="zh-CN"/>
              </w:rPr>
              <w:t>响应文件</w:t>
            </w:r>
            <w:r>
              <w:rPr>
                <w:rFonts w:hint="eastAsia" w:ascii="宋体" w:hAnsi="宋体"/>
                <w:color w:val="auto"/>
                <w:sz w:val="24"/>
                <w:highlight w:val="none"/>
              </w:rPr>
              <w:t>解密异常的处理</w:t>
            </w:r>
          </w:p>
          <w:p w14:paraId="451F98F5">
            <w:pPr>
              <w:spacing w:line="240" w:lineRule="auto"/>
              <w:ind w:firstLine="480" w:firstLineChars="200"/>
              <w:rPr>
                <w:rFonts w:hint="eastAsia" w:ascii="宋体" w:hAnsi="宋体"/>
                <w:color w:val="auto"/>
                <w:sz w:val="24"/>
                <w:highlight w:val="none"/>
              </w:rPr>
            </w:pPr>
            <w:r>
              <w:rPr>
                <w:rFonts w:hint="eastAsia" w:ascii="宋体" w:hAnsi="宋体"/>
                <w:color w:val="auto"/>
                <w:sz w:val="24"/>
                <w:highlight w:val="none"/>
              </w:rPr>
              <w:t>如出现</w:t>
            </w:r>
            <w:r>
              <w:rPr>
                <w:rFonts w:hint="eastAsia" w:ascii="宋体" w:hAnsi="宋体"/>
                <w:color w:val="auto"/>
                <w:sz w:val="24"/>
                <w:highlight w:val="none"/>
                <w:lang w:eastAsia="zh-CN"/>
              </w:rPr>
              <w:t>供应商</w:t>
            </w:r>
            <w:r>
              <w:rPr>
                <w:rFonts w:hint="eastAsia" w:ascii="宋体" w:hAnsi="宋体"/>
                <w:color w:val="auto"/>
                <w:sz w:val="24"/>
                <w:highlight w:val="none"/>
              </w:rPr>
              <w:t>的电子</w:t>
            </w:r>
            <w:r>
              <w:rPr>
                <w:rFonts w:hint="eastAsia" w:ascii="宋体" w:hAnsi="宋体"/>
                <w:color w:val="auto"/>
                <w:sz w:val="24"/>
                <w:highlight w:val="none"/>
                <w:lang w:eastAsia="zh-CN"/>
              </w:rPr>
              <w:t>响应文件</w:t>
            </w:r>
            <w:r>
              <w:rPr>
                <w:rFonts w:hint="eastAsia" w:ascii="宋体" w:hAnsi="宋体"/>
                <w:color w:val="auto"/>
                <w:sz w:val="24"/>
                <w:highlight w:val="none"/>
              </w:rPr>
              <w:t>无法解密等异常情况，</w:t>
            </w:r>
            <w:r>
              <w:rPr>
                <w:rFonts w:hint="eastAsia" w:ascii="宋体" w:hAnsi="宋体"/>
                <w:color w:val="auto"/>
                <w:sz w:val="24"/>
                <w:highlight w:val="none"/>
                <w:lang w:eastAsia="zh-CN"/>
              </w:rPr>
              <w:t>供应商</w:t>
            </w:r>
            <w:r>
              <w:rPr>
                <w:rFonts w:hint="eastAsia" w:ascii="宋体" w:hAnsi="宋体"/>
                <w:color w:val="auto"/>
                <w:sz w:val="24"/>
                <w:highlight w:val="none"/>
              </w:rPr>
              <w:t>应及时致电中介服务机构说明。</w:t>
            </w:r>
            <w:r>
              <w:rPr>
                <w:rFonts w:hint="eastAsia" w:ascii="宋体" w:hAnsi="宋体"/>
                <w:color w:val="auto"/>
                <w:sz w:val="24"/>
                <w:highlight w:val="none"/>
                <w:lang w:eastAsia="zh-CN"/>
              </w:rPr>
              <w:t>响应文件</w:t>
            </w:r>
            <w:r>
              <w:rPr>
                <w:rFonts w:hint="eastAsia" w:ascii="宋体" w:hAnsi="宋体"/>
                <w:color w:val="auto"/>
                <w:sz w:val="24"/>
                <w:highlight w:val="none"/>
              </w:rPr>
              <w:t>异常，按以下步骤进行处理：</w:t>
            </w:r>
          </w:p>
          <w:p w14:paraId="6D3F7597">
            <w:pPr>
              <w:spacing w:line="240" w:lineRule="auto"/>
              <w:ind w:firstLine="573"/>
              <w:rPr>
                <w:rFonts w:hint="eastAsia" w:ascii="宋体" w:hAnsi="宋体"/>
                <w:color w:val="auto"/>
                <w:sz w:val="24"/>
                <w:highlight w:val="none"/>
              </w:rPr>
            </w:pPr>
            <w:r>
              <w:rPr>
                <w:rFonts w:hint="eastAsia" w:ascii="宋体" w:hAnsi="宋体"/>
                <w:color w:val="auto"/>
                <w:sz w:val="24"/>
                <w:highlight w:val="none"/>
              </w:rPr>
              <w:t>（1）首先由技术人员进行问题排查。</w:t>
            </w:r>
          </w:p>
          <w:p w14:paraId="14EC640D">
            <w:pPr>
              <w:spacing w:line="240" w:lineRule="auto"/>
              <w:ind w:firstLine="573"/>
              <w:rPr>
                <w:rFonts w:hint="eastAsia" w:ascii="宋体" w:hAnsi="宋体"/>
                <w:color w:val="auto"/>
                <w:sz w:val="24"/>
                <w:highlight w:val="none"/>
              </w:rPr>
            </w:pPr>
            <w:r>
              <w:rPr>
                <w:rFonts w:hint="eastAsia" w:ascii="宋体" w:hAnsi="宋体"/>
                <w:color w:val="auto"/>
                <w:sz w:val="24"/>
                <w:highlight w:val="none"/>
              </w:rPr>
              <w:t>（2）经技术人员排查后，是</w:t>
            </w:r>
            <w:r>
              <w:rPr>
                <w:rFonts w:hint="eastAsia" w:ascii="宋体" w:hAnsi="宋体"/>
                <w:color w:val="auto"/>
                <w:sz w:val="24"/>
                <w:highlight w:val="none"/>
                <w:lang w:eastAsia="zh-CN"/>
              </w:rPr>
              <w:t>供应商</w:t>
            </w:r>
            <w:r>
              <w:rPr>
                <w:rFonts w:hint="eastAsia" w:ascii="宋体" w:hAnsi="宋体"/>
                <w:color w:val="auto"/>
                <w:sz w:val="24"/>
                <w:highlight w:val="none"/>
              </w:rPr>
              <w:t>文件自身问题导致</w:t>
            </w:r>
            <w:r>
              <w:rPr>
                <w:rFonts w:hint="eastAsia" w:ascii="宋体" w:hAnsi="宋体"/>
                <w:color w:val="auto"/>
                <w:sz w:val="24"/>
                <w:highlight w:val="none"/>
                <w:lang w:eastAsia="zh-CN"/>
              </w:rPr>
              <w:t>响应文件</w:t>
            </w:r>
            <w:r>
              <w:rPr>
                <w:rFonts w:hint="eastAsia" w:ascii="宋体" w:hAnsi="宋体"/>
                <w:color w:val="auto"/>
                <w:sz w:val="24"/>
                <w:highlight w:val="none"/>
              </w:rPr>
              <w:t>无法解密的，该</w:t>
            </w:r>
            <w:r>
              <w:rPr>
                <w:rFonts w:hint="eastAsia" w:ascii="宋体" w:hAnsi="宋体"/>
                <w:color w:val="auto"/>
                <w:sz w:val="24"/>
                <w:highlight w:val="none"/>
                <w:lang w:eastAsia="zh-CN"/>
              </w:rPr>
              <w:t>响应文件</w:t>
            </w:r>
            <w:r>
              <w:rPr>
                <w:rFonts w:hint="eastAsia" w:ascii="宋体" w:hAnsi="宋体"/>
                <w:color w:val="auto"/>
                <w:sz w:val="24"/>
                <w:highlight w:val="none"/>
              </w:rPr>
              <w:t>将不予接收、解密和唱标。开标会议继续进行。</w:t>
            </w:r>
          </w:p>
          <w:p w14:paraId="14452507">
            <w:pPr>
              <w:spacing w:line="240" w:lineRule="auto"/>
              <w:ind w:firstLine="573"/>
              <w:rPr>
                <w:rFonts w:hint="eastAsia" w:ascii="宋体" w:hAnsi="宋体"/>
                <w:color w:val="auto"/>
                <w:sz w:val="24"/>
                <w:highlight w:val="none"/>
              </w:rPr>
            </w:pPr>
            <w:r>
              <w:rPr>
                <w:rFonts w:hint="eastAsia" w:ascii="宋体" w:hAnsi="宋体"/>
                <w:color w:val="auto"/>
                <w:sz w:val="24"/>
                <w:highlight w:val="none"/>
              </w:rPr>
              <w:t>（3）经技术人员排查后，如果是电子化交易系统问题造成</w:t>
            </w:r>
            <w:r>
              <w:rPr>
                <w:rFonts w:hint="eastAsia" w:ascii="宋体" w:hAnsi="宋体"/>
                <w:color w:val="auto"/>
                <w:sz w:val="24"/>
                <w:highlight w:val="none"/>
                <w:lang w:eastAsia="zh-CN"/>
              </w:rPr>
              <w:t>响应文件</w:t>
            </w:r>
            <w:r>
              <w:rPr>
                <w:rFonts w:hint="eastAsia" w:ascii="宋体" w:hAnsi="宋体"/>
                <w:color w:val="auto"/>
                <w:sz w:val="24"/>
                <w:highlight w:val="none"/>
              </w:rPr>
              <w:t>无法解密的，将由技术人员对问题进行处理。如短时间内问题无法解决的，将由中介服务机构向监督部门申请，经监督部门同意后，暂停开标会议，待问题解决后继续开标。</w:t>
            </w:r>
          </w:p>
          <w:p w14:paraId="60D8804C">
            <w:pPr>
              <w:spacing w:line="240" w:lineRule="auto"/>
              <w:ind w:firstLine="573"/>
              <w:rPr>
                <w:rFonts w:hint="eastAsia" w:ascii="宋体" w:hAnsi="宋体"/>
                <w:color w:val="auto"/>
                <w:sz w:val="24"/>
                <w:highlight w:val="none"/>
              </w:rPr>
            </w:pPr>
            <w:r>
              <w:rPr>
                <w:rFonts w:hint="eastAsia" w:ascii="宋体" w:hAnsi="宋体"/>
                <w:color w:val="auto"/>
                <w:sz w:val="24"/>
                <w:highlight w:val="none"/>
              </w:rPr>
              <w:t>4、待所有</w:t>
            </w:r>
            <w:r>
              <w:rPr>
                <w:rFonts w:hint="eastAsia" w:ascii="宋体" w:hAnsi="宋体"/>
                <w:color w:val="auto"/>
                <w:sz w:val="24"/>
                <w:highlight w:val="none"/>
                <w:lang w:eastAsia="zh-CN"/>
              </w:rPr>
              <w:t>供应商响应文件</w:t>
            </w:r>
            <w:r>
              <w:rPr>
                <w:rFonts w:hint="eastAsia" w:ascii="宋体" w:hAnsi="宋体"/>
                <w:color w:val="auto"/>
                <w:sz w:val="24"/>
                <w:highlight w:val="none"/>
              </w:rPr>
              <w:t>解密完成后，由中介服务机构操作，对所有已解密</w:t>
            </w:r>
            <w:r>
              <w:rPr>
                <w:rFonts w:hint="eastAsia" w:ascii="宋体" w:hAnsi="宋体"/>
                <w:color w:val="auto"/>
                <w:sz w:val="24"/>
                <w:highlight w:val="none"/>
                <w:lang w:eastAsia="zh-CN"/>
              </w:rPr>
              <w:t>响应文件</w:t>
            </w:r>
            <w:r>
              <w:rPr>
                <w:rFonts w:hint="eastAsia" w:ascii="宋体" w:hAnsi="宋体"/>
                <w:color w:val="auto"/>
                <w:sz w:val="24"/>
                <w:highlight w:val="none"/>
              </w:rPr>
              <w:t>进行唱标。</w:t>
            </w:r>
          </w:p>
          <w:p w14:paraId="502A81D9">
            <w:pPr>
              <w:spacing w:line="240" w:lineRule="auto"/>
              <w:ind w:firstLine="573"/>
              <w:rPr>
                <w:rFonts w:hint="eastAsia" w:ascii="宋体" w:hAnsi="宋体"/>
                <w:b/>
                <w:color w:val="auto"/>
                <w:sz w:val="24"/>
                <w:highlight w:val="none"/>
              </w:rPr>
            </w:pPr>
            <w:r>
              <w:rPr>
                <w:rFonts w:hint="eastAsia" w:ascii="宋体" w:hAnsi="宋体"/>
                <w:b/>
                <w:color w:val="auto"/>
                <w:sz w:val="24"/>
                <w:highlight w:val="none"/>
                <w:lang w:eastAsia="zh-CN"/>
              </w:rPr>
              <w:t>供应商</w:t>
            </w:r>
            <w:r>
              <w:rPr>
                <w:rFonts w:hint="eastAsia" w:ascii="宋体" w:hAnsi="宋体"/>
                <w:b/>
                <w:color w:val="auto"/>
                <w:sz w:val="24"/>
                <w:highlight w:val="none"/>
              </w:rPr>
              <w:t>应保证在开标期间电话、电脑、网络能够正常工作，</w:t>
            </w:r>
            <w:r>
              <w:rPr>
                <w:rFonts w:hint="eastAsia" w:ascii="宋体" w:hAnsi="宋体"/>
                <w:b/>
                <w:color w:val="auto"/>
                <w:sz w:val="24"/>
                <w:highlight w:val="none"/>
                <w:lang w:eastAsia="zh-CN"/>
              </w:rPr>
              <w:t>供应商</w:t>
            </w:r>
            <w:r>
              <w:rPr>
                <w:rFonts w:hint="eastAsia" w:ascii="宋体" w:hAnsi="宋体"/>
                <w:b/>
                <w:color w:val="auto"/>
                <w:sz w:val="24"/>
                <w:highlight w:val="none"/>
              </w:rPr>
              <w:t>因停电、电脑病毒、网络堵塞等原因，未在规定的解密时间内对</w:t>
            </w:r>
            <w:r>
              <w:rPr>
                <w:rFonts w:hint="eastAsia" w:ascii="宋体" w:hAnsi="宋体"/>
                <w:b/>
                <w:color w:val="auto"/>
                <w:sz w:val="24"/>
                <w:highlight w:val="none"/>
                <w:lang w:eastAsia="zh-CN"/>
              </w:rPr>
              <w:t>响应文件</w:t>
            </w:r>
            <w:r>
              <w:rPr>
                <w:rFonts w:hint="eastAsia" w:ascii="宋体" w:hAnsi="宋体"/>
                <w:b/>
                <w:color w:val="auto"/>
                <w:sz w:val="24"/>
                <w:highlight w:val="none"/>
              </w:rPr>
              <w:t>进行解密的，其</w:t>
            </w:r>
            <w:r>
              <w:rPr>
                <w:rFonts w:hint="eastAsia" w:ascii="宋体" w:hAnsi="宋体"/>
                <w:b/>
                <w:color w:val="auto"/>
                <w:sz w:val="24"/>
                <w:highlight w:val="none"/>
                <w:lang w:eastAsia="zh-CN"/>
              </w:rPr>
              <w:t>响应文件</w:t>
            </w:r>
            <w:r>
              <w:rPr>
                <w:rFonts w:hint="eastAsia" w:ascii="宋体" w:hAnsi="宋体"/>
                <w:b/>
                <w:color w:val="auto"/>
                <w:sz w:val="24"/>
                <w:highlight w:val="none"/>
              </w:rPr>
              <w:t>不予接收、唱标。</w:t>
            </w:r>
          </w:p>
          <w:p w14:paraId="0F8D4085">
            <w:pPr>
              <w:spacing w:line="240" w:lineRule="auto"/>
              <w:ind w:firstLine="573"/>
              <w:rPr>
                <w:rFonts w:hint="eastAsia" w:ascii="宋体" w:hAnsi="宋体"/>
                <w:color w:val="auto"/>
                <w:sz w:val="24"/>
                <w:highlight w:val="none"/>
              </w:rPr>
            </w:pPr>
            <w:r>
              <w:rPr>
                <w:rFonts w:hint="eastAsia" w:ascii="宋体" w:hAnsi="宋体"/>
                <w:color w:val="auto"/>
                <w:sz w:val="24"/>
                <w:highlight w:val="none"/>
              </w:rPr>
              <w:t>5、开标时</w:t>
            </w:r>
            <w:r>
              <w:rPr>
                <w:rFonts w:hint="eastAsia" w:ascii="宋体" w:hAnsi="宋体"/>
                <w:color w:val="auto"/>
                <w:sz w:val="24"/>
                <w:highlight w:val="none"/>
                <w:lang w:eastAsia="zh-CN"/>
              </w:rPr>
              <w:t>供应商</w:t>
            </w:r>
            <w:r>
              <w:rPr>
                <w:rFonts w:hint="eastAsia" w:ascii="宋体" w:hAnsi="宋体"/>
                <w:color w:val="auto"/>
                <w:sz w:val="24"/>
                <w:highlight w:val="none"/>
              </w:rPr>
              <w:t>可登录到交易系统中在开标解密栏中点击报价一览表查看自己的投标报价。如对自己的唱标内容有异议的，应在</w:t>
            </w:r>
            <w:r>
              <w:rPr>
                <w:rFonts w:hint="eastAsia" w:ascii="宋体" w:hAnsi="宋体"/>
                <w:color w:val="auto"/>
                <w:sz w:val="24"/>
                <w:highlight w:val="none"/>
                <w:lang w:eastAsia="zh-CN"/>
              </w:rPr>
              <w:t>供应商</w:t>
            </w:r>
            <w:r>
              <w:rPr>
                <w:rFonts w:hint="eastAsia" w:ascii="宋体" w:hAnsi="宋体"/>
                <w:color w:val="auto"/>
                <w:sz w:val="24"/>
                <w:highlight w:val="none"/>
              </w:rPr>
              <w:t>解密成功后10分钟内向中介服务机构电话质疑。中介服务机构应在监督人员的监督下进行免提通话接受</w:t>
            </w:r>
            <w:r>
              <w:rPr>
                <w:rFonts w:hint="eastAsia" w:ascii="宋体" w:hAnsi="宋体"/>
                <w:color w:val="auto"/>
                <w:sz w:val="24"/>
                <w:highlight w:val="none"/>
                <w:lang w:eastAsia="zh-CN"/>
              </w:rPr>
              <w:t>供应商</w:t>
            </w:r>
            <w:r>
              <w:rPr>
                <w:rFonts w:hint="eastAsia" w:ascii="宋体" w:hAnsi="宋体"/>
                <w:color w:val="auto"/>
                <w:sz w:val="24"/>
                <w:highlight w:val="none"/>
              </w:rPr>
              <w:t>的质疑并做好书面记录。</w:t>
            </w:r>
            <w:r>
              <w:rPr>
                <w:rFonts w:hint="eastAsia" w:ascii="宋体" w:hAnsi="宋体"/>
                <w:color w:val="auto"/>
                <w:sz w:val="24"/>
                <w:highlight w:val="none"/>
                <w:lang w:eastAsia="zh-CN"/>
              </w:rPr>
              <w:t>供应商</w:t>
            </w:r>
            <w:r>
              <w:rPr>
                <w:rFonts w:hint="eastAsia" w:ascii="宋体" w:hAnsi="宋体"/>
                <w:color w:val="auto"/>
                <w:sz w:val="24"/>
                <w:highlight w:val="none"/>
              </w:rPr>
              <w:t>未在规定时间内提出质疑的，视为认可唱标内容。</w:t>
            </w:r>
          </w:p>
          <w:p w14:paraId="11FDB098">
            <w:pPr>
              <w:spacing w:line="240" w:lineRule="auto"/>
              <w:ind w:firstLine="573"/>
              <w:rPr>
                <w:rFonts w:hint="eastAsia" w:ascii="宋体" w:hAnsi="宋体"/>
                <w:color w:val="auto"/>
                <w:sz w:val="24"/>
                <w:highlight w:val="none"/>
              </w:rPr>
            </w:pPr>
            <w:r>
              <w:rPr>
                <w:rFonts w:hint="eastAsia" w:ascii="宋体" w:hAnsi="宋体"/>
                <w:color w:val="auto"/>
                <w:sz w:val="24"/>
                <w:highlight w:val="none"/>
              </w:rPr>
              <w:t>6、评标时，评标委员会对电子化</w:t>
            </w:r>
            <w:r>
              <w:rPr>
                <w:rFonts w:hint="eastAsia" w:ascii="宋体" w:hAnsi="宋体"/>
                <w:color w:val="auto"/>
                <w:sz w:val="24"/>
                <w:highlight w:val="none"/>
                <w:lang w:eastAsia="zh-CN"/>
              </w:rPr>
              <w:t>响应文件</w:t>
            </w:r>
            <w:r>
              <w:rPr>
                <w:rFonts w:hint="eastAsia" w:ascii="宋体" w:hAnsi="宋体"/>
                <w:color w:val="auto"/>
                <w:sz w:val="24"/>
                <w:highlight w:val="none"/>
              </w:rPr>
              <w:t>有质疑的，将通过电子化交易系统对</w:t>
            </w:r>
            <w:r>
              <w:rPr>
                <w:rFonts w:hint="eastAsia" w:ascii="宋体" w:hAnsi="宋体"/>
                <w:color w:val="auto"/>
                <w:sz w:val="24"/>
                <w:highlight w:val="none"/>
                <w:lang w:eastAsia="zh-CN"/>
              </w:rPr>
              <w:t>供应商</w:t>
            </w:r>
            <w:r>
              <w:rPr>
                <w:rFonts w:hint="eastAsia" w:ascii="宋体" w:hAnsi="宋体"/>
                <w:color w:val="auto"/>
                <w:sz w:val="24"/>
                <w:highlight w:val="none"/>
              </w:rPr>
              <w:t>发起质疑，并在监督人员的监督下，用免提模式致电需要答复的</w:t>
            </w:r>
            <w:r>
              <w:rPr>
                <w:rFonts w:hint="eastAsia" w:ascii="宋体" w:hAnsi="宋体"/>
                <w:color w:val="auto"/>
                <w:sz w:val="24"/>
                <w:highlight w:val="none"/>
                <w:lang w:eastAsia="zh-CN"/>
              </w:rPr>
              <w:t>供应商</w:t>
            </w:r>
            <w:r>
              <w:rPr>
                <w:rFonts w:hint="eastAsia" w:ascii="宋体" w:hAnsi="宋体"/>
                <w:color w:val="auto"/>
                <w:sz w:val="24"/>
                <w:highlight w:val="none"/>
              </w:rPr>
              <w:t>对质疑进行回复。</w:t>
            </w:r>
            <w:r>
              <w:rPr>
                <w:rFonts w:hint="eastAsia" w:ascii="宋体" w:hAnsi="宋体"/>
                <w:color w:val="auto"/>
                <w:sz w:val="24"/>
                <w:highlight w:val="none"/>
                <w:lang w:eastAsia="zh-CN"/>
              </w:rPr>
              <w:t>供应商</w:t>
            </w:r>
            <w:r>
              <w:rPr>
                <w:rFonts w:hint="eastAsia" w:ascii="宋体" w:hAnsi="宋体"/>
                <w:color w:val="auto"/>
                <w:sz w:val="24"/>
                <w:highlight w:val="none"/>
              </w:rPr>
              <w:t>的回复文件必须以经过</w:t>
            </w:r>
            <w:r>
              <w:rPr>
                <w:rFonts w:hint="eastAsia" w:ascii="宋体" w:hAnsi="宋体"/>
                <w:color w:val="auto"/>
                <w:sz w:val="24"/>
                <w:highlight w:val="none"/>
                <w:lang w:eastAsia="zh-CN"/>
              </w:rPr>
              <w:t>供应商</w:t>
            </w:r>
            <w:r>
              <w:rPr>
                <w:rFonts w:hint="eastAsia" w:ascii="宋体" w:hAnsi="宋体"/>
                <w:color w:val="auto"/>
                <w:sz w:val="24"/>
                <w:highlight w:val="none"/>
              </w:rPr>
              <w:t>和其法定代表人签章的PDF格式文件为准，并通过电子化交易系统提交至评标委员会。</w:t>
            </w:r>
          </w:p>
          <w:p w14:paraId="7B922107">
            <w:pPr>
              <w:spacing w:line="240" w:lineRule="auto"/>
              <w:ind w:firstLine="573"/>
              <w:rPr>
                <w:rFonts w:hint="eastAsia" w:ascii="宋体" w:hAnsi="宋体"/>
                <w:color w:val="auto"/>
                <w:sz w:val="24"/>
                <w:highlight w:val="none"/>
              </w:rPr>
            </w:pPr>
            <w:r>
              <w:rPr>
                <w:rFonts w:hint="eastAsia" w:ascii="宋体" w:hAnsi="宋体"/>
                <w:color w:val="auto"/>
                <w:sz w:val="24"/>
                <w:highlight w:val="none"/>
              </w:rPr>
              <w:t>7、如评标委员会对需要回复的</w:t>
            </w:r>
            <w:r>
              <w:rPr>
                <w:rFonts w:hint="eastAsia" w:ascii="宋体" w:hAnsi="宋体"/>
                <w:color w:val="auto"/>
                <w:sz w:val="24"/>
                <w:highlight w:val="none"/>
                <w:lang w:eastAsia="zh-CN"/>
              </w:rPr>
              <w:t>供应商</w:t>
            </w:r>
            <w:r>
              <w:rPr>
                <w:rFonts w:hint="eastAsia" w:ascii="宋体" w:hAnsi="宋体"/>
                <w:color w:val="auto"/>
                <w:sz w:val="24"/>
                <w:highlight w:val="none"/>
              </w:rPr>
              <w:t>连续三次致电未接通的，视为</w:t>
            </w:r>
            <w:r>
              <w:rPr>
                <w:rFonts w:hint="eastAsia" w:ascii="宋体" w:hAnsi="宋体"/>
                <w:color w:val="auto"/>
                <w:sz w:val="24"/>
                <w:highlight w:val="none"/>
                <w:lang w:eastAsia="zh-CN"/>
              </w:rPr>
              <w:t>供应商</w:t>
            </w:r>
            <w:r>
              <w:rPr>
                <w:rFonts w:hint="eastAsia" w:ascii="宋体" w:hAnsi="宋体"/>
                <w:color w:val="auto"/>
                <w:sz w:val="24"/>
                <w:highlight w:val="none"/>
              </w:rPr>
              <w:t>放弃回复，评标委员会将自行对需要回复的内容进行认定。</w:t>
            </w:r>
          </w:p>
          <w:p w14:paraId="1B4EFBD8">
            <w:pPr>
              <w:spacing w:line="240" w:lineRule="auto"/>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8、</w:t>
            </w:r>
            <w:r>
              <w:rPr>
                <w:rFonts w:hint="eastAsia" w:ascii="宋体" w:hAnsi="宋体"/>
                <w:color w:val="auto"/>
                <w:sz w:val="24"/>
                <w:highlight w:val="none"/>
                <w:lang w:eastAsia="zh-CN"/>
              </w:rPr>
              <w:t>供应商</w:t>
            </w:r>
            <w:r>
              <w:rPr>
                <w:rFonts w:hint="eastAsia" w:ascii="宋体" w:hAnsi="宋体"/>
                <w:color w:val="auto"/>
                <w:sz w:val="24"/>
                <w:highlight w:val="none"/>
              </w:rPr>
              <w:t>需应仔细阅读操作手册，保证上传内容齐全，真实有效，原件扫描件清晰可辨。因</w:t>
            </w:r>
            <w:r>
              <w:rPr>
                <w:rFonts w:hint="eastAsia" w:ascii="宋体" w:hAnsi="宋体"/>
                <w:color w:val="auto"/>
                <w:sz w:val="24"/>
                <w:highlight w:val="none"/>
                <w:lang w:eastAsia="zh-CN"/>
              </w:rPr>
              <w:t>供应商</w:t>
            </w:r>
            <w:r>
              <w:rPr>
                <w:rFonts w:hint="eastAsia" w:ascii="宋体" w:hAnsi="宋体"/>
                <w:color w:val="auto"/>
                <w:sz w:val="24"/>
                <w:highlight w:val="none"/>
              </w:rPr>
              <w:t>上传原因导致应得分项而未得分或资格审查不合格等情况的，由</w:t>
            </w:r>
            <w:r>
              <w:rPr>
                <w:rFonts w:hint="eastAsia" w:ascii="宋体" w:hAnsi="宋体"/>
                <w:color w:val="auto"/>
                <w:sz w:val="24"/>
                <w:highlight w:val="none"/>
                <w:lang w:eastAsia="zh-CN"/>
              </w:rPr>
              <w:t>供应商</w:t>
            </w:r>
            <w:r>
              <w:rPr>
                <w:rFonts w:hint="eastAsia" w:ascii="宋体" w:hAnsi="宋体"/>
                <w:color w:val="auto"/>
                <w:sz w:val="24"/>
                <w:highlight w:val="none"/>
              </w:rPr>
              <w:t>自行承担责任。</w:t>
            </w:r>
          </w:p>
          <w:p w14:paraId="5333CC82">
            <w:pPr>
              <w:spacing w:line="240" w:lineRule="auto"/>
              <w:rPr>
                <w:rFonts w:hint="eastAsia" w:ascii="宋体" w:hAnsi="宋体"/>
                <w:b/>
                <w:color w:val="auto"/>
                <w:sz w:val="24"/>
                <w:highlight w:val="none"/>
              </w:rPr>
            </w:pPr>
            <w:r>
              <w:rPr>
                <w:rFonts w:hint="eastAsia" w:ascii="宋体" w:hAnsi="宋体"/>
                <w:b/>
                <w:color w:val="auto"/>
                <w:sz w:val="24"/>
                <w:highlight w:val="none"/>
              </w:rPr>
              <w:t>提示：本项目为电子化、无纸化交易项目，为保证您能投标成功，请需仔细阅读以上条款。</w:t>
            </w:r>
          </w:p>
        </w:tc>
      </w:tr>
    </w:tbl>
    <w:p w14:paraId="7F64AB5C">
      <w:pPr>
        <w:pStyle w:val="27"/>
        <w:rPr>
          <w:rFonts w:ascii="宋体" w:hAnsi="宋体" w:eastAsia="宋体"/>
          <w:color w:val="auto"/>
          <w:kern w:val="0"/>
          <w:sz w:val="28"/>
          <w:szCs w:val="28"/>
          <w:highlight w:val="none"/>
        </w:rPr>
      </w:pPr>
      <w:bookmarkStart w:id="8" w:name="_Toc237686500"/>
      <w:bookmarkStart w:id="9" w:name="_Toc522273571"/>
      <w:bookmarkStart w:id="10" w:name="_Toc237686402"/>
      <w:r>
        <w:rPr>
          <w:rFonts w:ascii="宋体" w:hAnsi="宋体" w:eastAsia="宋体"/>
          <w:color w:val="auto"/>
          <w:kern w:val="0"/>
          <w:sz w:val="28"/>
          <w:szCs w:val="28"/>
          <w:highlight w:val="none"/>
        </w:rPr>
        <w:t xml:space="preserve">1. </w:t>
      </w:r>
      <w:r>
        <w:rPr>
          <w:rFonts w:hint="eastAsia" w:ascii="宋体" w:hAnsi="宋体" w:eastAsia="宋体"/>
          <w:color w:val="auto"/>
          <w:kern w:val="0"/>
          <w:sz w:val="28"/>
          <w:szCs w:val="28"/>
          <w:highlight w:val="none"/>
        </w:rPr>
        <w:t>总则</w:t>
      </w:r>
    </w:p>
    <w:p w14:paraId="3D7B5263">
      <w:pPr>
        <w:rPr>
          <w:b/>
          <w:color w:val="auto"/>
          <w:kern w:val="0"/>
          <w:sz w:val="24"/>
          <w:szCs w:val="28"/>
          <w:highlight w:val="none"/>
        </w:rPr>
      </w:pPr>
      <w:bookmarkStart w:id="11" w:name="_Toc438797938"/>
      <w:bookmarkEnd w:id="11"/>
      <w:bookmarkStart w:id="12" w:name="_Toc438797173"/>
      <w:bookmarkEnd w:id="12"/>
      <w:bookmarkStart w:id="13" w:name="_Toc391284735"/>
      <w:bookmarkEnd w:id="13"/>
      <w:r>
        <w:rPr>
          <w:b/>
          <w:color w:val="auto"/>
          <w:kern w:val="0"/>
          <w:sz w:val="24"/>
          <w:szCs w:val="28"/>
          <w:highlight w:val="none"/>
        </w:rPr>
        <w:t xml:space="preserve">1.1 </w:t>
      </w:r>
      <w:r>
        <w:rPr>
          <w:rFonts w:hint="eastAsia"/>
          <w:b/>
          <w:color w:val="auto"/>
          <w:kern w:val="0"/>
          <w:sz w:val="24"/>
          <w:szCs w:val="28"/>
          <w:highlight w:val="none"/>
        </w:rPr>
        <w:t>项目概况</w:t>
      </w:r>
    </w:p>
    <w:p w14:paraId="34512938">
      <w:pPr>
        <w:autoSpaceDE w:val="0"/>
        <w:autoSpaceDN w:val="0"/>
        <w:spacing w:line="360" w:lineRule="auto"/>
        <w:ind w:firstLine="480" w:firstLineChars="200"/>
        <w:jc w:val="left"/>
        <w:rPr>
          <w:rFonts w:ascii="宋体" w:hAnsi="宋体"/>
          <w:color w:val="auto"/>
          <w:kern w:val="0"/>
          <w:sz w:val="24"/>
          <w:highlight w:val="none"/>
        </w:rPr>
      </w:pPr>
      <w:r>
        <w:rPr>
          <w:rFonts w:ascii="宋体" w:hAnsi="宋体"/>
          <w:color w:val="auto"/>
          <w:kern w:val="0"/>
          <w:sz w:val="24"/>
          <w:highlight w:val="none"/>
        </w:rPr>
        <w:t>1.1.1</w:t>
      </w:r>
      <w:r>
        <w:rPr>
          <w:rFonts w:hint="eastAsia" w:ascii="宋体" w:hAnsi="宋体"/>
          <w:color w:val="auto"/>
          <w:kern w:val="0"/>
          <w:sz w:val="24"/>
          <w:highlight w:val="none"/>
        </w:rPr>
        <w:t xml:space="preserve"> 根据政府有关法律、法规和规章的规定，本采购项目具备招标采购（</w:t>
      </w:r>
      <w:r>
        <w:rPr>
          <w:rFonts w:hint="eastAsia" w:ascii="宋体" w:hAnsi="宋体"/>
          <w:color w:val="auto"/>
          <w:kern w:val="0"/>
          <w:sz w:val="24"/>
          <w:highlight w:val="none"/>
          <w:lang w:eastAsia="zh-CN"/>
        </w:rPr>
        <w:t>竞争性磋商</w:t>
      </w:r>
      <w:r>
        <w:rPr>
          <w:rFonts w:hint="eastAsia" w:ascii="宋体" w:hAnsi="宋体"/>
          <w:color w:val="auto"/>
          <w:kern w:val="0"/>
          <w:sz w:val="24"/>
          <w:highlight w:val="none"/>
        </w:rPr>
        <w:t>）条件，现对本项目进行</w:t>
      </w:r>
      <w:r>
        <w:rPr>
          <w:rFonts w:hint="eastAsia" w:ascii="宋体" w:hAnsi="宋体"/>
          <w:color w:val="auto"/>
          <w:kern w:val="0"/>
          <w:sz w:val="24"/>
          <w:highlight w:val="none"/>
          <w:lang w:eastAsia="zh-CN"/>
        </w:rPr>
        <w:t>竞争性磋商</w:t>
      </w:r>
      <w:r>
        <w:rPr>
          <w:rFonts w:hint="eastAsia" w:ascii="宋体" w:hAnsi="宋体"/>
          <w:color w:val="auto"/>
          <w:kern w:val="0"/>
          <w:sz w:val="24"/>
          <w:highlight w:val="none"/>
        </w:rPr>
        <w:t>采购。</w:t>
      </w:r>
    </w:p>
    <w:p w14:paraId="1E11ED20">
      <w:pPr>
        <w:autoSpaceDE w:val="0"/>
        <w:autoSpaceDN w:val="0"/>
        <w:spacing w:line="360" w:lineRule="auto"/>
        <w:ind w:firstLine="484" w:firstLineChars="202"/>
        <w:jc w:val="left"/>
        <w:rPr>
          <w:rFonts w:ascii="宋体" w:hAnsi="宋体"/>
          <w:color w:val="auto"/>
          <w:kern w:val="0"/>
          <w:sz w:val="24"/>
          <w:highlight w:val="none"/>
        </w:rPr>
      </w:pPr>
      <w:r>
        <w:rPr>
          <w:rFonts w:ascii="宋体" w:hAnsi="宋体"/>
          <w:color w:val="auto"/>
          <w:kern w:val="0"/>
          <w:sz w:val="24"/>
          <w:highlight w:val="none"/>
        </w:rPr>
        <w:t xml:space="preserve">1.1.2 </w:t>
      </w:r>
      <w:r>
        <w:rPr>
          <w:rFonts w:hint="eastAsia" w:ascii="宋体" w:hAnsi="宋体"/>
          <w:color w:val="auto"/>
          <w:kern w:val="0"/>
          <w:sz w:val="24"/>
          <w:highlight w:val="none"/>
        </w:rPr>
        <w:t>本项目</w:t>
      </w:r>
      <w:r>
        <w:rPr>
          <w:rFonts w:hint="eastAsia" w:ascii="宋体" w:hAnsi="宋体"/>
          <w:color w:val="auto"/>
          <w:kern w:val="0"/>
          <w:sz w:val="24"/>
          <w:highlight w:val="none"/>
          <w:lang w:val="en-US" w:eastAsia="zh-CN"/>
        </w:rPr>
        <w:t>采购人</w:t>
      </w:r>
      <w:r>
        <w:rPr>
          <w:rFonts w:hint="eastAsia" w:ascii="宋体" w:hAnsi="宋体"/>
          <w:color w:val="auto"/>
          <w:kern w:val="0"/>
          <w:sz w:val="24"/>
          <w:highlight w:val="none"/>
        </w:rPr>
        <w:t>：</w:t>
      </w:r>
      <w:r>
        <w:rPr>
          <w:rFonts w:hint="eastAsia" w:ascii="宋体" w:hAnsi="宋体"/>
          <w:color w:val="auto"/>
          <w:sz w:val="24"/>
          <w:highlight w:val="none"/>
        </w:rPr>
        <w:t>见</w:t>
      </w:r>
      <w:r>
        <w:rPr>
          <w:rFonts w:hint="eastAsia" w:ascii="宋体" w:hAnsi="宋体"/>
          <w:color w:val="auto"/>
          <w:kern w:val="0"/>
          <w:sz w:val="24"/>
          <w:highlight w:val="none"/>
          <w:lang w:val="en-US" w:eastAsia="zh-CN"/>
        </w:rPr>
        <w:t>供应商</w:t>
      </w:r>
      <w:r>
        <w:rPr>
          <w:rFonts w:hint="eastAsia" w:ascii="宋体" w:hAnsi="宋体"/>
          <w:color w:val="auto"/>
          <w:sz w:val="24"/>
          <w:highlight w:val="none"/>
        </w:rPr>
        <w:t>须知前附表。</w:t>
      </w:r>
    </w:p>
    <w:p w14:paraId="64C11343">
      <w:pPr>
        <w:autoSpaceDE w:val="0"/>
        <w:autoSpaceDN w:val="0"/>
        <w:spacing w:line="360" w:lineRule="auto"/>
        <w:ind w:firstLine="484" w:firstLineChars="202"/>
        <w:jc w:val="left"/>
        <w:rPr>
          <w:rFonts w:ascii="宋体" w:hAnsi="宋体"/>
          <w:color w:val="auto"/>
          <w:kern w:val="0"/>
          <w:sz w:val="24"/>
          <w:highlight w:val="none"/>
        </w:rPr>
      </w:pPr>
      <w:r>
        <w:rPr>
          <w:rFonts w:ascii="宋体" w:hAnsi="宋体"/>
          <w:color w:val="auto"/>
          <w:kern w:val="0"/>
          <w:sz w:val="24"/>
          <w:highlight w:val="none"/>
        </w:rPr>
        <w:t xml:space="preserve">1.1.3 </w:t>
      </w:r>
      <w:r>
        <w:rPr>
          <w:rFonts w:hint="eastAsia" w:ascii="宋体" w:hAnsi="宋体"/>
          <w:color w:val="auto"/>
          <w:kern w:val="0"/>
          <w:sz w:val="24"/>
          <w:highlight w:val="none"/>
        </w:rPr>
        <w:t>本项目</w:t>
      </w:r>
      <w:r>
        <w:rPr>
          <w:rFonts w:hint="eastAsia" w:ascii="宋体" w:hAnsi="宋体"/>
          <w:color w:val="auto"/>
          <w:kern w:val="0"/>
          <w:sz w:val="24"/>
          <w:highlight w:val="none"/>
          <w:lang w:eastAsia="zh-CN"/>
        </w:rPr>
        <w:t>代理机构</w:t>
      </w:r>
      <w:r>
        <w:rPr>
          <w:rFonts w:hint="eastAsia" w:ascii="宋体" w:hAnsi="宋体"/>
          <w:color w:val="auto"/>
          <w:kern w:val="0"/>
          <w:sz w:val="24"/>
          <w:highlight w:val="none"/>
        </w:rPr>
        <w:t>：</w:t>
      </w:r>
      <w:r>
        <w:rPr>
          <w:rFonts w:hint="eastAsia" w:ascii="宋体" w:hAnsi="宋体"/>
          <w:color w:val="auto"/>
          <w:sz w:val="24"/>
          <w:highlight w:val="none"/>
        </w:rPr>
        <w:t>见</w:t>
      </w:r>
      <w:r>
        <w:rPr>
          <w:rFonts w:hint="eastAsia" w:ascii="宋体" w:hAnsi="宋体"/>
          <w:color w:val="auto"/>
          <w:sz w:val="24"/>
          <w:highlight w:val="none"/>
          <w:lang w:val="en-US" w:eastAsia="zh-CN"/>
        </w:rPr>
        <w:t>供应商</w:t>
      </w:r>
      <w:r>
        <w:rPr>
          <w:rFonts w:hint="eastAsia" w:ascii="宋体" w:hAnsi="宋体"/>
          <w:color w:val="auto"/>
          <w:sz w:val="24"/>
          <w:highlight w:val="none"/>
        </w:rPr>
        <w:t>须知前附表</w:t>
      </w:r>
      <w:r>
        <w:rPr>
          <w:rFonts w:hint="eastAsia" w:ascii="宋体" w:hAnsi="宋体"/>
          <w:color w:val="auto"/>
          <w:kern w:val="0"/>
          <w:sz w:val="24"/>
          <w:highlight w:val="none"/>
        </w:rPr>
        <w:t>。</w:t>
      </w:r>
    </w:p>
    <w:p w14:paraId="3C78F353">
      <w:pPr>
        <w:autoSpaceDE w:val="0"/>
        <w:autoSpaceDN w:val="0"/>
        <w:spacing w:line="360" w:lineRule="auto"/>
        <w:ind w:firstLine="480" w:firstLineChars="200"/>
        <w:rPr>
          <w:rFonts w:ascii="宋体" w:hAnsi="宋体"/>
          <w:color w:val="auto"/>
          <w:kern w:val="0"/>
          <w:sz w:val="24"/>
          <w:highlight w:val="none"/>
        </w:rPr>
      </w:pPr>
      <w:r>
        <w:rPr>
          <w:rFonts w:ascii="宋体" w:hAnsi="宋体"/>
          <w:color w:val="auto"/>
          <w:kern w:val="0"/>
          <w:sz w:val="24"/>
          <w:highlight w:val="none"/>
        </w:rPr>
        <w:t xml:space="preserve">1.1.4 </w:t>
      </w:r>
      <w:r>
        <w:rPr>
          <w:rFonts w:hint="eastAsia" w:ascii="宋体" w:hAnsi="宋体"/>
          <w:color w:val="auto"/>
          <w:kern w:val="0"/>
          <w:sz w:val="24"/>
          <w:highlight w:val="none"/>
        </w:rPr>
        <w:t>本项目名称</w:t>
      </w:r>
      <w:r>
        <w:rPr>
          <w:rFonts w:hint="eastAsia" w:ascii="宋体" w:hAnsi="宋体"/>
          <w:color w:val="auto"/>
          <w:sz w:val="24"/>
          <w:highlight w:val="none"/>
        </w:rPr>
        <w:t>：见</w:t>
      </w:r>
      <w:r>
        <w:rPr>
          <w:rFonts w:hint="eastAsia" w:ascii="宋体" w:hAnsi="宋体"/>
          <w:color w:val="auto"/>
          <w:kern w:val="0"/>
          <w:sz w:val="24"/>
          <w:highlight w:val="none"/>
          <w:lang w:val="en-US" w:eastAsia="zh-CN"/>
        </w:rPr>
        <w:t>供应商</w:t>
      </w:r>
      <w:r>
        <w:rPr>
          <w:rFonts w:hint="eastAsia" w:ascii="宋体" w:hAnsi="宋体"/>
          <w:color w:val="auto"/>
          <w:sz w:val="24"/>
          <w:highlight w:val="none"/>
        </w:rPr>
        <w:t>须知前附表</w:t>
      </w:r>
      <w:r>
        <w:rPr>
          <w:rFonts w:hint="eastAsia" w:ascii="宋体" w:hAnsi="宋体"/>
          <w:color w:val="auto"/>
          <w:kern w:val="0"/>
          <w:sz w:val="24"/>
          <w:highlight w:val="none"/>
        </w:rPr>
        <w:t>。</w:t>
      </w:r>
    </w:p>
    <w:p w14:paraId="1F119BF7">
      <w:pPr>
        <w:autoSpaceDE w:val="0"/>
        <w:autoSpaceDN w:val="0"/>
        <w:spacing w:line="360" w:lineRule="auto"/>
        <w:ind w:firstLine="484" w:firstLineChars="202"/>
        <w:jc w:val="left"/>
        <w:rPr>
          <w:rFonts w:ascii="宋体" w:hAnsi="宋体"/>
          <w:color w:val="auto"/>
          <w:kern w:val="0"/>
          <w:sz w:val="24"/>
          <w:highlight w:val="none"/>
        </w:rPr>
      </w:pPr>
      <w:r>
        <w:rPr>
          <w:rFonts w:ascii="宋体" w:hAnsi="宋体"/>
          <w:color w:val="auto"/>
          <w:kern w:val="0"/>
          <w:sz w:val="24"/>
          <w:highlight w:val="none"/>
        </w:rPr>
        <w:t xml:space="preserve">1.1.5 </w:t>
      </w:r>
      <w:r>
        <w:rPr>
          <w:rFonts w:hint="eastAsia" w:ascii="宋体" w:hAnsi="宋体"/>
          <w:color w:val="auto"/>
          <w:kern w:val="0"/>
          <w:sz w:val="24"/>
          <w:highlight w:val="none"/>
        </w:rPr>
        <w:t>本项目地点：</w:t>
      </w:r>
      <w:r>
        <w:rPr>
          <w:rFonts w:hint="eastAsia" w:ascii="宋体" w:hAnsi="宋体"/>
          <w:color w:val="auto"/>
          <w:sz w:val="24"/>
          <w:highlight w:val="none"/>
        </w:rPr>
        <w:t>见</w:t>
      </w:r>
      <w:r>
        <w:rPr>
          <w:rFonts w:hint="eastAsia" w:ascii="宋体" w:hAnsi="宋体"/>
          <w:color w:val="auto"/>
          <w:kern w:val="0"/>
          <w:sz w:val="24"/>
          <w:highlight w:val="none"/>
          <w:lang w:val="en-US" w:eastAsia="zh-CN"/>
        </w:rPr>
        <w:t>供应商</w:t>
      </w:r>
      <w:r>
        <w:rPr>
          <w:rFonts w:hint="eastAsia" w:ascii="宋体" w:hAnsi="宋体"/>
          <w:color w:val="auto"/>
          <w:sz w:val="24"/>
          <w:highlight w:val="none"/>
        </w:rPr>
        <w:t>须知前附表。</w:t>
      </w:r>
    </w:p>
    <w:p w14:paraId="3A4972F1">
      <w:pPr>
        <w:rPr>
          <w:b/>
          <w:color w:val="auto"/>
          <w:kern w:val="0"/>
          <w:sz w:val="24"/>
          <w:szCs w:val="28"/>
          <w:highlight w:val="none"/>
        </w:rPr>
      </w:pPr>
      <w:bookmarkStart w:id="14" w:name="_Toc438797939"/>
      <w:bookmarkEnd w:id="14"/>
      <w:bookmarkStart w:id="15" w:name="_Toc391284736"/>
      <w:bookmarkEnd w:id="15"/>
      <w:bookmarkStart w:id="16" w:name="_Toc438797174"/>
      <w:bookmarkEnd w:id="16"/>
      <w:r>
        <w:rPr>
          <w:b/>
          <w:color w:val="auto"/>
          <w:kern w:val="0"/>
          <w:sz w:val="24"/>
          <w:szCs w:val="28"/>
          <w:highlight w:val="none"/>
        </w:rPr>
        <w:t xml:space="preserve">1.2 </w:t>
      </w:r>
      <w:r>
        <w:rPr>
          <w:rFonts w:hint="eastAsia"/>
          <w:b/>
          <w:color w:val="auto"/>
          <w:kern w:val="0"/>
          <w:sz w:val="24"/>
          <w:szCs w:val="28"/>
          <w:highlight w:val="none"/>
        </w:rPr>
        <w:t>资金来源和落实情况</w:t>
      </w:r>
    </w:p>
    <w:p w14:paraId="6953AD52">
      <w:pPr>
        <w:autoSpaceDE w:val="0"/>
        <w:autoSpaceDN w:val="0"/>
        <w:spacing w:line="360" w:lineRule="auto"/>
        <w:ind w:firstLine="484" w:firstLineChars="202"/>
        <w:jc w:val="left"/>
        <w:rPr>
          <w:rFonts w:ascii="宋体" w:hAnsi="宋体"/>
          <w:color w:val="auto"/>
          <w:kern w:val="0"/>
          <w:sz w:val="24"/>
          <w:highlight w:val="none"/>
        </w:rPr>
      </w:pPr>
      <w:r>
        <w:rPr>
          <w:rFonts w:ascii="宋体" w:hAnsi="宋体"/>
          <w:color w:val="auto"/>
          <w:kern w:val="0"/>
          <w:sz w:val="24"/>
          <w:highlight w:val="none"/>
        </w:rPr>
        <w:t xml:space="preserve">1.2.1 </w:t>
      </w:r>
      <w:r>
        <w:rPr>
          <w:rFonts w:hint="eastAsia" w:ascii="宋体" w:hAnsi="宋体"/>
          <w:color w:val="auto"/>
          <w:kern w:val="0"/>
          <w:sz w:val="24"/>
          <w:highlight w:val="none"/>
        </w:rPr>
        <w:t>本项目的资金来源：见</w:t>
      </w:r>
      <w:r>
        <w:rPr>
          <w:rFonts w:hint="eastAsia" w:ascii="宋体" w:hAnsi="宋体"/>
          <w:color w:val="auto"/>
          <w:kern w:val="0"/>
          <w:sz w:val="24"/>
          <w:highlight w:val="none"/>
          <w:lang w:val="en-US" w:eastAsia="zh-CN"/>
        </w:rPr>
        <w:t>供应商</w:t>
      </w:r>
      <w:r>
        <w:rPr>
          <w:rFonts w:hint="eastAsia" w:ascii="宋体" w:hAnsi="宋体"/>
          <w:color w:val="auto"/>
          <w:kern w:val="0"/>
          <w:sz w:val="24"/>
          <w:highlight w:val="none"/>
        </w:rPr>
        <w:t>须知前附表。</w:t>
      </w:r>
    </w:p>
    <w:p w14:paraId="05B05F7C">
      <w:pPr>
        <w:rPr>
          <w:b/>
          <w:color w:val="auto"/>
          <w:kern w:val="0"/>
          <w:sz w:val="24"/>
          <w:szCs w:val="28"/>
          <w:highlight w:val="none"/>
        </w:rPr>
      </w:pPr>
      <w:bookmarkStart w:id="17" w:name="_Toc438797940"/>
      <w:bookmarkEnd w:id="17"/>
      <w:bookmarkStart w:id="18" w:name="_Toc391284737"/>
      <w:bookmarkEnd w:id="18"/>
      <w:bookmarkStart w:id="19" w:name="_Toc438797175"/>
      <w:bookmarkEnd w:id="19"/>
      <w:r>
        <w:rPr>
          <w:b/>
          <w:color w:val="auto"/>
          <w:kern w:val="0"/>
          <w:sz w:val="24"/>
          <w:szCs w:val="28"/>
          <w:highlight w:val="none"/>
        </w:rPr>
        <w:t xml:space="preserve">1.3 </w:t>
      </w:r>
      <w:r>
        <w:rPr>
          <w:rFonts w:hint="eastAsia"/>
          <w:b/>
          <w:color w:val="auto"/>
          <w:kern w:val="0"/>
          <w:sz w:val="24"/>
          <w:szCs w:val="28"/>
          <w:highlight w:val="none"/>
          <w:lang w:val="en-US" w:eastAsia="zh-CN"/>
        </w:rPr>
        <w:t>招标</w:t>
      </w:r>
      <w:r>
        <w:rPr>
          <w:rFonts w:hint="eastAsia"/>
          <w:b/>
          <w:color w:val="auto"/>
          <w:kern w:val="0"/>
          <w:sz w:val="24"/>
          <w:szCs w:val="28"/>
          <w:highlight w:val="none"/>
        </w:rPr>
        <w:t>范围</w:t>
      </w:r>
    </w:p>
    <w:p w14:paraId="7EE327D1">
      <w:pPr>
        <w:autoSpaceDE w:val="0"/>
        <w:autoSpaceDN w:val="0"/>
        <w:spacing w:line="360" w:lineRule="auto"/>
        <w:ind w:firstLine="484" w:firstLineChars="202"/>
        <w:jc w:val="left"/>
        <w:rPr>
          <w:rFonts w:ascii="宋体" w:hAnsi="宋体"/>
          <w:color w:val="auto"/>
          <w:kern w:val="0"/>
          <w:sz w:val="24"/>
          <w:highlight w:val="none"/>
        </w:rPr>
      </w:pPr>
      <w:r>
        <w:rPr>
          <w:rFonts w:ascii="宋体" w:hAnsi="宋体"/>
          <w:color w:val="auto"/>
          <w:kern w:val="0"/>
          <w:sz w:val="24"/>
          <w:highlight w:val="none"/>
        </w:rPr>
        <w:t xml:space="preserve">1.3.1 </w:t>
      </w:r>
      <w:r>
        <w:rPr>
          <w:rFonts w:hint="eastAsia" w:ascii="宋体" w:hAnsi="宋体"/>
          <w:color w:val="auto"/>
          <w:kern w:val="0"/>
          <w:sz w:val="24"/>
          <w:highlight w:val="none"/>
        </w:rPr>
        <w:t>本次项目概况：见</w:t>
      </w:r>
      <w:r>
        <w:rPr>
          <w:rFonts w:hint="eastAsia" w:ascii="宋体" w:hAnsi="宋体"/>
          <w:color w:val="auto"/>
          <w:kern w:val="0"/>
          <w:sz w:val="24"/>
          <w:highlight w:val="none"/>
          <w:lang w:val="en-US" w:eastAsia="zh-CN"/>
        </w:rPr>
        <w:t>供应商</w:t>
      </w:r>
      <w:r>
        <w:rPr>
          <w:rFonts w:hint="eastAsia" w:ascii="宋体" w:hAnsi="宋体"/>
          <w:color w:val="auto"/>
          <w:kern w:val="0"/>
          <w:sz w:val="24"/>
          <w:highlight w:val="none"/>
        </w:rPr>
        <w:t>须知前附表。</w:t>
      </w:r>
    </w:p>
    <w:p w14:paraId="48F7DAEF">
      <w:pPr>
        <w:autoSpaceDE w:val="0"/>
        <w:autoSpaceDN w:val="0"/>
        <w:spacing w:line="360" w:lineRule="auto"/>
        <w:ind w:firstLine="484" w:firstLineChars="202"/>
        <w:jc w:val="left"/>
        <w:rPr>
          <w:rFonts w:ascii="宋体" w:hAnsi="宋体"/>
          <w:color w:val="auto"/>
          <w:kern w:val="0"/>
          <w:sz w:val="24"/>
          <w:highlight w:val="none"/>
        </w:rPr>
      </w:pPr>
      <w:r>
        <w:rPr>
          <w:rFonts w:ascii="宋体" w:hAnsi="宋体"/>
          <w:color w:val="auto"/>
          <w:kern w:val="0"/>
          <w:sz w:val="24"/>
          <w:highlight w:val="none"/>
        </w:rPr>
        <w:t>1.3.</w:t>
      </w:r>
      <w:r>
        <w:rPr>
          <w:rFonts w:hint="eastAsia" w:ascii="宋体" w:hAnsi="宋体"/>
          <w:color w:val="auto"/>
          <w:kern w:val="0"/>
          <w:sz w:val="24"/>
          <w:highlight w:val="none"/>
        </w:rPr>
        <w:t>2</w:t>
      </w:r>
      <w:r>
        <w:rPr>
          <w:rFonts w:hint="eastAsia" w:ascii="宋体" w:hAnsi="宋体"/>
          <w:color w:val="auto"/>
          <w:kern w:val="0"/>
          <w:sz w:val="24"/>
          <w:highlight w:val="none"/>
          <w:lang w:val="en-US" w:eastAsia="zh-CN"/>
        </w:rPr>
        <w:t xml:space="preserve"> </w:t>
      </w:r>
      <w:r>
        <w:rPr>
          <w:rFonts w:hint="eastAsia" w:ascii="宋体" w:hAnsi="宋体"/>
          <w:color w:val="auto"/>
          <w:kern w:val="0"/>
          <w:sz w:val="24"/>
          <w:highlight w:val="none"/>
        </w:rPr>
        <w:t>本次项目</w:t>
      </w:r>
      <w:r>
        <w:rPr>
          <w:rFonts w:hint="eastAsia" w:ascii="宋体" w:hAnsi="宋体"/>
          <w:color w:val="auto"/>
          <w:kern w:val="0"/>
          <w:sz w:val="24"/>
          <w:highlight w:val="none"/>
          <w:lang w:val="en-US" w:eastAsia="zh-CN"/>
        </w:rPr>
        <w:t>工期</w:t>
      </w:r>
      <w:r>
        <w:rPr>
          <w:rFonts w:hint="eastAsia" w:ascii="宋体" w:hAnsi="宋体"/>
          <w:color w:val="auto"/>
          <w:kern w:val="0"/>
          <w:sz w:val="24"/>
          <w:highlight w:val="none"/>
        </w:rPr>
        <w:t>：见</w:t>
      </w:r>
      <w:r>
        <w:rPr>
          <w:rFonts w:hint="eastAsia" w:ascii="宋体" w:hAnsi="宋体"/>
          <w:color w:val="auto"/>
          <w:kern w:val="0"/>
          <w:sz w:val="24"/>
          <w:highlight w:val="none"/>
          <w:lang w:val="en-US" w:eastAsia="zh-CN"/>
        </w:rPr>
        <w:t>供应商</w:t>
      </w:r>
      <w:r>
        <w:rPr>
          <w:rFonts w:hint="eastAsia" w:ascii="宋体" w:hAnsi="宋体"/>
          <w:color w:val="auto"/>
          <w:kern w:val="0"/>
          <w:sz w:val="24"/>
          <w:highlight w:val="none"/>
        </w:rPr>
        <w:t>须知前附表。</w:t>
      </w:r>
    </w:p>
    <w:p w14:paraId="6F0A36DE">
      <w:pPr>
        <w:autoSpaceDE w:val="0"/>
        <w:autoSpaceDN w:val="0"/>
        <w:spacing w:line="360" w:lineRule="auto"/>
        <w:ind w:firstLine="484" w:firstLineChars="202"/>
        <w:jc w:val="left"/>
        <w:rPr>
          <w:rFonts w:hint="eastAsia" w:ascii="宋体" w:hAnsi="宋体"/>
          <w:color w:val="auto"/>
          <w:kern w:val="0"/>
          <w:sz w:val="24"/>
          <w:highlight w:val="none"/>
        </w:rPr>
      </w:pPr>
      <w:r>
        <w:rPr>
          <w:rFonts w:hint="eastAsia" w:ascii="宋体" w:hAnsi="宋体"/>
          <w:color w:val="auto"/>
          <w:kern w:val="0"/>
          <w:sz w:val="24"/>
          <w:highlight w:val="none"/>
        </w:rPr>
        <w:t>1.3.3 本次项目</w:t>
      </w:r>
      <w:r>
        <w:rPr>
          <w:rFonts w:hint="eastAsia" w:ascii="宋体" w:hAnsi="宋体"/>
          <w:color w:val="auto"/>
          <w:sz w:val="24"/>
          <w:highlight w:val="none"/>
        </w:rPr>
        <w:t>质量要求</w:t>
      </w:r>
      <w:r>
        <w:rPr>
          <w:rFonts w:hint="eastAsia" w:ascii="宋体" w:hAnsi="宋体"/>
          <w:color w:val="auto"/>
          <w:kern w:val="0"/>
          <w:sz w:val="24"/>
          <w:highlight w:val="none"/>
        </w:rPr>
        <w:t>：见</w:t>
      </w:r>
      <w:r>
        <w:rPr>
          <w:rFonts w:hint="eastAsia" w:ascii="宋体" w:hAnsi="宋体"/>
          <w:color w:val="auto"/>
          <w:kern w:val="0"/>
          <w:sz w:val="24"/>
          <w:highlight w:val="none"/>
          <w:lang w:val="en-US" w:eastAsia="zh-CN"/>
        </w:rPr>
        <w:t>供应商</w:t>
      </w:r>
      <w:r>
        <w:rPr>
          <w:rFonts w:hint="eastAsia" w:ascii="宋体" w:hAnsi="宋体"/>
          <w:color w:val="auto"/>
          <w:kern w:val="0"/>
          <w:sz w:val="24"/>
          <w:highlight w:val="none"/>
        </w:rPr>
        <w:t>须知前附表。</w:t>
      </w:r>
    </w:p>
    <w:p w14:paraId="72412748">
      <w:pPr>
        <w:rPr>
          <w:b/>
          <w:color w:val="auto"/>
          <w:kern w:val="0"/>
          <w:sz w:val="24"/>
          <w:szCs w:val="28"/>
          <w:highlight w:val="none"/>
        </w:rPr>
      </w:pPr>
      <w:bookmarkStart w:id="20" w:name="_Toc391284738"/>
      <w:bookmarkEnd w:id="20"/>
      <w:bookmarkStart w:id="21" w:name="_Toc438797941"/>
      <w:bookmarkEnd w:id="21"/>
      <w:bookmarkStart w:id="22" w:name="_Toc438797176"/>
      <w:bookmarkEnd w:id="22"/>
      <w:r>
        <w:rPr>
          <w:b/>
          <w:color w:val="auto"/>
          <w:kern w:val="0"/>
          <w:sz w:val="24"/>
          <w:szCs w:val="28"/>
          <w:highlight w:val="none"/>
        </w:rPr>
        <w:t xml:space="preserve">1.4 </w:t>
      </w:r>
      <w:r>
        <w:rPr>
          <w:rFonts w:hint="eastAsia"/>
          <w:b/>
          <w:color w:val="auto"/>
          <w:kern w:val="0"/>
          <w:sz w:val="24"/>
          <w:szCs w:val="28"/>
          <w:highlight w:val="none"/>
          <w:lang w:val="en-US" w:eastAsia="zh-CN"/>
        </w:rPr>
        <w:t>供应商</w:t>
      </w:r>
      <w:r>
        <w:rPr>
          <w:rFonts w:hint="eastAsia"/>
          <w:b/>
          <w:color w:val="auto"/>
          <w:kern w:val="0"/>
          <w:sz w:val="24"/>
          <w:szCs w:val="28"/>
          <w:highlight w:val="none"/>
        </w:rPr>
        <w:t>资格要求</w:t>
      </w:r>
    </w:p>
    <w:p w14:paraId="2C429869">
      <w:pPr>
        <w:autoSpaceDE w:val="0"/>
        <w:autoSpaceDN w:val="0"/>
        <w:spacing w:line="360" w:lineRule="auto"/>
        <w:ind w:firstLine="484" w:firstLineChars="202"/>
        <w:jc w:val="left"/>
        <w:rPr>
          <w:rFonts w:hint="eastAsia" w:ascii="宋体" w:hAnsi="宋体"/>
          <w:color w:val="auto"/>
          <w:kern w:val="0"/>
          <w:sz w:val="24"/>
          <w:highlight w:val="none"/>
        </w:rPr>
      </w:pPr>
      <w:r>
        <w:rPr>
          <w:rFonts w:hint="eastAsia" w:ascii="宋体" w:hAnsi="宋体"/>
          <w:color w:val="auto"/>
          <w:kern w:val="0"/>
          <w:sz w:val="24"/>
          <w:highlight w:val="none"/>
        </w:rPr>
        <w:t xml:space="preserve">1.4.1 </w:t>
      </w:r>
      <w:r>
        <w:rPr>
          <w:rFonts w:hint="eastAsia" w:ascii="宋体" w:hAnsi="宋体"/>
          <w:color w:val="auto"/>
          <w:kern w:val="0"/>
          <w:sz w:val="24"/>
          <w:highlight w:val="none"/>
          <w:lang w:eastAsia="zh-CN"/>
        </w:rPr>
        <w:t>供应商</w:t>
      </w:r>
      <w:r>
        <w:rPr>
          <w:rFonts w:hint="eastAsia" w:ascii="宋体" w:hAnsi="宋体"/>
          <w:color w:val="auto"/>
          <w:kern w:val="0"/>
          <w:sz w:val="24"/>
          <w:highlight w:val="none"/>
        </w:rPr>
        <w:t>具备承担本采购项目承包的资质条件、能力和信誉。</w:t>
      </w:r>
    </w:p>
    <w:p w14:paraId="621BB687">
      <w:pPr>
        <w:autoSpaceDE w:val="0"/>
        <w:autoSpaceDN w:val="0"/>
        <w:spacing w:line="360" w:lineRule="auto"/>
        <w:ind w:firstLine="480" w:firstLineChars="200"/>
        <w:jc w:val="left"/>
        <w:rPr>
          <w:rFonts w:hint="eastAsia" w:ascii="宋体" w:hAnsi="宋体"/>
          <w:color w:val="auto"/>
          <w:kern w:val="0"/>
          <w:sz w:val="24"/>
          <w:highlight w:val="none"/>
        </w:rPr>
      </w:pPr>
      <w:r>
        <w:rPr>
          <w:rFonts w:hint="eastAsia" w:ascii="宋体" w:hAnsi="宋体"/>
          <w:color w:val="auto"/>
          <w:kern w:val="0"/>
          <w:sz w:val="24"/>
          <w:highlight w:val="none"/>
        </w:rPr>
        <w:t>（1）资质条件：见</w:t>
      </w:r>
      <w:r>
        <w:rPr>
          <w:rFonts w:hint="eastAsia" w:ascii="宋体" w:hAnsi="宋体"/>
          <w:color w:val="auto"/>
          <w:kern w:val="0"/>
          <w:sz w:val="24"/>
          <w:highlight w:val="none"/>
          <w:lang w:eastAsia="zh-CN"/>
        </w:rPr>
        <w:t>供应商须知前附表</w:t>
      </w:r>
      <w:r>
        <w:rPr>
          <w:rFonts w:hint="eastAsia" w:ascii="宋体" w:hAnsi="宋体"/>
          <w:color w:val="auto"/>
          <w:kern w:val="0"/>
          <w:sz w:val="24"/>
          <w:highlight w:val="none"/>
        </w:rPr>
        <w:t>；</w:t>
      </w:r>
    </w:p>
    <w:p w14:paraId="215CCB86">
      <w:pPr>
        <w:autoSpaceDE w:val="0"/>
        <w:autoSpaceDN w:val="0"/>
        <w:spacing w:line="360" w:lineRule="auto"/>
        <w:ind w:firstLine="480" w:firstLineChars="200"/>
        <w:jc w:val="left"/>
        <w:rPr>
          <w:rFonts w:hint="eastAsia" w:ascii="宋体" w:hAnsi="宋体"/>
          <w:color w:val="auto"/>
          <w:kern w:val="0"/>
          <w:sz w:val="24"/>
          <w:highlight w:val="none"/>
        </w:rPr>
      </w:pPr>
      <w:r>
        <w:rPr>
          <w:rFonts w:hint="eastAsia" w:ascii="宋体" w:hAnsi="宋体"/>
          <w:color w:val="auto"/>
          <w:kern w:val="0"/>
          <w:sz w:val="24"/>
          <w:highlight w:val="none"/>
        </w:rPr>
        <w:t>（2）业绩要求：见</w:t>
      </w:r>
      <w:r>
        <w:rPr>
          <w:rFonts w:hint="eastAsia" w:ascii="宋体" w:hAnsi="宋体"/>
          <w:color w:val="auto"/>
          <w:kern w:val="0"/>
          <w:sz w:val="24"/>
          <w:highlight w:val="none"/>
          <w:lang w:eastAsia="zh-CN"/>
        </w:rPr>
        <w:t>供应商须知前附表</w:t>
      </w:r>
      <w:r>
        <w:rPr>
          <w:rFonts w:hint="eastAsia" w:ascii="宋体" w:hAnsi="宋体"/>
          <w:color w:val="auto"/>
          <w:kern w:val="0"/>
          <w:sz w:val="24"/>
          <w:highlight w:val="none"/>
        </w:rPr>
        <w:t>；</w:t>
      </w:r>
    </w:p>
    <w:p w14:paraId="4DA7F077">
      <w:pPr>
        <w:autoSpaceDE w:val="0"/>
        <w:autoSpaceDN w:val="0"/>
        <w:spacing w:line="360" w:lineRule="auto"/>
        <w:ind w:firstLine="480" w:firstLineChars="200"/>
        <w:jc w:val="left"/>
        <w:rPr>
          <w:rFonts w:hint="eastAsia" w:ascii="宋体" w:hAnsi="宋体"/>
          <w:color w:val="auto"/>
          <w:kern w:val="0"/>
          <w:sz w:val="24"/>
          <w:highlight w:val="none"/>
        </w:rPr>
      </w:pPr>
      <w:r>
        <w:rPr>
          <w:rFonts w:hint="eastAsia" w:ascii="宋体" w:hAnsi="宋体"/>
          <w:color w:val="auto"/>
          <w:kern w:val="0"/>
          <w:sz w:val="24"/>
          <w:highlight w:val="none"/>
        </w:rPr>
        <w:t>（3）信誉要求：见</w:t>
      </w:r>
      <w:r>
        <w:rPr>
          <w:rFonts w:hint="eastAsia" w:ascii="宋体" w:hAnsi="宋体"/>
          <w:color w:val="auto"/>
          <w:kern w:val="0"/>
          <w:sz w:val="24"/>
          <w:highlight w:val="none"/>
          <w:lang w:eastAsia="zh-CN"/>
        </w:rPr>
        <w:t>供应商须知前附表</w:t>
      </w:r>
      <w:r>
        <w:rPr>
          <w:rFonts w:hint="eastAsia" w:ascii="宋体" w:hAnsi="宋体"/>
          <w:color w:val="auto"/>
          <w:kern w:val="0"/>
          <w:sz w:val="24"/>
          <w:highlight w:val="none"/>
        </w:rPr>
        <w:t>；</w:t>
      </w:r>
    </w:p>
    <w:p w14:paraId="5FBD2456">
      <w:pPr>
        <w:autoSpaceDE w:val="0"/>
        <w:autoSpaceDN w:val="0"/>
        <w:spacing w:line="360" w:lineRule="auto"/>
        <w:ind w:firstLine="480" w:firstLineChars="200"/>
        <w:jc w:val="left"/>
        <w:rPr>
          <w:rFonts w:hint="eastAsia" w:ascii="宋体" w:hAnsi="宋体"/>
          <w:color w:val="auto"/>
          <w:kern w:val="0"/>
          <w:sz w:val="24"/>
          <w:highlight w:val="none"/>
        </w:rPr>
      </w:pPr>
      <w:r>
        <w:rPr>
          <w:rFonts w:hint="eastAsia" w:ascii="宋体" w:hAnsi="宋体"/>
          <w:color w:val="auto"/>
          <w:kern w:val="0"/>
          <w:sz w:val="24"/>
          <w:highlight w:val="none"/>
        </w:rPr>
        <w:t>（4）其他要求：见</w:t>
      </w:r>
      <w:r>
        <w:rPr>
          <w:rFonts w:hint="eastAsia" w:ascii="宋体" w:hAnsi="宋体"/>
          <w:color w:val="auto"/>
          <w:kern w:val="0"/>
          <w:sz w:val="24"/>
          <w:highlight w:val="none"/>
          <w:lang w:eastAsia="zh-CN"/>
        </w:rPr>
        <w:t>供应商须知前附表</w:t>
      </w:r>
      <w:r>
        <w:rPr>
          <w:rFonts w:hint="eastAsia" w:ascii="宋体" w:hAnsi="宋体"/>
          <w:color w:val="auto"/>
          <w:kern w:val="0"/>
          <w:sz w:val="24"/>
          <w:highlight w:val="none"/>
        </w:rPr>
        <w:t>；</w:t>
      </w:r>
    </w:p>
    <w:p w14:paraId="0DE94BFE">
      <w:pPr>
        <w:autoSpaceDE w:val="0"/>
        <w:autoSpaceDN w:val="0"/>
        <w:spacing w:line="360" w:lineRule="auto"/>
        <w:ind w:firstLine="480" w:firstLineChars="200"/>
        <w:jc w:val="left"/>
        <w:rPr>
          <w:rFonts w:hint="eastAsia" w:ascii="宋体" w:hAnsi="宋体"/>
          <w:color w:val="auto"/>
          <w:kern w:val="0"/>
          <w:sz w:val="24"/>
          <w:highlight w:val="none"/>
        </w:rPr>
      </w:pPr>
      <w:r>
        <w:rPr>
          <w:rFonts w:hint="eastAsia" w:ascii="宋体" w:hAnsi="宋体"/>
          <w:color w:val="auto"/>
          <w:kern w:val="0"/>
          <w:sz w:val="24"/>
          <w:highlight w:val="none"/>
        </w:rPr>
        <w:t>1.4.2 本次</w:t>
      </w:r>
      <w:r>
        <w:rPr>
          <w:rFonts w:hint="eastAsia" w:ascii="宋体" w:hAnsi="宋体"/>
          <w:color w:val="auto"/>
          <w:kern w:val="0"/>
          <w:sz w:val="24"/>
          <w:highlight w:val="none"/>
          <w:lang w:val="en-US" w:eastAsia="zh-CN"/>
        </w:rPr>
        <w:t>招标</w:t>
      </w:r>
      <w:r>
        <w:rPr>
          <w:rFonts w:hint="eastAsia" w:ascii="宋体" w:hAnsi="宋体"/>
          <w:color w:val="auto"/>
          <w:kern w:val="0"/>
          <w:sz w:val="24"/>
          <w:highlight w:val="none"/>
        </w:rPr>
        <w:t>不接受联合体竞标。</w:t>
      </w:r>
    </w:p>
    <w:p w14:paraId="6F456C60">
      <w:pPr>
        <w:autoSpaceDE w:val="0"/>
        <w:autoSpaceDN w:val="0"/>
        <w:spacing w:line="360" w:lineRule="auto"/>
        <w:ind w:firstLine="484" w:firstLineChars="202"/>
        <w:jc w:val="left"/>
        <w:rPr>
          <w:rFonts w:hint="eastAsia" w:ascii="宋体" w:hAnsi="宋体"/>
          <w:color w:val="auto"/>
          <w:kern w:val="0"/>
          <w:sz w:val="24"/>
          <w:highlight w:val="none"/>
        </w:rPr>
      </w:pPr>
      <w:r>
        <w:rPr>
          <w:rFonts w:hint="eastAsia" w:ascii="宋体" w:hAnsi="宋体"/>
          <w:color w:val="auto"/>
          <w:kern w:val="0"/>
          <w:sz w:val="24"/>
          <w:highlight w:val="none"/>
        </w:rPr>
        <w:t xml:space="preserve">1.4.3 </w:t>
      </w:r>
      <w:r>
        <w:rPr>
          <w:rFonts w:hint="eastAsia" w:ascii="宋体" w:hAnsi="宋体"/>
          <w:color w:val="auto"/>
          <w:kern w:val="0"/>
          <w:sz w:val="24"/>
          <w:highlight w:val="none"/>
          <w:lang w:val="en-US" w:eastAsia="zh-CN"/>
        </w:rPr>
        <w:t>供应商</w:t>
      </w:r>
      <w:r>
        <w:rPr>
          <w:rFonts w:hint="eastAsia" w:ascii="宋体" w:hAnsi="宋体"/>
          <w:color w:val="auto"/>
          <w:kern w:val="0"/>
          <w:sz w:val="24"/>
          <w:highlight w:val="none"/>
        </w:rPr>
        <w:t>不得存在下列情形之一：</w:t>
      </w:r>
    </w:p>
    <w:p w14:paraId="0513B1B7">
      <w:pPr>
        <w:autoSpaceDE w:val="0"/>
        <w:autoSpaceDN w:val="0"/>
        <w:spacing w:line="360" w:lineRule="auto"/>
        <w:ind w:firstLine="484" w:firstLineChars="202"/>
        <w:jc w:val="left"/>
        <w:rPr>
          <w:rFonts w:hint="eastAsia" w:ascii="宋体" w:hAnsi="宋体"/>
          <w:color w:val="auto"/>
          <w:kern w:val="0"/>
          <w:sz w:val="24"/>
          <w:highlight w:val="none"/>
        </w:rPr>
      </w:pPr>
      <w:r>
        <w:rPr>
          <w:rFonts w:hint="eastAsia" w:ascii="宋体" w:hAnsi="宋体"/>
          <w:color w:val="auto"/>
          <w:kern w:val="0"/>
          <w:sz w:val="24"/>
          <w:highlight w:val="none"/>
        </w:rPr>
        <w:t>（</w:t>
      </w:r>
      <w:r>
        <w:rPr>
          <w:rFonts w:ascii="宋体" w:hAnsi="宋体"/>
          <w:color w:val="auto"/>
          <w:kern w:val="0"/>
          <w:sz w:val="24"/>
          <w:highlight w:val="none"/>
        </w:rPr>
        <w:t>1</w:t>
      </w:r>
      <w:r>
        <w:rPr>
          <w:rFonts w:hint="eastAsia" w:ascii="宋体" w:hAnsi="宋体"/>
          <w:color w:val="auto"/>
          <w:kern w:val="0"/>
          <w:sz w:val="24"/>
          <w:highlight w:val="none"/>
        </w:rPr>
        <w:t>）为</w:t>
      </w:r>
      <w:r>
        <w:rPr>
          <w:rFonts w:hint="eastAsia" w:ascii="宋体" w:hAnsi="宋体"/>
          <w:color w:val="auto"/>
          <w:kern w:val="0"/>
          <w:sz w:val="24"/>
          <w:highlight w:val="none"/>
          <w:lang w:val="en-US" w:eastAsia="zh-CN"/>
        </w:rPr>
        <w:t>采购人</w:t>
      </w:r>
      <w:r>
        <w:rPr>
          <w:rFonts w:hint="eastAsia" w:ascii="宋体" w:hAnsi="宋体"/>
          <w:color w:val="auto"/>
          <w:kern w:val="0"/>
          <w:sz w:val="24"/>
          <w:highlight w:val="none"/>
        </w:rPr>
        <w:t>不具有独立法人资格的附属机构（单位）；</w:t>
      </w:r>
    </w:p>
    <w:p w14:paraId="14CEB24E">
      <w:pPr>
        <w:autoSpaceDE w:val="0"/>
        <w:autoSpaceDN w:val="0"/>
        <w:spacing w:line="360" w:lineRule="auto"/>
        <w:ind w:firstLine="484" w:firstLineChars="202"/>
        <w:jc w:val="left"/>
        <w:rPr>
          <w:rFonts w:hint="eastAsia" w:ascii="宋体" w:hAnsi="宋体"/>
          <w:color w:val="auto"/>
          <w:kern w:val="0"/>
          <w:sz w:val="24"/>
          <w:highlight w:val="none"/>
        </w:rPr>
      </w:pPr>
      <w:r>
        <w:rPr>
          <w:rFonts w:hint="eastAsia" w:ascii="宋体" w:hAnsi="宋体"/>
          <w:color w:val="auto"/>
          <w:kern w:val="0"/>
          <w:sz w:val="24"/>
          <w:highlight w:val="none"/>
        </w:rPr>
        <w:t>（2）为本项目提供招标代理服务的；</w:t>
      </w:r>
    </w:p>
    <w:p w14:paraId="22BB2F02">
      <w:pPr>
        <w:autoSpaceDE w:val="0"/>
        <w:autoSpaceDN w:val="0"/>
        <w:spacing w:line="360" w:lineRule="auto"/>
        <w:ind w:firstLine="484" w:firstLineChars="202"/>
        <w:jc w:val="left"/>
        <w:rPr>
          <w:rFonts w:hint="eastAsia" w:ascii="宋体" w:hAnsi="宋体"/>
          <w:color w:val="auto"/>
          <w:kern w:val="0"/>
          <w:sz w:val="24"/>
          <w:highlight w:val="none"/>
        </w:rPr>
      </w:pPr>
      <w:r>
        <w:rPr>
          <w:rFonts w:hint="eastAsia" w:ascii="宋体" w:hAnsi="宋体"/>
          <w:color w:val="auto"/>
          <w:kern w:val="0"/>
          <w:sz w:val="24"/>
          <w:highlight w:val="none"/>
        </w:rPr>
        <w:t>（3）与本项目</w:t>
      </w:r>
      <w:r>
        <w:rPr>
          <w:rFonts w:hint="eastAsia" w:ascii="宋体" w:hAnsi="宋体"/>
          <w:color w:val="auto"/>
          <w:kern w:val="0"/>
          <w:sz w:val="24"/>
          <w:highlight w:val="none"/>
          <w:lang w:val="en-US" w:eastAsia="zh-CN"/>
        </w:rPr>
        <w:t>采购人</w:t>
      </w:r>
      <w:r>
        <w:rPr>
          <w:rFonts w:hint="eastAsia" w:ascii="宋体" w:hAnsi="宋体"/>
          <w:color w:val="auto"/>
          <w:kern w:val="0"/>
          <w:sz w:val="24"/>
          <w:highlight w:val="none"/>
        </w:rPr>
        <w:t>或招标</w:t>
      </w:r>
      <w:r>
        <w:rPr>
          <w:rFonts w:hint="eastAsia" w:ascii="宋体" w:hAnsi="宋体"/>
          <w:color w:val="auto"/>
          <w:kern w:val="0"/>
          <w:sz w:val="24"/>
          <w:highlight w:val="none"/>
          <w:lang w:eastAsia="zh-CN"/>
        </w:rPr>
        <w:t>招标代理机构</w:t>
      </w:r>
      <w:r>
        <w:rPr>
          <w:rFonts w:hint="eastAsia" w:ascii="宋体" w:hAnsi="宋体"/>
          <w:color w:val="auto"/>
          <w:kern w:val="0"/>
          <w:sz w:val="24"/>
          <w:highlight w:val="none"/>
        </w:rPr>
        <w:t>同为一个法定代表人的；</w:t>
      </w:r>
    </w:p>
    <w:p w14:paraId="5E2C8053">
      <w:pPr>
        <w:autoSpaceDE w:val="0"/>
        <w:autoSpaceDN w:val="0"/>
        <w:spacing w:line="360" w:lineRule="auto"/>
        <w:ind w:firstLine="484" w:firstLineChars="202"/>
        <w:jc w:val="left"/>
        <w:rPr>
          <w:rFonts w:hint="eastAsia" w:ascii="宋体" w:hAnsi="宋体"/>
          <w:color w:val="auto"/>
          <w:kern w:val="0"/>
          <w:sz w:val="24"/>
          <w:highlight w:val="none"/>
        </w:rPr>
      </w:pPr>
      <w:r>
        <w:rPr>
          <w:rFonts w:hint="eastAsia" w:ascii="宋体" w:hAnsi="宋体"/>
          <w:color w:val="auto"/>
          <w:kern w:val="0"/>
          <w:sz w:val="24"/>
          <w:highlight w:val="none"/>
        </w:rPr>
        <w:t>（4）与本项目的</w:t>
      </w:r>
      <w:r>
        <w:rPr>
          <w:rFonts w:hint="eastAsia" w:ascii="宋体" w:hAnsi="宋体"/>
          <w:color w:val="auto"/>
          <w:kern w:val="0"/>
          <w:sz w:val="24"/>
          <w:highlight w:val="none"/>
          <w:lang w:val="en-US" w:eastAsia="zh-CN"/>
        </w:rPr>
        <w:t>采购人</w:t>
      </w:r>
      <w:r>
        <w:rPr>
          <w:rFonts w:hint="eastAsia" w:ascii="宋体" w:hAnsi="宋体"/>
          <w:color w:val="auto"/>
          <w:kern w:val="0"/>
          <w:sz w:val="24"/>
          <w:highlight w:val="none"/>
        </w:rPr>
        <w:t>或招标</w:t>
      </w:r>
      <w:r>
        <w:rPr>
          <w:rFonts w:hint="eastAsia" w:ascii="宋体" w:hAnsi="宋体"/>
          <w:color w:val="auto"/>
          <w:kern w:val="0"/>
          <w:sz w:val="24"/>
          <w:highlight w:val="none"/>
          <w:lang w:eastAsia="zh-CN"/>
        </w:rPr>
        <w:t>招标代理机构</w:t>
      </w:r>
      <w:r>
        <w:rPr>
          <w:rFonts w:hint="eastAsia" w:ascii="宋体" w:hAnsi="宋体"/>
          <w:color w:val="auto"/>
          <w:kern w:val="0"/>
          <w:sz w:val="24"/>
          <w:highlight w:val="none"/>
        </w:rPr>
        <w:t>相互控股或参股的；</w:t>
      </w:r>
    </w:p>
    <w:p w14:paraId="5F4AE021">
      <w:pPr>
        <w:autoSpaceDE w:val="0"/>
        <w:autoSpaceDN w:val="0"/>
        <w:spacing w:line="360" w:lineRule="auto"/>
        <w:ind w:firstLine="484" w:firstLineChars="202"/>
        <w:jc w:val="left"/>
        <w:rPr>
          <w:rFonts w:hint="eastAsia" w:ascii="宋体" w:hAnsi="宋体"/>
          <w:color w:val="auto"/>
          <w:kern w:val="0"/>
          <w:sz w:val="24"/>
          <w:highlight w:val="none"/>
        </w:rPr>
      </w:pPr>
      <w:r>
        <w:rPr>
          <w:rFonts w:hint="eastAsia" w:ascii="宋体" w:hAnsi="宋体"/>
          <w:color w:val="auto"/>
          <w:kern w:val="0"/>
          <w:sz w:val="24"/>
          <w:highlight w:val="none"/>
        </w:rPr>
        <w:t>（5）与本项目的</w:t>
      </w:r>
      <w:r>
        <w:rPr>
          <w:rFonts w:hint="eastAsia" w:ascii="宋体" w:hAnsi="宋体"/>
          <w:color w:val="auto"/>
          <w:kern w:val="0"/>
          <w:sz w:val="24"/>
          <w:highlight w:val="none"/>
          <w:lang w:eastAsia="zh-CN"/>
        </w:rPr>
        <w:t>采购人</w:t>
      </w:r>
      <w:r>
        <w:rPr>
          <w:rFonts w:hint="eastAsia" w:ascii="宋体" w:hAnsi="宋体"/>
          <w:color w:val="auto"/>
          <w:kern w:val="0"/>
          <w:sz w:val="24"/>
          <w:highlight w:val="none"/>
        </w:rPr>
        <w:t>或招标</w:t>
      </w:r>
      <w:r>
        <w:rPr>
          <w:rFonts w:hint="eastAsia" w:ascii="宋体" w:hAnsi="宋体"/>
          <w:color w:val="auto"/>
          <w:kern w:val="0"/>
          <w:sz w:val="24"/>
          <w:highlight w:val="none"/>
          <w:lang w:eastAsia="zh-CN"/>
        </w:rPr>
        <w:t>招标代理机构</w:t>
      </w:r>
      <w:r>
        <w:rPr>
          <w:rFonts w:hint="eastAsia" w:ascii="宋体" w:hAnsi="宋体"/>
          <w:color w:val="auto"/>
          <w:kern w:val="0"/>
          <w:sz w:val="24"/>
          <w:highlight w:val="none"/>
        </w:rPr>
        <w:t>相互任职或工作的；</w:t>
      </w:r>
    </w:p>
    <w:p w14:paraId="63969F68">
      <w:pPr>
        <w:autoSpaceDE w:val="0"/>
        <w:autoSpaceDN w:val="0"/>
        <w:spacing w:line="360" w:lineRule="auto"/>
        <w:ind w:firstLine="484" w:firstLineChars="202"/>
        <w:jc w:val="left"/>
        <w:rPr>
          <w:rFonts w:hint="eastAsia" w:ascii="宋体" w:hAnsi="宋体"/>
          <w:color w:val="auto"/>
          <w:kern w:val="0"/>
          <w:sz w:val="24"/>
          <w:highlight w:val="none"/>
        </w:rPr>
      </w:pPr>
      <w:r>
        <w:rPr>
          <w:rFonts w:hint="eastAsia" w:ascii="宋体" w:hAnsi="宋体"/>
          <w:color w:val="auto"/>
          <w:kern w:val="0"/>
          <w:sz w:val="24"/>
          <w:highlight w:val="none"/>
        </w:rPr>
        <w:t>（6）被责令停业的；</w:t>
      </w:r>
    </w:p>
    <w:p w14:paraId="462E9667">
      <w:pPr>
        <w:autoSpaceDE w:val="0"/>
        <w:autoSpaceDN w:val="0"/>
        <w:spacing w:line="360" w:lineRule="auto"/>
        <w:ind w:firstLine="484" w:firstLineChars="202"/>
        <w:jc w:val="left"/>
        <w:rPr>
          <w:rFonts w:hint="eastAsia" w:ascii="宋体" w:hAnsi="宋体"/>
          <w:color w:val="auto"/>
          <w:kern w:val="0"/>
          <w:sz w:val="24"/>
          <w:highlight w:val="none"/>
        </w:rPr>
      </w:pPr>
      <w:r>
        <w:rPr>
          <w:rFonts w:hint="eastAsia" w:ascii="宋体" w:hAnsi="宋体"/>
          <w:color w:val="auto"/>
          <w:kern w:val="0"/>
          <w:sz w:val="24"/>
          <w:highlight w:val="none"/>
        </w:rPr>
        <w:t>（7）被暂停或取消竞标资格的；</w:t>
      </w:r>
    </w:p>
    <w:p w14:paraId="44C845EB">
      <w:pPr>
        <w:autoSpaceDE w:val="0"/>
        <w:autoSpaceDN w:val="0"/>
        <w:spacing w:line="360" w:lineRule="auto"/>
        <w:ind w:firstLine="484" w:firstLineChars="202"/>
        <w:jc w:val="left"/>
        <w:rPr>
          <w:rFonts w:hint="eastAsia" w:ascii="宋体" w:hAnsi="宋体"/>
          <w:color w:val="auto"/>
          <w:kern w:val="0"/>
          <w:sz w:val="24"/>
          <w:highlight w:val="none"/>
        </w:rPr>
      </w:pPr>
      <w:r>
        <w:rPr>
          <w:rFonts w:hint="eastAsia" w:ascii="宋体" w:hAnsi="宋体"/>
          <w:color w:val="auto"/>
          <w:kern w:val="0"/>
          <w:sz w:val="24"/>
          <w:highlight w:val="none"/>
        </w:rPr>
        <w:t>（8）财产被接管或冻结的；</w:t>
      </w:r>
    </w:p>
    <w:p w14:paraId="112CF58B">
      <w:pPr>
        <w:autoSpaceDE w:val="0"/>
        <w:autoSpaceDN w:val="0"/>
        <w:spacing w:line="360" w:lineRule="auto"/>
        <w:ind w:firstLine="484" w:firstLineChars="202"/>
        <w:jc w:val="left"/>
        <w:rPr>
          <w:rFonts w:hint="eastAsia" w:ascii="宋体" w:hAnsi="宋体"/>
          <w:color w:val="auto"/>
          <w:kern w:val="0"/>
          <w:sz w:val="24"/>
          <w:highlight w:val="none"/>
        </w:rPr>
      </w:pPr>
      <w:r>
        <w:rPr>
          <w:rFonts w:hint="eastAsia" w:ascii="宋体" w:hAnsi="宋体"/>
          <w:color w:val="auto"/>
          <w:kern w:val="0"/>
          <w:sz w:val="24"/>
          <w:highlight w:val="none"/>
        </w:rPr>
        <w:t>（9）在最近三年内有骗取中标或严重违约或在履约过程中发生重大安全问题的。</w:t>
      </w:r>
    </w:p>
    <w:p w14:paraId="03178F97">
      <w:pPr>
        <w:rPr>
          <w:b/>
          <w:color w:val="auto"/>
          <w:kern w:val="0"/>
          <w:sz w:val="24"/>
          <w:szCs w:val="28"/>
          <w:highlight w:val="none"/>
        </w:rPr>
      </w:pPr>
      <w:bookmarkStart w:id="23" w:name="_Toc391284739"/>
      <w:bookmarkEnd w:id="23"/>
      <w:bookmarkStart w:id="24" w:name="_Toc438797942"/>
      <w:bookmarkEnd w:id="24"/>
      <w:bookmarkStart w:id="25" w:name="_Toc438797177"/>
      <w:bookmarkEnd w:id="25"/>
      <w:r>
        <w:rPr>
          <w:b/>
          <w:color w:val="auto"/>
          <w:kern w:val="0"/>
          <w:sz w:val="24"/>
          <w:szCs w:val="28"/>
          <w:highlight w:val="none"/>
        </w:rPr>
        <w:t xml:space="preserve">1.5 </w:t>
      </w:r>
      <w:r>
        <w:rPr>
          <w:rFonts w:hint="eastAsia"/>
          <w:b/>
          <w:color w:val="auto"/>
          <w:kern w:val="0"/>
          <w:sz w:val="24"/>
          <w:szCs w:val="28"/>
          <w:highlight w:val="none"/>
        </w:rPr>
        <w:t>费用承担</w:t>
      </w:r>
    </w:p>
    <w:p w14:paraId="3E59A74C">
      <w:pPr>
        <w:autoSpaceDE w:val="0"/>
        <w:autoSpaceDN w:val="0"/>
        <w:spacing w:line="360" w:lineRule="auto"/>
        <w:ind w:firstLine="480" w:firstLineChars="200"/>
        <w:jc w:val="left"/>
        <w:rPr>
          <w:rFonts w:hint="eastAsia" w:ascii="宋体" w:hAnsi="宋体"/>
          <w:color w:val="auto"/>
          <w:kern w:val="0"/>
          <w:sz w:val="24"/>
          <w:highlight w:val="none"/>
          <w:lang w:eastAsia="zh-CN"/>
        </w:rPr>
      </w:pPr>
      <w:r>
        <w:rPr>
          <w:rFonts w:hint="eastAsia" w:ascii="宋体" w:hAnsi="宋体"/>
          <w:color w:val="auto"/>
          <w:kern w:val="0"/>
          <w:sz w:val="24"/>
          <w:highlight w:val="none"/>
          <w:lang w:eastAsia="zh-CN"/>
        </w:rPr>
        <w:t>供应商</w:t>
      </w:r>
      <w:r>
        <w:rPr>
          <w:rFonts w:hint="eastAsia" w:ascii="宋体" w:hAnsi="宋体"/>
          <w:color w:val="auto"/>
          <w:kern w:val="0"/>
          <w:sz w:val="24"/>
          <w:highlight w:val="none"/>
        </w:rPr>
        <w:t>准备和参加投（竞）标活动发生的费用自理，业主和招标代理公司在任何情况下均无义务和责任承担此费用。</w:t>
      </w:r>
    </w:p>
    <w:p w14:paraId="357F04A8">
      <w:pPr>
        <w:rPr>
          <w:b/>
          <w:color w:val="auto"/>
          <w:kern w:val="0"/>
          <w:sz w:val="24"/>
          <w:szCs w:val="28"/>
          <w:highlight w:val="none"/>
        </w:rPr>
      </w:pPr>
      <w:bookmarkStart w:id="26" w:name="_Toc438797178"/>
      <w:bookmarkEnd w:id="26"/>
      <w:bookmarkStart w:id="27" w:name="_Toc438797943"/>
      <w:bookmarkEnd w:id="27"/>
      <w:bookmarkStart w:id="28" w:name="_Toc391284740"/>
      <w:bookmarkEnd w:id="28"/>
      <w:r>
        <w:rPr>
          <w:b/>
          <w:color w:val="auto"/>
          <w:kern w:val="0"/>
          <w:sz w:val="24"/>
          <w:szCs w:val="28"/>
          <w:highlight w:val="none"/>
        </w:rPr>
        <w:t xml:space="preserve">1.6 </w:t>
      </w:r>
      <w:r>
        <w:rPr>
          <w:rFonts w:hint="eastAsia"/>
          <w:b/>
          <w:color w:val="auto"/>
          <w:kern w:val="0"/>
          <w:sz w:val="24"/>
          <w:szCs w:val="28"/>
          <w:highlight w:val="none"/>
        </w:rPr>
        <w:t>保密</w:t>
      </w:r>
    </w:p>
    <w:p w14:paraId="279E1904">
      <w:pPr>
        <w:autoSpaceDE w:val="0"/>
        <w:autoSpaceDN w:val="0"/>
        <w:spacing w:line="360" w:lineRule="auto"/>
        <w:ind w:firstLine="480" w:firstLineChars="200"/>
        <w:jc w:val="left"/>
        <w:rPr>
          <w:rFonts w:hint="eastAsia" w:ascii="宋体" w:hAnsi="宋体"/>
          <w:color w:val="auto"/>
          <w:kern w:val="0"/>
          <w:sz w:val="24"/>
          <w:highlight w:val="none"/>
        </w:rPr>
      </w:pPr>
      <w:r>
        <w:rPr>
          <w:rFonts w:hint="eastAsia" w:ascii="宋体" w:hAnsi="宋体"/>
          <w:color w:val="auto"/>
          <w:kern w:val="0"/>
          <w:sz w:val="24"/>
          <w:highlight w:val="none"/>
        </w:rPr>
        <w:t>参与采购活动的各方应对</w:t>
      </w:r>
      <w:r>
        <w:rPr>
          <w:rFonts w:hint="eastAsia" w:ascii="宋体" w:hAnsi="宋体"/>
          <w:color w:val="auto"/>
          <w:kern w:val="0"/>
          <w:sz w:val="24"/>
          <w:highlight w:val="none"/>
          <w:lang w:eastAsia="zh-CN"/>
        </w:rPr>
        <w:t>竞争性磋商</w:t>
      </w:r>
      <w:r>
        <w:rPr>
          <w:rFonts w:hint="eastAsia" w:ascii="宋体" w:hAnsi="宋体"/>
          <w:color w:val="auto"/>
          <w:kern w:val="0"/>
          <w:sz w:val="24"/>
          <w:highlight w:val="none"/>
        </w:rPr>
        <w:t>文件和</w:t>
      </w:r>
      <w:r>
        <w:rPr>
          <w:rFonts w:hint="eastAsia" w:ascii="宋体" w:hAnsi="宋体"/>
          <w:color w:val="auto"/>
          <w:kern w:val="0"/>
          <w:sz w:val="24"/>
          <w:highlight w:val="none"/>
          <w:lang w:eastAsia="zh-CN"/>
        </w:rPr>
        <w:t>响应文件</w:t>
      </w:r>
      <w:r>
        <w:rPr>
          <w:rFonts w:hint="eastAsia" w:ascii="宋体" w:hAnsi="宋体"/>
          <w:color w:val="auto"/>
          <w:kern w:val="0"/>
          <w:sz w:val="24"/>
          <w:highlight w:val="none"/>
        </w:rPr>
        <w:t>中的商业和技术等秘密保密，违者应对由此造成的后果承担法律责任。</w:t>
      </w:r>
    </w:p>
    <w:p w14:paraId="6F87D351">
      <w:pPr>
        <w:rPr>
          <w:b/>
          <w:color w:val="auto"/>
          <w:kern w:val="0"/>
          <w:sz w:val="24"/>
          <w:szCs w:val="28"/>
          <w:highlight w:val="none"/>
        </w:rPr>
      </w:pPr>
      <w:bookmarkStart w:id="29" w:name="_Toc438797179"/>
      <w:bookmarkEnd w:id="29"/>
      <w:bookmarkStart w:id="30" w:name="_Toc438797944"/>
      <w:bookmarkEnd w:id="30"/>
      <w:bookmarkStart w:id="31" w:name="_Toc391284741"/>
      <w:bookmarkEnd w:id="31"/>
      <w:r>
        <w:rPr>
          <w:b/>
          <w:color w:val="auto"/>
          <w:kern w:val="0"/>
          <w:sz w:val="24"/>
          <w:szCs w:val="28"/>
          <w:highlight w:val="none"/>
        </w:rPr>
        <w:t xml:space="preserve">1.7 </w:t>
      </w:r>
      <w:r>
        <w:rPr>
          <w:rFonts w:hint="eastAsia"/>
          <w:b/>
          <w:color w:val="auto"/>
          <w:kern w:val="0"/>
          <w:sz w:val="24"/>
          <w:szCs w:val="28"/>
          <w:highlight w:val="none"/>
        </w:rPr>
        <w:t>语言文字</w:t>
      </w:r>
    </w:p>
    <w:p w14:paraId="70804CB0">
      <w:pPr>
        <w:autoSpaceDE w:val="0"/>
        <w:autoSpaceDN w:val="0"/>
        <w:spacing w:line="360" w:lineRule="auto"/>
        <w:ind w:firstLine="480" w:firstLineChars="200"/>
        <w:jc w:val="left"/>
        <w:rPr>
          <w:rFonts w:hint="eastAsia" w:ascii="宋体" w:hAnsi="宋体"/>
          <w:color w:val="auto"/>
          <w:kern w:val="0"/>
          <w:sz w:val="24"/>
          <w:highlight w:val="none"/>
        </w:rPr>
      </w:pPr>
      <w:r>
        <w:rPr>
          <w:rFonts w:hint="eastAsia" w:ascii="宋体" w:hAnsi="宋体"/>
          <w:color w:val="auto"/>
          <w:kern w:val="0"/>
          <w:sz w:val="24"/>
          <w:highlight w:val="none"/>
        </w:rPr>
        <w:t>除专用术语外，与采购有关的语言均使用中文。必要时专用术语应附有中文注释。</w:t>
      </w:r>
    </w:p>
    <w:p w14:paraId="050697B0">
      <w:pPr>
        <w:rPr>
          <w:b/>
          <w:color w:val="auto"/>
          <w:kern w:val="0"/>
          <w:sz w:val="24"/>
          <w:szCs w:val="28"/>
          <w:highlight w:val="none"/>
        </w:rPr>
      </w:pPr>
      <w:bookmarkStart w:id="32" w:name="_Toc391284742"/>
      <w:bookmarkEnd w:id="32"/>
      <w:bookmarkStart w:id="33" w:name="_Toc438797945"/>
      <w:bookmarkEnd w:id="33"/>
      <w:bookmarkStart w:id="34" w:name="_Toc438797180"/>
      <w:bookmarkEnd w:id="34"/>
      <w:r>
        <w:rPr>
          <w:b/>
          <w:color w:val="auto"/>
          <w:kern w:val="0"/>
          <w:sz w:val="24"/>
          <w:szCs w:val="28"/>
          <w:highlight w:val="none"/>
        </w:rPr>
        <w:t xml:space="preserve">1.8 </w:t>
      </w:r>
      <w:r>
        <w:rPr>
          <w:rFonts w:hint="eastAsia"/>
          <w:b/>
          <w:color w:val="auto"/>
          <w:kern w:val="0"/>
          <w:sz w:val="24"/>
          <w:szCs w:val="28"/>
          <w:highlight w:val="none"/>
        </w:rPr>
        <w:t>计量单位</w:t>
      </w:r>
    </w:p>
    <w:p w14:paraId="39486319">
      <w:pPr>
        <w:autoSpaceDE w:val="0"/>
        <w:autoSpaceDN w:val="0"/>
        <w:spacing w:line="360" w:lineRule="auto"/>
        <w:ind w:firstLine="480" w:firstLineChars="200"/>
        <w:jc w:val="left"/>
        <w:rPr>
          <w:rFonts w:hint="eastAsia" w:ascii="宋体" w:hAnsi="宋体"/>
          <w:color w:val="auto"/>
          <w:kern w:val="0"/>
          <w:sz w:val="24"/>
          <w:highlight w:val="none"/>
        </w:rPr>
      </w:pPr>
      <w:r>
        <w:rPr>
          <w:rFonts w:hint="eastAsia" w:ascii="宋体" w:hAnsi="宋体"/>
          <w:color w:val="auto"/>
          <w:kern w:val="0"/>
          <w:sz w:val="24"/>
          <w:highlight w:val="none"/>
        </w:rPr>
        <w:t>所有计量均采用中华人民共和国法定计量单位。</w:t>
      </w:r>
    </w:p>
    <w:p w14:paraId="65C5E98A">
      <w:pPr>
        <w:rPr>
          <w:b/>
          <w:color w:val="auto"/>
          <w:kern w:val="0"/>
          <w:sz w:val="24"/>
          <w:szCs w:val="28"/>
          <w:highlight w:val="none"/>
        </w:rPr>
      </w:pPr>
      <w:bookmarkStart w:id="35" w:name="_Toc391284743"/>
      <w:bookmarkEnd w:id="35"/>
      <w:bookmarkStart w:id="36" w:name="_Toc438797181"/>
      <w:bookmarkEnd w:id="36"/>
      <w:bookmarkStart w:id="37" w:name="_Toc438797946"/>
      <w:bookmarkEnd w:id="37"/>
      <w:r>
        <w:rPr>
          <w:b/>
          <w:color w:val="auto"/>
          <w:kern w:val="0"/>
          <w:sz w:val="24"/>
          <w:szCs w:val="28"/>
          <w:highlight w:val="none"/>
        </w:rPr>
        <w:t xml:space="preserve">1.9 </w:t>
      </w:r>
      <w:r>
        <w:rPr>
          <w:rFonts w:hint="eastAsia"/>
          <w:b/>
          <w:color w:val="auto"/>
          <w:kern w:val="0"/>
          <w:sz w:val="24"/>
          <w:szCs w:val="28"/>
          <w:highlight w:val="none"/>
        </w:rPr>
        <w:t>踏勘现场</w:t>
      </w:r>
    </w:p>
    <w:p w14:paraId="1B90406F">
      <w:pPr>
        <w:autoSpaceDE w:val="0"/>
        <w:autoSpaceDN w:val="0"/>
        <w:spacing w:line="360" w:lineRule="auto"/>
        <w:ind w:firstLine="484" w:firstLineChars="202"/>
        <w:jc w:val="left"/>
        <w:rPr>
          <w:rFonts w:ascii="宋体" w:hAnsi="宋体"/>
          <w:color w:val="auto"/>
          <w:kern w:val="0"/>
          <w:sz w:val="24"/>
          <w:highlight w:val="none"/>
        </w:rPr>
      </w:pPr>
      <w:r>
        <w:rPr>
          <w:rFonts w:ascii="宋体" w:hAnsi="宋体"/>
          <w:color w:val="auto"/>
          <w:kern w:val="0"/>
          <w:sz w:val="24"/>
          <w:highlight w:val="none"/>
        </w:rPr>
        <w:t xml:space="preserve">1.9.1 </w:t>
      </w:r>
      <w:r>
        <w:rPr>
          <w:rFonts w:hint="eastAsia" w:ascii="宋体" w:hAnsi="宋体"/>
          <w:color w:val="auto"/>
          <w:kern w:val="0"/>
          <w:sz w:val="24"/>
          <w:highlight w:val="none"/>
        </w:rPr>
        <w:t>是否组织踏勘：不组织。</w:t>
      </w:r>
    </w:p>
    <w:p w14:paraId="0013F8C4">
      <w:pPr>
        <w:autoSpaceDE w:val="0"/>
        <w:autoSpaceDN w:val="0"/>
        <w:spacing w:line="360" w:lineRule="auto"/>
        <w:ind w:firstLine="484" w:firstLineChars="202"/>
        <w:jc w:val="left"/>
        <w:rPr>
          <w:rFonts w:ascii="宋体" w:hAnsi="宋体"/>
          <w:color w:val="auto"/>
          <w:kern w:val="0"/>
          <w:sz w:val="24"/>
          <w:highlight w:val="none"/>
        </w:rPr>
      </w:pPr>
      <w:r>
        <w:rPr>
          <w:rFonts w:ascii="宋体" w:hAnsi="宋体"/>
          <w:color w:val="auto"/>
          <w:kern w:val="0"/>
          <w:sz w:val="24"/>
          <w:highlight w:val="none"/>
        </w:rPr>
        <w:t xml:space="preserve">1.9.2 </w:t>
      </w:r>
      <w:r>
        <w:rPr>
          <w:rFonts w:hint="eastAsia" w:ascii="宋体" w:hAnsi="宋体"/>
          <w:color w:val="auto"/>
          <w:kern w:val="0"/>
          <w:sz w:val="24"/>
          <w:highlight w:val="none"/>
          <w:lang w:eastAsia="zh-CN"/>
        </w:rPr>
        <w:t>供应商</w:t>
      </w:r>
      <w:r>
        <w:rPr>
          <w:rFonts w:hint="eastAsia" w:ascii="宋体" w:hAnsi="宋体"/>
          <w:color w:val="auto"/>
          <w:kern w:val="0"/>
          <w:sz w:val="24"/>
          <w:highlight w:val="none"/>
        </w:rPr>
        <w:t>自行踏勘现场发生的费用自理。</w:t>
      </w:r>
    </w:p>
    <w:p w14:paraId="3C084A4E">
      <w:pPr>
        <w:autoSpaceDE w:val="0"/>
        <w:autoSpaceDN w:val="0"/>
        <w:spacing w:line="360" w:lineRule="auto"/>
        <w:ind w:firstLine="484" w:firstLineChars="202"/>
        <w:jc w:val="left"/>
        <w:rPr>
          <w:rFonts w:ascii="宋体" w:hAnsi="宋体"/>
          <w:color w:val="auto"/>
          <w:kern w:val="0"/>
          <w:sz w:val="24"/>
          <w:highlight w:val="none"/>
        </w:rPr>
      </w:pPr>
      <w:r>
        <w:rPr>
          <w:rFonts w:ascii="宋体" w:hAnsi="宋体"/>
          <w:color w:val="auto"/>
          <w:kern w:val="0"/>
          <w:sz w:val="24"/>
          <w:highlight w:val="none"/>
        </w:rPr>
        <w:t xml:space="preserve">1.9.3 </w:t>
      </w:r>
      <w:r>
        <w:rPr>
          <w:rFonts w:hint="eastAsia" w:ascii="宋体" w:hAnsi="宋体"/>
          <w:color w:val="auto"/>
          <w:kern w:val="0"/>
          <w:sz w:val="24"/>
          <w:highlight w:val="none"/>
        </w:rPr>
        <w:t>除</w:t>
      </w:r>
      <w:r>
        <w:rPr>
          <w:rFonts w:hint="eastAsia" w:ascii="宋体" w:hAnsi="宋体"/>
          <w:color w:val="auto"/>
          <w:kern w:val="0"/>
          <w:sz w:val="24"/>
          <w:highlight w:val="none"/>
          <w:lang w:eastAsia="zh-CN"/>
        </w:rPr>
        <w:t>采购人</w:t>
      </w:r>
      <w:r>
        <w:rPr>
          <w:rFonts w:hint="eastAsia" w:ascii="宋体" w:hAnsi="宋体"/>
          <w:color w:val="auto"/>
          <w:kern w:val="0"/>
          <w:sz w:val="24"/>
          <w:highlight w:val="none"/>
        </w:rPr>
        <w:t>的原因外，</w:t>
      </w:r>
      <w:r>
        <w:rPr>
          <w:rFonts w:hint="eastAsia" w:ascii="宋体" w:hAnsi="宋体"/>
          <w:color w:val="auto"/>
          <w:kern w:val="0"/>
          <w:sz w:val="24"/>
          <w:highlight w:val="none"/>
          <w:lang w:eastAsia="zh-CN"/>
        </w:rPr>
        <w:t>供应商</w:t>
      </w:r>
      <w:r>
        <w:rPr>
          <w:rFonts w:hint="eastAsia" w:ascii="宋体" w:hAnsi="宋体"/>
          <w:color w:val="auto"/>
          <w:kern w:val="0"/>
          <w:sz w:val="24"/>
          <w:highlight w:val="none"/>
        </w:rPr>
        <w:t>自行负责在踏勘现场中所发生的人员伤亡和财产损失。</w:t>
      </w:r>
    </w:p>
    <w:p w14:paraId="7BC55D7A">
      <w:pPr>
        <w:autoSpaceDE w:val="0"/>
        <w:autoSpaceDN w:val="0"/>
        <w:spacing w:line="360" w:lineRule="auto"/>
        <w:ind w:firstLine="484" w:firstLineChars="202"/>
        <w:jc w:val="left"/>
        <w:rPr>
          <w:rFonts w:ascii="宋体" w:hAnsi="宋体"/>
          <w:color w:val="auto"/>
          <w:kern w:val="0"/>
          <w:sz w:val="24"/>
          <w:highlight w:val="none"/>
        </w:rPr>
      </w:pPr>
      <w:r>
        <w:rPr>
          <w:rFonts w:ascii="宋体" w:hAnsi="宋体"/>
          <w:color w:val="auto"/>
          <w:kern w:val="0"/>
          <w:sz w:val="24"/>
          <w:highlight w:val="none"/>
        </w:rPr>
        <w:t xml:space="preserve">1.9.4 </w:t>
      </w:r>
      <w:r>
        <w:rPr>
          <w:rFonts w:hint="eastAsia" w:ascii="宋体" w:hAnsi="宋体"/>
          <w:color w:val="auto"/>
          <w:kern w:val="0"/>
          <w:sz w:val="24"/>
          <w:highlight w:val="none"/>
          <w:lang w:eastAsia="zh-CN"/>
        </w:rPr>
        <w:t>采购人</w:t>
      </w:r>
      <w:r>
        <w:rPr>
          <w:rFonts w:hint="eastAsia" w:ascii="宋体" w:hAnsi="宋体"/>
          <w:color w:val="auto"/>
          <w:kern w:val="0"/>
          <w:sz w:val="24"/>
          <w:highlight w:val="none"/>
        </w:rPr>
        <w:t>在踏勘现场中介绍的项目场地和相关的周边环境情况，供</w:t>
      </w:r>
      <w:r>
        <w:rPr>
          <w:rFonts w:hint="eastAsia" w:ascii="宋体" w:hAnsi="宋体"/>
          <w:color w:val="auto"/>
          <w:kern w:val="0"/>
          <w:sz w:val="24"/>
          <w:highlight w:val="none"/>
          <w:lang w:eastAsia="zh-CN"/>
        </w:rPr>
        <w:t>供应商</w:t>
      </w:r>
      <w:r>
        <w:rPr>
          <w:rFonts w:hint="eastAsia" w:ascii="宋体" w:hAnsi="宋体"/>
          <w:color w:val="auto"/>
          <w:kern w:val="0"/>
          <w:sz w:val="24"/>
          <w:highlight w:val="none"/>
        </w:rPr>
        <w:t>在编制</w:t>
      </w:r>
      <w:r>
        <w:rPr>
          <w:rFonts w:hint="eastAsia" w:ascii="宋体" w:hAnsi="宋体"/>
          <w:color w:val="auto"/>
          <w:kern w:val="0"/>
          <w:sz w:val="24"/>
          <w:highlight w:val="none"/>
          <w:lang w:eastAsia="zh-CN"/>
        </w:rPr>
        <w:t>响应文件</w:t>
      </w:r>
      <w:r>
        <w:rPr>
          <w:rFonts w:hint="eastAsia" w:ascii="宋体" w:hAnsi="宋体"/>
          <w:color w:val="auto"/>
          <w:kern w:val="0"/>
          <w:sz w:val="24"/>
          <w:highlight w:val="none"/>
        </w:rPr>
        <w:t>时参考，</w:t>
      </w:r>
      <w:r>
        <w:rPr>
          <w:rFonts w:hint="eastAsia" w:ascii="宋体" w:hAnsi="宋体"/>
          <w:color w:val="auto"/>
          <w:kern w:val="0"/>
          <w:sz w:val="24"/>
          <w:highlight w:val="none"/>
          <w:lang w:eastAsia="zh-CN"/>
        </w:rPr>
        <w:t>采购人</w:t>
      </w:r>
      <w:r>
        <w:rPr>
          <w:rFonts w:hint="eastAsia" w:ascii="宋体" w:hAnsi="宋体"/>
          <w:color w:val="auto"/>
          <w:kern w:val="0"/>
          <w:sz w:val="24"/>
          <w:highlight w:val="none"/>
        </w:rPr>
        <w:t>不对</w:t>
      </w:r>
      <w:r>
        <w:rPr>
          <w:rFonts w:hint="eastAsia" w:ascii="宋体" w:hAnsi="宋体"/>
          <w:color w:val="auto"/>
          <w:kern w:val="0"/>
          <w:sz w:val="24"/>
          <w:highlight w:val="none"/>
          <w:lang w:eastAsia="zh-CN"/>
        </w:rPr>
        <w:t>供应商</w:t>
      </w:r>
      <w:r>
        <w:rPr>
          <w:rFonts w:hint="eastAsia" w:ascii="宋体" w:hAnsi="宋体"/>
          <w:color w:val="auto"/>
          <w:kern w:val="0"/>
          <w:sz w:val="24"/>
          <w:highlight w:val="none"/>
        </w:rPr>
        <w:t>据此作出的判断和决策负责。</w:t>
      </w:r>
    </w:p>
    <w:p w14:paraId="47F2016B">
      <w:pPr>
        <w:rPr>
          <w:b/>
          <w:color w:val="auto"/>
          <w:kern w:val="0"/>
          <w:sz w:val="24"/>
          <w:szCs w:val="28"/>
          <w:highlight w:val="none"/>
        </w:rPr>
      </w:pPr>
      <w:bookmarkStart w:id="38" w:name="_Toc438797947"/>
      <w:bookmarkEnd w:id="38"/>
      <w:bookmarkStart w:id="39" w:name="_Toc391284744"/>
      <w:bookmarkEnd w:id="39"/>
      <w:bookmarkStart w:id="40" w:name="_Toc438797182"/>
      <w:bookmarkEnd w:id="40"/>
      <w:r>
        <w:rPr>
          <w:b/>
          <w:color w:val="auto"/>
          <w:kern w:val="0"/>
          <w:sz w:val="24"/>
          <w:szCs w:val="28"/>
          <w:highlight w:val="none"/>
        </w:rPr>
        <w:t xml:space="preserve">1.10 </w:t>
      </w:r>
      <w:r>
        <w:rPr>
          <w:rFonts w:hint="eastAsia"/>
          <w:b/>
          <w:color w:val="auto"/>
          <w:kern w:val="0"/>
          <w:sz w:val="24"/>
          <w:szCs w:val="28"/>
          <w:highlight w:val="none"/>
        </w:rPr>
        <w:t>竞标预备会</w:t>
      </w:r>
    </w:p>
    <w:p w14:paraId="5194ED3E">
      <w:pPr>
        <w:autoSpaceDE w:val="0"/>
        <w:autoSpaceDN w:val="0"/>
        <w:spacing w:line="360" w:lineRule="auto"/>
        <w:ind w:firstLine="484" w:firstLineChars="202"/>
        <w:jc w:val="left"/>
        <w:rPr>
          <w:rFonts w:ascii="宋体" w:hAnsi="宋体"/>
          <w:color w:val="auto"/>
          <w:kern w:val="0"/>
          <w:sz w:val="24"/>
          <w:highlight w:val="none"/>
        </w:rPr>
      </w:pPr>
      <w:r>
        <w:rPr>
          <w:rFonts w:ascii="宋体" w:hAnsi="宋体"/>
          <w:color w:val="auto"/>
          <w:kern w:val="0"/>
          <w:sz w:val="24"/>
          <w:highlight w:val="none"/>
        </w:rPr>
        <w:t xml:space="preserve">1.10.1 </w:t>
      </w:r>
      <w:r>
        <w:rPr>
          <w:rFonts w:hint="eastAsia" w:ascii="宋体" w:hAnsi="宋体"/>
          <w:color w:val="auto"/>
          <w:kern w:val="0"/>
          <w:sz w:val="24"/>
          <w:highlight w:val="none"/>
          <w:lang w:eastAsia="zh-CN"/>
        </w:rPr>
        <w:t>采购人</w:t>
      </w:r>
      <w:r>
        <w:rPr>
          <w:rFonts w:hint="eastAsia" w:ascii="宋体" w:hAnsi="宋体"/>
          <w:color w:val="auto"/>
          <w:kern w:val="0"/>
          <w:sz w:val="24"/>
          <w:highlight w:val="none"/>
        </w:rPr>
        <w:t>不召开竞标预备会，</w:t>
      </w:r>
      <w:r>
        <w:rPr>
          <w:rFonts w:hint="eastAsia" w:ascii="宋体" w:hAnsi="宋体"/>
          <w:color w:val="auto"/>
          <w:kern w:val="0"/>
          <w:sz w:val="24"/>
          <w:highlight w:val="none"/>
          <w:lang w:eastAsia="zh-CN"/>
        </w:rPr>
        <w:t>采购人</w:t>
      </w:r>
      <w:r>
        <w:rPr>
          <w:rFonts w:hint="eastAsia" w:ascii="宋体" w:hAnsi="宋体"/>
          <w:color w:val="auto"/>
          <w:kern w:val="0"/>
          <w:sz w:val="24"/>
          <w:highlight w:val="none"/>
        </w:rPr>
        <w:t>按</w:t>
      </w:r>
      <w:r>
        <w:rPr>
          <w:rFonts w:hint="eastAsia" w:ascii="宋体" w:hAnsi="宋体"/>
          <w:color w:val="auto"/>
          <w:kern w:val="0"/>
          <w:sz w:val="24"/>
          <w:highlight w:val="none"/>
          <w:lang w:eastAsia="zh-CN"/>
        </w:rPr>
        <w:t>供应商</w:t>
      </w:r>
      <w:r>
        <w:rPr>
          <w:rFonts w:hint="eastAsia" w:ascii="宋体" w:hAnsi="宋体"/>
          <w:color w:val="auto"/>
          <w:kern w:val="0"/>
          <w:sz w:val="24"/>
          <w:highlight w:val="none"/>
        </w:rPr>
        <w:t>须知前附表规定的时间以书面形式澄清</w:t>
      </w:r>
      <w:r>
        <w:rPr>
          <w:rFonts w:hint="eastAsia" w:ascii="宋体" w:hAnsi="宋体"/>
          <w:color w:val="auto"/>
          <w:kern w:val="0"/>
          <w:sz w:val="24"/>
          <w:highlight w:val="none"/>
          <w:lang w:eastAsia="zh-CN"/>
        </w:rPr>
        <w:t>供应商</w:t>
      </w:r>
      <w:r>
        <w:rPr>
          <w:rFonts w:hint="eastAsia" w:ascii="宋体" w:hAnsi="宋体"/>
          <w:color w:val="auto"/>
          <w:kern w:val="0"/>
          <w:sz w:val="24"/>
          <w:highlight w:val="none"/>
        </w:rPr>
        <w:t>提出的问题。</w:t>
      </w:r>
    </w:p>
    <w:p w14:paraId="757833F6">
      <w:pPr>
        <w:autoSpaceDE w:val="0"/>
        <w:autoSpaceDN w:val="0"/>
        <w:spacing w:line="360" w:lineRule="auto"/>
        <w:ind w:firstLine="484" w:firstLineChars="202"/>
        <w:jc w:val="left"/>
        <w:rPr>
          <w:rFonts w:ascii="宋体" w:hAnsi="宋体"/>
          <w:color w:val="auto"/>
          <w:kern w:val="0"/>
          <w:sz w:val="24"/>
          <w:highlight w:val="none"/>
        </w:rPr>
      </w:pPr>
      <w:r>
        <w:rPr>
          <w:rFonts w:ascii="宋体" w:hAnsi="宋体"/>
          <w:color w:val="auto"/>
          <w:kern w:val="0"/>
          <w:sz w:val="24"/>
          <w:highlight w:val="none"/>
        </w:rPr>
        <w:t>1.10.2</w:t>
      </w:r>
      <w:r>
        <w:rPr>
          <w:rFonts w:hint="eastAsia" w:ascii="宋体" w:hAnsi="宋体"/>
          <w:color w:val="auto"/>
          <w:kern w:val="0"/>
          <w:sz w:val="24"/>
          <w:highlight w:val="none"/>
          <w:lang w:eastAsia="zh-CN"/>
        </w:rPr>
        <w:t>供应商</w:t>
      </w:r>
      <w:r>
        <w:rPr>
          <w:rFonts w:hint="eastAsia" w:ascii="宋体" w:hAnsi="宋体"/>
          <w:color w:val="auto"/>
          <w:kern w:val="0"/>
          <w:sz w:val="24"/>
          <w:highlight w:val="none"/>
        </w:rPr>
        <w:t>应在</w:t>
      </w:r>
      <w:r>
        <w:rPr>
          <w:rFonts w:hint="eastAsia" w:ascii="宋体" w:hAnsi="宋体"/>
          <w:color w:val="auto"/>
          <w:kern w:val="0"/>
          <w:sz w:val="24"/>
          <w:highlight w:val="none"/>
          <w:lang w:eastAsia="zh-CN"/>
        </w:rPr>
        <w:t>供应商须知前附表</w:t>
      </w:r>
      <w:r>
        <w:rPr>
          <w:rFonts w:hint="eastAsia" w:ascii="宋体" w:hAnsi="宋体"/>
          <w:color w:val="auto"/>
          <w:kern w:val="0"/>
          <w:sz w:val="24"/>
          <w:highlight w:val="none"/>
        </w:rPr>
        <w:t>规定的时间前，以书面形式将提出的问题送达</w:t>
      </w:r>
      <w:r>
        <w:rPr>
          <w:rFonts w:hint="eastAsia" w:ascii="宋体" w:hAnsi="宋体"/>
          <w:color w:val="auto"/>
          <w:kern w:val="0"/>
          <w:sz w:val="24"/>
          <w:highlight w:val="none"/>
          <w:lang w:eastAsia="zh-CN"/>
        </w:rPr>
        <w:t>采购人</w:t>
      </w:r>
      <w:r>
        <w:rPr>
          <w:rFonts w:hint="eastAsia" w:ascii="宋体" w:hAnsi="宋体"/>
          <w:color w:val="auto"/>
          <w:kern w:val="0"/>
          <w:sz w:val="24"/>
          <w:highlight w:val="none"/>
        </w:rPr>
        <w:t>。</w:t>
      </w:r>
    </w:p>
    <w:p w14:paraId="2D68D49D">
      <w:pPr>
        <w:autoSpaceDE w:val="0"/>
        <w:autoSpaceDN w:val="0"/>
        <w:spacing w:line="360" w:lineRule="auto"/>
        <w:ind w:firstLine="484" w:firstLineChars="202"/>
        <w:jc w:val="left"/>
        <w:rPr>
          <w:rFonts w:ascii="宋体" w:hAnsi="宋体"/>
          <w:color w:val="auto"/>
          <w:kern w:val="0"/>
          <w:sz w:val="24"/>
          <w:highlight w:val="none"/>
        </w:rPr>
      </w:pPr>
      <w:r>
        <w:rPr>
          <w:rFonts w:ascii="宋体" w:hAnsi="宋体"/>
          <w:color w:val="auto"/>
          <w:kern w:val="0"/>
          <w:sz w:val="24"/>
          <w:highlight w:val="none"/>
        </w:rPr>
        <w:t>1.10.3</w:t>
      </w:r>
      <w:r>
        <w:rPr>
          <w:rFonts w:hint="eastAsia" w:ascii="宋体" w:hAnsi="宋体"/>
          <w:color w:val="auto"/>
          <w:kern w:val="0"/>
          <w:sz w:val="24"/>
          <w:highlight w:val="none"/>
          <w:lang w:eastAsia="zh-CN"/>
        </w:rPr>
        <w:t>采购人</w:t>
      </w:r>
      <w:r>
        <w:rPr>
          <w:rFonts w:hint="eastAsia" w:ascii="宋体" w:hAnsi="宋体"/>
          <w:color w:val="auto"/>
          <w:kern w:val="0"/>
          <w:sz w:val="24"/>
          <w:highlight w:val="none"/>
        </w:rPr>
        <w:t>在</w:t>
      </w:r>
      <w:r>
        <w:rPr>
          <w:rFonts w:hint="eastAsia" w:ascii="宋体" w:hAnsi="宋体"/>
          <w:color w:val="auto"/>
          <w:kern w:val="0"/>
          <w:sz w:val="24"/>
          <w:highlight w:val="none"/>
          <w:lang w:eastAsia="zh-CN"/>
        </w:rPr>
        <w:t>供应商须知前附表</w:t>
      </w:r>
      <w:r>
        <w:rPr>
          <w:rFonts w:hint="eastAsia" w:ascii="宋体" w:hAnsi="宋体"/>
          <w:color w:val="auto"/>
          <w:kern w:val="0"/>
          <w:sz w:val="24"/>
          <w:highlight w:val="none"/>
        </w:rPr>
        <w:t>规定的时间内，将对</w:t>
      </w:r>
      <w:r>
        <w:rPr>
          <w:rFonts w:hint="eastAsia" w:ascii="宋体" w:hAnsi="宋体"/>
          <w:color w:val="auto"/>
          <w:kern w:val="0"/>
          <w:sz w:val="24"/>
          <w:highlight w:val="none"/>
          <w:lang w:eastAsia="zh-CN"/>
        </w:rPr>
        <w:t>供应商</w:t>
      </w:r>
      <w:r>
        <w:rPr>
          <w:rFonts w:hint="eastAsia" w:ascii="宋体" w:hAnsi="宋体"/>
          <w:color w:val="auto"/>
          <w:kern w:val="0"/>
          <w:sz w:val="24"/>
          <w:highlight w:val="none"/>
        </w:rPr>
        <w:t>所提问题的澄清，以书面方式通知所有下载</w:t>
      </w:r>
      <w:r>
        <w:rPr>
          <w:rFonts w:hint="eastAsia" w:ascii="宋体" w:hAnsi="宋体"/>
          <w:color w:val="auto"/>
          <w:kern w:val="0"/>
          <w:sz w:val="24"/>
          <w:highlight w:val="none"/>
          <w:lang w:eastAsia="zh-CN"/>
        </w:rPr>
        <w:t>竞争性磋商</w:t>
      </w:r>
      <w:r>
        <w:rPr>
          <w:rFonts w:hint="eastAsia" w:ascii="宋体" w:hAnsi="宋体"/>
          <w:color w:val="auto"/>
          <w:kern w:val="0"/>
          <w:sz w:val="24"/>
          <w:highlight w:val="none"/>
        </w:rPr>
        <w:t>文件的</w:t>
      </w:r>
      <w:r>
        <w:rPr>
          <w:rFonts w:hint="eastAsia" w:ascii="宋体" w:hAnsi="宋体"/>
          <w:color w:val="auto"/>
          <w:kern w:val="0"/>
          <w:sz w:val="24"/>
          <w:highlight w:val="none"/>
          <w:lang w:eastAsia="zh-CN"/>
        </w:rPr>
        <w:t>供应商</w:t>
      </w:r>
      <w:r>
        <w:rPr>
          <w:rFonts w:hint="eastAsia" w:ascii="宋体" w:hAnsi="宋体"/>
          <w:color w:val="auto"/>
          <w:kern w:val="0"/>
          <w:sz w:val="24"/>
          <w:highlight w:val="none"/>
        </w:rPr>
        <w:t>。该澄清内容为</w:t>
      </w:r>
      <w:r>
        <w:rPr>
          <w:rFonts w:hint="eastAsia" w:ascii="宋体" w:hAnsi="宋体"/>
          <w:color w:val="auto"/>
          <w:kern w:val="0"/>
          <w:sz w:val="24"/>
          <w:highlight w:val="none"/>
          <w:lang w:eastAsia="zh-CN"/>
        </w:rPr>
        <w:t>竞争性磋商</w:t>
      </w:r>
      <w:r>
        <w:rPr>
          <w:rFonts w:hint="eastAsia" w:ascii="宋体" w:hAnsi="宋体"/>
          <w:color w:val="auto"/>
          <w:kern w:val="0"/>
          <w:sz w:val="24"/>
          <w:highlight w:val="none"/>
        </w:rPr>
        <w:t>文件的组成部分。</w:t>
      </w:r>
    </w:p>
    <w:p w14:paraId="3E4678EE">
      <w:pPr>
        <w:rPr>
          <w:rFonts w:hint="eastAsia"/>
          <w:b/>
          <w:color w:val="auto"/>
          <w:kern w:val="0"/>
          <w:sz w:val="24"/>
          <w:szCs w:val="28"/>
          <w:highlight w:val="none"/>
        </w:rPr>
      </w:pPr>
      <w:bookmarkStart w:id="41" w:name="_Toc391284745"/>
      <w:bookmarkEnd w:id="41"/>
      <w:bookmarkStart w:id="42" w:name="_Toc438797948"/>
      <w:bookmarkEnd w:id="42"/>
      <w:bookmarkStart w:id="43" w:name="_Toc438797183"/>
      <w:bookmarkEnd w:id="43"/>
      <w:r>
        <w:rPr>
          <w:rFonts w:hint="eastAsia"/>
          <w:b/>
          <w:color w:val="auto"/>
          <w:kern w:val="0"/>
          <w:sz w:val="24"/>
          <w:szCs w:val="28"/>
          <w:highlight w:val="none"/>
        </w:rPr>
        <w:t>1.11分包</w:t>
      </w:r>
    </w:p>
    <w:p w14:paraId="68AC0375">
      <w:pPr>
        <w:spacing w:line="480" w:lineRule="exact"/>
        <w:ind w:firstLine="480" w:firstLineChars="200"/>
        <w:rPr>
          <w:rFonts w:hint="eastAsia" w:ascii="宋体" w:hAnsi="宋体"/>
          <w:color w:val="auto"/>
          <w:sz w:val="24"/>
          <w:highlight w:val="none"/>
        </w:rPr>
      </w:pPr>
      <w:bookmarkStart w:id="44" w:name="_Toc391284746"/>
      <w:bookmarkStart w:id="45" w:name="_Toc438797949"/>
      <w:bookmarkStart w:id="46" w:name="_Toc438797184"/>
      <w:r>
        <w:rPr>
          <w:rFonts w:hint="eastAsia" w:ascii="宋体" w:hAnsi="宋体"/>
          <w:color w:val="auto"/>
          <w:sz w:val="24"/>
          <w:highlight w:val="none"/>
        </w:rPr>
        <w:t>不允许分包</w:t>
      </w:r>
      <w:r>
        <w:rPr>
          <w:rFonts w:hint="eastAsia" w:ascii="宋体" w:hAnsi="宋体"/>
          <w:color w:val="auto"/>
          <w:kern w:val="0"/>
          <w:sz w:val="24"/>
          <w:highlight w:val="none"/>
        </w:rPr>
        <w:t>。</w:t>
      </w:r>
    </w:p>
    <w:bookmarkEnd w:id="44"/>
    <w:bookmarkEnd w:id="45"/>
    <w:bookmarkEnd w:id="46"/>
    <w:p w14:paraId="125FF544">
      <w:pPr>
        <w:spacing w:line="480" w:lineRule="exact"/>
        <w:rPr>
          <w:b/>
          <w:color w:val="auto"/>
          <w:kern w:val="0"/>
          <w:sz w:val="24"/>
          <w:szCs w:val="28"/>
          <w:highlight w:val="none"/>
        </w:rPr>
      </w:pPr>
      <w:r>
        <w:rPr>
          <w:b/>
          <w:color w:val="auto"/>
          <w:kern w:val="0"/>
          <w:sz w:val="24"/>
          <w:szCs w:val="28"/>
          <w:highlight w:val="none"/>
        </w:rPr>
        <w:t>1.1</w:t>
      </w:r>
      <w:r>
        <w:rPr>
          <w:rFonts w:hint="eastAsia"/>
          <w:b/>
          <w:color w:val="auto"/>
          <w:kern w:val="0"/>
          <w:sz w:val="24"/>
          <w:szCs w:val="28"/>
          <w:highlight w:val="none"/>
        </w:rPr>
        <w:t>2偏离</w:t>
      </w:r>
    </w:p>
    <w:p w14:paraId="4DA03BA0">
      <w:pPr>
        <w:autoSpaceDE w:val="0"/>
        <w:autoSpaceDN w:val="0"/>
        <w:spacing w:line="360" w:lineRule="auto"/>
        <w:ind w:firstLine="480" w:firstLineChars="200"/>
        <w:jc w:val="left"/>
        <w:rPr>
          <w:rFonts w:hint="eastAsia" w:ascii="宋体" w:hAnsi="宋体"/>
          <w:color w:val="auto"/>
          <w:sz w:val="24"/>
          <w:highlight w:val="none"/>
        </w:rPr>
      </w:pPr>
      <w:r>
        <w:rPr>
          <w:rFonts w:hint="eastAsia" w:ascii="宋体" w:hAnsi="宋体"/>
          <w:color w:val="auto"/>
          <w:sz w:val="24"/>
          <w:highlight w:val="none"/>
        </w:rPr>
        <w:t>不允许偏离。</w:t>
      </w:r>
      <w:r>
        <w:rPr>
          <w:rFonts w:hint="eastAsia" w:ascii="宋体" w:hAnsi="宋体"/>
          <w:color w:val="auto"/>
          <w:kern w:val="0"/>
          <w:sz w:val="24"/>
          <w:highlight w:val="none"/>
          <w:lang w:eastAsia="zh-CN"/>
        </w:rPr>
        <w:t>供应商须知前附表</w:t>
      </w:r>
      <w:r>
        <w:rPr>
          <w:rFonts w:hint="eastAsia" w:ascii="宋体" w:hAnsi="宋体"/>
          <w:color w:val="auto"/>
          <w:kern w:val="0"/>
          <w:sz w:val="24"/>
          <w:highlight w:val="none"/>
        </w:rPr>
        <w:t>允许</w:t>
      </w:r>
      <w:r>
        <w:rPr>
          <w:rFonts w:hint="eastAsia" w:ascii="宋体" w:hAnsi="宋体"/>
          <w:color w:val="auto"/>
          <w:kern w:val="0"/>
          <w:sz w:val="24"/>
          <w:highlight w:val="none"/>
          <w:lang w:eastAsia="zh-CN"/>
        </w:rPr>
        <w:t>响应文件</w:t>
      </w:r>
      <w:r>
        <w:rPr>
          <w:rFonts w:hint="eastAsia" w:ascii="宋体" w:hAnsi="宋体"/>
          <w:color w:val="auto"/>
          <w:kern w:val="0"/>
          <w:sz w:val="24"/>
          <w:highlight w:val="none"/>
        </w:rPr>
        <w:t>偏离</w:t>
      </w:r>
      <w:r>
        <w:rPr>
          <w:rFonts w:hint="eastAsia" w:ascii="宋体" w:hAnsi="宋体"/>
          <w:color w:val="auto"/>
          <w:kern w:val="0"/>
          <w:sz w:val="24"/>
          <w:highlight w:val="none"/>
          <w:lang w:eastAsia="zh-CN"/>
        </w:rPr>
        <w:t>竞争性磋商</w:t>
      </w:r>
      <w:r>
        <w:rPr>
          <w:rFonts w:hint="eastAsia" w:ascii="宋体" w:hAnsi="宋体"/>
          <w:color w:val="auto"/>
          <w:kern w:val="0"/>
          <w:sz w:val="24"/>
          <w:highlight w:val="none"/>
        </w:rPr>
        <w:t>文件某些要求的，偏离应当符合</w:t>
      </w:r>
      <w:r>
        <w:rPr>
          <w:rFonts w:hint="eastAsia" w:ascii="宋体" w:hAnsi="宋体"/>
          <w:color w:val="auto"/>
          <w:kern w:val="0"/>
          <w:sz w:val="24"/>
          <w:highlight w:val="none"/>
          <w:lang w:eastAsia="zh-CN"/>
        </w:rPr>
        <w:t>竞争性磋商</w:t>
      </w:r>
      <w:r>
        <w:rPr>
          <w:rFonts w:hint="eastAsia" w:ascii="宋体" w:hAnsi="宋体"/>
          <w:color w:val="auto"/>
          <w:kern w:val="0"/>
          <w:sz w:val="24"/>
          <w:highlight w:val="none"/>
        </w:rPr>
        <w:t>文件规定的偏离范围和幅度。</w:t>
      </w:r>
    </w:p>
    <w:p w14:paraId="68B522D8">
      <w:pPr>
        <w:pStyle w:val="27"/>
        <w:rPr>
          <w:rFonts w:ascii="宋体" w:hAnsi="宋体" w:eastAsia="宋体"/>
          <w:color w:val="auto"/>
          <w:kern w:val="0"/>
          <w:sz w:val="28"/>
          <w:szCs w:val="36"/>
          <w:highlight w:val="none"/>
        </w:rPr>
      </w:pPr>
      <w:bookmarkStart w:id="47" w:name="_Toc391284747"/>
      <w:bookmarkEnd w:id="47"/>
      <w:bookmarkStart w:id="48" w:name="_Toc438797950"/>
      <w:bookmarkEnd w:id="48"/>
      <w:bookmarkStart w:id="49" w:name="_Toc438797185"/>
      <w:bookmarkEnd w:id="49"/>
      <w:bookmarkStart w:id="50" w:name="_Toc16608"/>
      <w:bookmarkEnd w:id="50"/>
      <w:r>
        <w:rPr>
          <w:rFonts w:ascii="宋体" w:hAnsi="宋体" w:eastAsia="宋体"/>
          <w:color w:val="auto"/>
          <w:kern w:val="0"/>
          <w:sz w:val="28"/>
          <w:szCs w:val="36"/>
          <w:highlight w:val="none"/>
        </w:rPr>
        <w:t xml:space="preserve">2. </w:t>
      </w:r>
      <w:r>
        <w:rPr>
          <w:rFonts w:hint="eastAsia" w:ascii="宋体" w:hAnsi="宋体" w:eastAsia="宋体"/>
          <w:color w:val="auto"/>
          <w:kern w:val="0"/>
          <w:sz w:val="28"/>
          <w:szCs w:val="36"/>
          <w:highlight w:val="none"/>
          <w:lang w:eastAsia="zh-CN"/>
        </w:rPr>
        <w:t>竞争性磋商</w:t>
      </w:r>
      <w:r>
        <w:rPr>
          <w:rFonts w:hint="eastAsia" w:ascii="宋体" w:hAnsi="宋体" w:eastAsia="宋体"/>
          <w:color w:val="auto"/>
          <w:kern w:val="0"/>
          <w:sz w:val="28"/>
          <w:szCs w:val="36"/>
          <w:highlight w:val="none"/>
        </w:rPr>
        <w:t>文件</w:t>
      </w:r>
    </w:p>
    <w:p w14:paraId="635DEE8D">
      <w:pPr>
        <w:rPr>
          <w:b/>
          <w:color w:val="auto"/>
          <w:kern w:val="0"/>
          <w:sz w:val="24"/>
          <w:szCs w:val="28"/>
          <w:highlight w:val="none"/>
        </w:rPr>
      </w:pPr>
      <w:bookmarkStart w:id="51" w:name="_Toc438797186"/>
      <w:bookmarkEnd w:id="51"/>
      <w:bookmarkStart w:id="52" w:name="_Toc391284748"/>
      <w:bookmarkEnd w:id="52"/>
      <w:bookmarkStart w:id="53" w:name="_Toc438797951"/>
      <w:bookmarkEnd w:id="53"/>
      <w:r>
        <w:rPr>
          <w:b/>
          <w:color w:val="auto"/>
          <w:kern w:val="0"/>
          <w:sz w:val="24"/>
          <w:szCs w:val="28"/>
          <w:highlight w:val="none"/>
        </w:rPr>
        <w:t xml:space="preserve">2.1 </w:t>
      </w:r>
      <w:r>
        <w:rPr>
          <w:rFonts w:hint="eastAsia"/>
          <w:b/>
          <w:color w:val="auto"/>
          <w:kern w:val="0"/>
          <w:sz w:val="24"/>
          <w:szCs w:val="28"/>
          <w:highlight w:val="none"/>
          <w:lang w:eastAsia="zh-CN"/>
        </w:rPr>
        <w:t>竞争性磋商</w:t>
      </w:r>
      <w:r>
        <w:rPr>
          <w:rFonts w:hint="eastAsia"/>
          <w:b/>
          <w:color w:val="auto"/>
          <w:kern w:val="0"/>
          <w:sz w:val="24"/>
          <w:szCs w:val="28"/>
          <w:highlight w:val="none"/>
        </w:rPr>
        <w:t>文件的组成</w:t>
      </w:r>
    </w:p>
    <w:p w14:paraId="13FCFFDC">
      <w:pPr>
        <w:autoSpaceDE w:val="0"/>
        <w:autoSpaceDN w:val="0"/>
        <w:spacing w:line="360" w:lineRule="auto"/>
        <w:ind w:firstLine="484" w:firstLineChars="202"/>
        <w:jc w:val="left"/>
        <w:rPr>
          <w:rFonts w:hint="eastAsia" w:ascii="宋体" w:hAnsi="宋体"/>
          <w:color w:val="auto"/>
          <w:kern w:val="0"/>
          <w:sz w:val="24"/>
          <w:highlight w:val="none"/>
        </w:rPr>
      </w:pPr>
      <w:r>
        <w:rPr>
          <w:rFonts w:hint="eastAsia" w:ascii="宋体" w:hAnsi="宋体"/>
          <w:color w:val="auto"/>
          <w:kern w:val="0"/>
          <w:sz w:val="24"/>
          <w:highlight w:val="none"/>
        </w:rPr>
        <w:t>本</w:t>
      </w:r>
      <w:r>
        <w:rPr>
          <w:rFonts w:hint="eastAsia" w:ascii="宋体" w:hAnsi="宋体"/>
          <w:color w:val="auto"/>
          <w:kern w:val="0"/>
          <w:sz w:val="24"/>
          <w:highlight w:val="none"/>
          <w:lang w:eastAsia="zh-CN"/>
        </w:rPr>
        <w:t>竞争性磋商</w:t>
      </w:r>
      <w:r>
        <w:rPr>
          <w:rFonts w:hint="eastAsia" w:ascii="宋体" w:hAnsi="宋体"/>
          <w:color w:val="auto"/>
          <w:kern w:val="0"/>
          <w:sz w:val="24"/>
          <w:highlight w:val="none"/>
        </w:rPr>
        <w:t>文件包括：</w:t>
      </w:r>
    </w:p>
    <w:p w14:paraId="40E3CF51">
      <w:pPr>
        <w:autoSpaceDE w:val="0"/>
        <w:autoSpaceDN w:val="0"/>
        <w:spacing w:line="360" w:lineRule="auto"/>
        <w:ind w:firstLine="484" w:firstLineChars="202"/>
        <w:jc w:val="left"/>
        <w:rPr>
          <w:rFonts w:hint="eastAsia" w:ascii="宋体" w:hAnsi="宋体"/>
          <w:color w:val="auto"/>
          <w:kern w:val="0"/>
          <w:sz w:val="24"/>
          <w:highlight w:val="none"/>
        </w:rPr>
      </w:pPr>
      <w:r>
        <w:rPr>
          <w:rFonts w:hint="eastAsia" w:ascii="宋体" w:hAnsi="宋体"/>
          <w:color w:val="auto"/>
          <w:kern w:val="0"/>
          <w:sz w:val="24"/>
          <w:highlight w:val="none"/>
        </w:rPr>
        <w:t>（</w:t>
      </w:r>
      <w:r>
        <w:rPr>
          <w:rFonts w:ascii="宋体" w:hAnsi="宋体"/>
          <w:color w:val="auto"/>
          <w:kern w:val="0"/>
          <w:sz w:val="24"/>
          <w:highlight w:val="none"/>
        </w:rPr>
        <w:t>1</w:t>
      </w:r>
      <w:r>
        <w:rPr>
          <w:rFonts w:hint="eastAsia" w:ascii="宋体" w:hAnsi="宋体"/>
          <w:color w:val="auto"/>
          <w:kern w:val="0"/>
          <w:sz w:val="24"/>
          <w:highlight w:val="none"/>
        </w:rPr>
        <w:t>）</w:t>
      </w:r>
      <w:r>
        <w:rPr>
          <w:rFonts w:hint="eastAsia" w:ascii="宋体" w:hAnsi="宋体"/>
          <w:color w:val="auto"/>
          <w:kern w:val="0"/>
          <w:sz w:val="24"/>
          <w:highlight w:val="none"/>
          <w:lang w:eastAsia="zh-CN"/>
        </w:rPr>
        <w:t>磋商</w:t>
      </w:r>
      <w:r>
        <w:rPr>
          <w:rFonts w:hint="eastAsia" w:ascii="宋体" w:hAnsi="宋体"/>
          <w:color w:val="auto"/>
          <w:kern w:val="0"/>
          <w:sz w:val="24"/>
          <w:highlight w:val="none"/>
        </w:rPr>
        <w:t>公告</w:t>
      </w:r>
      <w:r>
        <w:rPr>
          <w:rFonts w:hint="eastAsia" w:ascii="宋体" w:hAnsi="宋体"/>
          <w:bCs/>
          <w:color w:val="auto"/>
          <w:sz w:val="24"/>
          <w:highlight w:val="none"/>
        </w:rPr>
        <w:t>；</w:t>
      </w:r>
    </w:p>
    <w:p w14:paraId="2C38BE63">
      <w:pPr>
        <w:autoSpaceDE w:val="0"/>
        <w:autoSpaceDN w:val="0"/>
        <w:spacing w:line="360" w:lineRule="auto"/>
        <w:ind w:firstLine="484" w:firstLineChars="202"/>
        <w:jc w:val="left"/>
        <w:rPr>
          <w:rFonts w:hint="eastAsia" w:ascii="宋体" w:hAnsi="宋体"/>
          <w:color w:val="auto"/>
          <w:kern w:val="0"/>
          <w:sz w:val="24"/>
          <w:highlight w:val="none"/>
        </w:rPr>
      </w:pPr>
      <w:r>
        <w:rPr>
          <w:rFonts w:hint="eastAsia" w:ascii="宋体" w:hAnsi="宋体"/>
          <w:color w:val="auto"/>
          <w:kern w:val="0"/>
          <w:sz w:val="24"/>
          <w:highlight w:val="none"/>
        </w:rPr>
        <w:t>（</w:t>
      </w:r>
      <w:r>
        <w:rPr>
          <w:rFonts w:ascii="宋体" w:hAnsi="宋体"/>
          <w:color w:val="auto"/>
          <w:kern w:val="0"/>
          <w:sz w:val="24"/>
          <w:highlight w:val="none"/>
        </w:rPr>
        <w:t>2</w:t>
      </w:r>
      <w:r>
        <w:rPr>
          <w:rFonts w:hint="eastAsia" w:ascii="宋体" w:hAnsi="宋体"/>
          <w:color w:val="auto"/>
          <w:kern w:val="0"/>
          <w:sz w:val="24"/>
          <w:highlight w:val="none"/>
        </w:rPr>
        <w:t>）</w:t>
      </w:r>
      <w:r>
        <w:rPr>
          <w:rFonts w:hint="eastAsia" w:ascii="宋体" w:hAnsi="宋体"/>
          <w:color w:val="auto"/>
          <w:kern w:val="0"/>
          <w:sz w:val="24"/>
          <w:highlight w:val="none"/>
          <w:lang w:eastAsia="zh-CN"/>
        </w:rPr>
        <w:t>供应商</w:t>
      </w:r>
      <w:r>
        <w:rPr>
          <w:rFonts w:hint="eastAsia" w:ascii="宋体" w:hAnsi="宋体"/>
          <w:color w:val="auto"/>
          <w:kern w:val="0"/>
          <w:sz w:val="24"/>
          <w:highlight w:val="none"/>
        </w:rPr>
        <w:t>须知；</w:t>
      </w:r>
    </w:p>
    <w:p w14:paraId="7503C0AA">
      <w:pPr>
        <w:autoSpaceDE w:val="0"/>
        <w:autoSpaceDN w:val="0"/>
        <w:spacing w:line="360" w:lineRule="auto"/>
        <w:ind w:firstLine="484" w:firstLineChars="202"/>
        <w:jc w:val="left"/>
        <w:rPr>
          <w:rFonts w:hint="eastAsia" w:ascii="宋体" w:hAnsi="宋体"/>
          <w:color w:val="auto"/>
          <w:kern w:val="0"/>
          <w:sz w:val="24"/>
          <w:highlight w:val="none"/>
        </w:rPr>
      </w:pPr>
      <w:r>
        <w:rPr>
          <w:rFonts w:hint="eastAsia" w:ascii="宋体" w:hAnsi="宋体"/>
          <w:color w:val="auto"/>
          <w:kern w:val="0"/>
          <w:sz w:val="24"/>
          <w:highlight w:val="none"/>
        </w:rPr>
        <w:t>（3）评标办法；</w:t>
      </w:r>
    </w:p>
    <w:p w14:paraId="4CFB01AC">
      <w:pPr>
        <w:autoSpaceDE w:val="0"/>
        <w:autoSpaceDN w:val="0"/>
        <w:spacing w:line="360" w:lineRule="auto"/>
        <w:ind w:firstLine="484" w:firstLineChars="202"/>
        <w:jc w:val="left"/>
        <w:rPr>
          <w:rFonts w:hint="eastAsia" w:ascii="宋体" w:hAnsi="宋体"/>
          <w:color w:val="auto"/>
          <w:kern w:val="0"/>
          <w:sz w:val="24"/>
          <w:highlight w:val="none"/>
        </w:rPr>
      </w:pPr>
      <w:r>
        <w:rPr>
          <w:rFonts w:hint="eastAsia" w:ascii="宋体" w:hAnsi="宋体"/>
          <w:color w:val="auto"/>
          <w:kern w:val="0"/>
          <w:sz w:val="24"/>
          <w:highlight w:val="none"/>
        </w:rPr>
        <w:t>（4）合同条款及格式；</w:t>
      </w:r>
    </w:p>
    <w:p w14:paraId="1157B8D7">
      <w:pPr>
        <w:autoSpaceDE w:val="0"/>
        <w:autoSpaceDN w:val="0"/>
        <w:spacing w:line="360" w:lineRule="auto"/>
        <w:ind w:firstLine="484" w:firstLineChars="202"/>
        <w:jc w:val="left"/>
        <w:rPr>
          <w:rFonts w:hint="eastAsia" w:ascii="宋体" w:hAnsi="宋体"/>
          <w:color w:val="auto"/>
          <w:kern w:val="0"/>
          <w:sz w:val="24"/>
          <w:highlight w:val="none"/>
        </w:rPr>
      </w:pPr>
      <w:r>
        <w:rPr>
          <w:rFonts w:hint="eastAsia" w:ascii="宋体" w:hAnsi="宋体"/>
          <w:color w:val="auto"/>
          <w:kern w:val="0"/>
          <w:sz w:val="24"/>
          <w:highlight w:val="none"/>
        </w:rPr>
        <w:t>（</w:t>
      </w:r>
      <w:r>
        <w:rPr>
          <w:rFonts w:hint="eastAsia" w:ascii="宋体" w:hAnsi="宋体"/>
          <w:color w:val="auto"/>
          <w:kern w:val="0"/>
          <w:sz w:val="24"/>
          <w:highlight w:val="none"/>
          <w:lang w:val="en-US" w:eastAsia="zh-CN"/>
        </w:rPr>
        <w:t>5</w:t>
      </w:r>
      <w:r>
        <w:rPr>
          <w:rFonts w:hint="eastAsia" w:ascii="宋体" w:hAnsi="宋体"/>
          <w:color w:val="auto"/>
          <w:kern w:val="0"/>
          <w:sz w:val="24"/>
          <w:highlight w:val="none"/>
        </w:rPr>
        <w:t>）工程量</w:t>
      </w:r>
      <w:r>
        <w:rPr>
          <w:rFonts w:hint="eastAsia" w:ascii="宋体" w:hAnsi="宋体"/>
          <w:color w:val="auto"/>
          <w:kern w:val="0"/>
          <w:sz w:val="24"/>
          <w:highlight w:val="none"/>
          <w:lang w:val="en-US" w:eastAsia="zh-CN"/>
        </w:rPr>
        <w:t>清单；</w:t>
      </w:r>
    </w:p>
    <w:p w14:paraId="61A7C994">
      <w:pPr>
        <w:autoSpaceDE w:val="0"/>
        <w:autoSpaceDN w:val="0"/>
        <w:spacing w:line="360" w:lineRule="auto"/>
        <w:ind w:firstLine="484" w:firstLineChars="202"/>
        <w:jc w:val="left"/>
        <w:rPr>
          <w:rFonts w:hint="eastAsia" w:ascii="宋体" w:hAnsi="宋体"/>
          <w:color w:val="auto"/>
          <w:kern w:val="0"/>
          <w:sz w:val="24"/>
          <w:highlight w:val="none"/>
        </w:rPr>
      </w:pPr>
      <w:r>
        <w:rPr>
          <w:rFonts w:hint="eastAsia" w:ascii="宋体" w:hAnsi="宋体"/>
          <w:color w:val="auto"/>
          <w:kern w:val="0"/>
          <w:sz w:val="24"/>
          <w:highlight w:val="none"/>
        </w:rPr>
        <w:t>（</w:t>
      </w:r>
      <w:r>
        <w:rPr>
          <w:rFonts w:hint="eastAsia" w:ascii="宋体" w:hAnsi="宋体"/>
          <w:color w:val="auto"/>
          <w:kern w:val="0"/>
          <w:sz w:val="24"/>
          <w:highlight w:val="none"/>
          <w:lang w:val="en-US" w:eastAsia="zh-CN"/>
        </w:rPr>
        <w:t>6</w:t>
      </w:r>
      <w:r>
        <w:rPr>
          <w:rFonts w:hint="eastAsia" w:ascii="宋体" w:hAnsi="宋体"/>
          <w:color w:val="auto"/>
          <w:kern w:val="0"/>
          <w:sz w:val="24"/>
          <w:highlight w:val="none"/>
        </w:rPr>
        <w:t>）</w:t>
      </w:r>
      <w:r>
        <w:rPr>
          <w:rFonts w:hint="eastAsia" w:ascii="宋体" w:hAnsi="宋体"/>
          <w:color w:val="auto"/>
          <w:kern w:val="0"/>
          <w:sz w:val="24"/>
          <w:highlight w:val="none"/>
          <w:lang w:val="en-US" w:eastAsia="zh-CN"/>
        </w:rPr>
        <w:t>图纸；</w:t>
      </w:r>
    </w:p>
    <w:p w14:paraId="6D6ACFE7">
      <w:pPr>
        <w:autoSpaceDE w:val="0"/>
        <w:autoSpaceDN w:val="0"/>
        <w:spacing w:line="360" w:lineRule="auto"/>
        <w:ind w:firstLine="484" w:firstLineChars="202"/>
        <w:jc w:val="left"/>
        <w:rPr>
          <w:rFonts w:hint="eastAsia" w:ascii="宋体" w:hAnsi="宋体"/>
          <w:color w:val="auto"/>
          <w:kern w:val="0"/>
          <w:sz w:val="24"/>
          <w:highlight w:val="none"/>
        </w:rPr>
      </w:pPr>
      <w:r>
        <w:rPr>
          <w:rFonts w:hint="eastAsia" w:ascii="宋体" w:hAnsi="宋体"/>
          <w:color w:val="auto"/>
          <w:kern w:val="0"/>
          <w:sz w:val="24"/>
          <w:highlight w:val="none"/>
        </w:rPr>
        <w:t>（</w:t>
      </w:r>
      <w:r>
        <w:rPr>
          <w:rFonts w:hint="eastAsia" w:ascii="宋体" w:hAnsi="宋体"/>
          <w:color w:val="auto"/>
          <w:kern w:val="0"/>
          <w:sz w:val="24"/>
          <w:highlight w:val="none"/>
          <w:lang w:val="en-US" w:eastAsia="zh-CN"/>
        </w:rPr>
        <w:t>7</w:t>
      </w:r>
      <w:r>
        <w:rPr>
          <w:rFonts w:hint="eastAsia" w:ascii="宋体" w:hAnsi="宋体"/>
          <w:color w:val="auto"/>
          <w:kern w:val="0"/>
          <w:sz w:val="24"/>
          <w:highlight w:val="none"/>
        </w:rPr>
        <w:t>）</w:t>
      </w:r>
      <w:r>
        <w:rPr>
          <w:rFonts w:hint="eastAsia" w:ascii="宋体" w:hAnsi="宋体"/>
          <w:color w:val="auto"/>
          <w:kern w:val="0"/>
          <w:sz w:val="24"/>
          <w:highlight w:val="none"/>
          <w:lang w:eastAsia="zh-CN"/>
        </w:rPr>
        <w:t>响应文件</w:t>
      </w:r>
      <w:r>
        <w:rPr>
          <w:rFonts w:hint="eastAsia" w:ascii="宋体" w:hAnsi="宋体"/>
          <w:color w:val="auto"/>
          <w:kern w:val="0"/>
          <w:sz w:val="24"/>
          <w:highlight w:val="none"/>
        </w:rPr>
        <w:t>格式；</w:t>
      </w:r>
    </w:p>
    <w:p w14:paraId="5037C226">
      <w:pPr>
        <w:autoSpaceDE w:val="0"/>
        <w:autoSpaceDN w:val="0"/>
        <w:spacing w:line="360" w:lineRule="auto"/>
        <w:ind w:firstLine="484" w:firstLineChars="202"/>
        <w:jc w:val="left"/>
        <w:rPr>
          <w:rFonts w:hint="eastAsia" w:ascii="宋体" w:hAnsi="宋体"/>
          <w:color w:val="auto"/>
          <w:kern w:val="0"/>
          <w:sz w:val="24"/>
          <w:highlight w:val="none"/>
        </w:rPr>
      </w:pPr>
      <w:r>
        <w:rPr>
          <w:rFonts w:hint="eastAsia" w:ascii="宋体" w:hAnsi="宋体"/>
          <w:color w:val="auto"/>
          <w:kern w:val="0"/>
          <w:sz w:val="24"/>
          <w:highlight w:val="none"/>
        </w:rPr>
        <w:t>根据本章第</w:t>
      </w:r>
      <w:r>
        <w:rPr>
          <w:rFonts w:ascii="宋体" w:hAnsi="宋体"/>
          <w:color w:val="auto"/>
          <w:kern w:val="0"/>
          <w:sz w:val="24"/>
          <w:highlight w:val="none"/>
        </w:rPr>
        <w:t xml:space="preserve">1.10 </w:t>
      </w:r>
      <w:r>
        <w:rPr>
          <w:rFonts w:hint="eastAsia" w:ascii="宋体" w:hAnsi="宋体"/>
          <w:color w:val="auto"/>
          <w:kern w:val="0"/>
          <w:sz w:val="24"/>
          <w:highlight w:val="none"/>
        </w:rPr>
        <w:t>款、第</w:t>
      </w:r>
      <w:r>
        <w:rPr>
          <w:rFonts w:ascii="宋体" w:hAnsi="宋体"/>
          <w:color w:val="auto"/>
          <w:kern w:val="0"/>
          <w:sz w:val="24"/>
          <w:highlight w:val="none"/>
        </w:rPr>
        <w:t xml:space="preserve">2.2 </w:t>
      </w:r>
      <w:r>
        <w:rPr>
          <w:rFonts w:hint="eastAsia" w:ascii="宋体" w:hAnsi="宋体"/>
          <w:color w:val="auto"/>
          <w:kern w:val="0"/>
          <w:sz w:val="24"/>
          <w:highlight w:val="none"/>
        </w:rPr>
        <w:t>款和第</w:t>
      </w:r>
      <w:r>
        <w:rPr>
          <w:rFonts w:ascii="宋体" w:hAnsi="宋体"/>
          <w:color w:val="auto"/>
          <w:kern w:val="0"/>
          <w:sz w:val="24"/>
          <w:highlight w:val="none"/>
        </w:rPr>
        <w:t xml:space="preserve">2.3 </w:t>
      </w:r>
      <w:r>
        <w:rPr>
          <w:rFonts w:hint="eastAsia" w:ascii="宋体" w:hAnsi="宋体"/>
          <w:color w:val="auto"/>
          <w:kern w:val="0"/>
          <w:sz w:val="24"/>
          <w:highlight w:val="none"/>
        </w:rPr>
        <w:t>款对</w:t>
      </w:r>
      <w:r>
        <w:rPr>
          <w:rFonts w:hint="eastAsia" w:ascii="宋体" w:hAnsi="宋体"/>
          <w:color w:val="auto"/>
          <w:kern w:val="0"/>
          <w:sz w:val="24"/>
          <w:highlight w:val="none"/>
          <w:lang w:eastAsia="zh-CN"/>
        </w:rPr>
        <w:t>竞争性磋商</w:t>
      </w:r>
      <w:r>
        <w:rPr>
          <w:rFonts w:hint="eastAsia" w:ascii="宋体" w:hAnsi="宋体"/>
          <w:color w:val="auto"/>
          <w:kern w:val="0"/>
          <w:sz w:val="24"/>
          <w:highlight w:val="none"/>
        </w:rPr>
        <w:t>文件所作的澄清、修改，构成</w:t>
      </w:r>
      <w:r>
        <w:rPr>
          <w:rFonts w:hint="eastAsia" w:ascii="宋体" w:hAnsi="宋体"/>
          <w:color w:val="auto"/>
          <w:kern w:val="0"/>
          <w:sz w:val="24"/>
          <w:highlight w:val="none"/>
          <w:lang w:eastAsia="zh-CN"/>
        </w:rPr>
        <w:t>竞争性磋商</w:t>
      </w:r>
      <w:r>
        <w:rPr>
          <w:rFonts w:hint="eastAsia" w:ascii="宋体" w:hAnsi="宋体"/>
          <w:color w:val="auto"/>
          <w:kern w:val="0"/>
          <w:sz w:val="24"/>
          <w:highlight w:val="none"/>
        </w:rPr>
        <w:t>文件的组成部分。</w:t>
      </w:r>
    </w:p>
    <w:p w14:paraId="21A08E7D">
      <w:pPr>
        <w:rPr>
          <w:b/>
          <w:color w:val="auto"/>
          <w:kern w:val="0"/>
          <w:sz w:val="24"/>
          <w:szCs w:val="28"/>
          <w:highlight w:val="none"/>
        </w:rPr>
      </w:pPr>
      <w:bookmarkStart w:id="54" w:name="_Toc438797187"/>
      <w:bookmarkEnd w:id="54"/>
      <w:bookmarkStart w:id="55" w:name="_Toc438797952"/>
      <w:bookmarkEnd w:id="55"/>
      <w:bookmarkStart w:id="56" w:name="_Toc391284749"/>
      <w:bookmarkEnd w:id="56"/>
      <w:r>
        <w:rPr>
          <w:b/>
          <w:color w:val="auto"/>
          <w:kern w:val="0"/>
          <w:sz w:val="24"/>
          <w:szCs w:val="28"/>
          <w:highlight w:val="none"/>
        </w:rPr>
        <w:t xml:space="preserve">2.2 </w:t>
      </w:r>
      <w:r>
        <w:rPr>
          <w:rFonts w:hint="eastAsia"/>
          <w:b/>
          <w:color w:val="auto"/>
          <w:kern w:val="0"/>
          <w:sz w:val="24"/>
          <w:szCs w:val="28"/>
          <w:highlight w:val="none"/>
          <w:lang w:eastAsia="zh-CN"/>
        </w:rPr>
        <w:t>竞争性磋商</w:t>
      </w:r>
      <w:r>
        <w:rPr>
          <w:rFonts w:hint="eastAsia"/>
          <w:b/>
          <w:color w:val="auto"/>
          <w:kern w:val="0"/>
          <w:sz w:val="24"/>
          <w:szCs w:val="28"/>
          <w:highlight w:val="none"/>
        </w:rPr>
        <w:t>文件的澄清</w:t>
      </w:r>
    </w:p>
    <w:p w14:paraId="5E841035">
      <w:pPr>
        <w:autoSpaceDE w:val="0"/>
        <w:autoSpaceDN w:val="0"/>
        <w:spacing w:line="360" w:lineRule="auto"/>
        <w:ind w:firstLine="484" w:firstLineChars="202"/>
        <w:jc w:val="left"/>
        <w:rPr>
          <w:rFonts w:ascii="宋体" w:hAnsi="宋体"/>
          <w:color w:val="auto"/>
          <w:kern w:val="0"/>
          <w:sz w:val="24"/>
          <w:highlight w:val="none"/>
        </w:rPr>
      </w:pPr>
      <w:r>
        <w:rPr>
          <w:rFonts w:ascii="宋体" w:hAnsi="宋体"/>
          <w:color w:val="auto"/>
          <w:kern w:val="0"/>
          <w:sz w:val="24"/>
          <w:highlight w:val="none"/>
        </w:rPr>
        <w:t xml:space="preserve">2.2.1 </w:t>
      </w:r>
      <w:r>
        <w:rPr>
          <w:rFonts w:hint="eastAsia" w:ascii="宋体" w:hAnsi="宋体"/>
          <w:color w:val="auto"/>
          <w:kern w:val="0"/>
          <w:sz w:val="24"/>
          <w:highlight w:val="none"/>
          <w:lang w:eastAsia="zh-CN"/>
        </w:rPr>
        <w:t>供应商</w:t>
      </w:r>
      <w:r>
        <w:rPr>
          <w:rFonts w:hint="eastAsia" w:ascii="宋体" w:hAnsi="宋体"/>
          <w:color w:val="auto"/>
          <w:kern w:val="0"/>
          <w:sz w:val="24"/>
          <w:highlight w:val="none"/>
        </w:rPr>
        <w:t>应仔细阅读和检查</w:t>
      </w:r>
      <w:r>
        <w:rPr>
          <w:rFonts w:hint="eastAsia" w:ascii="宋体" w:hAnsi="宋体"/>
          <w:color w:val="auto"/>
          <w:kern w:val="0"/>
          <w:sz w:val="24"/>
          <w:highlight w:val="none"/>
          <w:lang w:eastAsia="zh-CN"/>
        </w:rPr>
        <w:t>竞争性磋商</w:t>
      </w:r>
      <w:r>
        <w:rPr>
          <w:rFonts w:hint="eastAsia" w:ascii="宋体" w:hAnsi="宋体"/>
          <w:color w:val="auto"/>
          <w:kern w:val="0"/>
          <w:sz w:val="24"/>
          <w:highlight w:val="none"/>
        </w:rPr>
        <w:t>文件的全部内容。如发现缺页或附件不全，应及时向</w:t>
      </w:r>
      <w:r>
        <w:rPr>
          <w:rFonts w:hint="eastAsia" w:ascii="宋体" w:hAnsi="宋体"/>
          <w:color w:val="auto"/>
          <w:kern w:val="0"/>
          <w:sz w:val="24"/>
          <w:highlight w:val="none"/>
          <w:lang w:eastAsia="zh-CN"/>
        </w:rPr>
        <w:t>采购人</w:t>
      </w:r>
      <w:r>
        <w:rPr>
          <w:rFonts w:hint="eastAsia" w:ascii="宋体" w:hAnsi="宋体"/>
          <w:color w:val="auto"/>
          <w:kern w:val="0"/>
          <w:sz w:val="24"/>
          <w:highlight w:val="none"/>
        </w:rPr>
        <w:t>提出，以便补齐。如有疑问，应在提交磋商</w:t>
      </w:r>
      <w:r>
        <w:rPr>
          <w:rFonts w:hint="eastAsia" w:ascii="宋体" w:hAnsi="宋体"/>
          <w:color w:val="auto"/>
          <w:kern w:val="0"/>
          <w:sz w:val="24"/>
          <w:highlight w:val="none"/>
          <w:lang w:eastAsia="zh-CN"/>
        </w:rPr>
        <w:t>响应文件</w:t>
      </w:r>
      <w:r>
        <w:rPr>
          <w:rFonts w:hint="eastAsia" w:ascii="宋体" w:hAnsi="宋体"/>
          <w:color w:val="auto"/>
          <w:kern w:val="0"/>
          <w:sz w:val="24"/>
          <w:highlight w:val="none"/>
        </w:rPr>
        <w:t>截止时间5日前在电子交易系统中提出，要求</w:t>
      </w:r>
      <w:r>
        <w:rPr>
          <w:rFonts w:hint="eastAsia" w:ascii="宋体" w:hAnsi="宋体"/>
          <w:color w:val="auto"/>
          <w:kern w:val="0"/>
          <w:sz w:val="24"/>
          <w:highlight w:val="none"/>
          <w:lang w:eastAsia="zh-CN"/>
        </w:rPr>
        <w:t>采购人</w:t>
      </w:r>
      <w:r>
        <w:rPr>
          <w:rFonts w:hint="eastAsia" w:ascii="宋体" w:hAnsi="宋体"/>
          <w:color w:val="auto"/>
          <w:kern w:val="0"/>
          <w:sz w:val="24"/>
          <w:highlight w:val="none"/>
        </w:rPr>
        <w:t>对</w:t>
      </w:r>
      <w:r>
        <w:rPr>
          <w:rFonts w:hint="eastAsia" w:ascii="宋体" w:hAnsi="宋体"/>
          <w:color w:val="auto"/>
          <w:kern w:val="0"/>
          <w:sz w:val="24"/>
          <w:highlight w:val="none"/>
          <w:lang w:eastAsia="zh-CN"/>
        </w:rPr>
        <w:t>竞争性磋商</w:t>
      </w:r>
      <w:r>
        <w:rPr>
          <w:rFonts w:hint="eastAsia" w:ascii="宋体" w:hAnsi="宋体"/>
          <w:color w:val="auto"/>
          <w:kern w:val="0"/>
          <w:sz w:val="24"/>
          <w:highlight w:val="none"/>
        </w:rPr>
        <w:t>文件予以澄清，否则，将视为对本</w:t>
      </w:r>
      <w:r>
        <w:rPr>
          <w:rFonts w:hint="eastAsia" w:ascii="宋体" w:hAnsi="宋体"/>
          <w:color w:val="auto"/>
          <w:kern w:val="0"/>
          <w:sz w:val="24"/>
          <w:highlight w:val="none"/>
          <w:lang w:eastAsia="zh-CN"/>
        </w:rPr>
        <w:t>竞争性磋商</w:t>
      </w:r>
      <w:r>
        <w:rPr>
          <w:rFonts w:hint="eastAsia" w:ascii="宋体" w:hAnsi="宋体"/>
          <w:color w:val="auto"/>
          <w:kern w:val="0"/>
          <w:sz w:val="24"/>
          <w:highlight w:val="none"/>
        </w:rPr>
        <w:t>文件要求无任何异议。</w:t>
      </w:r>
    </w:p>
    <w:p w14:paraId="78C30A95">
      <w:pPr>
        <w:autoSpaceDE w:val="0"/>
        <w:autoSpaceDN w:val="0"/>
        <w:spacing w:line="360" w:lineRule="auto"/>
        <w:ind w:firstLine="484" w:firstLineChars="202"/>
        <w:jc w:val="left"/>
        <w:rPr>
          <w:rFonts w:ascii="宋体" w:hAnsi="宋体"/>
          <w:color w:val="auto"/>
          <w:kern w:val="0"/>
          <w:sz w:val="24"/>
          <w:highlight w:val="none"/>
        </w:rPr>
      </w:pPr>
      <w:r>
        <w:rPr>
          <w:rFonts w:ascii="宋体" w:hAnsi="宋体"/>
          <w:color w:val="auto"/>
          <w:kern w:val="0"/>
          <w:sz w:val="24"/>
          <w:highlight w:val="none"/>
        </w:rPr>
        <w:t xml:space="preserve">2.2.2 </w:t>
      </w:r>
      <w:r>
        <w:rPr>
          <w:rFonts w:hint="eastAsia" w:ascii="宋体" w:hAnsi="宋体"/>
          <w:color w:val="auto"/>
          <w:kern w:val="0"/>
          <w:sz w:val="24"/>
          <w:highlight w:val="none"/>
          <w:lang w:eastAsia="zh-CN"/>
        </w:rPr>
        <w:t>竞争性磋商</w:t>
      </w:r>
      <w:r>
        <w:rPr>
          <w:rFonts w:hint="eastAsia" w:ascii="宋体" w:hAnsi="宋体"/>
          <w:color w:val="auto"/>
          <w:kern w:val="0"/>
          <w:sz w:val="24"/>
          <w:highlight w:val="none"/>
        </w:rPr>
        <w:t>文件的澄清将在</w:t>
      </w:r>
      <w:r>
        <w:rPr>
          <w:rFonts w:hint="eastAsia" w:ascii="宋体" w:hAnsi="宋体"/>
          <w:color w:val="auto"/>
          <w:kern w:val="0"/>
          <w:sz w:val="24"/>
          <w:highlight w:val="none"/>
          <w:lang w:eastAsia="zh-CN"/>
        </w:rPr>
        <w:t>供应商须知前附表</w:t>
      </w:r>
      <w:r>
        <w:rPr>
          <w:rFonts w:hint="eastAsia" w:ascii="宋体" w:hAnsi="宋体"/>
          <w:color w:val="auto"/>
          <w:kern w:val="0"/>
          <w:sz w:val="24"/>
          <w:highlight w:val="none"/>
        </w:rPr>
        <w:t>规定的时间在电子交易系统中以澄清形式公示给所有下载</w:t>
      </w:r>
      <w:r>
        <w:rPr>
          <w:rFonts w:hint="eastAsia" w:ascii="宋体" w:hAnsi="宋体"/>
          <w:color w:val="auto"/>
          <w:kern w:val="0"/>
          <w:sz w:val="24"/>
          <w:highlight w:val="none"/>
          <w:lang w:eastAsia="zh-CN"/>
        </w:rPr>
        <w:t>竞争性磋商</w:t>
      </w:r>
      <w:r>
        <w:rPr>
          <w:rFonts w:hint="eastAsia" w:ascii="宋体" w:hAnsi="宋体"/>
          <w:color w:val="auto"/>
          <w:kern w:val="0"/>
          <w:sz w:val="24"/>
          <w:highlight w:val="none"/>
        </w:rPr>
        <w:t>文件的</w:t>
      </w:r>
      <w:r>
        <w:rPr>
          <w:rFonts w:hint="eastAsia" w:ascii="宋体" w:hAnsi="宋体"/>
          <w:color w:val="auto"/>
          <w:kern w:val="0"/>
          <w:sz w:val="24"/>
          <w:highlight w:val="none"/>
          <w:lang w:eastAsia="zh-CN"/>
        </w:rPr>
        <w:t>供应商</w:t>
      </w:r>
      <w:r>
        <w:rPr>
          <w:rFonts w:hint="eastAsia" w:ascii="宋体" w:hAnsi="宋体"/>
          <w:color w:val="auto"/>
          <w:kern w:val="0"/>
          <w:sz w:val="24"/>
          <w:highlight w:val="none"/>
        </w:rPr>
        <w:t>，但不指明澄清问题的来源。</w:t>
      </w:r>
    </w:p>
    <w:p w14:paraId="7C96D7BF">
      <w:pPr>
        <w:rPr>
          <w:b/>
          <w:color w:val="auto"/>
          <w:kern w:val="0"/>
          <w:sz w:val="24"/>
          <w:szCs w:val="28"/>
          <w:highlight w:val="none"/>
        </w:rPr>
      </w:pPr>
      <w:bookmarkStart w:id="57" w:name="_Toc438797188"/>
      <w:bookmarkEnd w:id="57"/>
      <w:bookmarkStart w:id="58" w:name="_Toc438797953"/>
      <w:bookmarkEnd w:id="58"/>
      <w:bookmarkStart w:id="59" w:name="_Toc391284750"/>
      <w:bookmarkEnd w:id="59"/>
      <w:r>
        <w:rPr>
          <w:b/>
          <w:color w:val="auto"/>
          <w:kern w:val="0"/>
          <w:sz w:val="24"/>
          <w:szCs w:val="28"/>
          <w:highlight w:val="none"/>
        </w:rPr>
        <w:t xml:space="preserve">2.3 </w:t>
      </w:r>
      <w:r>
        <w:rPr>
          <w:rFonts w:hint="eastAsia"/>
          <w:b/>
          <w:color w:val="auto"/>
          <w:kern w:val="0"/>
          <w:sz w:val="24"/>
          <w:szCs w:val="28"/>
          <w:highlight w:val="none"/>
          <w:lang w:eastAsia="zh-CN"/>
        </w:rPr>
        <w:t>竞争性磋商</w:t>
      </w:r>
      <w:r>
        <w:rPr>
          <w:rFonts w:hint="eastAsia"/>
          <w:b/>
          <w:color w:val="auto"/>
          <w:kern w:val="0"/>
          <w:sz w:val="24"/>
          <w:szCs w:val="28"/>
          <w:highlight w:val="none"/>
        </w:rPr>
        <w:t>文件的修改</w:t>
      </w:r>
    </w:p>
    <w:p w14:paraId="59B01A34">
      <w:pPr>
        <w:autoSpaceDE w:val="0"/>
        <w:autoSpaceDN w:val="0"/>
        <w:spacing w:line="360" w:lineRule="auto"/>
        <w:ind w:firstLine="484" w:firstLineChars="202"/>
        <w:jc w:val="left"/>
        <w:rPr>
          <w:rFonts w:ascii="宋体" w:hAnsi="宋体"/>
          <w:color w:val="auto"/>
          <w:kern w:val="0"/>
          <w:sz w:val="24"/>
          <w:highlight w:val="none"/>
        </w:rPr>
      </w:pPr>
      <w:r>
        <w:rPr>
          <w:rFonts w:ascii="宋体" w:hAnsi="宋体"/>
          <w:color w:val="auto"/>
          <w:kern w:val="0"/>
          <w:sz w:val="24"/>
          <w:highlight w:val="none"/>
        </w:rPr>
        <w:t xml:space="preserve">2.3.1 </w:t>
      </w:r>
      <w:r>
        <w:rPr>
          <w:rFonts w:hint="eastAsia" w:ascii="宋体" w:hAnsi="宋体"/>
          <w:color w:val="auto"/>
          <w:kern w:val="0"/>
          <w:sz w:val="24"/>
          <w:highlight w:val="none"/>
        </w:rPr>
        <w:t>在竞标截止时间</w:t>
      </w:r>
      <w:r>
        <w:rPr>
          <w:rFonts w:hint="eastAsia" w:ascii="宋体" w:hAnsi="宋体"/>
          <w:color w:val="auto"/>
          <w:sz w:val="24"/>
          <w:highlight w:val="none"/>
        </w:rPr>
        <w:t>至少5日前</w:t>
      </w:r>
      <w:r>
        <w:rPr>
          <w:rFonts w:hint="eastAsia" w:ascii="宋体" w:hAnsi="宋体"/>
          <w:color w:val="auto"/>
          <w:kern w:val="0"/>
          <w:sz w:val="24"/>
          <w:highlight w:val="none"/>
        </w:rPr>
        <w:t>，</w:t>
      </w:r>
      <w:r>
        <w:rPr>
          <w:rFonts w:hint="eastAsia" w:ascii="宋体" w:hAnsi="宋体"/>
          <w:color w:val="auto"/>
          <w:kern w:val="0"/>
          <w:sz w:val="24"/>
          <w:highlight w:val="none"/>
          <w:lang w:eastAsia="zh-CN"/>
        </w:rPr>
        <w:t>采购人</w:t>
      </w:r>
      <w:r>
        <w:rPr>
          <w:rFonts w:hint="eastAsia" w:ascii="宋体" w:hAnsi="宋体"/>
          <w:color w:val="auto"/>
          <w:kern w:val="0"/>
          <w:sz w:val="24"/>
          <w:highlight w:val="none"/>
        </w:rPr>
        <w:t>可以在电子交易系统中修改</w:t>
      </w:r>
      <w:r>
        <w:rPr>
          <w:rFonts w:hint="eastAsia" w:ascii="宋体" w:hAnsi="宋体"/>
          <w:color w:val="auto"/>
          <w:kern w:val="0"/>
          <w:sz w:val="24"/>
          <w:highlight w:val="none"/>
          <w:lang w:eastAsia="zh-CN"/>
        </w:rPr>
        <w:t>竞争性磋商</w:t>
      </w:r>
      <w:r>
        <w:rPr>
          <w:rFonts w:hint="eastAsia" w:ascii="宋体" w:hAnsi="宋体"/>
          <w:color w:val="auto"/>
          <w:kern w:val="0"/>
          <w:sz w:val="24"/>
          <w:highlight w:val="none"/>
        </w:rPr>
        <w:t>文件，并公告给所有磋商</w:t>
      </w:r>
      <w:r>
        <w:rPr>
          <w:rFonts w:hint="eastAsia" w:ascii="宋体" w:hAnsi="宋体"/>
          <w:color w:val="auto"/>
          <w:kern w:val="0"/>
          <w:sz w:val="24"/>
          <w:highlight w:val="none"/>
          <w:lang w:eastAsia="zh-CN"/>
        </w:rPr>
        <w:t>供应商</w:t>
      </w:r>
      <w:r>
        <w:rPr>
          <w:rFonts w:hint="eastAsia" w:ascii="宋体" w:hAnsi="宋体"/>
          <w:color w:val="auto"/>
          <w:kern w:val="0"/>
          <w:sz w:val="24"/>
          <w:highlight w:val="none"/>
        </w:rPr>
        <w:t>。如果修改</w:t>
      </w:r>
      <w:r>
        <w:rPr>
          <w:rFonts w:hint="eastAsia" w:ascii="宋体" w:hAnsi="宋体"/>
          <w:color w:val="auto"/>
          <w:kern w:val="0"/>
          <w:sz w:val="24"/>
          <w:highlight w:val="none"/>
          <w:lang w:eastAsia="zh-CN"/>
        </w:rPr>
        <w:t>竞争性磋商</w:t>
      </w:r>
      <w:r>
        <w:rPr>
          <w:rFonts w:hint="eastAsia" w:ascii="宋体" w:hAnsi="宋体"/>
          <w:color w:val="auto"/>
          <w:kern w:val="0"/>
          <w:sz w:val="24"/>
          <w:highlight w:val="none"/>
        </w:rPr>
        <w:t>文件的时间距竞标截止时间不足5天，相应延长竞标截止时间。</w:t>
      </w:r>
    </w:p>
    <w:p w14:paraId="7018F2B1">
      <w:pPr>
        <w:autoSpaceDE w:val="0"/>
        <w:autoSpaceDN w:val="0"/>
        <w:spacing w:line="360" w:lineRule="auto"/>
        <w:ind w:firstLine="484" w:firstLineChars="202"/>
        <w:jc w:val="left"/>
        <w:rPr>
          <w:rFonts w:hint="eastAsia" w:ascii="宋体" w:hAnsi="宋体"/>
          <w:color w:val="auto"/>
          <w:kern w:val="0"/>
          <w:sz w:val="24"/>
          <w:highlight w:val="none"/>
        </w:rPr>
      </w:pPr>
      <w:r>
        <w:rPr>
          <w:rFonts w:hint="eastAsia" w:ascii="宋体" w:hAnsi="宋体"/>
          <w:color w:val="auto"/>
          <w:kern w:val="0"/>
          <w:sz w:val="24"/>
          <w:highlight w:val="none"/>
        </w:rPr>
        <w:t>2.3.</w:t>
      </w:r>
      <w:r>
        <w:rPr>
          <w:rFonts w:ascii="宋体" w:hAnsi="宋体"/>
          <w:color w:val="auto"/>
          <w:kern w:val="0"/>
          <w:sz w:val="24"/>
          <w:highlight w:val="none"/>
        </w:rPr>
        <w:t>2</w:t>
      </w:r>
      <w:r>
        <w:rPr>
          <w:rFonts w:hint="eastAsia" w:ascii="宋体" w:hAnsi="宋体"/>
          <w:color w:val="auto"/>
          <w:kern w:val="0"/>
          <w:sz w:val="24"/>
          <w:highlight w:val="none"/>
          <w:lang w:val="en-US" w:eastAsia="zh-CN"/>
        </w:rPr>
        <w:t xml:space="preserve"> </w:t>
      </w:r>
      <w:r>
        <w:rPr>
          <w:rFonts w:hint="eastAsia" w:ascii="宋体" w:hAnsi="宋体"/>
          <w:color w:val="auto"/>
          <w:kern w:val="0"/>
          <w:sz w:val="24"/>
          <w:highlight w:val="none"/>
          <w:lang w:eastAsia="zh-CN"/>
        </w:rPr>
        <w:t>采购人</w:t>
      </w:r>
      <w:r>
        <w:rPr>
          <w:rFonts w:ascii="宋体" w:hAnsi="宋体"/>
          <w:color w:val="auto"/>
          <w:kern w:val="0"/>
          <w:sz w:val="24"/>
          <w:highlight w:val="none"/>
        </w:rPr>
        <w:t>一旦对</w:t>
      </w:r>
      <w:r>
        <w:rPr>
          <w:rFonts w:hint="eastAsia" w:ascii="宋体" w:hAnsi="宋体"/>
          <w:color w:val="auto"/>
          <w:kern w:val="0"/>
          <w:sz w:val="24"/>
          <w:highlight w:val="none"/>
          <w:lang w:eastAsia="zh-CN"/>
        </w:rPr>
        <w:t>竞争性磋商</w:t>
      </w:r>
      <w:r>
        <w:rPr>
          <w:rFonts w:ascii="宋体" w:hAnsi="宋体"/>
          <w:color w:val="auto"/>
          <w:kern w:val="0"/>
          <w:sz w:val="24"/>
          <w:highlight w:val="none"/>
        </w:rPr>
        <w:t>文件作出了澄清、修改，即刻发生效力，</w:t>
      </w:r>
      <w:r>
        <w:rPr>
          <w:rFonts w:hint="eastAsia" w:ascii="宋体" w:hAnsi="宋体"/>
          <w:color w:val="auto"/>
          <w:kern w:val="0"/>
          <w:sz w:val="24"/>
          <w:highlight w:val="none"/>
          <w:lang w:eastAsia="zh-CN"/>
        </w:rPr>
        <w:t>采购人</w:t>
      </w:r>
      <w:r>
        <w:rPr>
          <w:rFonts w:ascii="宋体" w:hAnsi="宋体"/>
          <w:color w:val="auto"/>
          <w:kern w:val="0"/>
          <w:sz w:val="24"/>
          <w:highlight w:val="none"/>
        </w:rPr>
        <w:t>有关的补充文件，将作为</w:t>
      </w:r>
      <w:r>
        <w:rPr>
          <w:rFonts w:hint="eastAsia" w:ascii="宋体" w:hAnsi="宋体"/>
          <w:color w:val="auto"/>
          <w:kern w:val="0"/>
          <w:sz w:val="24"/>
          <w:highlight w:val="none"/>
          <w:lang w:eastAsia="zh-CN"/>
        </w:rPr>
        <w:t>竞争性磋商</w:t>
      </w:r>
      <w:r>
        <w:rPr>
          <w:rFonts w:hint="eastAsia" w:ascii="宋体" w:hAnsi="宋体"/>
          <w:color w:val="auto"/>
          <w:kern w:val="0"/>
          <w:sz w:val="24"/>
          <w:highlight w:val="none"/>
        </w:rPr>
        <w:t>文件</w:t>
      </w:r>
      <w:r>
        <w:rPr>
          <w:rFonts w:ascii="宋体" w:hAnsi="宋体"/>
          <w:color w:val="auto"/>
          <w:kern w:val="0"/>
          <w:sz w:val="24"/>
          <w:highlight w:val="none"/>
        </w:rPr>
        <w:t>的组成部分，对所有现实的或潜在的竞</w:t>
      </w:r>
      <w:r>
        <w:rPr>
          <w:rFonts w:hint="eastAsia" w:ascii="宋体" w:hAnsi="宋体"/>
          <w:color w:val="auto"/>
          <w:kern w:val="0"/>
          <w:sz w:val="24"/>
          <w:highlight w:val="none"/>
        </w:rPr>
        <w:t>（</w:t>
      </w:r>
      <w:r>
        <w:rPr>
          <w:rFonts w:ascii="宋体" w:hAnsi="宋体"/>
          <w:color w:val="auto"/>
          <w:kern w:val="0"/>
          <w:sz w:val="24"/>
          <w:highlight w:val="none"/>
        </w:rPr>
        <w:t>投</w:t>
      </w:r>
      <w:r>
        <w:rPr>
          <w:rFonts w:hint="eastAsia" w:ascii="宋体" w:hAnsi="宋体"/>
          <w:color w:val="auto"/>
          <w:kern w:val="0"/>
          <w:sz w:val="24"/>
          <w:highlight w:val="none"/>
        </w:rPr>
        <w:t>）</w:t>
      </w:r>
      <w:r>
        <w:rPr>
          <w:rFonts w:ascii="宋体" w:hAnsi="宋体"/>
          <w:color w:val="auto"/>
          <w:kern w:val="0"/>
          <w:sz w:val="24"/>
          <w:highlight w:val="none"/>
        </w:rPr>
        <w:t>标人均具有约束力，而无论是否已经实际收到该澄清和修改文件。同时，</w:t>
      </w:r>
      <w:r>
        <w:rPr>
          <w:rFonts w:hint="eastAsia" w:ascii="宋体" w:hAnsi="宋体"/>
          <w:color w:val="auto"/>
          <w:kern w:val="0"/>
          <w:sz w:val="24"/>
          <w:highlight w:val="none"/>
          <w:lang w:eastAsia="zh-CN"/>
        </w:rPr>
        <w:t>采购人</w:t>
      </w:r>
      <w:r>
        <w:rPr>
          <w:rFonts w:ascii="宋体" w:hAnsi="宋体"/>
          <w:color w:val="auto"/>
          <w:kern w:val="0"/>
          <w:sz w:val="24"/>
          <w:highlight w:val="none"/>
        </w:rPr>
        <w:t>和</w:t>
      </w:r>
      <w:r>
        <w:rPr>
          <w:rFonts w:hint="eastAsia" w:ascii="宋体" w:hAnsi="宋体"/>
          <w:color w:val="auto"/>
          <w:kern w:val="0"/>
          <w:sz w:val="24"/>
          <w:highlight w:val="none"/>
          <w:lang w:eastAsia="zh-CN"/>
        </w:rPr>
        <w:t>供应商</w:t>
      </w:r>
      <w:r>
        <w:rPr>
          <w:rFonts w:ascii="宋体" w:hAnsi="宋体"/>
          <w:color w:val="auto"/>
          <w:kern w:val="0"/>
          <w:sz w:val="24"/>
          <w:highlight w:val="none"/>
        </w:rPr>
        <w:t>的权利及义务将受到新的截止期的约束。</w:t>
      </w:r>
    </w:p>
    <w:p w14:paraId="170DD5E0">
      <w:pPr>
        <w:autoSpaceDE w:val="0"/>
        <w:autoSpaceDN w:val="0"/>
        <w:spacing w:line="360" w:lineRule="auto"/>
        <w:ind w:firstLine="484" w:firstLineChars="202"/>
        <w:jc w:val="left"/>
        <w:rPr>
          <w:color w:val="auto"/>
          <w:highlight w:val="none"/>
        </w:rPr>
      </w:pPr>
      <w:r>
        <w:rPr>
          <w:rFonts w:hint="eastAsia" w:ascii="宋体" w:hAnsi="宋体"/>
          <w:color w:val="auto"/>
          <w:kern w:val="0"/>
          <w:sz w:val="24"/>
          <w:highlight w:val="none"/>
        </w:rPr>
        <w:t>2.3.4 修改（更正）或补充文件将作为</w:t>
      </w:r>
      <w:r>
        <w:rPr>
          <w:rFonts w:hint="eastAsia" w:ascii="宋体" w:hAnsi="宋体"/>
          <w:color w:val="auto"/>
          <w:kern w:val="0"/>
          <w:sz w:val="24"/>
          <w:highlight w:val="none"/>
          <w:lang w:eastAsia="zh-CN"/>
        </w:rPr>
        <w:t>竞争性磋商</w:t>
      </w:r>
      <w:r>
        <w:rPr>
          <w:rFonts w:hint="eastAsia" w:ascii="宋体" w:hAnsi="宋体"/>
          <w:color w:val="auto"/>
          <w:kern w:val="0"/>
          <w:sz w:val="24"/>
          <w:highlight w:val="none"/>
        </w:rPr>
        <w:t>文件的组成部分，对所有</w:t>
      </w:r>
      <w:r>
        <w:rPr>
          <w:rFonts w:hint="eastAsia" w:ascii="宋体" w:hAnsi="宋体"/>
          <w:color w:val="auto"/>
          <w:kern w:val="0"/>
          <w:sz w:val="24"/>
          <w:highlight w:val="none"/>
          <w:lang w:eastAsia="zh-CN"/>
        </w:rPr>
        <w:t>供应商</w:t>
      </w:r>
      <w:r>
        <w:rPr>
          <w:rFonts w:hint="eastAsia" w:ascii="宋体" w:hAnsi="宋体"/>
          <w:color w:val="auto"/>
          <w:kern w:val="0"/>
          <w:sz w:val="24"/>
          <w:highlight w:val="none"/>
        </w:rPr>
        <w:t>具有约束力。当</w:t>
      </w:r>
      <w:r>
        <w:rPr>
          <w:rFonts w:hint="eastAsia" w:ascii="宋体" w:hAnsi="宋体"/>
          <w:color w:val="auto"/>
          <w:kern w:val="0"/>
          <w:sz w:val="24"/>
          <w:highlight w:val="none"/>
          <w:lang w:eastAsia="zh-CN"/>
        </w:rPr>
        <w:t>竞争性磋商</w:t>
      </w:r>
      <w:r>
        <w:rPr>
          <w:rFonts w:hint="eastAsia" w:ascii="宋体" w:hAnsi="宋体"/>
          <w:color w:val="auto"/>
          <w:kern w:val="0"/>
          <w:sz w:val="24"/>
          <w:highlight w:val="none"/>
        </w:rPr>
        <w:t>文件与修改（更正）或补充文件相矛盾时，以最后发出的修改（更正）或补充文件为准。</w:t>
      </w:r>
    </w:p>
    <w:p w14:paraId="32FB72FE">
      <w:pPr>
        <w:pStyle w:val="27"/>
        <w:rPr>
          <w:rFonts w:ascii="宋体" w:hAnsi="宋体" w:eastAsia="宋体"/>
          <w:color w:val="auto"/>
          <w:kern w:val="0"/>
          <w:sz w:val="28"/>
          <w:szCs w:val="36"/>
          <w:highlight w:val="none"/>
        </w:rPr>
      </w:pPr>
      <w:bookmarkStart w:id="60" w:name="_Toc20540"/>
      <w:bookmarkEnd w:id="60"/>
      <w:bookmarkStart w:id="61" w:name="_Toc438797954"/>
      <w:bookmarkEnd w:id="61"/>
      <w:bookmarkStart w:id="62" w:name="_Toc391284751"/>
      <w:bookmarkEnd w:id="62"/>
      <w:bookmarkStart w:id="63" w:name="_Toc438797189"/>
      <w:bookmarkEnd w:id="63"/>
      <w:r>
        <w:rPr>
          <w:rFonts w:ascii="宋体" w:hAnsi="宋体" w:eastAsia="宋体"/>
          <w:color w:val="auto"/>
          <w:kern w:val="0"/>
          <w:sz w:val="28"/>
          <w:szCs w:val="36"/>
          <w:highlight w:val="none"/>
        </w:rPr>
        <w:t xml:space="preserve">3. </w:t>
      </w:r>
      <w:r>
        <w:rPr>
          <w:rFonts w:hint="eastAsia" w:ascii="宋体" w:hAnsi="宋体" w:eastAsia="宋体"/>
          <w:color w:val="auto"/>
          <w:kern w:val="0"/>
          <w:sz w:val="28"/>
          <w:szCs w:val="36"/>
          <w:highlight w:val="none"/>
          <w:lang w:eastAsia="zh-CN"/>
        </w:rPr>
        <w:t>响应文件</w:t>
      </w:r>
    </w:p>
    <w:p w14:paraId="07891CA7">
      <w:pPr>
        <w:rPr>
          <w:b/>
          <w:color w:val="auto"/>
          <w:kern w:val="0"/>
          <w:sz w:val="24"/>
          <w:szCs w:val="28"/>
          <w:highlight w:val="none"/>
        </w:rPr>
      </w:pPr>
      <w:bookmarkStart w:id="64" w:name="_Toc438797955"/>
      <w:bookmarkEnd w:id="64"/>
      <w:bookmarkStart w:id="65" w:name="_Toc438797190"/>
      <w:bookmarkEnd w:id="65"/>
      <w:bookmarkStart w:id="66" w:name="_Toc391284752"/>
      <w:bookmarkEnd w:id="66"/>
      <w:r>
        <w:rPr>
          <w:b/>
          <w:color w:val="auto"/>
          <w:kern w:val="0"/>
          <w:sz w:val="24"/>
          <w:szCs w:val="28"/>
          <w:highlight w:val="none"/>
        </w:rPr>
        <w:t xml:space="preserve">3.1 </w:t>
      </w:r>
      <w:r>
        <w:rPr>
          <w:rFonts w:hint="eastAsia"/>
          <w:b/>
          <w:color w:val="auto"/>
          <w:kern w:val="0"/>
          <w:sz w:val="24"/>
          <w:szCs w:val="28"/>
          <w:highlight w:val="none"/>
          <w:lang w:eastAsia="zh-CN"/>
        </w:rPr>
        <w:t>响应文件</w:t>
      </w:r>
      <w:r>
        <w:rPr>
          <w:rFonts w:hint="eastAsia"/>
          <w:b/>
          <w:color w:val="auto"/>
          <w:kern w:val="0"/>
          <w:sz w:val="24"/>
          <w:szCs w:val="28"/>
          <w:highlight w:val="none"/>
        </w:rPr>
        <w:t>的组成</w:t>
      </w:r>
    </w:p>
    <w:p w14:paraId="0217C0A2">
      <w:pPr>
        <w:autoSpaceDE w:val="0"/>
        <w:autoSpaceDN w:val="0"/>
        <w:spacing w:line="360" w:lineRule="auto"/>
        <w:ind w:firstLine="484" w:firstLineChars="202"/>
        <w:jc w:val="left"/>
        <w:rPr>
          <w:rFonts w:ascii="宋体" w:hAnsi="宋体"/>
          <w:color w:val="auto"/>
          <w:kern w:val="0"/>
          <w:sz w:val="24"/>
          <w:highlight w:val="none"/>
        </w:rPr>
      </w:pPr>
      <w:r>
        <w:rPr>
          <w:rFonts w:ascii="宋体" w:hAnsi="宋体"/>
          <w:color w:val="auto"/>
          <w:kern w:val="0"/>
          <w:sz w:val="24"/>
          <w:highlight w:val="none"/>
        </w:rPr>
        <w:t xml:space="preserve">3.1.1 </w:t>
      </w:r>
      <w:r>
        <w:rPr>
          <w:rFonts w:hint="eastAsia" w:ascii="宋体" w:hAnsi="宋体"/>
          <w:color w:val="auto"/>
          <w:kern w:val="0"/>
          <w:sz w:val="24"/>
          <w:highlight w:val="none"/>
          <w:lang w:eastAsia="zh-CN"/>
        </w:rPr>
        <w:t>响应文件</w:t>
      </w:r>
      <w:r>
        <w:rPr>
          <w:rFonts w:hint="eastAsia" w:ascii="宋体" w:hAnsi="宋体"/>
          <w:color w:val="auto"/>
          <w:kern w:val="0"/>
          <w:sz w:val="24"/>
          <w:highlight w:val="none"/>
        </w:rPr>
        <w:t>应包括下列内容：</w:t>
      </w:r>
    </w:p>
    <w:p w14:paraId="76855777">
      <w:pPr>
        <w:spacing w:line="440" w:lineRule="exact"/>
        <w:ind w:firstLine="480" w:firstLineChars="200"/>
        <w:rPr>
          <w:rFonts w:hint="eastAsia" w:ascii="宋体" w:hAnsi="宋体"/>
          <w:color w:val="auto"/>
          <w:kern w:val="0"/>
          <w:sz w:val="24"/>
          <w:highlight w:val="none"/>
        </w:rPr>
      </w:pPr>
      <w:bookmarkStart w:id="67" w:name="_Toc211766578"/>
      <w:bookmarkStart w:id="68" w:name="_Toc438797191"/>
      <w:bookmarkStart w:id="69" w:name="_Toc438797956"/>
      <w:bookmarkStart w:id="70" w:name="_Toc391284753"/>
      <w:r>
        <w:rPr>
          <w:rFonts w:hint="eastAsia" w:ascii="宋体" w:hAnsi="宋体"/>
          <w:color w:val="auto"/>
          <w:kern w:val="0"/>
          <w:sz w:val="24"/>
          <w:highlight w:val="none"/>
        </w:rPr>
        <w:t>（1）磋商函及磋商函附录；</w:t>
      </w:r>
    </w:p>
    <w:p w14:paraId="5A4ECCC9">
      <w:pPr>
        <w:spacing w:line="44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（2）法定代表人身份证明；</w:t>
      </w:r>
    </w:p>
    <w:p w14:paraId="119E4D25">
      <w:pPr>
        <w:spacing w:line="44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（3）授权委托书；</w:t>
      </w:r>
    </w:p>
    <w:p w14:paraId="4907FCEC">
      <w:pPr>
        <w:spacing w:line="44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（4）</w:t>
      </w:r>
      <w:r>
        <w:rPr>
          <w:rFonts w:hint="eastAsia" w:ascii="宋体" w:hAnsi="宋体"/>
          <w:color w:val="auto"/>
          <w:sz w:val="24"/>
          <w:highlight w:val="none"/>
        </w:rPr>
        <w:t>磋商承诺书</w:t>
      </w:r>
      <w:r>
        <w:rPr>
          <w:rFonts w:hint="eastAsia" w:ascii="宋体" w:hAnsi="宋体"/>
          <w:color w:val="auto"/>
          <w:kern w:val="0"/>
          <w:sz w:val="24"/>
          <w:highlight w:val="none"/>
        </w:rPr>
        <w:t>；</w:t>
      </w:r>
    </w:p>
    <w:p w14:paraId="08F00FBF">
      <w:pPr>
        <w:spacing w:line="44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（5）</w:t>
      </w:r>
      <w:r>
        <w:rPr>
          <w:rFonts w:hint="eastAsia" w:ascii="宋体" w:hAnsi="宋体"/>
          <w:color w:val="auto"/>
          <w:kern w:val="0"/>
          <w:sz w:val="24"/>
          <w:highlight w:val="none"/>
          <w:lang w:val="en-US" w:eastAsia="zh-CN"/>
        </w:rPr>
        <w:t>已标价工程量清单</w:t>
      </w:r>
    </w:p>
    <w:p w14:paraId="2C576DB6">
      <w:pPr>
        <w:spacing w:line="44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w:t>
      </w:r>
      <w:r>
        <w:rPr>
          <w:rFonts w:hint="eastAsia" w:ascii="宋体" w:hAnsi="宋体"/>
          <w:color w:val="auto"/>
          <w:kern w:val="0"/>
          <w:sz w:val="24"/>
          <w:highlight w:val="none"/>
          <w:lang w:val="en-US" w:eastAsia="zh-CN"/>
        </w:rPr>
        <w:t>6</w:t>
      </w:r>
      <w:r>
        <w:rPr>
          <w:rFonts w:hint="eastAsia" w:ascii="宋体" w:hAnsi="宋体"/>
          <w:color w:val="auto"/>
          <w:kern w:val="0"/>
          <w:sz w:val="24"/>
          <w:highlight w:val="none"/>
        </w:rPr>
        <w:t>）施工组织设计；</w:t>
      </w:r>
    </w:p>
    <w:p w14:paraId="6291A8AC">
      <w:pPr>
        <w:spacing w:line="44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w:t>
      </w:r>
      <w:r>
        <w:rPr>
          <w:rFonts w:hint="eastAsia" w:ascii="宋体" w:hAnsi="宋体"/>
          <w:color w:val="auto"/>
          <w:kern w:val="0"/>
          <w:sz w:val="24"/>
          <w:highlight w:val="none"/>
          <w:lang w:val="en-US" w:eastAsia="zh-CN"/>
        </w:rPr>
        <w:t>7</w:t>
      </w:r>
      <w:r>
        <w:rPr>
          <w:rFonts w:hint="eastAsia" w:ascii="宋体" w:hAnsi="宋体"/>
          <w:color w:val="auto"/>
          <w:kern w:val="0"/>
          <w:sz w:val="24"/>
          <w:highlight w:val="none"/>
        </w:rPr>
        <w:t>）项目管理机构；</w:t>
      </w:r>
    </w:p>
    <w:p w14:paraId="78B1BA36">
      <w:pPr>
        <w:spacing w:line="44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w:t>
      </w:r>
      <w:r>
        <w:rPr>
          <w:rFonts w:hint="eastAsia" w:ascii="宋体" w:hAnsi="宋体"/>
          <w:color w:val="auto"/>
          <w:kern w:val="0"/>
          <w:sz w:val="24"/>
          <w:highlight w:val="none"/>
          <w:lang w:val="en-US" w:eastAsia="zh-CN"/>
        </w:rPr>
        <w:t>8</w:t>
      </w:r>
      <w:r>
        <w:rPr>
          <w:rFonts w:hint="eastAsia" w:ascii="宋体" w:hAnsi="宋体"/>
          <w:color w:val="auto"/>
          <w:kern w:val="0"/>
          <w:sz w:val="24"/>
          <w:highlight w:val="none"/>
        </w:rPr>
        <w:t>）企业基本情况资料；</w:t>
      </w:r>
    </w:p>
    <w:p w14:paraId="3CA26CB9">
      <w:pPr>
        <w:spacing w:line="440" w:lineRule="exact"/>
        <w:ind w:firstLine="480" w:firstLineChars="200"/>
        <w:rPr>
          <w:rFonts w:hint="eastAsia" w:ascii="宋体" w:hAnsi="宋体"/>
          <w:color w:val="auto"/>
          <w:kern w:val="0"/>
          <w:sz w:val="24"/>
          <w:highlight w:val="none"/>
        </w:rPr>
      </w:pPr>
      <w:r>
        <w:rPr>
          <w:rFonts w:hint="eastAsia" w:ascii="宋体" w:hAnsi="宋体"/>
          <w:color w:val="auto"/>
          <w:kern w:val="0"/>
          <w:sz w:val="24"/>
          <w:highlight w:val="none"/>
        </w:rPr>
        <w:t>（</w:t>
      </w:r>
      <w:r>
        <w:rPr>
          <w:rFonts w:hint="eastAsia" w:ascii="宋体" w:hAnsi="宋体"/>
          <w:color w:val="auto"/>
          <w:kern w:val="0"/>
          <w:sz w:val="24"/>
          <w:highlight w:val="none"/>
          <w:lang w:val="en-US" w:eastAsia="zh-CN"/>
        </w:rPr>
        <w:t>9</w:t>
      </w:r>
      <w:r>
        <w:rPr>
          <w:rFonts w:hint="eastAsia" w:ascii="宋体" w:hAnsi="宋体"/>
          <w:color w:val="auto"/>
          <w:kern w:val="0"/>
          <w:sz w:val="24"/>
          <w:highlight w:val="none"/>
        </w:rPr>
        <w:t>）</w:t>
      </w:r>
      <w:r>
        <w:rPr>
          <w:rFonts w:hint="eastAsia" w:ascii="宋体" w:hAnsi="宋体"/>
          <w:color w:val="auto"/>
          <w:kern w:val="0"/>
          <w:sz w:val="24"/>
          <w:highlight w:val="none"/>
          <w:lang w:eastAsia="zh-CN"/>
        </w:rPr>
        <w:t>供应商</w:t>
      </w:r>
      <w:r>
        <w:rPr>
          <w:rFonts w:hint="eastAsia" w:ascii="宋体" w:hAnsi="宋体"/>
          <w:color w:val="auto"/>
          <w:kern w:val="0"/>
          <w:sz w:val="24"/>
          <w:highlight w:val="none"/>
        </w:rPr>
        <w:t>认为需要提供的其他材料</w:t>
      </w:r>
    </w:p>
    <w:bookmarkEnd w:id="67"/>
    <w:bookmarkEnd w:id="68"/>
    <w:bookmarkEnd w:id="69"/>
    <w:bookmarkEnd w:id="70"/>
    <w:p w14:paraId="7BBE5A1C">
      <w:pPr>
        <w:rPr>
          <w:b/>
          <w:color w:val="auto"/>
          <w:kern w:val="0"/>
          <w:sz w:val="24"/>
          <w:szCs w:val="28"/>
          <w:highlight w:val="none"/>
        </w:rPr>
      </w:pPr>
      <w:r>
        <w:rPr>
          <w:b/>
          <w:color w:val="auto"/>
          <w:kern w:val="0"/>
          <w:sz w:val="24"/>
          <w:szCs w:val="28"/>
          <w:highlight w:val="none"/>
        </w:rPr>
        <w:t>3.2</w:t>
      </w:r>
      <w:r>
        <w:rPr>
          <w:rFonts w:hint="eastAsia"/>
          <w:b/>
          <w:color w:val="auto"/>
          <w:kern w:val="0"/>
          <w:sz w:val="24"/>
          <w:szCs w:val="28"/>
          <w:highlight w:val="none"/>
        </w:rPr>
        <w:t>磋商报价</w:t>
      </w:r>
    </w:p>
    <w:p w14:paraId="7DC6DB51">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3.2.1</w:t>
      </w:r>
      <w:r>
        <w:rPr>
          <w:rFonts w:hint="eastAsia" w:ascii="宋体" w:hAnsi="宋体"/>
          <w:color w:val="auto"/>
          <w:sz w:val="24"/>
          <w:highlight w:val="none"/>
          <w:lang w:eastAsia="zh-CN"/>
        </w:rPr>
        <w:t>供应商</w:t>
      </w:r>
      <w:r>
        <w:rPr>
          <w:rFonts w:hint="eastAsia" w:ascii="宋体" w:hAnsi="宋体"/>
          <w:color w:val="auto"/>
          <w:sz w:val="24"/>
          <w:highlight w:val="none"/>
        </w:rPr>
        <w:t>应对本次磋商的全部工作内容进行磋商报价。磋商报价应是</w:t>
      </w:r>
      <w:r>
        <w:rPr>
          <w:rFonts w:hint="eastAsia" w:ascii="宋体" w:hAnsi="宋体"/>
          <w:color w:val="auto"/>
          <w:sz w:val="24"/>
          <w:highlight w:val="none"/>
          <w:lang w:eastAsia="zh-CN"/>
        </w:rPr>
        <w:t>竞争性磋商</w:t>
      </w:r>
      <w:r>
        <w:rPr>
          <w:rFonts w:hint="eastAsia" w:ascii="宋体" w:hAnsi="宋体"/>
          <w:color w:val="auto"/>
          <w:sz w:val="24"/>
          <w:highlight w:val="none"/>
        </w:rPr>
        <w:t>文件所确定的磋商范围内的全部工作内容的价格体现。</w:t>
      </w:r>
    </w:p>
    <w:p w14:paraId="0FFFE229">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 xml:space="preserve">3.2.1 </w:t>
      </w:r>
      <w:r>
        <w:rPr>
          <w:rFonts w:hint="eastAsia" w:ascii="宋体" w:hAnsi="宋体"/>
          <w:color w:val="auto"/>
          <w:sz w:val="24"/>
          <w:highlight w:val="none"/>
          <w:lang w:eastAsia="zh-CN"/>
        </w:rPr>
        <w:t>采购人</w:t>
      </w:r>
      <w:r>
        <w:rPr>
          <w:rFonts w:hint="eastAsia" w:ascii="宋体" w:hAnsi="宋体"/>
          <w:color w:val="auto"/>
          <w:sz w:val="24"/>
          <w:highlight w:val="none"/>
        </w:rPr>
        <w:t>设有最高限价的，</w:t>
      </w:r>
      <w:r>
        <w:rPr>
          <w:rFonts w:hint="eastAsia" w:ascii="宋体" w:hAnsi="宋体"/>
          <w:color w:val="auto"/>
          <w:sz w:val="24"/>
          <w:highlight w:val="none"/>
          <w:lang w:eastAsia="zh-CN"/>
        </w:rPr>
        <w:t>供应商</w:t>
      </w:r>
      <w:r>
        <w:rPr>
          <w:rFonts w:hint="eastAsia" w:ascii="宋体" w:hAnsi="宋体"/>
          <w:color w:val="auto"/>
          <w:sz w:val="24"/>
          <w:highlight w:val="none"/>
        </w:rPr>
        <w:t>的投标报价不得超过最高限价，最高限价或其计算方法在</w:t>
      </w:r>
      <w:r>
        <w:rPr>
          <w:rFonts w:hint="eastAsia" w:ascii="宋体" w:hAnsi="宋体"/>
          <w:color w:val="auto"/>
          <w:sz w:val="24"/>
          <w:highlight w:val="none"/>
          <w:lang w:eastAsia="zh-CN"/>
        </w:rPr>
        <w:t>供应商须知前附表</w:t>
      </w:r>
      <w:r>
        <w:rPr>
          <w:rFonts w:hint="eastAsia" w:ascii="宋体" w:hAnsi="宋体"/>
          <w:color w:val="auto"/>
          <w:sz w:val="24"/>
          <w:highlight w:val="none"/>
        </w:rPr>
        <w:t>中载明</w:t>
      </w:r>
    </w:p>
    <w:p w14:paraId="64FFA0E5">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 xml:space="preserve">3.2.2磋商报价要求    </w:t>
      </w:r>
    </w:p>
    <w:p w14:paraId="102D6D7D">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（1）各</w:t>
      </w:r>
      <w:r>
        <w:rPr>
          <w:rFonts w:hint="eastAsia" w:ascii="宋体" w:hAnsi="宋体"/>
          <w:color w:val="auto"/>
          <w:sz w:val="24"/>
          <w:highlight w:val="none"/>
          <w:lang w:eastAsia="zh-CN"/>
        </w:rPr>
        <w:t>供应商</w:t>
      </w:r>
      <w:r>
        <w:rPr>
          <w:rFonts w:hint="eastAsia" w:ascii="宋体" w:hAnsi="宋体"/>
          <w:color w:val="auto"/>
          <w:sz w:val="24"/>
          <w:highlight w:val="none"/>
        </w:rPr>
        <w:t>在投标时必须在</w:t>
      </w:r>
      <w:r>
        <w:rPr>
          <w:rFonts w:hint="eastAsia" w:ascii="宋体" w:hAnsi="宋体"/>
          <w:color w:val="auto"/>
          <w:sz w:val="24"/>
          <w:highlight w:val="none"/>
          <w:lang w:eastAsia="zh-CN"/>
        </w:rPr>
        <w:t>响应文件</w:t>
      </w:r>
      <w:r>
        <w:rPr>
          <w:rFonts w:hint="eastAsia" w:ascii="宋体" w:hAnsi="宋体"/>
          <w:color w:val="auto"/>
          <w:sz w:val="24"/>
          <w:highlight w:val="none"/>
        </w:rPr>
        <w:t>中提供一份完整的报价清单。</w:t>
      </w:r>
    </w:p>
    <w:p w14:paraId="069BA2C9">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lang w:eastAsia="zh-CN"/>
        </w:rPr>
        <w:t>供应商</w:t>
      </w:r>
      <w:r>
        <w:rPr>
          <w:rFonts w:hint="eastAsia" w:ascii="宋体" w:hAnsi="宋体"/>
          <w:color w:val="auto"/>
          <w:sz w:val="24"/>
          <w:highlight w:val="none"/>
        </w:rPr>
        <w:t>的投标总价必须与其他投标报价表中的数据合计相吻合；</w:t>
      </w:r>
    </w:p>
    <w:p w14:paraId="03A5B267">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（3）本次磋商的最终投标总报价不得高于招标控制价，高于控制价的报价将不再评审；</w:t>
      </w:r>
    </w:p>
    <w:p w14:paraId="4A7B81F0">
      <w:pPr>
        <w:spacing w:line="480" w:lineRule="exact"/>
        <w:ind w:firstLine="480" w:firstLineChars="200"/>
        <w:rPr>
          <w:rFonts w:hint="eastAsia" w:ascii="宋体" w:hAnsi="宋体"/>
          <w:color w:val="auto"/>
          <w:sz w:val="24"/>
          <w:highlight w:val="none"/>
        </w:rPr>
      </w:pPr>
      <w:r>
        <w:rPr>
          <w:rFonts w:hint="eastAsia" w:ascii="宋体" w:hAnsi="宋体"/>
          <w:color w:val="auto"/>
          <w:sz w:val="24"/>
          <w:highlight w:val="none"/>
        </w:rPr>
        <w:t>（4）</w:t>
      </w:r>
      <w:r>
        <w:rPr>
          <w:rFonts w:hint="eastAsia" w:ascii="宋体" w:hAnsi="宋体"/>
          <w:color w:val="auto"/>
          <w:sz w:val="24"/>
          <w:highlight w:val="none"/>
          <w:lang w:eastAsia="zh-CN"/>
        </w:rPr>
        <w:t>响应文件</w:t>
      </w:r>
      <w:r>
        <w:rPr>
          <w:rFonts w:hint="eastAsia" w:ascii="宋体" w:hAnsi="宋体"/>
          <w:color w:val="auto"/>
          <w:sz w:val="24"/>
          <w:highlight w:val="none"/>
        </w:rPr>
        <w:t>报价中的单价和总价全部采用人民币表示。</w:t>
      </w:r>
    </w:p>
    <w:p w14:paraId="4657B3A7">
      <w:pPr>
        <w:spacing w:line="480" w:lineRule="exact"/>
        <w:ind w:firstLine="480" w:firstLineChars="200"/>
        <w:rPr>
          <w:rFonts w:ascii="宋体" w:hAnsi="宋体"/>
          <w:color w:val="auto"/>
          <w:sz w:val="24"/>
          <w:highlight w:val="none"/>
        </w:rPr>
      </w:pPr>
    </w:p>
    <w:p w14:paraId="701BE3CF">
      <w:pPr>
        <w:rPr>
          <w:b/>
          <w:color w:val="auto"/>
          <w:kern w:val="0"/>
          <w:sz w:val="24"/>
          <w:szCs w:val="28"/>
          <w:highlight w:val="none"/>
        </w:rPr>
      </w:pPr>
      <w:bookmarkStart w:id="71" w:name="_Toc438797192"/>
      <w:bookmarkEnd w:id="71"/>
      <w:bookmarkStart w:id="72" w:name="_Toc438797957"/>
      <w:bookmarkEnd w:id="72"/>
      <w:bookmarkStart w:id="73" w:name="_Toc391284754"/>
      <w:bookmarkEnd w:id="73"/>
      <w:r>
        <w:rPr>
          <w:b/>
          <w:color w:val="auto"/>
          <w:kern w:val="0"/>
          <w:sz w:val="24"/>
          <w:szCs w:val="28"/>
          <w:highlight w:val="none"/>
        </w:rPr>
        <w:t xml:space="preserve">3.3 </w:t>
      </w:r>
      <w:r>
        <w:rPr>
          <w:rFonts w:hint="eastAsia"/>
          <w:b/>
          <w:color w:val="auto"/>
          <w:kern w:val="0"/>
          <w:sz w:val="24"/>
          <w:szCs w:val="28"/>
          <w:highlight w:val="none"/>
        </w:rPr>
        <w:t>磋商有效期</w:t>
      </w:r>
    </w:p>
    <w:p w14:paraId="61D0A5F1">
      <w:pPr>
        <w:autoSpaceDE w:val="0"/>
        <w:autoSpaceDN w:val="0"/>
        <w:spacing w:line="360" w:lineRule="auto"/>
        <w:ind w:firstLine="484" w:firstLineChars="202"/>
        <w:jc w:val="left"/>
        <w:rPr>
          <w:rFonts w:ascii="宋体" w:hAnsi="宋体"/>
          <w:color w:val="auto"/>
          <w:kern w:val="0"/>
          <w:sz w:val="24"/>
          <w:highlight w:val="none"/>
        </w:rPr>
      </w:pPr>
      <w:r>
        <w:rPr>
          <w:rFonts w:ascii="宋体" w:hAnsi="宋体"/>
          <w:color w:val="auto"/>
          <w:kern w:val="0"/>
          <w:sz w:val="24"/>
          <w:highlight w:val="none"/>
        </w:rPr>
        <w:t xml:space="preserve">3.3.1 </w:t>
      </w:r>
      <w:r>
        <w:rPr>
          <w:rFonts w:hint="eastAsia" w:ascii="宋体" w:hAnsi="宋体"/>
          <w:color w:val="auto"/>
          <w:kern w:val="0"/>
          <w:sz w:val="24"/>
          <w:highlight w:val="none"/>
        </w:rPr>
        <w:t>在</w:t>
      </w:r>
      <w:r>
        <w:rPr>
          <w:rFonts w:hint="eastAsia" w:ascii="宋体" w:hAnsi="宋体"/>
          <w:color w:val="auto"/>
          <w:kern w:val="0"/>
          <w:sz w:val="24"/>
          <w:highlight w:val="none"/>
          <w:lang w:eastAsia="zh-CN"/>
        </w:rPr>
        <w:t>供应商须知前附表</w:t>
      </w:r>
      <w:r>
        <w:rPr>
          <w:rFonts w:hint="eastAsia" w:ascii="宋体" w:hAnsi="宋体"/>
          <w:color w:val="auto"/>
          <w:kern w:val="0"/>
          <w:sz w:val="24"/>
          <w:highlight w:val="none"/>
        </w:rPr>
        <w:t>规定的</w:t>
      </w:r>
      <w:r>
        <w:rPr>
          <w:rFonts w:hint="eastAsia" w:ascii="宋体" w:hAnsi="宋体"/>
          <w:color w:val="auto"/>
          <w:kern w:val="0"/>
          <w:sz w:val="24"/>
          <w:highlight w:val="none"/>
          <w:lang w:eastAsia="zh-CN"/>
        </w:rPr>
        <w:t>磋商有效期</w:t>
      </w:r>
      <w:r>
        <w:rPr>
          <w:rFonts w:hint="eastAsia" w:ascii="宋体" w:hAnsi="宋体"/>
          <w:color w:val="auto"/>
          <w:kern w:val="0"/>
          <w:sz w:val="24"/>
          <w:highlight w:val="none"/>
        </w:rPr>
        <w:t>内，</w:t>
      </w:r>
      <w:r>
        <w:rPr>
          <w:rFonts w:hint="eastAsia" w:ascii="宋体" w:hAnsi="宋体"/>
          <w:color w:val="auto"/>
          <w:kern w:val="0"/>
          <w:sz w:val="24"/>
          <w:highlight w:val="none"/>
          <w:lang w:eastAsia="zh-CN"/>
        </w:rPr>
        <w:t>供应商</w:t>
      </w:r>
      <w:r>
        <w:rPr>
          <w:rFonts w:hint="eastAsia" w:ascii="宋体" w:hAnsi="宋体"/>
          <w:color w:val="auto"/>
          <w:kern w:val="0"/>
          <w:sz w:val="24"/>
          <w:highlight w:val="none"/>
        </w:rPr>
        <w:t>不得主动要求撤销或修改其</w:t>
      </w:r>
      <w:r>
        <w:rPr>
          <w:rFonts w:hint="eastAsia" w:ascii="宋体" w:hAnsi="宋体"/>
          <w:color w:val="auto"/>
          <w:kern w:val="0"/>
          <w:sz w:val="24"/>
          <w:highlight w:val="none"/>
          <w:lang w:eastAsia="zh-CN"/>
        </w:rPr>
        <w:t>响应文件</w:t>
      </w:r>
      <w:r>
        <w:rPr>
          <w:rFonts w:hint="eastAsia" w:ascii="宋体" w:hAnsi="宋体"/>
          <w:color w:val="auto"/>
          <w:kern w:val="0"/>
          <w:sz w:val="24"/>
          <w:highlight w:val="none"/>
        </w:rPr>
        <w:t>。</w:t>
      </w:r>
    </w:p>
    <w:p w14:paraId="41801B9A">
      <w:pPr>
        <w:autoSpaceDE w:val="0"/>
        <w:autoSpaceDN w:val="0"/>
        <w:spacing w:line="360" w:lineRule="auto"/>
        <w:ind w:firstLine="484" w:firstLineChars="202"/>
        <w:jc w:val="left"/>
        <w:rPr>
          <w:rFonts w:ascii="宋体" w:hAnsi="宋体"/>
          <w:color w:val="auto"/>
          <w:kern w:val="0"/>
          <w:sz w:val="24"/>
          <w:highlight w:val="none"/>
        </w:rPr>
      </w:pPr>
      <w:r>
        <w:rPr>
          <w:rFonts w:ascii="宋体" w:hAnsi="宋体"/>
          <w:color w:val="auto"/>
          <w:kern w:val="0"/>
          <w:sz w:val="24"/>
          <w:highlight w:val="none"/>
        </w:rPr>
        <w:t xml:space="preserve">3.3.2 </w:t>
      </w:r>
      <w:r>
        <w:rPr>
          <w:rFonts w:hint="eastAsia" w:ascii="宋体" w:hAnsi="宋体"/>
          <w:color w:val="auto"/>
          <w:kern w:val="0"/>
          <w:sz w:val="24"/>
          <w:highlight w:val="none"/>
        </w:rPr>
        <w:t>出现特殊情况需要延长</w:t>
      </w:r>
      <w:r>
        <w:rPr>
          <w:rFonts w:hint="eastAsia" w:ascii="宋体" w:hAnsi="宋体"/>
          <w:color w:val="auto"/>
          <w:kern w:val="0"/>
          <w:sz w:val="24"/>
          <w:highlight w:val="none"/>
          <w:lang w:eastAsia="zh-CN"/>
        </w:rPr>
        <w:t>磋商有效期</w:t>
      </w:r>
      <w:r>
        <w:rPr>
          <w:rFonts w:hint="eastAsia" w:ascii="宋体" w:hAnsi="宋体"/>
          <w:color w:val="auto"/>
          <w:kern w:val="0"/>
          <w:sz w:val="24"/>
          <w:highlight w:val="none"/>
        </w:rPr>
        <w:t>的，</w:t>
      </w:r>
      <w:r>
        <w:rPr>
          <w:rFonts w:hint="eastAsia" w:ascii="宋体" w:hAnsi="宋体"/>
          <w:color w:val="auto"/>
          <w:kern w:val="0"/>
          <w:sz w:val="24"/>
          <w:highlight w:val="none"/>
          <w:lang w:eastAsia="zh-CN"/>
        </w:rPr>
        <w:t>采购人</w:t>
      </w:r>
      <w:r>
        <w:rPr>
          <w:rFonts w:hint="eastAsia" w:ascii="宋体" w:hAnsi="宋体"/>
          <w:color w:val="auto"/>
          <w:kern w:val="0"/>
          <w:sz w:val="24"/>
          <w:highlight w:val="none"/>
        </w:rPr>
        <w:t>以书面形式通知所有</w:t>
      </w:r>
      <w:r>
        <w:rPr>
          <w:rFonts w:hint="eastAsia" w:ascii="宋体" w:hAnsi="宋体"/>
          <w:color w:val="auto"/>
          <w:kern w:val="0"/>
          <w:sz w:val="24"/>
          <w:highlight w:val="none"/>
          <w:lang w:eastAsia="zh-CN"/>
        </w:rPr>
        <w:t>供应商</w:t>
      </w:r>
      <w:r>
        <w:rPr>
          <w:rFonts w:hint="eastAsia" w:ascii="宋体" w:hAnsi="宋体"/>
          <w:color w:val="auto"/>
          <w:kern w:val="0"/>
          <w:sz w:val="24"/>
          <w:highlight w:val="none"/>
        </w:rPr>
        <w:t>延长</w:t>
      </w:r>
      <w:r>
        <w:rPr>
          <w:rFonts w:hint="eastAsia" w:ascii="宋体" w:hAnsi="宋体"/>
          <w:color w:val="auto"/>
          <w:kern w:val="0"/>
          <w:sz w:val="24"/>
          <w:highlight w:val="none"/>
          <w:lang w:eastAsia="zh-CN"/>
        </w:rPr>
        <w:t>磋商有效期</w:t>
      </w:r>
      <w:r>
        <w:rPr>
          <w:rFonts w:hint="eastAsia" w:ascii="宋体" w:hAnsi="宋体"/>
          <w:color w:val="auto"/>
          <w:kern w:val="0"/>
          <w:sz w:val="24"/>
          <w:highlight w:val="none"/>
        </w:rPr>
        <w:t>。</w:t>
      </w:r>
      <w:r>
        <w:rPr>
          <w:rFonts w:hint="eastAsia" w:ascii="宋体" w:hAnsi="宋体"/>
          <w:color w:val="auto"/>
          <w:kern w:val="0"/>
          <w:sz w:val="24"/>
          <w:highlight w:val="none"/>
          <w:lang w:eastAsia="zh-CN"/>
        </w:rPr>
        <w:t>供应商</w:t>
      </w:r>
      <w:r>
        <w:rPr>
          <w:rFonts w:hint="eastAsia" w:ascii="宋体" w:hAnsi="宋体"/>
          <w:color w:val="auto"/>
          <w:kern w:val="0"/>
          <w:sz w:val="24"/>
          <w:highlight w:val="none"/>
        </w:rPr>
        <w:t>拒绝延长的，其竞标失效。</w:t>
      </w:r>
    </w:p>
    <w:p w14:paraId="6135B3CE">
      <w:pPr>
        <w:rPr>
          <w:b/>
          <w:color w:val="auto"/>
          <w:kern w:val="0"/>
          <w:sz w:val="24"/>
          <w:szCs w:val="28"/>
          <w:highlight w:val="none"/>
        </w:rPr>
      </w:pPr>
      <w:bookmarkStart w:id="74" w:name="_Toc391284755"/>
      <w:bookmarkEnd w:id="74"/>
      <w:bookmarkStart w:id="75" w:name="_Toc438797193"/>
      <w:bookmarkEnd w:id="75"/>
      <w:bookmarkStart w:id="76" w:name="_Toc438797958"/>
      <w:bookmarkEnd w:id="76"/>
      <w:r>
        <w:rPr>
          <w:b/>
          <w:color w:val="auto"/>
          <w:kern w:val="0"/>
          <w:sz w:val="24"/>
          <w:szCs w:val="28"/>
          <w:highlight w:val="none"/>
        </w:rPr>
        <w:t xml:space="preserve">3.4 </w:t>
      </w:r>
      <w:r>
        <w:rPr>
          <w:rFonts w:hint="eastAsia"/>
          <w:b/>
          <w:color w:val="auto"/>
          <w:kern w:val="0"/>
          <w:sz w:val="24"/>
          <w:szCs w:val="28"/>
          <w:highlight w:val="none"/>
        </w:rPr>
        <w:t>磋商承诺</w:t>
      </w:r>
    </w:p>
    <w:p w14:paraId="7B5492C7">
      <w:pPr>
        <w:autoSpaceDE w:val="0"/>
        <w:autoSpaceDN w:val="0"/>
        <w:spacing w:line="360" w:lineRule="auto"/>
        <w:ind w:firstLine="484" w:firstLineChars="202"/>
        <w:jc w:val="left"/>
        <w:rPr>
          <w:rFonts w:hint="eastAsia" w:ascii="宋体" w:hAnsi="宋体"/>
          <w:color w:val="auto"/>
          <w:kern w:val="0"/>
          <w:sz w:val="24"/>
          <w:highlight w:val="none"/>
          <w:lang w:eastAsia="zh-CN"/>
        </w:rPr>
      </w:pPr>
      <w:r>
        <w:rPr>
          <w:rFonts w:hint="eastAsia" w:ascii="宋体" w:hAnsi="宋体"/>
          <w:color w:val="auto"/>
          <w:kern w:val="0"/>
          <w:sz w:val="24"/>
          <w:highlight w:val="none"/>
          <w:lang w:eastAsia="zh-CN"/>
        </w:rPr>
        <w:t>供应商</w:t>
      </w:r>
      <w:r>
        <w:rPr>
          <w:rFonts w:hint="eastAsia" w:ascii="宋体" w:hAnsi="宋体"/>
          <w:color w:val="auto"/>
          <w:kern w:val="0"/>
          <w:sz w:val="24"/>
          <w:highlight w:val="none"/>
        </w:rPr>
        <w:t>对参加本次投标活动内容自行作出承诺，自觉履行磋商文件中职责。</w:t>
      </w:r>
    </w:p>
    <w:p w14:paraId="3B49B968">
      <w:pPr>
        <w:rPr>
          <w:b/>
          <w:color w:val="auto"/>
          <w:kern w:val="0"/>
          <w:sz w:val="24"/>
          <w:szCs w:val="28"/>
          <w:highlight w:val="none"/>
        </w:rPr>
      </w:pPr>
      <w:bookmarkStart w:id="77" w:name="_Toc438797195"/>
      <w:bookmarkEnd w:id="77"/>
      <w:bookmarkStart w:id="78" w:name="_Toc438797960"/>
      <w:bookmarkEnd w:id="78"/>
      <w:bookmarkStart w:id="79" w:name="_Toc391284757"/>
      <w:bookmarkEnd w:id="79"/>
      <w:r>
        <w:rPr>
          <w:b/>
          <w:color w:val="auto"/>
          <w:kern w:val="0"/>
          <w:sz w:val="24"/>
          <w:szCs w:val="28"/>
          <w:highlight w:val="none"/>
        </w:rPr>
        <w:t xml:space="preserve">3.5 </w:t>
      </w:r>
      <w:r>
        <w:rPr>
          <w:rFonts w:hint="eastAsia"/>
          <w:b/>
          <w:color w:val="auto"/>
          <w:kern w:val="0"/>
          <w:sz w:val="24"/>
          <w:szCs w:val="28"/>
          <w:highlight w:val="none"/>
        </w:rPr>
        <w:t>备选竞标方案</w:t>
      </w:r>
    </w:p>
    <w:p w14:paraId="50B6A8D2">
      <w:pPr>
        <w:autoSpaceDE w:val="0"/>
        <w:autoSpaceDN w:val="0"/>
        <w:spacing w:line="360" w:lineRule="auto"/>
        <w:ind w:firstLine="484" w:firstLineChars="202"/>
        <w:jc w:val="left"/>
        <w:rPr>
          <w:rFonts w:hint="eastAsia" w:ascii="宋体" w:hAnsi="宋体"/>
          <w:color w:val="auto"/>
          <w:kern w:val="0"/>
          <w:sz w:val="24"/>
          <w:highlight w:val="none"/>
        </w:rPr>
      </w:pPr>
      <w:r>
        <w:rPr>
          <w:rFonts w:hint="eastAsia" w:ascii="宋体" w:hAnsi="宋体"/>
          <w:color w:val="auto"/>
          <w:kern w:val="0"/>
          <w:sz w:val="24"/>
          <w:highlight w:val="none"/>
        </w:rPr>
        <w:t>除</w:t>
      </w:r>
      <w:r>
        <w:rPr>
          <w:rFonts w:hint="eastAsia" w:ascii="宋体" w:hAnsi="宋体"/>
          <w:color w:val="auto"/>
          <w:kern w:val="0"/>
          <w:sz w:val="24"/>
          <w:highlight w:val="none"/>
          <w:lang w:eastAsia="zh-CN"/>
        </w:rPr>
        <w:t>供应商须知前附表</w:t>
      </w:r>
      <w:r>
        <w:rPr>
          <w:rFonts w:hint="eastAsia" w:ascii="宋体" w:hAnsi="宋体"/>
          <w:color w:val="auto"/>
          <w:kern w:val="0"/>
          <w:sz w:val="24"/>
          <w:highlight w:val="none"/>
        </w:rPr>
        <w:t>另有规定外，</w:t>
      </w:r>
      <w:r>
        <w:rPr>
          <w:rFonts w:hint="eastAsia" w:ascii="宋体" w:hAnsi="宋体"/>
          <w:color w:val="auto"/>
          <w:kern w:val="0"/>
          <w:sz w:val="24"/>
          <w:highlight w:val="none"/>
          <w:lang w:eastAsia="zh-CN"/>
        </w:rPr>
        <w:t>供应商</w:t>
      </w:r>
      <w:r>
        <w:rPr>
          <w:rFonts w:hint="eastAsia" w:ascii="宋体" w:hAnsi="宋体"/>
          <w:color w:val="auto"/>
          <w:kern w:val="0"/>
          <w:sz w:val="24"/>
          <w:highlight w:val="none"/>
        </w:rPr>
        <w:t>不得递交备选竞标方案。允许</w:t>
      </w:r>
      <w:r>
        <w:rPr>
          <w:rFonts w:hint="eastAsia" w:ascii="宋体" w:hAnsi="宋体"/>
          <w:color w:val="auto"/>
          <w:kern w:val="0"/>
          <w:sz w:val="24"/>
          <w:highlight w:val="none"/>
          <w:lang w:eastAsia="zh-CN"/>
        </w:rPr>
        <w:t>供应商</w:t>
      </w:r>
      <w:r>
        <w:rPr>
          <w:rFonts w:hint="eastAsia" w:ascii="宋体" w:hAnsi="宋体"/>
          <w:color w:val="auto"/>
          <w:kern w:val="0"/>
          <w:sz w:val="24"/>
          <w:highlight w:val="none"/>
        </w:rPr>
        <w:t>递交备选竞标方案的，只有中标人所递交的备选竞标方案方可予以考虑。</w:t>
      </w:r>
    </w:p>
    <w:p w14:paraId="310AE200">
      <w:pPr>
        <w:rPr>
          <w:b/>
          <w:color w:val="auto"/>
          <w:kern w:val="0"/>
          <w:sz w:val="24"/>
          <w:szCs w:val="28"/>
          <w:highlight w:val="none"/>
        </w:rPr>
      </w:pPr>
      <w:bookmarkStart w:id="80" w:name="_Toc438797196"/>
      <w:bookmarkEnd w:id="80"/>
      <w:bookmarkStart w:id="81" w:name="_Toc438797961"/>
      <w:bookmarkEnd w:id="81"/>
      <w:bookmarkStart w:id="82" w:name="_Toc391284758"/>
      <w:bookmarkEnd w:id="82"/>
      <w:r>
        <w:rPr>
          <w:b/>
          <w:color w:val="auto"/>
          <w:kern w:val="0"/>
          <w:sz w:val="24"/>
          <w:szCs w:val="28"/>
          <w:highlight w:val="none"/>
        </w:rPr>
        <w:t>3.6</w:t>
      </w:r>
      <w:r>
        <w:rPr>
          <w:rFonts w:hint="eastAsia"/>
          <w:b/>
          <w:color w:val="auto"/>
          <w:kern w:val="0"/>
          <w:sz w:val="24"/>
          <w:szCs w:val="28"/>
          <w:highlight w:val="none"/>
          <w:lang w:eastAsia="zh-CN"/>
        </w:rPr>
        <w:t>响应文件</w:t>
      </w:r>
      <w:r>
        <w:rPr>
          <w:rFonts w:hint="eastAsia"/>
          <w:b/>
          <w:color w:val="auto"/>
          <w:kern w:val="0"/>
          <w:sz w:val="24"/>
          <w:szCs w:val="28"/>
          <w:highlight w:val="none"/>
        </w:rPr>
        <w:t>的编制</w:t>
      </w:r>
    </w:p>
    <w:p w14:paraId="602C6E69">
      <w:pPr>
        <w:autoSpaceDE w:val="0"/>
        <w:autoSpaceDN w:val="0"/>
        <w:spacing w:line="360" w:lineRule="auto"/>
        <w:ind w:firstLine="484" w:firstLineChars="202"/>
        <w:jc w:val="left"/>
        <w:rPr>
          <w:rFonts w:ascii="宋体" w:hAnsi="宋体"/>
          <w:color w:val="auto"/>
          <w:kern w:val="0"/>
          <w:sz w:val="24"/>
          <w:highlight w:val="none"/>
        </w:rPr>
      </w:pPr>
      <w:r>
        <w:rPr>
          <w:rFonts w:ascii="宋体" w:hAnsi="宋体"/>
          <w:color w:val="auto"/>
          <w:kern w:val="0"/>
          <w:sz w:val="24"/>
          <w:highlight w:val="none"/>
        </w:rPr>
        <w:t xml:space="preserve">3.6.1 </w:t>
      </w:r>
      <w:r>
        <w:rPr>
          <w:rFonts w:hint="eastAsia" w:ascii="宋体" w:hAnsi="宋体"/>
          <w:color w:val="auto"/>
          <w:kern w:val="0"/>
          <w:sz w:val="24"/>
          <w:highlight w:val="none"/>
          <w:lang w:eastAsia="zh-CN"/>
        </w:rPr>
        <w:t>响应文件</w:t>
      </w:r>
      <w:r>
        <w:rPr>
          <w:rFonts w:hint="eastAsia" w:ascii="宋体" w:hAnsi="宋体"/>
          <w:color w:val="auto"/>
          <w:kern w:val="0"/>
          <w:sz w:val="24"/>
          <w:highlight w:val="none"/>
        </w:rPr>
        <w:t>应按第</w:t>
      </w:r>
      <w:r>
        <w:rPr>
          <w:rFonts w:hint="eastAsia" w:ascii="宋体" w:hAnsi="宋体"/>
          <w:color w:val="auto"/>
          <w:kern w:val="0"/>
          <w:sz w:val="24"/>
          <w:highlight w:val="none"/>
          <w:lang w:val="en-US" w:eastAsia="zh-CN"/>
        </w:rPr>
        <w:t>七</w:t>
      </w:r>
      <w:r>
        <w:rPr>
          <w:rFonts w:hint="eastAsia" w:ascii="宋体" w:hAnsi="宋体"/>
          <w:color w:val="auto"/>
          <w:kern w:val="0"/>
          <w:sz w:val="24"/>
          <w:highlight w:val="none"/>
        </w:rPr>
        <w:t>章“</w:t>
      </w:r>
      <w:r>
        <w:rPr>
          <w:rFonts w:hint="eastAsia" w:ascii="宋体" w:hAnsi="宋体"/>
          <w:color w:val="auto"/>
          <w:kern w:val="0"/>
          <w:sz w:val="24"/>
          <w:highlight w:val="none"/>
          <w:lang w:eastAsia="zh-CN"/>
        </w:rPr>
        <w:t>响应文件</w:t>
      </w:r>
      <w:r>
        <w:rPr>
          <w:rFonts w:hint="eastAsia" w:ascii="宋体" w:hAnsi="宋体"/>
          <w:color w:val="auto"/>
          <w:kern w:val="0"/>
          <w:sz w:val="24"/>
          <w:highlight w:val="none"/>
        </w:rPr>
        <w:t>格式”进行编写，如有必要，可以增加附页，作为</w:t>
      </w:r>
      <w:r>
        <w:rPr>
          <w:rFonts w:hint="eastAsia" w:ascii="宋体" w:hAnsi="宋体"/>
          <w:color w:val="auto"/>
          <w:kern w:val="0"/>
          <w:sz w:val="24"/>
          <w:highlight w:val="none"/>
          <w:lang w:eastAsia="zh-CN"/>
        </w:rPr>
        <w:t>响应文件</w:t>
      </w:r>
      <w:r>
        <w:rPr>
          <w:rFonts w:hint="eastAsia" w:ascii="宋体" w:hAnsi="宋体"/>
          <w:color w:val="auto"/>
          <w:kern w:val="0"/>
          <w:sz w:val="24"/>
          <w:highlight w:val="none"/>
        </w:rPr>
        <w:t>的组成部分。其中，磋商函附录在满足</w:t>
      </w:r>
      <w:r>
        <w:rPr>
          <w:rFonts w:hint="eastAsia" w:ascii="宋体" w:hAnsi="宋体"/>
          <w:color w:val="auto"/>
          <w:kern w:val="0"/>
          <w:sz w:val="24"/>
          <w:highlight w:val="none"/>
          <w:lang w:eastAsia="zh-CN"/>
        </w:rPr>
        <w:t>竞争性磋商</w:t>
      </w:r>
      <w:r>
        <w:rPr>
          <w:rFonts w:hint="eastAsia" w:ascii="宋体" w:hAnsi="宋体"/>
          <w:color w:val="auto"/>
          <w:kern w:val="0"/>
          <w:sz w:val="24"/>
          <w:highlight w:val="none"/>
        </w:rPr>
        <w:t>文件实质性要求的基础上，可以提出比</w:t>
      </w:r>
      <w:r>
        <w:rPr>
          <w:rFonts w:hint="eastAsia" w:ascii="宋体" w:hAnsi="宋体"/>
          <w:color w:val="auto"/>
          <w:kern w:val="0"/>
          <w:sz w:val="24"/>
          <w:highlight w:val="none"/>
          <w:lang w:eastAsia="zh-CN"/>
        </w:rPr>
        <w:t>竞争性磋商</w:t>
      </w:r>
      <w:r>
        <w:rPr>
          <w:rFonts w:hint="eastAsia" w:ascii="宋体" w:hAnsi="宋体"/>
          <w:color w:val="auto"/>
          <w:kern w:val="0"/>
          <w:sz w:val="24"/>
          <w:highlight w:val="none"/>
        </w:rPr>
        <w:t>文件要求更有利于</w:t>
      </w:r>
      <w:r>
        <w:rPr>
          <w:rFonts w:hint="eastAsia" w:ascii="宋体" w:hAnsi="宋体"/>
          <w:color w:val="auto"/>
          <w:kern w:val="0"/>
          <w:sz w:val="24"/>
          <w:highlight w:val="none"/>
          <w:lang w:eastAsia="zh-CN"/>
        </w:rPr>
        <w:t>采购人</w:t>
      </w:r>
      <w:r>
        <w:rPr>
          <w:rFonts w:hint="eastAsia" w:ascii="宋体" w:hAnsi="宋体"/>
          <w:color w:val="auto"/>
          <w:kern w:val="0"/>
          <w:sz w:val="24"/>
          <w:highlight w:val="none"/>
        </w:rPr>
        <w:t>的承诺。</w:t>
      </w:r>
    </w:p>
    <w:p w14:paraId="5BD2C959">
      <w:pPr>
        <w:autoSpaceDE w:val="0"/>
        <w:autoSpaceDN w:val="0"/>
        <w:spacing w:line="360" w:lineRule="auto"/>
        <w:ind w:firstLine="484" w:firstLineChars="202"/>
        <w:jc w:val="left"/>
        <w:rPr>
          <w:rFonts w:ascii="宋体" w:hAnsi="宋体"/>
          <w:color w:val="auto"/>
          <w:kern w:val="0"/>
          <w:sz w:val="24"/>
          <w:highlight w:val="none"/>
        </w:rPr>
      </w:pPr>
      <w:r>
        <w:rPr>
          <w:rFonts w:ascii="宋体" w:hAnsi="宋体"/>
          <w:color w:val="auto"/>
          <w:kern w:val="0"/>
          <w:sz w:val="24"/>
          <w:highlight w:val="none"/>
        </w:rPr>
        <w:t xml:space="preserve">3.6.2 </w:t>
      </w:r>
      <w:r>
        <w:rPr>
          <w:rFonts w:hint="eastAsia" w:ascii="宋体" w:hAnsi="宋体"/>
          <w:color w:val="auto"/>
          <w:kern w:val="0"/>
          <w:sz w:val="24"/>
          <w:highlight w:val="none"/>
          <w:lang w:eastAsia="zh-CN"/>
        </w:rPr>
        <w:t>响应文件</w:t>
      </w:r>
      <w:r>
        <w:rPr>
          <w:rFonts w:hint="eastAsia" w:ascii="宋体" w:hAnsi="宋体"/>
          <w:color w:val="auto"/>
          <w:kern w:val="0"/>
          <w:sz w:val="24"/>
          <w:highlight w:val="none"/>
        </w:rPr>
        <w:t>应当对</w:t>
      </w:r>
      <w:r>
        <w:rPr>
          <w:rFonts w:hint="eastAsia" w:ascii="宋体" w:hAnsi="宋体"/>
          <w:color w:val="auto"/>
          <w:kern w:val="0"/>
          <w:sz w:val="24"/>
          <w:highlight w:val="none"/>
          <w:lang w:eastAsia="zh-CN"/>
        </w:rPr>
        <w:t>竞争性磋商</w:t>
      </w:r>
      <w:r>
        <w:rPr>
          <w:rFonts w:hint="eastAsia" w:ascii="宋体" w:hAnsi="宋体"/>
          <w:color w:val="auto"/>
          <w:kern w:val="0"/>
          <w:sz w:val="24"/>
          <w:highlight w:val="none"/>
        </w:rPr>
        <w:t>文件有关</w:t>
      </w:r>
      <w:r>
        <w:rPr>
          <w:rFonts w:ascii="宋体" w:hAnsi="宋体"/>
          <w:color w:val="auto"/>
          <w:sz w:val="24"/>
          <w:szCs w:val="28"/>
          <w:highlight w:val="none"/>
        </w:rPr>
        <w:t>合同履行期限</w:t>
      </w:r>
      <w:r>
        <w:rPr>
          <w:rFonts w:hint="eastAsia" w:ascii="宋体" w:hAnsi="宋体"/>
          <w:color w:val="auto"/>
          <w:kern w:val="0"/>
          <w:sz w:val="24"/>
          <w:highlight w:val="none"/>
        </w:rPr>
        <w:t>、</w:t>
      </w:r>
      <w:r>
        <w:rPr>
          <w:rFonts w:hint="eastAsia" w:ascii="宋体" w:hAnsi="宋体"/>
          <w:color w:val="auto"/>
          <w:kern w:val="0"/>
          <w:sz w:val="24"/>
          <w:highlight w:val="none"/>
          <w:lang w:val="en-US" w:eastAsia="zh-CN"/>
        </w:rPr>
        <w:t>磋商</w:t>
      </w:r>
      <w:r>
        <w:rPr>
          <w:rFonts w:hint="eastAsia" w:ascii="宋体" w:hAnsi="宋体"/>
          <w:color w:val="auto"/>
          <w:kern w:val="0"/>
          <w:sz w:val="24"/>
          <w:highlight w:val="none"/>
        </w:rPr>
        <w:t>有效期、等实质性内容作出响应。</w:t>
      </w:r>
    </w:p>
    <w:p w14:paraId="2942177D">
      <w:pPr>
        <w:autoSpaceDE w:val="0"/>
        <w:autoSpaceDN w:val="0"/>
        <w:spacing w:line="360" w:lineRule="auto"/>
        <w:ind w:firstLine="484" w:firstLineChars="202"/>
        <w:jc w:val="left"/>
        <w:rPr>
          <w:rFonts w:ascii="宋体" w:hAnsi="宋体"/>
          <w:color w:val="auto"/>
          <w:kern w:val="0"/>
          <w:sz w:val="24"/>
          <w:highlight w:val="none"/>
        </w:rPr>
      </w:pPr>
      <w:r>
        <w:rPr>
          <w:rFonts w:ascii="宋体" w:hAnsi="宋体"/>
          <w:color w:val="auto"/>
          <w:kern w:val="0"/>
          <w:sz w:val="24"/>
          <w:highlight w:val="none"/>
        </w:rPr>
        <w:t xml:space="preserve">3.6.3 </w:t>
      </w:r>
      <w:r>
        <w:rPr>
          <w:rFonts w:hint="eastAsia" w:ascii="宋体" w:hAnsi="宋体"/>
          <w:color w:val="auto"/>
          <w:kern w:val="0"/>
          <w:sz w:val="24"/>
          <w:highlight w:val="none"/>
          <w:lang w:eastAsia="zh-CN"/>
        </w:rPr>
        <w:t>响应文件</w:t>
      </w:r>
      <w:r>
        <w:rPr>
          <w:rFonts w:hint="eastAsia" w:ascii="宋体" w:hAnsi="宋体"/>
          <w:color w:val="auto"/>
          <w:kern w:val="0"/>
          <w:sz w:val="24"/>
          <w:highlight w:val="none"/>
        </w:rPr>
        <w:t>并由</w:t>
      </w:r>
      <w:r>
        <w:rPr>
          <w:rFonts w:hint="eastAsia" w:ascii="宋体" w:hAnsi="宋体"/>
          <w:color w:val="auto"/>
          <w:kern w:val="0"/>
          <w:sz w:val="24"/>
          <w:highlight w:val="none"/>
          <w:lang w:eastAsia="zh-CN"/>
        </w:rPr>
        <w:t>供应商</w:t>
      </w:r>
      <w:r>
        <w:rPr>
          <w:rFonts w:hint="eastAsia" w:ascii="宋体" w:hAnsi="宋体"/>
          <w:color w:val="auto"/>
          <w:kern w:val="0"/>
          <w:sz w:val="24"/>
          <w:highlight w:val="none"/>
        </w:rPr>
        <w:t>的法定代表人或其委托代理人签字和电子签章。委托代理人签字的，</w:t>
      </w:r>
      <w:r>
        <w:rPr>
          <w:rFonts w:hint="eastAsia" w:ascii="宋体" w:hAnsi="宋体"/>
          <w:color w:val="auto"/>
          <w:kern w:val="0"/>
          <w:sz w:val="24"/>
          <w:highlight w:val="none"/>
          <w:lang w:eastAsia="zh-CN"/>
        </w:rPr>
        <w:t>响应文件</w:t>
      </w:r>
      <w:r>
        <w:rPr>
          <w:rFonts w:hint="eastAsia" w:ascii="宋体" w:hAnsi="宋体"/>
          <w:color w:val="auto"/>
          <w:kern w:val="0"/>
          <w:sz w:val="24"/>
          <w:highlight w:val="none"/>
        </w:rPr>
        <w:t>应附法定代表人签署的授权委托书。</w:t>
      </w:r>
    </w:p>
    <w:p w14:paraId="3B3CF869">
      <w:pPr>
        <w:autoSpaceDE w:val="0"/>
        <w:autoSpaceDN w:val="0"/>
        <w:spacing w:line="360" w:lineRule="auto"/>
        <w:ind w:firstLine="484" w:firstLineChars="202"/>
        <w:jc w:val="left"/>
        <w:rPr>
          <w:rFonts w:ascii="宋体" w:hAnsi="宋体"/>
          <w:color w:val="auto"/>
          <w:kern w:val="0"/>
          <w:sz w:val="24"/>
          <w:highlight w:val="none"/>
        </w:rPr>
      </w:pPr>
      <w:r>
        <w:rPr>
          <w:rFonts w:ascii="宋体" w:hAnsi="宋体"/>
          <w:color w:val="auto"/>
          <w:kern w:val="0"/>
          <w:sz w:val="24"/>
          <w:highlight w:val="none"/>
        </w:rPr>
        <w:t>3.6.</w:t>
      </w:r>
      <w:r>
        <w:rPr>
          <w:rFonts w:hint="eastAsia" w:ascii="宋体" w:hAnsi="宋体"/>
          <w:color w:val="auto"/>
          <w:kern w:val="0"/>
          <w:sz w:val="24"/>
          <w:highlight w:val="none"/>
        </w:rPr>
        <w:t>4 电子化交易项目</w:t>
      </w:r>
      <w:r>
        <w:rPr>
          <w:rFonts w:hint="eastAsia" w:ascii="宋体" w:hAnsi="宋体"/>
          <w:color w:val="auto"/>
          <w:kern w:val="0"/>
          <w:sz w:val="24"/>
          <w:highlight w:val="none"/>
          <w:lang w:eastAsia="zh-CN"/>
        </w:rPr>
        <w:t>竞争性磋商响应文件</w:t>
      </w:r>
      <w:r>
        <w:rPr>
          <w:rFonts w:hint="eastAsia" w:ascii="宋体" w:hAnsi="宋体"/>
          <w:color w:val="auto"/>
          <w:kern w:val="0"/>
          <w:sz w:val="24"/>
          <w:highlight w:val="none"/>
        </w:rPr>
        <w:t>（以下简称“</w:t>
      </w:r>
      <w:r>
        <w:rPr>
          <w:rFonts w:hint="eastAsia" w:ascii="宋体" w:hAnsi="宋体"/>
          <w:color w:val="auto"/>
          <w:kern w:val="0"/>
          <w:sz w:val="24"/>
          <w:highlight w:val="none"/>
          <w:lang w:eastAsia="zh-CN"/>
        </w:rPr>
        <w:t>响应文件</w:t>
      </w:r>
      <w:r>
        <w:rPr>
          <w:rFonts w:hint="eastAsia" w:ascii="宋体" w:hAnsi="宋体"/>
          <w:color w:val="auto"/>
          <w:kern w:val="0"/>
          <w:sz w:val="24"/>
          <w:highlight w:val="none"/>
        </w:rPr>
        <w:t>”）是</w:t>
      </w:r>
      <w:r>
        <w:rPr>
          <w:rFonts w:hint="eastAsia" w:ascii="宋体" w:hAnsi="宋体"/>
          <w:color w:val="auto"/>
          <w:kern w:val="0"/>
          <w:sz w:val="24"/>
          <w:highlight w:val="none"/>
          <w:lang w:eastAsia="zh-CN"/>
        </w:rPr>
        <w:t>供应商</w:t>
      </w:r>
      <w:r>
        <w:rPr>
          <w:rFonts w:hint="eastAsia" w:ascii="宋体" w:hAnsi="宋体"/>
          <w:color w:val="auto"/>
          <w:kern w:val="0"/>
          <w:sz w:val="24"/>
          <w:highlight w:val="none"/>
        </w:rPr>
        <w:t>、</w:t>
      </w:r>
      <w:r>
        <w:rPr>
          <w:rFonts w:hint="eastAsia" w:ascii="宋体" w:hAnsi="宋体"/>
          <w:color w:val="auto"/>
          <w:kern w:val="0"/>
          <w:sz w:val="24"/>
          <w:highlight w:val="none"/>
          <w:lang w:eastAsia="zh-CN"/>
        </w:rPr>
        <w:t>供应商</w:t>
      </w:r>
      <w:r>
        <w:rPr>
          <w:rFonts w:hint="eastAsia" w:ascii="宋体" w:hAnsi="宋体"/>
          <w:color w:val="auto"/>
          <w:kern w:val="0"/>
          <w:sz w:val="24"/>
          <w:highlight w:val="none"/>
        </w:rPr>
        <w:t>（以下简称“</w:t>
      </w:r>
      <w:r>
        <w:rPr>
          <w:rFonts w:hint="eastAsia" w:ascii="宋体" w:hAnsi="宋体"/>
          <w:color w:val="auto"/>
          <w:kern w:val="0"/>
          <w:sz w:val="24"/>
          <w:highlight w:val="none"/>
          <w:lang w:eastAsia="zh-CN"/>
        </w:rPr>
        <w:t>供应商</w:t>
      </w:r>
      <w:r>
        <w:rPr>
          <w:rFonts w:hint="eastAsia" w:ascii="宋体" w:hAnsi="宋体"/>
          <w:color w:val="auto"/>
          <w:kern w:val="0"/>
          <w:sz w:val="24"/>
          <w:highlight w:val="none"/>
        </w:rPr>
        <w:t>”）通过中心</w:t>
      </w:r>
      <w:r>
        <w:rPr>
          <w:rFonts w:hint="eastAsia" w:ascii="宋体" w:hAnsi="宋体"/>
          <w:bCs/>
          <w:color w:val="auto"/>
          <w:kern w:val="0"/>
          <w:sz w:val="24"/>
          <w:highlight w:val="none"/>
          <w:lang w:eastAsia="zh-CN"/>
        </w:rPr>
        <w:t>响应文件</w:t>
      </w:r>
      <w:r>
        <w:rPr>
          <w:rFonts w:hint="eastAsia" w:ascii="宋体" w:hAnsi="宋体"/>
          <w:color w:val="auto"/>
          <w:kern w:val="0"/>
          <w:sz w:val="24"/>
          <w:highlight w:val="none"/>
        </w:rPr>
        <w:t>制作系统制作，并经过签章和加密后生成的电子版</w:t>
      </w:r>
      <w:r>
        <w:rPr>
          <w:rFonts w:hint="eastAsia" w:ascii="宋体" w:hAnsi="宋体"/>
          <w:color w:val="auto"/>
          <w:kern w:val="0"/>
          <w:sz w:val="24"/>
          <w:highlight w:val="none"/>
          <w:lang w:eastAsia="zh-CN"/>
        </w:rPr>
        <w:t>响应文件</w:t>
      </w:r>
      <w:r>
        <w:rPr>
          <w:rFonts w:hint="eastAsia" w:ascii="宋体" w:hAnsi="宋体"/>
          <w:color w:val="auto"/>
          <w:kern w:val="0"/>
          <w:sz w:val="24"/>
          <w:highlight w:val="none"/>
        </w:rPr>
        <w:t>。</w:t>
      </w:r>
      <w:r>
        <w:rPr>
          <w:rFonts w:hint="eastAsia" w:ascii="宋体" w:hAnsi="宋体"/>
          <w:color w:val="auto"/>
          <w:kern w:val="0"/>
          <w:sz w:val="24"/>
          <w:highlight w:val="none"/>
          <w:lang w:eastAsia="zh-CN"/>
        </w:rPr>
        <w:t>供应商</w:t>
      </w:r>
      <w:r>
        <w:rPr>
          <w:rFonts w:hint="eastAsia" w:ascii="宋体" w:hAnsi="宋体"/>
          <w:color w:val="auto"/>
          <w:kern w:val="0"/>
          <w:sz w:val="24"/>
          <w:highlight w:val="none"/>
        </w:rPr>
        <w:t>投标时，将不再接受任何纸质文件资料。（详细内容查看前附表中“</w:t>
      </w:r>
      <w:r>
        <w:rPr>
          <w:rFonts w:hint="eastAsia" w:ascii="宋体" w:hAnsi="宋体"/>
          <w:b/>
          <w:bCs/>
          <w:color w:val="auto"/>
          <w:sz w:val="24"/>
          <w:highlight w:val="none"/>
        </w:rPr>
        <w:t>电子化交易注意事项</w:t>
      </w:r>
      <w:r>
        <w:rPr>
          <w:rFonts w:hint="eastAsia" w:ascii="宋体" w:hAnsi="宋体"/>
          <w:color w:val="auto"/>
          <w:kern w:val="0"/>
          <w:sz w:val="24"/>
          <w:highlight w:val="none"/>
        </w:rPr>
        <w:t>”）</w:t>
      </w:r>
    </w:p>
    <w:p w14:paraId="5E6024D2">
      <w:pPr>
        <w:pStyle w:val="27"/>
        <w:pageBreakBefore w:val="0"/>
        <w:widowControl w:val="0"/>
        <w:kinsoku/>
        <w:wordWrap/>
        <w:overflowPunct/>
        <w:topLinePunct w:val="0"/>
        <w:autoSpaceDE/>
        <w:autoSpaceDN/>
        <w:bidi w:val="0"/>
        <w:snapToGrid/>
        <w:spacing w:line="360" w:lineRule="auto"/>
        <w:rPr>
          <w:rFonts w:ascii="宋体" w:hAnsi="宋体" w:eastAsia="宋体"/>
          <w:color w:val="auto"/>
          <w:kern w:val="0"/>
          <w:sz w:val="28"/>
          <w:szCs w:val="36"/>
          <w:highlight w:val="none"/>
        </w:rPr>
      </w:pPr>
      <w:bookmarkStart w:id="83" w:name="_Toc391284759"/>
      <w:bookmarkEnd w:id="83"/>
      <w:bookmarkStart w:id="84" w:name="_Toc438797197"/>
      <w:bookmarkEnd w:id="84"/>
      <w:bookmarkStart w:id="85" w:name="_Toc7901"/>
      <w:bookmarkEnd w:id="85"/>
      <w:bookmarkStart w:id="86" w:name="_Toc438797962"/>
      <w:bookmarkEnd w:id="86"/>
      <w:r>
        <w:rPr>
          <w:rFonts w:ascii="宋体" w:hAnsi="宋体" w:eastAsia="宋体"/>
          <w:color w:val="auto"/>
          <w:kern w:val="0"/>
          <w:sz w:val="28"/>
          <w:szCs w:val="36"/>
          <w:highlight w:val="none"/>
        </w:rPr>
        <w:t xml:space="preserve">4. </w:t>
      </w:r>
      <w:r>
        <w:rPr>
          <w:rFonts w:hint="eastAsia" w:ascii="宋体" w:hAnsi="宋体" w:eastAsia="宋体"/>
          <w:color w:val="auto"/>
          <w:kern w:val="0"/>
          <w:sz w:val="28"/>
          <w:szCs w:val="36"/>
          <w:highlight w:val="none"/>
          <w:lang w:eastAsia="zh-CN"/>
        </w:rPr>
        <w:t>响应文件</w:t>
      </w:r>
      <w:r>
        <w:rPr>
          <w:rFonts w:hint="eastAsia" w:ascii="宋体" w:hAnsi="宋体" w:eastAsia="宋体"/>
          <w:color w:val="auto"/>
          <w:kern w:val="0"/>
          <w:sz w:val="28"/>
          <w:szCs w:val="36"/>
          <w:highlight w:val="none"/>
        </w:rPr>
        <w:t>的递交</w:t>
      </w:r>
    </w:p>
    <w:p w14:paraId="6F6F102A">
      <w:pPr>
        <w:pageBreakBefore w:val="0"/>
        <w:widowControl w:val="0"/>
        <w:kinsoku/>
        <w:wordWrap/>
        <w:overflowPunct/>
        <w:topLinePunct w:val="0"/>
        <w:autoSpaceDE/>
        <w:autoSpaceDN/>
        <w:bidi w:val="0"/>
        <w:snapToGrid/>
        <w:spacing w:line="360" w:lineRule="auto"/>
        <w:rPr>
          <w:b/>
          <w:color w:val="auto"/>
          <w:kern w:val="0"/>
          <w:sz w:val="24"/>
          <w:szCs w:val="28"/>
          <w:highlight w:val="none"/>
        </w:rPr>
      </w:pPr>
      <w:bookmarkStart w:id="87" w:name="_Toc438797198"/>
      <w:bookmarkEnd w:id="87"/>
      <w:bookmarkStart w:id="88" w:name="_Toc438797963"/>
      <w:bookmarkEnd w:id="88"/>
      <w:bookmarkStart w:id="89" w:name="_Toc391284760"/>
      <w:bookmarkEnd w:id="89"/>
      <w:r>
        <w:rPr>
          <w:b/>
          <w:color w:val="auto"/>
          <w:kern w:val="0"/>
          <w:sz w:val="24"/>
          <w:szCs w:val="28"/>
          <w:highlight w:val="none"/>
        </w:rPr>
        <w:t xml:space="preserve">4.1 </w:t>
      </w:r>
      <w:r>
        <w:rPr>
          <w:rFonts w:hint="eastAsia"/>
          <w:b/>
          <w:color w:val="auto"/>
          <w:kern w:val="0"/>
          <w:sz w:val="24"/>
          <w:szCs w:val="28"/>
          <w:highlight w:val="none"/>
          <w:lang w:eastAsia="zh-CN"/>
        </w:rPr>
        <w:t>响应文件</w:t>
      </w:r>
      <w:r>
        <w:rPr>
          <w:rFonts w:hint="eastAsia"/>
          <w:b/>
          <w:color w:val="auto"/>
          <w:kern w:val="0"/>
          <w:sz w:val="24"/>
          <w:szCs w:val="28"/>
          <w:highlight w:val="none"/>
        </w:rPr>
        <w:t>上传</w:t>
      </w:r>
    </w:p>
    <w:p w14:paraId="54CCE115">
      <w:pPr>
        <w:spacing w:line="360" w:lineRule="auto"/>
        <w:ind w:firstLine="480" w:firstLineChars="200"/>
        <w:rPr>
          <w:rFonts w:hint="eastAsia" w:ascii="宋体" w:hAnsi="宋体"/>
          <w:color w:val="auto"/>
          <w:sz w:val="24"/>
          <w:highlight w:val="none"/>
          <w:lang w:eastAsia="zh-CN"/>
        </w:rPr>
      </w:pPr>
      <w:r>
        <w:rPr>
          <w:rFonts w:hint="eastAsia" w:ascii="宋体" w:hAnsi="宋体"/>
          <w:color w:val="auto"/>
          <w:sz w:val="24"/>
          <w:highlight w:val="none"/>
          <w:lang w:eastAsia="zh-CN"/>
        </w:rPr>
        <w:t>供应商</w:t>
      </w:r>
      <w:r>
        <w:rPr>
          <w:rFonts w:hint="eastAsia" w:ascii="宋体" w:hAnsi="宋体"/>
          <w:color w:val="auto"/>
          <w:sz w:val="24"/>
          <w:highlight w:val="none"/>
        </w:rPr>
        <w:t>所上传的电子化</w:t>
      </w:r>
      <w:r>
        <w:rPr>
          <w:rFonts w:hint="eastAsia" w:ascii="宋体" w:hAnsi="宋体"/>
          <w:color w:val="auto"/>
          <w:sz w:val="24"/>
          <w:highlight w:val="none"/>
          <w:lang w:eastAsia="zh-CN"/>
        </w:rPr>
        <w:t>响应文件</w:t>
      </w:r>
      <w:r>
        <w:rPr>
          <w:rFonts w:hint="eastAsia" w:ascii="宋体" w:hAnsi="宋体"/>
          <w:color w:val="auto"/>
          <w:sz w:val="24"/>
          <w:highlight w:val="none"/>
        </w:rPr>
        <w:t>，应是通过三门峡市公共资源电子化交易系统磋商</w:t>
      </w:r>
      <w:r>
        <w:rPr>
          <w:rFonts w:hint="eastAsia" w:ascii="宋体" w:hAnsi="宋体"/>
          <w:color w:val="auto"/>
          <w:sz w:val="24"/>
          <w:highlight w:val="none"/>
          <w:lang w:eastAsia="zh-CN"/>
        </w:rPr>
        <w:t>响应文件</w:t>
      </w:r>
      <w:r>
        <w:rPr>
          <w:rFonts w:hint="eastAsia" w:ascii="宋体" w:hAnsi="宋体"/>
          <w:color w:val="auto"/>
          <w:sz w:val="24"/>
          <w:highlight w:val="none"/>
        </w:rPr>
        <w:t>制作系统制作的，经过签章和加密后生成的电子版磋商</w:t>
      </w:r>
      <w:r>
        <w:rPr>
          <w:rFonts w:hint="eastAsia" w:ascii="宋体" w:hAnsi="宋体"/>
          <w:color w:val="auto"/>
          <w:sz w:val="24"/>
          <w:highlight w:val="none"/>
          <w:lang w:eastAsia="zh-CN"/>
        </w:rPr>
        <w:t>响应文件</w:t>
      </w:r>
      <w:r>
        <w:rPr>
          <w:rFonts w:hint="eastAsia" w:ascii="宋体" w:hAnsi="宋体"/>
          <w:color w:val="auto"/>
          <w:sz w:val="24"/>
          <w:highlight w:val="none"/>
        </w:rPr>
        <w:t>。其中包含用于磋</w:t>
      </w:r>
      <w:r>
        <w:rPr>
          <w:rFonts w:hint="eastAsia" w:ascii="宋体" w:hAnsi="宋体"/>
          <w:color w:val="auto"/>
          <w:sz w:val="24"/>
          <w:highlight w:val="none"/>
          <w:lang w:eastAsia="zh-CN"/>
        </w:rPr>
        <w:t>响应文件</w:t>
      </w:r>
      <w:r>
        <w:rPr>
          <w:rFonts w:hint="eastAsia" w:ascii="宋体" w:hAnsi="宋体"/>
          <w:color w:val="auto"/>
          <w:sz w:val="24"/>
          <w:highlight w:val="none"/>
        </w:rPr>
        <w:t>上传的主文件（文件格式为：.</w:t>
      </w:r>
      <w:r>
        <w:rPr>
          <w:rFonts w:hint="eastAsia" w:ascii="宋体" w:hAnsi="宋体"/>
          <w:bCs/>
          <w:color w:val="auto"/>
          <w:sz w:val="24"/>
          <w:highlight w:val="none"/>
        </w:rPr>
        <w:t>smxtf</w:t>
      </w:r>
      <w:r>
        <w:rPr>
          <w:rFonts w:hint="eastAsia" w:ascii="宋体" w:hAnsi="宋体"/>
          <w:color w:val="auto"/>
          <w:sz w:val="24"/>
          <w:highlight w:val="none"/>
        </w:rPr>
        <w:t>）和用于应急补救的</w:t>
      </w:r>
      <w:r>
        <w:rPr>
          <w:rFonts w:hint="eastAsia" w:ascii="宋体" w:hAnsi="宋体"/>
          <w:color w:val="auto"/>
          <w:sz w:val="24"/>
          <w:highlight w:val="none"/>
          <w:lang w:eastAsia="zh-CN"/>
        </w:rPr>
        <w:t>响应文件</w:t>
      </w:r>
      <w:r>
        <w:rPr>
          <w:rFonts w:hint="eastAsia" w:ascii="宋体" w:hAnsi="宋体"/>
          <w:color w:val="auto"/>
          <w:sz w:val="24"/>
          <w:highlight w:val="none"/>
        </w:rPr>
        <w:t>备份文件（文件格式为：.n</w:t>
      </w:r>
      <w:r>
        <w:rPr>
          <w:rFonts w:hint="eastAsia" w:ascii="宋体" w:hAnsi="宋体"/>
          <w:bCs/>
          <w:color w:val="auto"/>
          <w:sz w:val="24"/>
          <w:highlight w:val="none"/>
        </w:rPr>
        <w:t>smxtf</w:t>
      </w:r>
      <w:r>
        <w:rPr>
          <w:rFonts w:hint="eastAsia" w:ascii="宋体" w:hAnsi="宋体"/>
          <w:color w:val="auto"/>
          <w:sz w:val="24"/>
          <w:highlight w:val="none"/>
        </w:rPr>
        <w:t>）</w:t>
      </w:r>
    </w:p>
    <w:p w14:paraId="5E30ECF8">
      <w:pPr>
        <w:rPr>
          <w:b/>
          <w:color w:val="auto"/>
          <w:kern w:val="0"/>
          <w:sz w:val="24"/>
          <w:szCs w:val="28"/>
          <w:highlight w:val="none"/>
        </w:rPr>
      </w:pPr>
      <w:bookmarkStart w:id="90" w:name="_Toc391284761"/>
      <w:bookmarkEnd w:id="90"/>
      <w:bookmarkStart w:id="91" w:name="_Toc438797199"/>
      <w:bookmarkEnd w:id="91"/>
      <w:bookmarkStart w:id="92" w:name="_Toc438797964"/>
      <w:bookmarkEnd w:id="92"/>
      <w:r>
        <w:rPr>
          <w:b/>
          <w:color w:val="auto"/>
          <w:kern w:val="0"/>
          <w:sz w:val="24"/>
          <w:szCs w:val="28"/>
          <w:highlight w:val="none"/>
        </w:rPr>
        <w:t xml:space="preserve">4.2 </w:t>
      </w:r>
      <w:r>
        <w:rPr>
          <w:rFonts w:hint="eastAsia"/>
          <w:b/>
          <w:color w:val="auto"/>
          <w:kern w:val="0"/>
          <w:sz w:val="24"/>
          <w:szCs w:val="28"/>
          <w:highlight w:val="none"/>
          <w:lang w:eastAsia="zh-CN"/>
        </w:rPr>
        <w:t>响应文件</w:t>
      </w:r>
      <w:r>
        <w:rPr>
          <w:rFonts w:hint="eastAsia"/>
          <w:b/>
          <w:color w:val="auto"/>
          <w:kern w:val="0"/>
          <w:sz w:val="24"/>
          <w:szCs w:val="28"/>
          <w:highlight w:val="none"/>
        </w:rPr>
        <w:t>的递交</w:t>
      </w:r>
    </w:p>
    <w:p w14:paraId="7BB51F3F">
      <w:pPr>
        <w:autoSpaceDE w:val="0"/>
        <w:autoSpaceDN w:val="0"/>
        <w:spacing w:line="360" w:lineRule="auto"/>
        <w:ind w:firstLine="484" w:firstLineChars="202"/>
        <w:jc w:val="left"/>
        <w:rPr>
          <w:rFonts w:ascii="宋体" w:hAnsi="宋体"/>
          <w:color w:val="auto"/>
          <w:kern w:val="0"/>
          <w:sz w:val="24"/>
          <w:highlight w:val="none"/>
        </w:rPr>
      </w:pPr>
      <w:r>
        <w:rPr>
          <w:rFonts w:ascii="宋体" w:hAnsi="宋体"/>
          <w:color w:val="auto"/>
          <w:kern w:val="0"/>
          <w:sz w:val="24"/>
          <w:highlight w:val="none"/>
        </w:rPr>
        <w:t xml:space="preserve">4.2.1 </w:t>
      </w:r>
      <w:r>
        <w:rPr>
          <w:rFonts w:hint="eastAsia" w:ascii="宋体" w:hAnsi="宋体"/>
          <w:color w:val="auto"/>
          <w:kern w:val="0"/>
          <w:sz w:val="24"/>
          <w:highlight w:val="none"/>
          <w:lang w:eastAsia="zh-CN"/>
        </w:rPr>
        <w:t>供应商</w:t>
      </w:r>
      <w:r>
        <w:rPr>
          <w:rFonts w:hint="eastAsia" w:ascii="宋体" w:hAnsi="宋体"/>
          <w:color w:val="auto"/>
          <w:kern w:val="0"/>
          <w:sz w:val="24"/>
          <w:highlight w:val="none"/>
        </w:rPr>
        <w:t>应在本章第</w:t>
      </w:r>
      <w:r>
        <w:rPr>
          <w:rFonts w:ascii="宋体" w:hAnsi="宋体"/>
          <w:color w:val="auto"/>
          <w:kern w:val="0"/>
          <w:sz w:val="24"/>
          <w:highlight w:val="none"/>
        </w:rPr>
        <w:t xml:space="preserve">2.2.2 </w:t>
      </w:r>
      <w:r>
        <w:rPr>
          <w:rFonts w:hint="eastAsia" w:ascii="宋体" w:hAnsi="宋体"/>
          <w:color w:val="auto"/>
          <w:kern w:val="0"/>
          <w:sz w:val="24"/>
          <w:highlight w:val="none"/>
        </w:rPr>
        <w:t>项规定的</w:t>
      </w:r>
      <w:r>
        <w:rPr>
          <w:rFonts w:hint="eastAsia" w:ascii="宋体" w:hAnsi="宋体"/>
          <w:color w:val="auto"/>
          <w:kern w:val="0"/>
          <w:sz w:val="24"/>
          <w:highlight w:val="none"/>
          <w:lang w:val="en-US" w:eastAsia="zh-CN"/>
        </w:rPr>
        <w:t>投标</w:t>
      </w:r>
      <w:r>
        <w:rPr>
          <w:rFonts w:hint="eastAsia" w:ascii="宋体" w:hAnsi="宋体"/>
          <w:color w:val="auto"/>
          <w:kern w:val="0"/>
          <w:sz w:val="24"/>
          <w:highlight w:val="none"/>
        </w:rPr>
        <w:t>截止时间前递交及上传</w:t>
      </w:r>
      <w:r>
        <w:rPr>
          <w:rFonts w:hint="eastAsia" w:ascii="宋体" w:hAnsi="宋体"/>
          <w:color w:val="auto"/>
          <w:kern w:val="0"/>
          <w:sz w:val="24"/>
          <w:highlight w:val="none"/>
          <w:lang w:eastAsia="zh-CN"/>
        </w:rPr>
        <w:t>响应文件</w:t>
      </w:r>
      <w:r>
        <w:rPr>
          <w:rFonts w:hint="eastAsia" w:ascii="宋体" w:hAnsi="宋体"/>
          <w:color w:val="auto"/>
          <w:kern w:val="0"/>
          <w:sz w:val="24"/>
          <w:highlight w:val="none"/>
        </w:rPr>
        <w:t>。</w:t>
      </w:r>
    </w:p>
    <w:p w14:paraId="3BD671E4">
      <w:pPr>
        <w:autoSpaceDE w:val="0"/>
        <w:autoSpaceDN w:val="0"/>
        <w:spacing w:line="360" w:lineRule="auto"/>
        <w:ind w:firstLine="484" w:firstLineChars="202"/>
        <w:jc w:val="left"/>
        <w:rPr>
          <w:rFonts w:ascii="宋体" w:hAnsi="宋体"/>
          <w:color w:val="auto"/>
          <w:kern w:val="0"/>
          <w:sz w:val="24"/>
          <w:highlight w:val="none"/>
        </w:rPr>
      </w:pPr>
      <w:r>
        <w:rPr>
          <w:rFonts w:ascii="宋体" w:hAnsi="宋体"/>
          <w:color w:val="auto"/>
          <w:kern w:val="0"/>
          <w:sz w:val="24"/>
          <w:highlight w:val="none"/>
        </w:rPr>
        <w:t>4.2.</w:t>
      </w:r>
      <w:r>
        <w:rPr>
          <w:rFonts w:hint="eastAsia" w:ascii="宋体" w:hAnsi="宋体"/>
          <w:color w:val="auto"/>
          <w:kern w:val="0"/>
          <w:sz w:val="24"/>
          <w:highlight w:val="none"/>
        </w:rPr>
        <w:t>2</w:t>
      </w:r>
      <w:r>
        <w:rPr>
          <w:rFonts w:hint="eastAsia" w:ascii="宋体" w:hAnsi="宋体"/>
          <w:color w:val="auto"/>
          <w:kern w:val="0"/>
          <w:sz w:val="24"/>
          <w:highlight w:val="none"/>
          <w:lang w:val="en-US" w:eastAsia="zh-CN"/>
        </w:rPr>
        <w:t xml:space="preserve"> </w:t>
      </w:r>
      <w:r>
        <w:rPr>
          <w:rFonts w:hint="eastAsia" w:ascii="宋体" w:hAnsi="宋体"/>
          <w:color w:val="auto"/>
          <w:kern w:val="0"/>
          <w:sz w:val="24"/>
          <w:highlight w:val="none"/>
        </w:rPr>
        <w:t>除</w:t>
      </w:r>
      <w:r>
        <w:rPr>
          <w:rFonts w:hint="eastAsia" w:ascii="宋体" w:hAnsi="宋体"/>
          <w:color w:val="auto"/>
          <w:kern w:val="0"/>
          <w:sz w:val="24"/>
          <w:highlight w:val="none"/>
          <w:lang w:eastAsia="zh-CN"/>
        </w:rPr>
        <w:t>供应商须知前附表</w:t>
      </w:r>
      <w:r>
        <w:rPr>
          <w:rFonts w:hint="eastAsia" w:ascii="宋体" w:hAnsi="宋体"/>
          <w:color w:val="auto"/>
          <w:kern w:val="0"/>
          <w:sz w:val="24"/>
          <w:highlight w:val="none"/>
        </w:rPr>
        <w:t>另有规定外，</w:t>
      </w:r>
      <w:r>
        <w:rPr>
          <w:rFonts w:hint="eastAsia" w:ascii="宋体" w:hAnsi="宋体"/>
          <w:color w:val="auto"/>
          <w:kern w:val="0"/>
          <w:sz w:val="24"/>
          <w:highlight w:val="none"/>
          <w:lang w:val="en-US" w:eastAsia="zh-CN"/>
        </w:rPr>
        <w:t>供应商</w:t>
      </w:r>
      <w:r>
        <w:rPr>
          <w:rFonts w:hint="eastAsia" w:ascii="宋体" w:hAnsi="宋体"/>
          <w:color w:val="auto"/>
          <w:kern w:val="0"/>
          <w:sz w:val="24"/>
          <w:highlight w:val="none"/>
        </w:rPr>
        <w:t>所递交的</w:t>
      </w:r>
      <w:r>
        <w:rPr>
          <w:rFonts w:hint="eastAsia" w:ascii="宋体" w:hAnsi="宋体"/>
          <w:color w:val="auto"/>
          <w:kern w:val="0"/>
          <w:sz w:val="24"/>
          <w:highlight w:val="none"/>
          <w:lang w:val="en-US" w:eastAsia="zh-CN"/>
        </w:rPr>
        <w:t>响应文件</w:t>
      </w:r>
      <w:r>
        <w:rPr>
          <w:rFonts w:hint="eastAsia" w:ascii="宋体" w:hAnsi="宋体"/>
          <w:color w:val="auto"/>
          <w:kern w:val="0"/>
          <w:sz w:val="24"/>
          <w:highlight w:val="none"/>
        </w:rPr>
        <w:t>不予退还。</w:t>
      </w:r>
    </w:p>
    <w:p w14:paraId="2FC836DF">
      <w:pPr>
        <w:autoSpaceDE w:val="0"/>
        <w:autoSpaceDN w:val="0"/>
        <w:spacing w:line="360" w:lineRule="auto"/>
        <w:ind w:firstLine="484" w:firstLineChars="202"/>
        <w:jc w:val="left"/>
        <w:rPr>
          <w:rFonts w:ascii="宋体" w:hAnsi="宋体"/>
          <w:color w:val="auto"/>
          <w:kern w:val="0"/>
          <w:sz w:val="24"/>
          <w:highlight w:val="none"/>
        </w:rPr>
      </w:pPr>
      <w:r>
        <w:rPr>
          <w:rFonts w:ascii="宋体" w:hAnsi="宋体"/>
          <w:color w:val="auto"/>
          <w:kern w:val="0"/>
          <w:sz w:val="24"/>
          <w:highlight w:val="none"/>
        </w:rPr>
        <w:t>4.2.</w:t>
      </w:r>
      <w:r>
        <w:rPr>
          <w:rFonts w:hint="eastAsia" w:ascii="宋体" w:hAnsi="宋体"/>
          <w:color w:val="auto"/>
          <w:kern w:val="0"/>
          <w:sz w:val="24"/>
          <w:highlight w:val="none"/>
        </w:rPr>
        <w:t>3</w:t>
      </w:r>
      <w:r>
        <w:rPr>
          <w:rFonts w:hint="eastAsia" w:ascii="宋体" w:hAnsi="宋体"/>
          <w:color w:val="auto"/>
          <w:kern w:val="0"/>
          <w:sz w:val="24"/>
          <w:highlight w:val="none"/>
          <w:lang w:val="en-US" w:eastAsia="zh-CN"/>
        </w:rPr>
        <w:t xml:space="preserve"> </w:t>
      </w:r>
      <w:r>
        <w:rPr>
          <w:rFonts w:hint="eastAsia" w:ascii="宋体" w:hAnsi="宋体"/>
          <w:color w:val="auto"/>
          <w:kern w:val="0"/>
          <w:sz w:val="24"/>
          <w:highlight w:val="none"/>
        </w:rPr>
        <w:t>电子化</w:t>
      </w:r>
      <w:r>
        <w:rPr>
          <w:rFonts w:hint="eastAsia" w:ascii="宋体" w:hAnsi="宋体"/>
          <w:color w:val="auto"/>
          <w:kern w:val="0"/>
          <w:sz w:val="24"/>
          <w:highlight w:val="none"/>
          <w:lang w:val="en-US" w:eastAsia="zh-CN"/>
        </w:rPr>
        <w:t>响应文件</w:t>
      </w:r>
      <w:r>
        <w:rPr>
          <w:rFonts w:hint="eastAsia" w:ascii="宋体" w:hAnsi="宋体"/>
          <w:color w:val="auto"/>
          <w:kern w:val="0"/>
          <w:sz w:val="24"/>
          <w:highlight w:val="none"/>
        </w:rPr>
        <w:t>应在投标截止时间前成功上传至三门峡市公共资源电子化交易系统。逾期上传的电子化</w:t>
      </w:r>
      <w:r>
        <w:rPr>
          <w:rFonts w:hint="eastAsia" w:ascii="宋体" w:hAnsi="宋体"/>
          <w:color w:val="auto"/>
          <w:kern w:val="0"/>
          <w:sz w:val="24"/>
          <w:highlight w:val="none"/>
          <w:lang w:val="en-US" w:eastAsia="zh-CN"/>
        </w:rPr>
        <w:t>响应文件</w:t>
      </w:r>
      <w:r>
        <w:rPr>
          <w:rFonts w:hint="eastAsia" w:ascii="宋体" w:hAnsi="宋体"/>
          <w:color w:val="auto"/>
          <w:kern w:val="0"/>
          <w:sz w:val="24"/>
          <w:highlight w:val="none"/>
        </w:rPr>
        <w:t>将不予接收。电子交易系统将拒绝在</w:t>
      </w:r>
      <w:r>
        <w:rPr>
          <w:rFonts w:hint="eastAsia" w:ascii="宋体" w:hAnsi="宋体"/>
          <w:color w:val="auto"/>
          <w:kern w:val="0"/>
          <w:sz w:val="24"/>
          <w:highlight w:val="none"/>
          <w:lang w:eastAsia="zh-CN"/>
        </w:rPr>
        <w:t>响应文件</w:t>
      </w:r>
      <w:r>
        <w:rPr>
          <w:rFonts w:hint="eastAsia" w:ascii="宋体" w:hAnsi="宋体"/>
          <w:color w:val="auto"/>
          <w:kern w:val="0"/>
          <w:sz w:val="24"/>
          <w:highlight w:val="none"/>
        </w:rPr>
        <w:t>递交截止时间后送交的</w:t>
      </w:r>
      <w:r>
        <w:rPr>
          <w:rFonts w:hint="eastAsia" w:ascii="宋体" w:hAnsi="宋体"/>
          <w:color w:val="auto"/>
          <w:kern w:val="0"/>
          <w:sz w:val="24"/>
          <w:highlight w:val="none"/>
          <w:lang w:val="en-US" w:eastAsia="zh-CN"/>
        </w:rPr>
        <w:t>响应文件</w:t>
      </w:r>
      <w:r>
        <w:rPr>
          <w:rFonts w:hint="eastAsia" w:ascii="宋体" w:hAnsi="宋体"/>
          <w:color w:val="auto"/>
          <w:kern w:val="0"/>
          <w:sz w:val="24"/>
          <w:highlight w:val="none"/>
        </w:rPr>
        <w:t>。</w:t>
      </w:r>
    </w:p>
    <w:p w14:paraId="58FFA9A6">
      <w:pPr>
        <w:pStyle w:val="9"/>
        <w:spacing w:line="360" w:lineRule="auto"/>
        <w:ind w:firstLine="472" w:firstLineChars="196"/>
        <w:rPr>
          <w:rFonts w:hint="eastAsia"/>
          <w:b/>
          <w:bCs/>
          <w:color w:val="auto"/>
          <w:highlight w:val="none"/>
        </w:rPr>
      </w:pPr>
      <w:r>
        <w:rPr>
          <w:rFonts w:hint="eastAsia"/>
          <w:b/>
          <w:bCs/>
          <w:color w:val="auto"/>
          <w:highlight w:val="none"/>
        </w:rPr>
        <w:t>注：</w:t>
      </w:r>
      <w:r>
        <w:rPr>
          <w:rFonts w:hint="eastAsia"/>
          <w:color w:val="auto"/>
          <w:highlight w:val="none"/>
        </w:rPr>
        <w:t>如按照电子化投标操作教材制作完成的电子化</w:t>
      </w:r>
      <w:r>
        <w:rPr>
          <w:rFonts w:hint="eastAsia"/>
          <w:color w:val="auto"/>
          <w:highlight w:val="none"/>
          <w:lang w:eastAsia="zh-CN"/>
        </w:rPr>
        <w:t>响应文件</w:t>
      </w:r>
      <w:r>
        <w:rPr>
          <w:rFonts w:hint="eastAsia"/>
          <w:color w:val="auto"/>
          <w:highlight w:val="none"/>
        </w:rPr>
        <w:t>无法上传的，</w:t>
      </w:r>
      <w:r>
        <w:rPr>
          <w:rFonts w:hint="eastAsia"/>
          <w:color w:val="auto"/>
          <w:highlight w:val="none"/>
          <w:lang w:eastAsia="zh-CN"/>
        </w:rPr>
        <w:t>供应商</w:t>
      </w:r>
      <w:r>
        <w:rPr>
          <w:rFonts w:hint="eastAsia"/>
          <w:color w:val="auto"/>
          <w:highlight w:val="none"/>
        </w:rPr>
        <w:t>应在</w:t>
      </w:r>
      <w:r>
        <w:rPr>
          <w:rFonts w:hint="eastAsia"/>
          <w:b/>
          <w:bCs/>
          <w:color w:val="auto"/>
          <w:highlight w:val="none"/>
          <w:lang w:eastAsia="zh-CN"/>
        </w:rPr>
        <w:t>响应文件</w:t>
      </w:r>
      <w:r>
        <w:rPr>
          <w:rFonts w:hint="eastAsia"/>
          <w:b/>
          <w:bCs/>
          <w:color w:val="auto"/>
          <w:highlight w:val="none"/>
        </w:rPr>
        <w:t>递交截止时间前尽早的</w:t>
      </w:r>
      <w:r>
        <w:rPr>
          <w:rFonts w:hint="eastAsia"/>
          <w:color w:val="auto"/>
          <w:highlight w:val="none"/>
        </w:rPr>
        <w:t>联系中心技术人员，以便有充分的时间进行处理。</w:t>
      </w:r>
      <w:r>
        <w:rPr>
          <w:rFonts w:hint="eastAsia"/>
          <w:b/>
          <w:bCs/>
          <w:color w:val="auto"/>
          <w:highlight w:val="none"/>
          <w:lang w:eastAsia="zh-CN"/>
        </w:rPr>
        <w:t>供应商</w:t>
      </w:r>
      <w:r>
        <w:rPr>
          <w:rFonts w:hint="eastAsia"/>
          <w:b/>
          <w:bCs/>
          <w:color w:val="auto"/>
          <w:highlight w:val="none"/>
        </w:rPr>
        <w:t>应充分考虑到处理技术问题和上传数据等工作所需的时间问题，</w:t>
      </w:r>
      <w:r>
        <w:rPr>
          <w:rFonts w:hint="eastAsia"/>
          <w:b/>
          <w:bCs/>
          <w:color w:val="auto"/>
          <w:highlight w:val="none"/>
          <w:lang w:eastAsia="zh-CN"/>
        </w:rPr>
        <w:t>响应文件</w:t>
      </w:r>
      <w:r>
        <w:rPr>
          <w:rFonts w:hint="eastAsia"/>
          <w:b/>
          <w:bCs/>
          <w:color w:val="auto"/>
          <w:highlight w:val="none"/>
        </w:rPr>
        <w:t>未在</w:t>
      </w:r>
      <w:r>
        <w:rPr>
          <w:rFonts w:hint="eastAsia"/>
          <w:b/>
          <w:bCs/>
          <w:color w:val="auto"/>
          <w:highlight w:val="none"/>
          <w:lang w:eastAsia="zh-CN"/>
        </w:rPr>
        <w:t>响应文件</w:t>
      </w:r>
      <w:r>
        <w:rPr>
          <w:rFonts w:hint="eastAsia"/>
          <w:b/>
          <w:bCs/>
          <w:color w:val="auto"/>
          <w:highlight w:val="none"/>
        </w:rPr>
        <w:t>递交截止时间前成功上传的，其磋商</w:t>
      </w:r>
      <w:r>
        <w:rPr>
          <w:rFonts w:hint="eastAsia"/>
          <w:b/>
          <w:bCs/>
          <w:color w:val="auto"/>
          <w:highlight w:val="none"/>
          <w:lang w:eastAsia="zh-CN"/>
        </w:rPr>
        <w:t>响应文件</w:t>
      </w:r>
      <w:r>
        <w:rPr>
          <w:rFonts w:hint="eastAsia"/>
          <w:b/>
          <w:bCs/>
          <w:color w:val="auto"/>
          <w:highlight w:val="none"/>
        </w:rPr>
        <w:t>不予接收。</w:t>
      </w:r>
    </w:p>
    <w:p w14:paraId="4B26B949">
      <w:pPr>
        <w:spacing w:line="360" w:lineRule="auto"/>
        <w:rPr>
          <w:b/>
          <w:color w:val="auto"/>
          <w:kern w:val="0"/>
          <w:sz w:val="24"/>
          <w:szCs w:val="28"/>
          <w:highlight w:val="none"/>
        </w:rPr>
      </w:pPr>
      <w:bookmarkStart w:id="93" w:name="_Toc391284762"/>
      <w:bookmarkEnd w:id="93"/>
      <w:bookmarkStart w:id="94" w:name="_Toc438797965"/>
      <w:bookmarkEnd w:id="94"/>
      <w:bookmarkStart w:id="95" w:name="_Toc438797200"/>
      <w:bookmarkEnd w:id="95"/>
      <w:r>
        <w:rPr>
          <w:b/>
          <w:color w:val="auto"/>
          <w:kern w:val="0"/>
          <w:sz w:val="24"/>
          <w:szCs w:val="28"/>
          <w:highlight w:val="none"/>
        </w:rPr>
        <w:t xml:space="preserve">4.3 </w:t>
      </w:r>
      <w:r>
        <w:rPr>
          <w:rFonts w:hint="eastAsia"/>
          <w:b/>
          <w:color w:val="auto"/>
          <w:kern w:val="0"/>
          <w:sz w:val="24"/>
          <w:szCs w:val="28"/>
          <w:highlight w:val="none"/>
          <w:lang w:eastAsia="zh-CN"/>
        </w:rPr>
        <w:t>响应文件</w:t>
      </w:r>
      <w:r>
        <w:rPr>
          <w:rFonts w:hint="eastAsia"/>
          <w:b/>
          <w:color w:val="auto"/>
          <w:kern w:val="0"/>
          <w:sz w:val="24"/>
          <w:szCs w:val="28"/>
          <w:highlight w:val="none"/>
        </w:rPr>
        <w:t>的修改与撤回</w:t>
      </w:r>
    </w:p>
    <w:p w14:paraId="67ADD0DF">
      <w:pPr>
        <w:autoSpaceDE w:val="0"/>
        <w:autoSpaceDN w:val="0"/>
        <w:spacing w:line="360" w:lineRule="auto"/>
        <w:ind w:firstLine="484" w:firstLineChars="202"/>
        <w:jc w:val="left"/>
        <w:rPr>
          <w:rFonts w:ascii="宋体" w:hAnsi="宋体"/>
          <w:color w:val="auto"/>
          <w:kern w:val="0"/>
          <w:sz w:val="24"/>
          <w:highlight w:val="none"/>
        </w:rPr>
      </w:pPr>
      <w:r>
        <w:rPr>
          <w:rFonts w:ascii="宋体" w:hAnsi="宋体"/>
          <w:color w:val="auto"/>
          <w:kern w:val="0"/>
          <w:sz w:val="24"/>
          <w:highlight w:val="none"/>
        </w:rPr>
        <w:t xml:space="preserve">4.3.1 </w:t>
      </w:r>
      <w:r>
        <w:rPr>
          <w:rFonts w:hint="eastAsia" w:ascii="宋体" w:hAnsi="宋体"/>
          <w:color w:val="auto"/>
          <w:kern w:val="0"/>
          <w:sz w:val="24"/>
          <w:highlight w:val="none"/>
        </w:rPr>
        <w:t>在本章规定的竞标截止时间前，</w:t>
      </w:r>
      <w:r>
        <w:rPr>
          <w:rFonts w:hint="eastAsia" w:ascii="宋体" w:hAnsi="宋体"/>
          <w:color w:val="auto"/>
          <w:kern w:val="0"/>
          <w:sz w:val="24"/>
          <w:highlight w:val="none"/>
          <w:lang w:eastAsia="zh-CN"/>
        </w:rPr>
        <w:t>供应商</w:t>
      </w:r>
      <w:r>
        <w:rPr>
          <w:rFonts w:hint="eastAsia" w:ascii="宋体" w:hAnsi="宋体"/>
          <w:color w:val="auto"/>
          <w:kern w:val="0"/>
          <w:sz w:val="24"/>
          <w:highlight w:val="none"/>
        </w:rPr>
        <w:t>可以修改或撤回已递交的</w:t>
      </w:r>
      <w:r>
        <w:rPr>
          <w:rFonts w:hint="eastAsia" w:ascii="宋体" w:hAnsi="宋体"/>
          <w:color w:val="auto"/>
          <w:kern w:val="0"/>
          <w:sz w:val="24"/>
          <w:highlight w:val="none"/>
          <w:lang w:eastAsia="zh-CN"/>
        </w:rPr>
        <w:t>响应文件</w:t>
      </w:r>
      <w:r>
        <w:rPr>
          <w:rFonts w:hint="eastAsia" w:ascii="宋体" w:hAnsi="宋体"/>
          <w:color w:val="auto"/>
          <w:kern w:val="0"/>
          <w:sz w:val="24"/>
          <w:highlight w:val="none"/>
        </w:rPr>
        <w:t>。</w:t>
      </w:r>
    </w:p>
    <w:p w14:paraId="574EAC26">
      <w:pPr>
        <w:pStyle w:val="27"/>
        <w:rPr>
          <w:rFonts w:ascii="宋体" w:hAnsi="宋体" w:eastAsia="宋体"/>
          <w:color w:val="auto"/>
          <w:kern w:val="0"/>
          <w:sz w:val="28"/>
          <w:szCs w:val="36"/>
          <w:highlight w:val="none"/>
        </w:rPr>
      </w:pPr>
      <w:bookmarkStart w:id="96" w:name="_Toc438797201"/>
      <w:bookmarkEnd w:id="96"/>
      <w:bookmarkStart w:id="97" w:name="_Toc391284763"/>
      <w:bookmarkEnd w:id="97"/>
      <w:bookmarkStart w:id="98" w:name="_Toc651"/>
      <w:bookmarkEnd w:id="98"/>
      <w:bookmarkStart w:id="99" w:name="_Toc438797966"/>
      <w:bookmarkEnd w:id="99"/>
      <w:r>
        <w:rPr>
          <w:rFonts w:ascii="宋体" w:hAnsi="宋体" w:eastAsia="宋体"/>
          <w:color w:val="auto"/>
          <w:kern w:val="0"/>
          <w:sz w:val="28"/>
          <w:szCs w:val="36"/>
          <w:highlight w:val="none"/>
        </w:rPr>
        <w:t xml:space="preserve">5. </w:t>
      </w:r>
      <w:r>
        <w:rPr>
          <w:rFonts w:hint="eastAsia" w:ascii="宋体" w:hAnsi="宋体" w:eastAsia="宋体"/>
          <w:color w:val="auto"/>
          <w:kern w:val="0"/>
          <w:sz w:val="28"/>
          <w:szCs w:val="36"/>
          <w:highlight w:val="none"/>
        </w:rPr>
        <w:t>磋商程序</w:t>
      </w:r>
    </w:p>
    <w:p w14:paraId="39056E70">
      <w:pPr>
        <w:rPr>
          <w:b/>
          <w:color w:val="auto"/>
          <w:kern w:val="0"/>
          <w:sz w:val="24"/>
          <w:szCs w:val="28"/>
          <w:highlight w:val="none"/>
        </w:rPr>
      </w:pPr>
      <w:bookmarkStart w:id="100" w:name="_Toc438797202"/>
      <w:bookmarkEnd w:id="100"/>
      <w:bookmarkStart w:id="101" w:name="_Toc391284764"/>
      <w:bookmarkEnd w:id="101"/>
      <w:bookmarkStart w:id="102" w:name="_Toc438797967"/>
      <w:bookmarkEnd w:id="102"/>
      <w:r>
        <w:rPr>
          <w:b/>
          <w:color w:val="auto"/>
          <w:kern w:val="0"/>
          <w:sz w:val="24"/>
          <w:szCs w:val="28"/>
          <w:highlight w:val="none"/>
        </w:rPr>
        <w:t xml:space="preserve">5.1 </w:t>
      </w:r>
      <w:r>
        <w:rPr>
          <w:rFonts w:hint="eastAsia"/>
          <w:b/>
          <w:color w:val="auto"/>
          <w:kern w:val="0"/>
          <w:sz w:val="24"/>
          <w:szCs w:val="28"/>
          <w:highlight w:val="none"/>
        </w:rPr>
        <w:t>磋商时间和地点</w:t>
      </w:r>
    </w:p>
    <w:p w14:paraId="6AB0F42C">
      <w:pPr>
        <w:autoSpaceDE w:val="0"/>
        <w:autoSpaceDN w:val="0"/>
        <w:spacing w:line="360" w:lineRule="auto"/>
        <w:ind w:firstLine="484" w:firstLineChars="202"/>
        <w:jc w:val="left"/>
        <w:rPr>
          <w:rFonts w:hint="eastAsia" w:ascii="宋体" w:hAnsi="宋体"/>
          <w:color w:val="auto"/>
          <w:kern w:val="0"/>
          <w:sz w:val="24"/>
          <w:highlight w:val="none"/>
          <w:lang w:eastAsia="zh-CN"/>
        </w:rPr>
      </w:pPr>
      <w:r>
        <w:rPr>
          <w:rFonts w:hint="eastAsia" w:ascii="宋体" w:hAnsi="宋体"/>
          <w:color w:val="auto"/>
          <w:kern w:val="0"/>
          <w:sz w:val="24"/>
          <w:highlight w:val="none"/>
          <w:lang w:eastAsia="zh-CN"/>
        </w:rPr>
        <w:t>采购人</w:t>
      </w:r>
      <w:r>
        <w:rPr>
          <w:rFonts w:hint="eastAsia" w:ascii="宋体" w:hAnsi="宋体"/>
          <w:color w:val="auto"/>
          <w:kern w:val="0"/>
          <w:sz w:val="24"/>
          <w:highlight w:val="none"/>
        </w:rPr>
        <w:t>在</w:t>
      </w:r>
      <w:r>
        <w:rPr>
          <w:rFonts w:hint="eastAsia" w:ascii="宋体" w:hAnsi="宋体"/>
          <w:color w:val="auto"/>
          <w:kern w:val="0"/>
          <w:sz w:val="24"/>
          <w:highlight w:val="none"/>
          <w:lang w:eastAsia="zh-CN"/>
        </w:rPr>
        <w:t>供应商须知前附表</w:t>
      </w:r>
      <w:r>
        <w:rPr>
          <w:rFonts w:hint="eastAsia" w:ascii="宋体" w:hAnsi="宋体"/>
          <w:color w:val="auto"/>
          <w:kern w:val="0"/>
          <w:sz w:val="24"/>
          <w:highlight w:val="none"/>
        </w:rPr>
        <w:t>规定的竞标截止时间（开标时间）和地点依法开标。</w:t>
      </w:r>
    </w:p>
    <w:p w14:paraId="45995F8D">
      <w:pPr>
        <w:rPr>
          <w:b/>
          <w:color w:val="auto"/>
          <w:kern w:val="0"/>
          <w:sz w:val="24"/>
          <w:szCs w:val="28"/>
          <w:highlight w:val="none"/>
        </w:rPr>
      </w:pPr>
      <w:bookmarkStart w:id="103" w:name="_Toc438797968"/>
      <w:bookmarkEnd w:id="103"/>
      <w:bookmarkStart w:id="104" w:name="_Toc391284765"/>
      <w:bookmarkEnd w:id="104"/>
      <w:bookmarkStart w:id="105" w:name="_Toc438797203"/>
      <w:bookmarkEnd w:id="105"/>
      <w:bookmarkStart w:id="106" w:name="_Toc391284766"/>
      <w:r>
        <w:rPr>
          <w:b/>
          <w:color w:val="auto"/>
          <w:kern w:val="0"/>
          <w:sz w:val="24"/>
          <w:szCs w:val="28"/>
          <w:highlight w:val="none"/>
        </w:rPr>
        <w:t xml:space="preserve">5.2 </w:t>
      </w:r>
      <w:r>
        <w:rPr>
          <w:rFonts w:hint="eastAsia"/>
          <w:b/>
          <w:color w:val="auto"/>
          <w:kern w:val="0"/>
          <w:sz w:val="24"/>
          <w:szCs w:val="28"/>
          <w:highlight w:val="none"/>
        </w:rPr>
        <w:t>磋商程序</w:t>
      </w:r>
    </w:p>
    <w:p w14:paraId="3BDDE6A2">
      <w:pPr>
        <w:autoSpaceDE w:val="0"/>
        <w:autoSpaceDN w:val="0"/>
        <w:spacing w:line="360" w:lineRule="auto"/>
        <w:ind w:firstLine="484" w:firstLineChars="202"/>
        <w:jc w:val="left"/>
        <w:rPr>
          <w:rFonts w:hint="eastAsia" w:ascii="宋体" w:hAnsi="宋体"/>
          <w:color w:val="auto"/>
          <w:kern w:val="0"/>
          <w:sz w:val="24"/>
          <w:highlight w:val="none"/>
        </w:rPr>
      </w:pPr>
      <w:r>
        <w:rPr>
          <w:rFonts w:hint="eastAsia" w:ascii="宋体" w:hAnsi="宋体"/>
          <w:color w:val="auto"/>
          <w:kern w:val="0"/>
          <w:sz w:val="24"/>
          <w:highlight w:val="none"/>
        </w:rPr>
        <w:t>1、磋商小组对</w:t>
      </w:r>
      <w:r>
        <w:rPr>
          <w:rFonts w:hint="eastAsia" w:ascii="宋体" w:hAnsi="宋体"/>
          <w:color w:val="auto"/>
          <w:kern w:val="0"/>
          <w:sz w:val="24"/>
          <w:highlight w:val="none"/>
          <w:lang w:eastAsia="zh-CN"/>
        </w:rPr>
        <w:t>竞争性磋商</w:t>
      </w:r>
      <w:r>
        <w:rPr>
          <w:rFonts w:hint="eastAsia" w:ascii="宋体" w:hAnsi="宋体"/>
          <w:color w:val="auto"/>
          <w:kern w:val="0"/>
          <w:sz w:val="24"/>
          <w:highlight w:val="none"/>
        </w:rPr>
        <w:t>文件进行熟悉确认。</w:t>
      </w:r>
    </w:p>
    <w:p w14:paraId="3649E09E">
      <w:pPr>
        <w:autoSpaceDE w:val="0"/>
        <w:autoSpaceDN w:val="0"/>
        <w:spacing w:line="360" w:lineRule="auto"/>
        <w:ind w:firstLine="484" w:firstLineChars="202"/>
        <w:jc w:val="left"/>
        <w:rPr>
          <w:rFonts w:hint="eastAsia" w:ascii="宋体" w:hAnsi="宋体"/>
          <w:color w:val="auto"/>
          <w:kern w:val="0"/>
          <w:sz w:val="24"/>
          <w:highlight w:val="none"/>
        </w:rPr>
      </w:pPr>
      <w:r>
        <w:rPr>
          <w:rFonts w:hint="eastAsia" w:ascii="宋体" w:hAnsi="宋体"/>
          <w:color w:val="auto"/>
          <w:kern w:val="0"/>
          <w:sz w:val="24"/>
          <w:highlight w:val="none"/>
        </w:rPr>
        <w:t>2、磋商小组推选组长，讨论、通过磋商工作流程和磋商要点。</w:t>
      </w:r>
    </w:p>
    <w:p w14:paraId="2C475B79">
      <w:pPr>
        <w:autoSpaceDE w:val="0"/>
        <w:autoSpaceDN w:val="0"/>
        <w:spacing w:line="360" w:lineRule="auto"/>
        <w:ind w:firstLine="484" w:firstLineChars="202"/>
        <w:jc w:val="left"/>
        <w:rPr>
          <w:rFonts w:hint="eastAsia" w:ascii="宋体" w:hAnsi="宋体"/>
          <w:color w:val="auto"/>
          <w:kern w:val="0"/>
          <w:sz w:val="24"/>
          <w:highlight w:val="none"/>
        </w:rPr>
      </w:pPr>
      <w:r>
        <w:rPr>
          <w:rFonts w:hint="eastAsia" w:ascii="宋体" w:hAnsi="宋体"/>
          <w:color w:val="auto"/>
          <w:kern w:val="0"/>
          <w:sz w:val="24"/>
          <w:highlight w:val="none"/>
        </w:rPr>
        <w:t>3、资格性审查（审查</w:t>
      </w:r>
      <w:r>
        <w:rPr>
          <w:rFonts w:hint="eastAsia" w:ascii="宋体" w:hAnsi="宋体"/>
          <w:color w:val="auto"/>
          <w:kern w:val="0"/>
          <w:sz w:val="24"/>
          <w:highlight w:val="none"/>
          <w:lang w:eastAsia="zh-CN"/>
        </w:rPr>
        <w:t>响应文件</w:t>
      </w:r>
      <w:r>
        <w:rPr>
          <w:rFonts w:hint="eastAsia" w:ascii="宋体" w:hAnsi="宋体"/>
          <w:color w:val="auto"/>
          <w:kern w:val="0"/>
          <w:sz w:val="24"/>
          <w:highlight w:val="none"/>
        </w:rPr>
        <w:t>中的相关资料）。磋商开始后，磋商小组依据</w:t>
      </w:r>
      <w:r>
        <w:rPr>
          <w:rFonts w:hint="eastAsia" w:ascii="宋体" w:hAnsi="宋体"/>
          <w:color w:val="auto"/>
          <w:kern w:val="0"/>
          <w:sz w:val="24"/>
          <w:highlight w:val="none"/>
          <w:lang w:eastAsia="zh-CN"/>
        </w:rPr>
        <w:t>竞争性磋商</w:t>
      </w:r>
      <w:r>
        <w:rPr>
          <w:rFonts w:hint="eastAsia" w:ascii="宋体" w:hAnsi="宋体"/>
          <w:color w:val="auto"/>
          <w:kern w:val="0"/>
          <w:sz w:val="24"/>
          <w:highlight w:val="none"/>
        </w:rPr>
        <w:t>文件规定，对</w:t>
      </w:r>
      <w:r>
        <w:rPr>
          <w:rFonts w:hint="eastAsia" w:ascii="宋体" w:hAnsi="宋体"/>
          <w:color w:val="auto"/>
          <w:kern w:val="0"/>
          <w:sz w:val="24"/>
          <w:highlight w:val="none"/>
          <w:lang w:eastAsia="zh-CN"/>
        </w:rPr>
        <w:t>响应文件</w:t>
      </w:r>
      <w:r>
        <w:rPr>
          <w:rFonts w:hint="eastAsia" w:ascii="宋体" w:hAnsi="宋体"/>
          <w:color w:val="auto"/>
          <w:kern w:val="0"/>
          <w:sz w:val="24"/>
          <w:highlight w:val="none"/>
        </w:rPr>
        <w:t>中的资格证明是否已按要求提供等进行审查，以确定磋商</w:t>
      </w:r>
      <w:r>
        <w:rPr>
          <w:rFonts w:hint="eastAsia" w:ascii="宋体" w:hAnsi="宋体"/>
          <w:color w:val="auto"/>
          <w:kern w:val="0"/>
          <w:sz w:val="24"/>
          <w:highlight w:val="none"/>
          <w:lang w:eastAsia="zh-CN"/>
        </w:rPr>
        <w:t>供应商</w:t>
      </w:r>
      <w:r>
        <w:rPr>
          <w:rFonts w:hint="eastAsia" w:ascii="宋体" w:hAnsi="宋体"/>
          <w:color w:val="auto"/>
          <w:kern w:val="0"/>
          <w:sz w:val="24"/>
          <w:highlight w:val="none"/>
        </w:rPr>
        <w:t>是否具备参与磋商的资格。</w:t>
      </w:r>
    </w:p>
    <w:p w14:paraId="58ACEE17">
      <w:pPr>
        <w:autoSpaceDE w:val="0"/>
        <w:autoSpaceDN w:val="0"/>
        <w:spacing w:line="360" w:lineRule="auto"/>
        <w:ind w:firstLine="484" w:firstLineChars="202"/>
        <w:jc w:val="left"/>
        <w:rPr>
          <w:rFonts w:hint="eastAsia" w:ascii="宋体" w:hAnsi="宋体"/>
          <w:color w:val="auto"/>
          <w:kern w:val="0"/>
          <w:sz w:val="24"/>
          <w:highlight w:val="none"/>
        </w:rPr>
      </w:pPr>
      <w:r>
        <w:rPr>
          <w:rFonts w:hint="eastAsia" w:ascii="宋体" w:hAnsi="宋体"/>
          <w:color w:val="auto"/>
          <w:kern w:val="0"/>
          <w:sz w:val="24"/>
          <w:highlight w:val="none"/>
        </w:rPr>
        <w:t>4、符合性审查（审查</w:t>
      </w:r>
      <w:r>
        <w:rPr>
          <w:rFonts w:hint="eastAsia" w:ascii="宋体" w:hAnsi="宋体"/>
          <w:color w:val="auto"/>
          <w:kern w:val="0"/>
          <w:sz w:val="24"/>
          <w:highlight w:val="none"/>
          <w:lang w:eastAsia="zh-CN"/>
        </w:rPr>
        <w:t>响应文件</w:t>
      </w:r>
      <w:r>
        <w:rPr>
          <w:rFonts w:hint="eastAsia" w:ascii="宋体" w:hAnsi="宋体"/>
          <w:color w:val="auto"/>
          <w:kern w:val="0"/>
          <w:sz w:val="24"/>
          <w:highlight w:val="none"/>
        </w:rPr>
        <w:t>中的相关资料）。磋商小组依据</w:t>
      </w:r>
      <w:r>
        <w:rPr>
          <w:rFonts w:hint="eastAsia" w:ascii="宋体" w:hAnsi="宋体"/>
          <w:color w:val="auto"/>
          <w:kern w:val="0"/>
          <w:sz w:val="24"/>
          <w:highlight w:val="none"/>
          <w:lang w:eastAsia="zh-CN"/>
        </w:rPr>
        <w:t>竞争性磋商</w:t>
      </w:r>
      <w:r>
        <w:rPr>
          <w:rFonts w:hint="eastAsia" w:ascii="宋体" w:hAnsi="宋体"/>
          <w:color w:val="auto"/>
          <w:kern w:val="0"/>
          <w:sz w:val="24"/>
          <w:highlight w:val="none"/>
        </w:rPr>
        <w:t>文件规定，对</w:t>
      </w:r>
      <w:r>
        <w:rPr>
          <w:rFonts w:hint="eastAsia" w:ascii="宋体" w:hAnsi="宋体"/>
          <w:color w:val="auto"/>
          <w:kern w:val="0"/>
          <w:sz w:val="24"/>
          <w:highlight w:val="none"/>
          <w:lang w:eastAsia="zh-CN"/>
        </w:rPr>
        <w:t>响应文件</w:t>
      </w:r>
      <w:r>
        <w:rPr>
          <w:rFonts w:hint="eastAsia" w:ascii="宋体" w:hAnsi="宋体"/>
          <w:color w:val="auto"/>
          <w:kern w:val="0"/>
          <w:sz w:val="24"/>
          <w:highlight w:val="none"/>
        </w:rPr>
        <w:t>的内容是否完整、文件签署是否正确、</w:t>
      </w:r>
      <w:r>
        <w:rPr>
          <w:rFonts w:hint="eastAsia" w:ascii="宋体" w:hAnsi="宋体"/>
          <w:color w:val="auto"/>
          <w:kern w:val="0"/>
          <w:sz w:val="24"/>
          <w:highlight w:val="none"/>
          <w:lang w:eastAsia="zh-CN"/>
        </w:rPr>
        <w:t>响应文件</w:t>
      </w:r>
      <w:r>
        <w:rPr>
          <w:rFonts w:hint="eastAsia" w:ascii="宋体" w:hAnsi="宋体"/>
          <w:color w:val="auto"/>
          <w:kern w:val="0"/>
          <w:sz w:val="24"/>
          <w:highlight w:val="none"/>
        </w:rPr>
        <w:t>是否符合</w:t>
      </w:r>
      <w:r>
        <w:rPr>
          <w:rFonts w:hint="eastAsia" w:ascii="宋体" w:hAnsi="宋体"/>
          <w:color w:val="auto"/>
          <w:kern w:val="0"/>
          <w:sz w:val="24"/>
          <w:highlight w:val="none"/>
          <w:lang w:eastAsia="zh-CN"/>
        </w:rPr>
        <w:t>竞争性磋商</w:t>
      </w:r>
      <w:r>
        <w:rPr>
          <w:rFonts w:hint="eastAsia" w:ascii="宋体" w:hAnsi="宋体"/>
          <w:color w:val="auto"/>
          <w:kern w:val="0"/>
          <w:sz w:val="24"/>
          <w:highlight w:val="none"/>
        </w:rPr>
        <w:t>文件的要求进行审查，以确定是否对</w:t>
      </w:r>
      <w:r>
        <w:rPr>
          <w:rFonts w:hint="eastAsia" w:ascii="宋体" w:hAnsi="宋体"/>
          <w:color w:val="auto"/>
          <w:kern w:val="0"/>
          <w:sz w:val="24"/>
          <w:highlight w:val="none"/>
          <w:lang w:eastAsia="zh-CN"/>
        </w:rPr>
        <w:t>竞争性磋商</w:t>
      </w:r>
      <w:r>
        <w:rPr>
          <w:rFonts w:hint="eastAsia" w:ascii="宋体" w:hAnsi="宋体"/>
          <w:color w:val="auto"/>
          <w:kern w:val="0"/>
          <w:sz w:val="24"/>
          <w:highlight w:val="none"/>
        </w:rPr>
        <w:t>文件的实质性要求作出响应（确定磋商</w:t>
      </w:r>
      <w:r>
        <w:rPr>
          <w:rFonts w:hint="eastAsia" w:ascii="宋体" w:hAnsi="宋体"/>
          <w:color w:val="auto"/>
          <w:kern w:val="0"/>
          <w:sz w:val="24"/>
          <w:highlight w:val="none"/>
          <w:lang w:eastAsia="zh-CN"/>
        </w:rPr>
        <w:t>供应商</w:t>
      </w:r>
      <w:r>
        <w:rPr>
          <w:rFonts w:hint="eastAsia" w:ascii="宋体" w:hAnsi="宋体"/>
          <w:color w:val="auto"/>
          <w:kern w:val="0"/>
          <w:sz w:val="24"/>
          <w:highlight w:val="none"/>
        </w:rPr>
        <w:t>是否具备参与磋商的资格）。</w:t>
      </w:r>
    </w:p>
    <w:p w14:paraId="5269F03F">
      <w:pPr>
        <w:autoSpaceDE w:val="0"/>
        <w:autoSpaceDN w:val="0"/>
        <w:spacing w:line="360" w:lineRule="auto"/>
        <w:ind w:firstLine="484" w:firstLineChars="202"/>
        <w:jc w:val="left"/>
        <w:rPr>
          <w:rFonts w:hint="eastAsia" w:ascii="宋体" w:hAnsi="宋体"/>
          <w:color w:val="auto"/>
          <w:kern w:val="0"/>
          <w:sz w:val="24"/>
          <w:highlight w:val="none"/>
        </w:rPr>
      </w:pPr>
      <w:r>
        <w:rPr>
          <w:rFonts w:hint="eastAsia" w:ascii="宋体" w:hAnsi="宋体"/>
          <w:color w:val="auto"/>
          <w:kern w:val="0"/>
          <w:sz w:val="24"/>
          <w:highlight w:val="none"/>
        </w:rPr>
        <w:t>5、 技术评审。磋商小组对</w:t>
      </w:r>
      <w:r>
        <w:rPr>
          <w:rFonts w:hint="eastAsia" w:ascii="宋体" w:hAnsi="宋体"/>
          <w:color w:val="auto"/>
          <w:kern w:val="0"/>
          <w:sz w:val="24"/>
          <w:highlight w:val="none"/>
          <w:lang w:eastAsia="zh-CN"/>
        </w:rPr>
        <w:t>响应文件</w:t>
      </w:r>
      <w:r>
        <w:rPr>
          <w:rFonts w:hint="eastAsia" w:ascii="宋体" w:hAnsi="宋体"/>
          <w:color w:val="auto"/>
          <w:kern w:val="0"/>
          <w:sz w:val="24"/>
          <w:highlight w:val="none"/>
        </w:rPr>
        <w:t>在质量、服务等方面是否能满足</w:t>
      </w:r>
      <w:r>
        <w:rPr>
          <w:rFonts w:hint="eastAsia" w:ascii="宋体" w:hAnsi="宋体"/>
          <w:color w:val="auto"/>
          <w:kern w:val="0"/>
          <w:sz w:val="24"/>
          <w:highlight w:val="none"/>
          <w:lang w:eastAsia="zh-CN"/>
        </w:rPr>
        <w:t>竞争性磋商</w:t>
      </w:r>
      <w:r>
        <w:rPr>
          <w:rFonts w:hint="eastAsia" w:ascii="宋体" w:hAnsi="宋体"/>
          <w:color w:val="auto"/>
          <w:kern w:val="0"/>
          <w:sz w:val="24"/>
          <w:highlight w:val="none"/>
        </w:rPr>
        <w:t>文件实质性要求进行评审打分。</w:t>
      </w:r>
    </w:p>
    <w:p w14:paraId="2C39A016">
      <w:pPr>
        <w:autoSpaceDE w:val="0"/>
        <w:autoSpaceDN w:val="0"/>
        <w:spacing w:line="360" w:lineRule="auto"/>
        <w:ind w:firstLine="484" w:firstLineChars="202"/>
        <w:jc w:val="left"/>
        <w:rPr>
          <w:rFonts w:hint="eastAsia" w:ascii="宋体" w:hAnsi="宋体"/>
          <w:color w:val="auto"/>
          <w:kern w:val="0"/>
          <w:sz w:val="24"/>
          <w:highlight w:val="none"/>
        </w:rPr>
      </w:pPr>
      <w:r>
        <w:rPr>
          <w:rFonts w:hint="eastAsia" w:ascii="宋体" w:hAnsi="宋体"/>
          <w:color w:val="auto"/>
          <w:kern w:val="0"/>
          <w:sz w:val="24"/>
          <w:highlight w:val="none"/>
        </w:rPr>
        <w:t>6、 在资格性、符合性审查、技术评审中如出现下列情况之一的</w:t>
      </w:r>
      <w:r>
        <w:rPr>
          <w:rFonts w:hint="eastAsia" w:ascii="宋体" w:hAnsi="宋体"/>
          <w:color w:val="auto"/>
          <w:kern w:val="0"/>
          <w:sz w:val="24"/>
          <w:highlight w:val="none"/>
          <w:lang w:eastAsia="zh-CN"/>
        </w:rPr>
        <w:t>响应文件</w:t>
      </w:r>
      <w:r>
        <w:rPr>
          <w:rFonts w:hint="eastAsia" w:ascii="宋体" w:hAnsi="宋体"/>
          <w:color w:val="auto"/>
          <w:kern w:val="0"/>
          <w:sz w:val="24"/>
          <w:highlight w:val="none"/>
        </w:rPr>
        <w:t>，按无效</w:t>
      </w:r>
      <w:r>
        <w:rPr>
          <w:rFonts w:hint="eastAsia" w:ascii="宋体" w:hAnsi="宋体"/>
          <w:color w:val="auto"/>
          <w:kern w:val="0"/>
          <w:sz w:val="24"/>
          <w:highlight w:val="none"/>
          <w:lang w:eastAsia="zh-CN"/>
        </w:rPr>
        <w:t>响应文件</w:t>
      </w:r>
      <w:r>
        <w:rPr>
          <w:rFonts w:hint="eastAsia" w:ascii="宋体" w:hAnsi="宋体"/>
          <w:color w:val="auto"/>
          <w:kern w:val="0"/>
          <w:sz w:val="24"/>
          <w:highlight w:val="none"/>
        </w:rPr>
        <w:t>处理，不再进行磋商，磋商小组当场告知</w:t>
      </w:r>
      <w:r>
        <w:rPr>
          <w:rFonts w:hint="eastAsia" w:ascii="宋体" w:hAnsi="宋体"/>
          <w:color w:val="auto"/>
          <w:kern w:val="0"/>
          <w:sz w:val="24"/>
          <w:highlight w:val="none"/>
          <w:lang w:eastAsia="zh-CN"/>
        </w:rPr>
        <w:t>供应商</w:t>
      </w:r>
      <w:r>
        <w:rPr>
          <w:rFonts w:hint="eastAsia" w:ascii="宋体" w:hAnsi="宋体"/>
          <w:color w:val="auto"/>
          <w:kern w:val="0"/>
          <w:sz w:val="24"/>
          <w:highlight w:val="none"/>
        </w:rPr>
        <w:t>：</w:t>
      </w:r>
    </w:p>
    <w:p w14:paraId="5BCCB807">
      <w:pPr>
        <w:autoSpaceDE w:val="0"/>
        <w:autoSpaceDN w:val="0"/>
        <w:spacing w:line="360" w:lineRule="auto"/>
        <w:ind w:firstLine="484" w:firstLineChars="202"/>
        <w:jc w:val="left"/>
        <w:rPr>
          <w:rFonts w:hint="eastAsia" w:ascii="宋体" w:hAnsi="宋体"/>
          <w:color w:val="auto"/>
          <w:kern w:val="0"/>
          <w:sz w:val="24"/>
          <w:highlight w:val="none"/>
        </w:rPr>
      </w:pPr>
      <w:r>
        <w:rPr>
          <w:rFonts w:hint="eastAsia" w:ascii="宋体" w:hAnsi="宋体"/>
          <w:color w:val="auto"/>
          <w:kern w:val="0"/>
          <w:sz w:val="24"/>
          <w:highlight w:val="none"/>
        </w:rPr>
        <w:t>（一）</w:t>
      </w:r>
      <w:r>
        <w:rPr>
          <w:rFonts w:hint="eastAsia" w:ascii="宋体" w:hAnsi="宋体"/>
          <w:color w:val="auto"/>
          <w:kern w:val="0"/>
          <w:sz w:val="24"/>
          <w:highlight w:val="none"/>
          <w:lang w:eastAsia="zh-CN"/>
        </w:rPr>
        <w:t>响应文件</w:t>
      </w:r>
      <w:r>
        <w:rPr>
          <w:rFonts w:hint="eastAsia" w:ascii="宋体" w:hAnsi="宋体"/>
          <w:color w:val="auto"/>
          <w:kern w:val="0"/>
          <w:sz w:val="24"/>
          <w:highlight w:val="none"/>
        </w:rPr>
        <w:t>未按</w:t>
      </w:r>
      <w:r>
        <w:rPr>
          <w:rFonts w:hint="eastAsia" w:ascii="宋体" w:hAnsi="宋体"/>
          <w:color w:val="auto"/>
          <w:kern w:val="0"/>
          <w:sz w:val="24"/>
          <w:highlight w:val="none"/>
          <w:lang w:eastAsia="zh-CN"/>
        </w:rPr>
        <w:t>竞争性磋商</w:t>
      </w:r>
      <w:r>
        <w:rPr>
          <w:rFonts w:hint="eastAsia" w:ascii="宋体" w:hAnsi="宋体"/>
          <w:color w:val="auto"/>
          <w:kern w:val="0"/>
          <w:sz w:val="24"/>
          <w:highlight w:val="none"/>
        </w:rPr>
        <w:t>文件要求签署、盖章的；</w:t>
      </w:r>
    </w:p>
    <w:p w14:paraId="55324063">
      <w:pPr>
        <w:autoSpaceDE w:val="0"/>
        <w:autoSpaceDN w:val="0"/>
        <w:spacing w:line="360" w:lineRule="auto"/>
        <w:ind w:firstLine="484" w:firstLineChars="202"/>
        <w:jc w:val="left"/>
        <w:rPr>
          <w:rFonts w:hint="eastAsia" w:ascii="宋体" w:hAnsi="宋体"/>
          <w:color w:val="auto"/>
          <w:kern w:val="0"/>
          <w:sz w:val="24"/>
          <w:highlight w:val="none"/>
        </w:rPr>
      </w:pPr>
      <w:r>
        <w:rPr>
          <w:rFonts w:hint="eastAsia" w:ascii="宋体" w:hAnsi="宋体"/>
          <w:color w:val="auto"/>
          <w:kern w:val="0"/>
          <w:sz w:val="24"/>
          <w:highlight w:val="none"/>
        </w:rPr>
        <w:t>（二）不具备</w:t>
      </w:r>
      <w:r>
        <w:rPr>
          <w:rFonts w:hint="eastAsia" w:ascii="宋体" w:hAnsi="宋体"/>
          <w:color w:val="auto"/>
          <w:kern w:val="0"/>
          <w:sz w:val="24"/>
          <w:highlight w:val="none"/>
          <w:lang w:eastAsia="zh-CN"/>
        </w:rPr>
        <w:t>竞争性磋商</w:t>
      </w:r>
      <w:r>
        <w:rPr>
          <w:rFonts w:hint="eastAsia" w:ascii="宋体" w:hAnsi="宋体"/>
          <w:color w:val="auto"/>
          <w:kern w:val="0"/>
          <w:sz w:val="24"/>
          <w:highlight w:val="none"/>
        </w:rPr>
        <w:t>文件中规定的资格要求的；</w:t>
      </w:r>
    </w:p>
    <w:p w14:paraId="56BE72F7">
      <w:pPr>
        <w:autoSpaceDE w:val="0"/>
        <w:autoSpaceDN w:val="0"/>
        <w:spacing w:line="360" w:lineRule="auto"/>
        <w:ind w:firstLine="484" w:firstLineChars="202"/>
        <w:jc w:val="left"/>
        <w:rPr>
          <w:rFonts w:hint="eastAsia" w:ascii="宋体" w:hAnsi="宋体"/>
          <w:color w:val="auto"/>
          <w:kern w:val="0"/>
          <w:sz w:val="24"/>
          <w:highlight w:val="none"/>
        </w:rPr>
      </w:pPr>
      <w:r>
        <w:rPr>
          <w:rFonts w:hint="eastAsia" w:ascii="宋体" w:hAnsi="宋体"/>
          <w:color w:val="auto"/>
          <w:kern w:val="0"/>
          <w:sz w:val="24"/>
          <w:highlight w:val="none"/>
        </w:rPr>
        <w:t>（三）报价超过</w:t>
      </w:r>
      <w:r>
        <w:rPr>
          <w:rFonts w:hint="eastAsia" w:ascii="宋体" w:hAnsi="宋体"/>
          <w:color w:val="auto"/>
          <w:kern w:val="0"/>
          <w:sz w:val="24"/>
          <w:highlight w:val="none"/>
          <w:lang w:eastAsia="zh-CN"/>
        </w:rPr>
        <w:t>竞争性磋商</w:t>
      </w:r>
      <w:r>
        <w:rPr>
          <w:rFonts w:hint="eastAsia" w:ascii="宋体" w:hAnsi="宋体"/>
          <w:color w:val="auto"/>
          <w:kern w:val="0"/>
          <w:sz w:val="24"/>
          <w:highlight w:val="none"/>
        </w:rPr>
        <w:t>文件中规定的预算金额或者最高限价的；</w:t>
      </w:r>
    </w:p>
    <w:p w14:paraId="673FA326">
      <w:pPr>
        <w:autoSpaceDE w:val="0"/>
        <w:autoSpaceDN w:val="0"/>
        <w:spacing w:line="360" w:lineRule="auto"/>
        <w:ind w:firstLine="484" w:firstLineChars="202"/>
        <w:jc w:val="left"/>
        <w:rPr>
          <w:rFonts w:hint="eastAsia" w:ascii="宋体" w:hAnsi="宋体"/>
          <w:color w:val="auto"/>
          <w:kern w:val="0"/>
          <w:sz w:val="24"/>
          <w:highlight w:val="none"/>
        </w:rPr>
      </w:pPr>
      <w:r>
        <w:rPr>
          <w:rFonts w:hint="eastAsia" w:ascii="宋体" w:hAnsi="宋体"/>
          <w:color w:val="auto"/>
          <w:kern w:val="0"/>
          <w:sz w:val="24"/>
          <w:highlight w:val="none"/>
        </w:rPr>
        <w:t>（四）</w:t>
      </w:r>
      <w:r>
        <w:rPr>
          <w:rFonts w:hint="eastAsia" w:ascii="宋体" w:hAnsi="宋体"/>
          <w:color w:val="auto"/>
          <w:kern w:val="0"/>
          <w:sz w:val="24"/>
          <w:highlight w:val="none"/>
          <w:lang w:eastAsia="zh-CN"/>
        </w:rPr>
        <w:t>响应文件</w:t>
      </w:r>
      <w:r>
        <w:rPr>
          <w:rFonts w:hint="eastAsia" w:ascii="宋体" w:hAnsi="宋体"/>
          <w:color w:val="auto"/>
          <w:kern w:val="0"/>
          <w:sz w:val="24"/>
          <w:highlight w:val="none"/>
        </w:rPr>
        <w:t>含有</w:t>
      </w:r>
      <w:r>
        <w:rPr>
          <w:rFonts w:hint="eastAsia" w:ascii="宋体" w:hAnsi="宋体"/>
          <w:color w:val="auto"/>
          <w:kern w:val="0"/>
          <w:sz w:val="24"/>
          <w:highlight w:val="none"/>
          <w:lang w:eastAsia="zh-CN"/>
        </w:rPr>
        <w:t>采购人</w:t>
      </w:r>
      <w:r>
        <w:rPr>
          <w:rFonts w:hint="eastAsia" w:ascii="宋体" w:hAnsi="宋体"/>
          <w:color w:val="auto"/>
          <w:kern w:val="0"/>
          <w:sz w:val="24"/>
          <w:highlight w:val="none"/>
        </w:rPr>
        <w:t>不能接受的附加条件的;</w:t>
      </w:r>
    </w:p>
    <w:p w14:paraId="2D86731C">
      <w:pPr>
        <w:autoSpaceDE w:val="0"/>
        <w:autoSpaceDN w:val="0"/>
        <w:spacing w:line="360" w:lineRule="auto"/>
        <w:ind w:firstLine="484" w:firstLineChars="202"/>
        <w:jc w:val="left"/>
        <w:rPr>
          <w:rFonts w:hint="eastAsia" w:ascii="宋体" w:hAnsi="宋体"/>
          <w:color w:val="auto"/>
          <w:kern w:val="0"/>
          <w:sz w:val="24"/>
          <w:highlight w:val="none"/>
        </w:rPr>
      </w:pPr>
      <w:r>
        <w:rPr>
          <w:rFonts w:hint="eastAsia" w:ascii="宋体" w:hAnsi="宋体"/>
          <w:color w:val="auto"/>
          <w:kern w:val="0"/>
          <w:sz w:val="24"/>
          <w:highlight w:val="none"/>
        </w:rPr>
        <w:t>（五）法律、法规和</w:t>
      </w:r>
      <w:r>
        <w:rPr>
          <w:rFonts w:hint="eastAsia" w:ascii="宋体" w:hAnsi="宋体"/>
          <w:color w:val="auto"/>
          <w:kern w:val="0"/>
          <w:sz w:val="24"/>
          <w:highlight w:val="none"/>
          <w:lang w:eastAsia="zh-CN"/>
        </w:rPr>
        <w:t>竞争性磋商</w:t>
      </w:r>
      <w:r>
        <w:rPr>
          <w:rFonts w:hint="eastAsia" w:ascii="宋体" w:hAnsi="宋体"/>
          <w:color w:val="auto"/>
          <w:kern w:val="0"/>
          <w:sz w:val="24"/>
          <w:highlight w:val="none"/>
        </w:rPr>
        <w:t>文件规定的其他无效情形。</w:t>
      </w:r>
    </w:p>
    <w:p w14:paraId="1348D28C">
      <w:pPr>
        <w:autoSpaceDE w:val="0"/>
        <w:autoSpaceDN w:val="0"/>
        <w:spacing w:line="360" w:lineRule="auto"/>
        <w:ind w:firstLine="484" w:firstLineChars="202"/>
        <w:jc w:val="left"/>
        <w:rPr>
          <w:rFonts w:hint="eastAsia" w:ascii="宋体" w:hAnsi="宋体"/>
          <w:color w:val="auto"/>
          <w:kern w:val="0"/>
          <w:sz w:val="24"/>
          <w:highlight w:val="none"/>
        </w:rPr>
      </w:pPr>
      <w:r>
        <w:rPr>
          <w:rFonts w:hint="eastAsia" w:ascii="宋体" w:hAnsi="宋体"/>
          <w:color w:val="auto"/>
          <w:kern w:val="0"/>
          <w:sz w:val="24"/>
          <w:highlight w:val="none"/>
        </w:rPr>
        <w:t>7、磋商小组对通过资格性和符合性审查的</w:t>
      </w:r>
      <w:r>
        <w:rPr>
          <w:rFonts w:hint="eastAsia" w:ascii="宋体" w:hAnsi="宋体"/>
          <w:color w:val="auto"/>
          <w:kern w:val="0"/>
          <w:sz w:val="24"/>
          <w:highlight w:val="none"/>
          <w:lang w:eastAsia="zh-CN"/>
        </w:rPr>
        <w:t>响应文件</w:t>
      </w:r>
      <w:r>
        <w:rPr>
          <w:rFonts w:hint="eastAsia" w:ascii="宋体" w:hAnsi="宋体"/>
          <w:color w:val="auto"/>
          <w:kern w:val="0"/>
          <w:sz w:val="24"/>
          <w:highlight w:val="none"/>
        </w:rPr>
        <w:t>进行评估，确定与各</w:t>
      </w:r>
      <w:r>
        <w:rPr>
          <w:rFonts w:hint="eastAsia" w:ascii="宋体" w:hAnsi="宋体"/>
          <w:color w:val="auto"/>
          <w:kern w:val="0"/>
          <w:sz w:val="24"/>
          <w:highlight w:val="none"/>
          <w:lang w:eastAsia="zh-CN"/>
        </w:rPr>
        <w:t>供应商</w:t>
      </w:r>
      <w:r>
        <w:rPr>
          <w:rFonts w:hint="eastAsia" w:ascii="宋体" w:hAnsi="宋体"/>
          <w:color w:val="auto"/>
          <w:kern w:val="0"/>
          <w:sz w:val="24"/>
          <w:highlight w:val="none"/>
        </w:rPr>
        <w:t>磋商的具体内容。</w:t>
      </w:r>
    </w:p>
    <w:p w14:paraId="657A43AB">
      <w:pPr>
        <w:autoSpaceDE w:val="0"/>
        <w:autoSpaceDN w:val="0"/>
        <w:spacing w:line="360" w:lineRule="auto"/>
        <w:ind w:firstLine="484" w:firstLineChars="202"/>
        <w:jc w:val="left"/>
        <w:rPr>
          <w:rFonts w:hint="eastAsia" w:ascii="宋体" w:hAnsi="宋体"/>
          <w:color w:val="auto"/>
          <w:kern w:val="0"/>
          <w:sz w:val="24"/>
          <w:highlight w:val="none"/>
        </w:rPr>
      </w:pPr>
      <w:r>
        <w:rPr>
          <w:rFonts w:hint="eastAsia" w:ascii="宋体" w:hAnsi="宋体"/>
          <w:color w:val="auto"/>
          <w:kern w:val="0"/>
          <w:sz w:val="24"/>
          <w:highlight w:val="none"/>
        </w:rPr>
        <w:t>8、围绕磋商要点，对各</w:t>
      </w:r>
      <w:r>
        <w:rPr>
          <w:rFonts w:hint="eastAsia" w:ascii="宋体" w:hAnsi="宋体"/>
          <w:color w:val="auto"/>
          <w:kern w:val="0"/>
          <w:sz w:val="24"/>
          <w:highlight w:val="none"/>
          <w:lang w:eastAsia="zh-CN"/>
        </w:rPr>
        <w:t>供应商</w:t>
      </w:r>
      <w:r>
        <w:rPr>
          <w:rFonts w:hint="eastAsia" w:ascii="宋体" w:hAnsi="宋体"/>
          <w:color w:val="auto"/>
          <w:kern w:val="0"/>
          <w:sz w:val="24"/>
          <w:highlight w:val="none"/>
        </w:rPr>
        <w:t>磋商递交</w:t>
      </w:r>
      <w:r>
        <w:rPr>
          <w:rFonts w:hint="eastAsia" w:ascii="宋体" w:hAnsi="宋体"/>
          <w:color w:val="auto"/>
          <w:kern w:val="0"/>
          <w:sz w:val="24"/>
          <w:highlight w:val="none"/>
          <w:lang w:eastAsia="zh-CN"/>
        </w:rPr>
        <w:t>响应文件</w:t>
      </w:r>
      <w:r>
        <w:rPr>
          <w:rFonts w:hint="eastAsia" w:ascii="宋体" w:hAnsi="宋体"/>
          <w:color w:val="auto"/>
          <w:kern w:val="0"/>
          <w:sz w:val="24"/>
          <w:highlight w:val="none"/>
        </w:rPr>
        <w:t>的顺序进行磋商。</w:t>
      </w:r>
    </w:p>
    <w:p w14:paraId="38E68031">
      <w:pPr>
        <w:autoSpaceDE w:val="0"/>
        <w:autoSpaceDN w:val="0"/>
        <w:spacing w:line="360" w:lineRule="auto"/>
        <w:ind w:firstLine="484" w:firstLineChars="202"/>
        <w:jc w:val="left"/>
        <w:rPr>
          <w:rFonts w:hint="eastAsia" w:ascii="宋体" w:hAnsi="宋体"/>
          <w:color w:val="auto"/>
          <w:kern w:val="0"/>
          <w:sz w:val="24"/>
          <w:highlight w:val="none"/>
        </w:rPr>
      </w:pPr>
      <w:r>
        <w:rPr>
          <w:rFonts w:hint="eastAsia" w:ascii="宋体" w:hAnsi="宋体"/>
          <w:color w:val="auto"/>
          <w:kern w:val="0"/>
          <w:sz w:val="24"/>
          <w:highlight w:val="none"/>
        </w:rPr>
        <w:t>9、磋商过程中，磋商小组可以根据磋商情况实质性变动采购需求中的技术、服务要求以及合同草案条款，但不得变动</w:t>
      </w:r>
      <w:r>
        <w:rPr>
          <w:rFonts w:hint="eastAsia" w:ascii="宋体" w:hAnsi="宋体"/>
          <w:color w:val="auto"/>
          <w:kern w:val="0"/>
          <w:sz w:val="24"/>
          <w:highlight w:val="none"/>
          <w:lang w:eastAsia="zh-CN"/>
        </w:rPr>
        <w:t>竞争性磋商</w:t>
      </w:r>
      <w:r>
        <w:rPr>
          <w:rFonts w:hint="eastAsia" w:ascii="宋体" w:hAnsi="宋体"/>
          <w:color w:val="auto"/>
          <w:kern w:val="0"/>
          <w:sz w:val="24"/>
          <w:highlight w:val="none"/>
        </w:rPr>
        <w:t>文件中的其他内容。实质性变动的内容需经</w:t>
      </w:r>
      <w:r>
        <w:rPr>
          <w:rFonts w:hint="eastAsia" w:ascii="宋体" w:hAnsi="宋体"/>
          <w:color w:val="auto"/>
          <w:kern w:val="0"/>
          <w:sz w:val="24"/>
          <w:highlight w:val="none"/>
          <w:lang w:eastAsia="zh-CN"/>
        </w:rPr>
        <w:t>采购人</w:t>
      </w:r>
      <w:r>
        <w:rPr>
          <w:rFonts w:hint="eastAsia" w:ascii="宋体" w:hAnsi="宋体"/>
          <w:color w:val="auto"/>
          <w:kern w:val="0"/>
          <w:sz w:val="24"/>
          <w:highlight w:val="none"/>
        </w:rPr>
        <w:t>(业主)代表确认。并以书面形式通知所有参加磋商的</w:t>
      </w:r>
      <w:r>
        <w:rPr>
          <w:rFonts w:hint="eastAsia" w:ascii="宋体" w:hAnsi="宋体"/>
          <w:color w:val="auto"/>
          <w:kern w:val="0"/>
          <w:sz w:val="24"/>
          <w:highlight w:val="none"/>
          <w:lang w:eastAsia="zh-CN"/>
        </w:rPr>
        <w:t>供应商</w:t>
      </w:r>
      <w:r>
        <w:rPr>
          <w:rFonts w:hint="eastAsia" w:ascii="宋体" w:hAnsi="宋体"/>
          <w:color w:val="auto"/>
          <w:kern w:val="0"/>
          <w:sz w:val="24"/>
          <w:highlight w:val="none"/>
        </w:rPr>
        <w:t>，该变动是</w:t>
      </w:r>
      <w:r>
        <w:rPr>
          <w:rFonts w:hint="eastAsia" w:ascii="宋体" w:hAnsi="宋体"/>
          <w:color w:val="auto"/>
          <w:kern w:val="0"/>
          <w:sz w:val="24"/>
          <w:highlight w:val="none"/>
          <w:lang w:eastAsia="zh-CN"/>
        </w:rPr>
        <w:t>竞争性磋商</w:t>
      </w:r>
      <w:r>
        <w:rPr>
          <w:rFonts w:hint="eastAsia" w:ascii="宋体" w:hAnsi="宋体"/>
          <w:color w:val="auto"/>
          <w:kern w:val="0"/>
          <w:sz w:val="24"/>
          <w:highlight w:val="none"/>
        </w:rPr>
        <w:t>文件的有效组成部分。</w:t>
      </w:r>
      <w:r>
        <w:rPr>
          <w:rFonts w:hint="eastAsia" w:ascii="宋体" w:hAnsi="宋体"/>
          <w:color w:val="auto"/>
          <w:kern w:val="0"/>
          <w:sz w:val="24"/>
          <w:highlight w:val="none"/>
          <w:lang w:eastAsia="zh-CN"/>
        </w:rPr>
        <w:t>供应商</w:t>
      </w:r>
      <w:r>
        <w:rPr>
          <w:rFonts w:hint="eastAsia" w:ascii="宋体" w:hAnsi="宋体"/>
          <w:color w:val="auto"/>
          <w:kern w:val="0"/>
          <w:sz w:val="24"/>
          <w:highlight w:val="none"/>
        </w:rPr>
        <w:t>应当按照</w:t>
      </w:r>
      <w:r>
        <w:rPr>
          <w:rFonts w:hint="eastAsia" w:ascii="宋体" w:hAnsi="宋体"/>
          <w:color w:val="auto"/>
          <w:kern w:val="0"/>
          <w:sz w:val="24"/>
          <w:highlight w:val="none"/>
          <w:lang w:eastAsia="zh-CN"/>
        </w:rPr>
        <w:t>竞争性磋商</w:t>
      </w:r>
      <w:r>
        <w:rPr>
          <w:rFonts w:hint="eastAsia" w:ascii="宋体" w:hAnsi="宋体"/>
          <w:color w:val="auto"/>
          <w:kern w:val="0"/>
          <w:sz w:val="24"/>
          <w:highlight w:val="none"/>
        </w:rPr>
        <w:t>文件的变动情况和磋商小组的要求重新提交</w:t>
      </w:r>
      <w:r>
        <w:rPr>
          <w:rFonts w:hint="eastAsia" w:ascii="宋体" w:hAnsi="宋体"/>
          <w:color w:val="auto"/>
          <w:kern w:val="0"/>
          <w:sz w:val="24"/>
          <w:highlight w:val="none"/>
          <w:lang w:eastAsia="zh-CN"/>
        </w:rPr>
        <w:t>响应文件</w:t>
      </w:r>
      <w:r>
        <w:rPr>
          <w:rFonts w:hint="eastAsia" w:ascii="宋体" w:hAnsi="宋体"/>
          <w:color w:val="auto"/>
          <w:kern w:val="0"/>
          <w:sz w:val="24"/>
          <w:highlight w:val="none"/>
        </w:rPr>
        <w:t>并由其法定代表人或其授权代表签字或者加盖公章。由授权代表签字的应当附法定代表人授权书。</w:t>
      </w:r>
      <w:r>
        <w:rPr>
          <w:rFonts w:hint="eastAsia" w:ascii="宋体" w:hAnsi="宋体"/>
          <w:color w:val="auto"/>
          <w:kern w:val="0"/>
          <w:sz w:val="24"/>
          <w:highlight w:val="none"/>
          <w:lang w:eastAsia="zh-CN"/>
        </w:rPr>
        <w:t>供应商</w:t>
      </w:r>
      <w:r>
        <w:rPr>
          <w:rFonts w:hint="eastAsia" w:ascii="宋体" w:hAnsi="宋体"/>
          <w:color w:val="auto"/>
          <w:kern w:val="0"/>
          <w:sz w:val="24"/>
          <w:highlight w:val="none"/>
        </w:rPr>
        <w:t>为自然人的应当由本人签字并附身份证。</w:t>
      </w:r>
      <w:r>
        <w:rPr>
          <w:rFonts w:hint="eastAsia" w:ascii="宋体" w:hAnsi="宋体"/>
          <w:color w:val="auto"/>
          <w:kern w:val="0"/>
          <w:sz w:val="24"/>
          <w:highlight w:val="none"/>
          <w:lang w:eastAsia="zh-CN"/>
        </w:rPr>
        <w:t>供应商</w:t>
      </w:r>
      <w:r>
        <w:rPr>
          <w:rFonts w:hint="eastAsia" w:ascii="宋体" w:hAnsi="宋体"/>
          <w:color w:val="auto"/>
          <w:kern w:val="0"/>
          <w:sz w:val="24"/>
          <w:highlight w:val="none"/>
        </w:rPr>
        <w:t>应根据磋商小组的要求，以书面形式在规定时间内做出响应，未做出响应的</w:t>
      </w:r>
      <w:r>
        <w:rPr>
          <w:rFonts w:hint="eastAsia" w:ascii="宋体" w:hAnsi="宋体"/>
          <w:color w:val="auto"/>
          <w:kern w:val="0"/>
          <w:sz w:val="24"/>
          <w:highlight w:val="none"/>
          <w:lang w:eastAsia="zh-CN"/>
        </w:rPr>
        <w:t>响应文件</w:t>
      </w:r>
      <w:r>
        <w:rPr>
          <w:rFonts w:hint="eastAsia" w:ascii="宋体" w:hAnsi="宋体"/>
          <w:color w:val="auto"/>
          <w:kern w:val="0"/>
          <w:sz w:val="24"/>
          <w:highlight w:val="none"/>
        </w:rPr>
        <w:t>将被视为无效竞标。</w:t>
      </w:r>
    </w:p>
    <w:p w14:paraId="2642D44F">
      <w:pPr>
        <w:autoSpaceDE w:val="0"/>
        <w:autoSpaceDN w:val="0"/>
        <w:spacing w:line="360" w:lineRule="auto"/>
        <w:ind w:firstLine="484" w:firstLineChars="202"/>
        <w:jc w:val="left"/>
        <w:rPr>
          <w:rFonts w:hint="eastAsia" w:ascii="宋体" w:hAnsi="宋体"/>
          <w:color w:val="auto"/>
          <w:kern w:val="0"/>
          <w:sz w:val="24"/>
          <w:highlight w:val="none"/>
        </w:rPr>
      </w:pPr>
      <w:r>
        <w:rPr>
          <w:rFonts w:hint="eastAsia" w:ascii="宋体" w:hAnsi="宋体"/>
          <w:color w:val="auto"/>
          <w:kern w:val="0"/>
          <w:sz w:val="24"/>
          <w:highlight w:val="none"/>
        </w:rPr>
        <w:t>10、磋商结束后，磋商小组将在实质性响应</w:t>
      </w:r>
      <w:r>
        <w:rPr>
          <w:rFonts w:hint="eastAsia" w:ascii="宋体" w:hAnsi="宋体"/>
          <w:color w:val="auto"/>
          <w:kern w:val="0"/>
          <w:sz w:val="24"/>
          <w:highlight w:val="none"/>
          <w:lang w:eastAsia="zh-CN"/>
        </w:rPr>
        <w:t>竞争性磋商</w:t>
      </w:r>
      <w:r>
        <w:rPr>
          <w:rFonts w:hint="eastAsia" w:ascii="宋体" w:hAnsi="宋体"/>
          <w:color w:val="auto"/>
          <w:kern w:val="0"/>
          <w:sz w:val="24"/>
          <w:highlight w:val="none"/>
        </w:rPr>
        <w:t>文件的</w:t>
      </w:r>
      <w:r>
        <w:rPr>
          <w:rFonts w:hint="eastAsia" w:ascii="宋体" w:hAnsi="宋体"/>
          <w:color w:val="auto"/>
          <w:kern w:val="0"/>
          <w:sz w:val="24"/>
          <w:highlight w:val="none"/>
          <w:lang w:eastAsia="zh-CN"/>
        </w:rPr>
        <w:t>供应商</w:t>
      </w:r>
      <w:r>
        <w:rPr>
          <w:rFonts w:hint="eastAsia" w:ascii="宋体" w:hAnsi="宋体"/>
          <w:color w:val="auto"/>
          <w:kern w:val="0"/>
          <w:sz w:val="24"/>
          <w:highlight w:val="none"/>
        </w:rPr>
        <w:t>中，按少数服从多数的原则推荐3名</w:t>
      </w:r>
      <w:r>
        <w:rPr>
          <w:rFonts w:hint="eastAsia" w:ascii="宋体" w:hAnsi="宋体"/>
          <w:color w:val="auto"/>
          <w:kern w:val="0"/>
          <w:sz w:val="24"/>
          <w:highlight w:val="none"/>
          <w:lang w:eastAsia="zh-CN"/>
        </w:rPr>
        <w:t>供应商</w:t>
      </w:r>
      <w:r>
        <w:rPr>
          <w:rFonts w:hint="eastAsia" w:ascii="宋体" w:hAnsi="宋体"/>
          <w:color w:val="auto"/>
          <w:kern w:val="0"/>
          <w:sz w:val="24"/>
          <w:highlight w:val="none"/>
        </w:rPr>
        <w:t>，经</w:t>
      </w:r>
      <w:r>
        <w:rPr>
          <w:rFonts w:hint="eastAsia" w:ascii="宋体" w:hAnsi="宋体"/>
          <w:color w:val="auto"/>
          <w:kern w:val="0"/>
          <w:sz w:val="24"/>
          <w:highlight w:val="none"/>
          <w:lang w:eastAsia="zh-CN"/>
        </w:rPr>
        <w:t>采购人</w:t>
      </w:r>
      <w:r>
        <w:rPr>
          <w:rFonts w:hint="eastAsia" w:ascii="宋体" w:hAnsi="宋体"/>
          <w:color w:val="auto"/>
          <w:kern w:val="0"/>
          <w:sz w:val="24"/>
          <w:highlight w:val="none"/>
        </w:rPr>
        <w:t>同意并确定采购项目最终解决方案。</w:t>
      </w:r>
    </w:p>
    <w:p w14:paraId="59986F28">
      <w:pPr>
        <w:autoSpaceDE w:val="0"/>
        <w:autoSpaceDN w:val="0"/>
        <w:spacing w:line="360" w:lineRule="auto"/>
        <w:ind w:firstLine="484" w:firstLineChars="202"/>
        <w:jc w:val="left"/>
        <w:rPr>
          <w:rFonts w:hint="eastAsia" w:ascii="宋体" w:hAnsi="宋体"/>
          <w:color w:val="auto"/>
          <w:kern w:val="0"/>
          <w:sz w:val="24"/>
          <w:highlight w:val="none"/>
        </w:rPr>
      </w:pPr>
      <w:r>
        <w:rPr>
          <w:rFonts w:hint="eastAsia" w:ascii="宋体" w:hAnsi="宋体"/>
          <w:color w:val="auto"/>
          <w:kern w:val="0"/>
          <w:sz w:val="24"/>
          <w:highlight w:val="none"/>
        </w:rPr>
        <w:t>11、经磋商确定最终采购需求，由磋商小组采用综合评分法对通过初步评审的有效</w:t>
      </w:r>
      <w:r>
        <w:rPr>
          <w:rFonts w:hint="eastAsia" w:ascii="宋体" w:hAnsi="宋体"/>
          <w:color w:val="auto"/>
          <w:kern w:val="0"/>
          <w:sz w:val="24"/>
          <w:highlight w:val="none"/>
          <w:lang w:eastAsia="zh-CN"/>
        </w:rPr>
        <w:t>供应商</w:t>
      </w:r>
      <w:r>
        <w:rPr>
          <w:rFonts w:hint="eastAsia" w:ascii="宋体" w:hAnsi="宋体"/>
          <w:color w:val="auto"/>
          <w:kern w:val="0"/>
          <w:sz w:val="24"/>
          <w:highlight w:val="none"/>
        </w:rPr>
        <w:t>的</w:t>
      </w:r>
      <w:r>
        <w:rPr>
          <w:rFonts w:hint="eastAsia" w:ascii="宋体" w:hAnsi="宋体"/>
          <w:color w:val="auto"/>
          <w:kern w:val="0"/>
          <w:sz w:val="24"/>
          <w:highlight w:val="none"/>
          <w:lang w:eastAsia="zh-CN"/>
        </w:rPr>
        <w:t>响应文件</w:t>
      </w:r>
      <w:r>
        <w:rPr>
          <w:rFonts w:hint="eastAsia" w:ascii="宋体" w:hAnsi="宋体"/>
          <w:color w:val="auto"/>
          <w:kern w:val="0"/>
          <w:sz w:val="24"/>
          <w:highlight w:val="none"/>
        </w:rPr>
        <w:t>进行综合评分。</w:t>
      </w:r>
    </w:p>
    <w:bookmarkEnd w:id="106"/>
    <w:p w14:paraId="066C27EF">
      <w:pPr>
        <w:pStyle w:val="27"/>
        <w:rPr>
          <w:rFonts w:ascii="宋体" w:hAnsi="宋体" w:eastAsia="宋体"/>
          <w:color w:val="auto"/>
          <w:kern w:val="0"/>
          <w:sz w:val="28"/>
          <w:szCs w:val="36"/>
          <w:highlight w:val="none"/>
        </w:rPr>
      </w:pPr>
      <w:bookmarkStart w:id="107" w:name="_Toc22467"/>
      <w:bookmarkEnd w:id="107"/>
      <w:bookmarkStart w:id="108" w:name="_Toc438797204"/>
      <w:bookmarkEnd w:id="108"/>
      <w:bookmarkStart w:id="109" w:name="_Toc438797969"/>
      <w:bookmarkEnd w:id="109"/>
      <w:r>
        <w:rPr>
          <w:rFonts w:ascii="宋体" w:hAnsi="宋体" w:eastAsia="宋体"/>
          <w:color w:val="auto"/>
          <w:kern w:val="0"/>
          <w:sz w:val="28"/>
          <w:szCs w:val="36"/>
          <w:highlight w:val="none"/>
        </w:rPr>
        <w:t xml:space="preserve">6. </w:t>
      </w:r>
      <w:r>
        <w:rPr>
          <w:rFonts w:hint="eastAsia" w:ascii="宋体" w:hAnsi="宋体" w:eastAsia="宋体"/>
          <w:color w:val="auto"/>
          <w:kern w:val="0"/>
          <w:sz w:val="28"/>
          <w:szCs w:val="36"/>
          <w:highlight w:val="none"/>
        </w:rPr>
        <w:t>详细磋商</w:t>
      </w:r>
    </w:p>
    <w:p w14:paraId="1E3D454B">
      <w:pPr>
        <w:rPr>
          <w:b/>
          <w:color w:val="auto"/>
          <w:kern w:val="0"/>
          <w:sz w:val="24"/>
          <w:szCs w:val="28"/>
          <w:highlight w:val="none"/>
        </w:rPr>
      </w:pPr>
      <w:bookmarkStart w:id="110" w:name="_Toc438797205"/>
      <w:bookmarkEnd w:id="110"/>
      <w:bookmarkStart w:id="111" w:name="_Toc438797970"/>
      <w:bookmarkEnd w:id="111"/>
      <w:bookmarkStart w:id="112" w:name="_Toc391284767"/>
      <w:bookmarkEnd w:id="112"/>
      <w:r>
        <w:rPr>
          <w:b/>
          <w:color w:val="auto"/>
          <w:kern w:val="0"/>
          <w:sz w:val="24"/>
          <w:szCs w:val="28"/>
          <w:highlight w:val="none"/>
        </w:rPr>
        <w:t xml:space="preserve">6.1 </w:t>
      </w:r>
      <w:r>
        <w:rPr>
          <w:rFonts w:hint="eastAsia"/>
          <w:b/>
          <w:color w:val="auto"/>
          <w:kern w:val="0"/>
          <w:sz w:val="24"/>
          <w:szCs w:val="28"/>
          <w:highlight w:val="none"/>
        </w:rPr>
        <w:t>磋商小组</w:t>
      </w:r>
    </w:p>
    <w:p w14:paraId="2EF58DEF">
      <w:pPr>
        <w:autoSpaceDE w:val="0"/>
        <w:autoSpaceDN w:val="0"/>
        <w:spacing w:line="360" w:lineRule="auto"/>
        <w:ind w:firstLine="484" w:firstLineChars="202"/>
        <w:jc w:val="left"/>
        <w:rPr>
          <w:rFonts w:ascii="宋体" w:hAnsi="宋体"/>
          <w:color w:val="auto"/>
          <w:kern w:val="0"/>
          <w:sz w:val="24"/>
          <w:highlight w:val="none"/>
        </w:rPr>
      </w:pPr>
      <w:r>
        <w:rPr>
          <w:rFonts w:ascii="宋体" w:hAnsi="宋体"/>
          <w:color w:val="auto"/>
          <w:kern w:val="0"/>
          <w:sz w:val="24"/>
          <w:highlight w:val="none"/>
        </w:rPr>
        <w:t>6.1.1</w:t>
      </w:r>
      <w:r>
        <w:rPr>
          <w:rFonts w:hint="eastAsia" w:ascii="宋体" w:hAnsi="宋体"/>
          <w:color w:val="auto"/>
          <w:kern w:val="0"/>
          <w:sz w:val="24"/>
          <w:highlight w:val="none"/>
        </w:rPr>
        <w:t>磋商小组将依法组建。</w:t>
      </w:r>
    </w:p>
    <w:p w14:paraId="0FE97B08">
      <w:pPr>
        <w:autoSpaceDE w:val="0"/>
        <w:autoSpaceDN w:val="0"/>
        <w:spacing w:line="360" w:lineRule="auto"/>
        <w:ind w:firstLine="484" w:firstLineChars="202"/>
        <w:jc w:val="left"/>
        <w:rPr>
          <w:rFonts w:ascii="宋体" w:hAnsi="宋体"/>
          <w:color w:val="auto"/>
          <w:kern w:val="0"/>
          <w:sz w:val="24"/>
          <w:highlight w:val="none"/>
        </w:rPr>
      </w:pPr>
      <w:r>
        <w:rPr>
          <w:rFonts w:ascii="宋体" w:hAnsi="宋体"/>
          <w:color w:val="auto"/>
          <w:kern w:val="0"/>
          <w:sz w:val="24"/>
          <w:highlight w:val="none"/>
        </w:rPr>
        <w:t xml:space="preserve">6.1.2 </w:t>
      </w:r>
      <w:r>
        <w:rPr>
          <w:rFonts w:hint="eastAsia" w:ascii="宋体" w:hAnsi="宋体"/>
          <w:color w:val="auto"/>
          <w:kern w:val="0"/>
          <w:sz w:val="24"/>
          <w:highlight w:val="none"/>
        </w:rPr>
        <w:t>磋商小组成员有下列情形之一的，应当回避：</w:t>
      </w:r>
    </w:p>
    <w:p w14:paraId="55637894">
      <w:pPr>
        <w:autoSpaceDE w:val="0"/>
        <w:autoSpaceDN w:val="0"/>
        <w:spacing w:line="360" w:lineRule="auto"/>
        <w:ind w:firstLine="484" w:firstLineChars="202"/>
        <w:jc w:val="left"/>
        <w:rPr>
          <w:rFonts w:hint="eastAsia" w:ascii="宋体" w:hAnsi="宋体"/>
          <w:color w:val="auto"/>
          <w:kern w:val="0"/>
          <w:sz w:val="24"/>
          <w:highlight w:val="none"/>
        </w:rPr>
      </w:pPr>
      <w:r>
        <w:rPr>
          <w:rFonts w:hint="eastAsia" w:ascii="宋体" w:hAnsi="宋体"/>
          <w:color w:val="auto"/>
          <w:kern w:val="0"/>
          <w:sz w:val="24"/>
          <w:highlight w:val="none"/>
        </w:rPr>
        <w:t>（</w:t>
      </w:r>
      <w:r>
        <w:rPr>
          <w:rFonts w:ascii="宋体" w:hAnsi="宋体"/>
          <w:color w:val="auto"/>
          <w:kern w:val="0"/>
          <w:sz w:val="24"/>
          <w:highlight w:val="none"/>
        </w:rPr>
        <w:t>1</w:t>
      </w:r>
      <w:r>
        <w:rPr>
          <w:rFonts w:hint="eastAsia" w:ascii="宋体" w:hAnsi="宋体"/>
          <w:color w:val="auto"/>
          <w:kern w:val="0"/>
          <w:sz w:val="24"/>
          <w:highlight w:val="none"/>
        </w:rPr>
        <w:t>）</w:t>
      </w:r>
      <w:r>
        <w:rPr>
          <w:rFonts w:hint="eastAsia" w:ascii="宋体" w:hAnsi="宋体"/>
          <w:color w:val="auto"/>
          <w:kern w:val="0"/>
          <w:sz w:val="24"/>
          <w:highlight w:val="none"/>
          <w:lang w:eastAsia="zh-CN"/>
        </w:rPr>
        <w:t>采购人</w:t>
      </w:r>
      <w:r>
        <w:rPr>
          <w:rFonts w:hint="eastAsia" w:ascii="宋体" w:hAnsi="宋体"/>
          <w:color w:val="auto"/>
          <w:kern w:val="0"/>
          <w:sz w:val="24"/>
          <w:highlight w:val="none"/>
        </w:rPr>
        <w:t>或</w:t>
      </w:r>
      <w:r>
        <w:rPr>
          <w:rFonts w:hint="eastAsia" w:ascii="宋体" w:hAnsi="宋体"/>
          <w:color w:val="auto"/>
          <w:kern w:val="0"/>
          <w:sz w:val="24"/>
          <w:highlight w:val="none"/>
          <w:lang w:eastAsia="zh-CN"/>
        </w:rPr>
        <w:t>供应商</w:t>
      </w:r>
      <w:r>
        <w:rPr>
          <w:rFonts w:hint="eastAsia" w:ascii="宋体" w:hAnsi="宋体"/>
          <w:color w:val="auto"/>
          <w:kern w:val="0"/>
          <w:sz w:val="24"/>
          <w:highlight w:val="none"/>
        </w:rPr>
        <w:t>的主要负责人的近亲属；</w:t>
      </w:r>
    </w:p>
    <w:p w14:paraId="1E75B0B9">
      <w:pPr>
        <w:autoSpaceDE w:val="0"/>
        <w:autoSpaceDN w:val="0"/>
        <w:spacing w:line="360" w:lineRule="auto"/>
        <w:ind w:firstLine="484" w:firstLineChars="202"/>
        <w:jc w:val="left"/>
        <w:rPr>
          <w:rFonts w:hint="eastAsia" w:ascii="宋体" w:hAnsi="宋体"/>
          <w:color w:val="auto"/>
          <w:kern w:val="0"/>
          <w:sz w:val="24"/>
          <w:highlight w:val="none"/>
        </w:rPr>
      </w:pPr>
      <w:r>
        <w:rPr>
          <w:rFonts w:hint="eastAsia" w:ascii="宋体" w:hAnsi="宋体"/>
          <w:color w:val="auto"/>
          <w:kern w:val="0"/>
          <w:sz w:val="24"/>
          <w:highlight w:val="none"/>
        </w:rPr>
        <w:t>（</w:t>
      </w:r>
      <w:r>
        <w:rPr>
          <w:rFonts w:ascii="宋体" w:hAnsi="宋体"/>
          <w:color w:val="auto"/>
          <w:kern w:val="0"/>
          <w:sz w:val="24"/>
          <w:highlight w:val="none"/>
        </w:rPr>
        <w:t>2</w:t>
      </w:r>
      <w:r>
        <w:rPr>
          <w:rFonts w:hint="eastAsia" w:ascii="宋体" w:hAnsi="宋体"/>
          <w:color w:val="auto"/>
          <w:kern w:val="0"/>
          <w:sz w:val="24"/>
          <w:highlight w:val="none"/>
        </w:rPr>
        <w:t>）项目主管部门或者行政监督部门的人员；</w:t>
      </w:r>
    </w:p>
    <w:p w14:paraId="6D210589">
      <w:pPr>
        <w:autoSpaceDE w:val="0"/>
        <w:autoSpaceDN w:val="0"/>
        <w:spacing w:line="360" w:lineRule="auto"/>
        <w:ind w:firstLine="484" w:firstLineChars="202"/>
        <w:jc w:val="left"/>
        <w:rPr>
          <w:rFonts w:hint="eastAsia" w:ascii="宋体" w:hAnsi="宋体"/>
          <w:color w:val="auto"/>
          <w:kern w:val="0"/>
          <w:sz w:val="24"/>
          <w:highlight w:val="none"/>
        </w:rPr>
      </w:pPr>
      <w:r>
        <w:rPr>
          <w:rFonts w:hint="eastAsia" w:ascii="宋体" w:hAnsi="宋体"/>
          <w:color w:val="auto"/>
          <w:kern w:val="0"/>
          <w:sz w:val="24"/>
          <w:highlight w:val="none"/>
        </w:rPr>
        <w:t>（</w:t>
      </w:r>
      <w:r>
        <w:rPr>
          <w:rFonts w:ascii="宋体" w:hAnsi="宋体"/>
          <w:color w:val="auto"/>
          <w:kern w:val="0"/>
          <w:sz w:val="24"/>
          <w:highlight w:val="none"/>
        </w:rPr>
        <w:t>3</w:t>
      </w:r>
      <w:r>
        <w:rPr>
          <w:rFonts w:hint="eastAsia" w:ascii="宋体" w:hAnsi="宋体"/>
          <w:color w:val="auto"/>
          <w:kern w:val="0"/>
          <w:sz w:val="24"/>
          <w:highlight w:val="none"/>
        </w:rPr>
        <w:t>）与</w:t>
      </w:r>
      <w:r>
        <w:rPr>
          <w:rFonts w:hint="eastAsia" w:ascii="宋体" w:hAnsi="宋体"/>
          <w:color w:val="auto"/>
          <w:kern w:val="0"/>
          <w:sz w:val="24"/>
          <w:highlight w:val="none"/>
          <w:lang w:eastAsia="zh-CN"/>
        </w:rPr>
        <w:t>供应商</w:t>
      </w:r>
      <w:r>
        <w:rPr>
          <w:rFonts w:hint="eastAsia" w:ascii="宋体" w:hAnsi="宋体"/>
          <w:color w:val="auto"/>
          <w:kern w:val="0"/>
          <w:sz w:val="24"/>
          <w:highlight w:val="none"/>
        </w:rPr>
        <w:t>有经济利益关系，可能影响对竞标公正评审的；</w:t>
      </w:r>
    </w:p>
    <w:p w14:paraId="2726F063">
      <w:pPr>
        <w:autoSpaceDE w:val="0"/>
        <w:autoSpaceDN w:val="0"/>
        <w:spacing w:line="360" w:lineRule="auto"/>
        <w:ind w:firstLine="484" w:firstLineChars="202"/>
        <w:jc w:val="left"/>
        <w:rPr>
          <w:rFonts w:hint="eastAsia" w:ascii="宋体" w:hAnsi="宋体"/>
          <w:color w:val="auto"/>
          <w:kern w:val="0"/>
          <w:sz w:val="24"/>
          <w:highlight w:val="none"/>
        </w:rPr>
      </w:pPr>
      <w:r>
        <w:rPr>
          <w:rFonts w:hint="eastAsia" w:ascii="宋体" w:hAnsi="宋体"/>
          <w:color w:val="auto"/>
          <w:kern w:val="0"/>
          <w:sz w:val="24"/>
          <w:highlight w:val="none"/>
        </w:rPr>
        <w:t>（</w:t>
      </w:r>
      <w:r>
        <w:rPr>
          <w:rFonts w:ascii="宋体" w:hAnsi="宋体"/>
          <w:color w:val="auto"/>
          <w:kern w:val="0"/>
          <w:sz w:val="24"/>
          <w:highlight w:val="none"/>
        </w:rPr>
        <w:t>4</w:t>
      </w:r>
      <w:r>
        <w:rPr>
          <w:rFonts w:hint="eastAsia" w:ascii="宋体" w:hAnsi="宋体"/>
          <w:color w:val="auto"/>
          <w:kern w:val="0"/>
          <w:sz w:val="24"/>
          <w:highlight w:val="none"/>
        </w:rPr>
        <w:t>）曾因在招标采购、评审以及其他与采购有关活动中从事违法行为而受过行政处罚或刑事处罚的。</w:t>
      </w:r>
    </w:p>
    <w:p w14:paraId="5FA18F93">
      <w:pPr>
        <w:rPr>
          <w:b/>
          <w:color w:val="auto"/>
          <w:kern w:val="0"/>
          <w:sz w:val="24"/>
          <w:szCs w:val="28"/>
          <w:highlight w:val="none"/>
        </w:rPr>
      </w:pPr>
      <w:bookmarkStart w:id="113" w:name="_Toc438797206"/>
      <w:bookmarkEnd w:id="113"/>
      <w:bookmarkStart w:id="114" w:name="_Toc391284768"/>
      <w:bookmarkEnd w:id="114"/>
      <w:bookmarkStart w:id="115" w:name="_Toc438797971"/>
      <w:bookmarkEnd w:id="115"/>
      <w:r>
        <w:rPr>
          <w:b/>
          <w:color w:val="auto"/>
          <w:kern w:val="0"/>
          <w:sz w:val="24"/>
          <w:szCs w:val="28"/>
          <w:highlight w:val="none"/>
        </w:rPr>
        <w:t>6.2</w:t>
      </w:r>
      <w:r>
        <w:rPr>
          <w:rFonts w:hint="eastAsia"/>
          <w:b/>
          <w:color w:val="auto"/>
          <w:kern w:val="0"/>
          <w:sz w:val="24"/>
          <w:szCs w:val="28"/>
          <w:highlight w:val="none"/>
        </w:rPr>
        <w:t>磋商原则</w:t>
      </w:r>
    </w:p>
    <w:p w14:paraId="461104D0">
      <w:pPr>
        <w:autoSpaceDE w:val="0"/>
        <w:autoSpaceDN w:val="0"/>
        <w:spacing w:line="360" w:lineRule="auto"/>
        <w:ind w:firstLine="484" w:firstLineChars="202"/>
        <w:jc w:val="left"/>
        <w:rPr>
          <w:rFonts w:hint="eastAsia" w:ascii="宋体" w:hAnsi="宋体"/>
          <w:color w:val="auto"/>
          <w:kern w:val="0"/>
          <w:sz w:val="24"/>
          <w:highlight w:val="none"/>
        </w:rPr>
      </w:pPr>
      <w:r>
        <w:rPr>
          <w:rFonts w:hint="eastAsia" w:ascii="宋体" w:hAnsi="宋体"/>
          <w:color w:val="auto"/>
          <w:kern w:val="0"/>
          <w:sz w:val="24"/>
          <w:highlight w:val="none"/>
        </w:rPr>
        <w:t>磋商活动遵循公平、公正、科学和择优的原则。</w:t>
      </w:r>
    </w:p>
    <w:p w14:paraId="4FBAFD0F">
      <w:pPr>
        <w:rPr>
          <w:rFonts w:hint="eastAsia"/>
          <w:b/>
          <w:color w:val="auto"/>
          <w:kern w:val="0"/>
          <w:sz w:val="24"/>
          <w:szCs w:val="28"/>
          <w:highlight w:val="none"/>
        </w:rPr>
      </w:pPr>
      <w:r>
        <w:rPr>
          <w:rFonts w:hint="eastAsia"/>
          <w:b/>
          <w:color w:val="auto"/>
          <w:kern w:val="0"/>
          <w:sz w:val="24"/>
          <w:szCs w:val="28"/>
          <w:highlight w:val="none"/>
        </w:rPr>
        <w:t>6.3最后报价</w:t>
      </w:r>
    </w:p>
    <w:p w14:paraId="12569449">
      <w:pPr>
        <w:snapToGrid w:val="0"/>
        <w:spacing w:line="440" w:lineRule="exact"/>
        <w:ind w:firstLine="450"/>
        <w:rPr>
          <w:b/>
          <w:color w:val="auto"/>
          <w:kern w:val="0"/>
          <w:sz w:val="24"/>
          <w:szCs w:val="28"/>
          <w:highlight w:val="none"/>
        </w:rPr>
      </w:pPr>
      <w:r>
        <w:rPr>
          <w:rFonts w:hint="eastAsia" w:ascii="宋体" w:hAnsi="宋体"/>
          <w:color w:val="auto"/>
          <w:sz w:val="24"/>
          <w:highlight w:val="none"/>
          <w:lang w:eastAsia="zh-CN"/>
        </w:rPr>
        <w:t>竞争性磋商</w:t>
      </w:r>
      <w:r>
        <w:rPr>
          <w:rFonts w:hint="eastAsia" w:ascii="宋体" w:hAnsi="宋体"/>
          <w:color w:val="auto"/>
          <w:sz w:val="24"/>
          <w:highlight w:val="none"/>
        </w:rPr>
        <w:t>文件初步审查通过，磋商结束后，磋商小组应当要求所有实质性</w:t>
      </w:r>
      <w:r>
        <w:rPr>
          <w:rFonts w:hint="eastAsia" w:ascii="宋体" w:hAnsi="宋体"/>
          <w:color w:val="auto"/>
          <w:sz w:val="24"/>
          <w:highlight w:val="none"/>
          <w:lang w:eastAsia="zh-CN"/>
        </w:rPr>
        <w:t>投标</w:t>
      </w:r>
      <w:r>
        <w:rPr>
          <w:rFonts w:hint="eastAsia" w:ascii="宋体" w:hAnsi="宋体"/>
          <w:color w:val="auto"/>
          <w:sz w:val="24"/>
          <w:highlight w:val="none"/>
        </w:rPr>
        <w:t>的</w:t>
      </w:r>
      <w:r>
        <w:rPr>
          <w:rFonts w:hint="eastAsia" w:ascii="宋体" w:hAnsi="宋体"/>
          <w:color w:val="auto"/>
          <w:sz w:val="24"/>
          <w:highlight w:val="none"/>
          <w:lang w:eastAsia="zh-CN"/>
        </w:rPr>
        <w:t>供应商</w:t>
      </w:r>
      <w:r>
        <w:rPr>
          <w:rFonts w:hint="eastAsia" w:ascii="宋体" w:hAnsi="宋体"/>
          <w:color w:val="auto"/>
          <w:sz w:val="24"/>
          <w:highlight w:val="none"/>
        </w:rPr>
        <w:t>在规定时间内提交最后报价。</w:t>
      </w:r>
      <w:r>
        <w:rPr>
          <w:rFonts w:hint="eastAsia" w:ascii="宋体" w:hAnsi="宋体"/>
          <w:b/>
          <w:bCs/>
          <w:color w:val="auto"/>
          <w:sz w:val="24"/>
          <w:highlight w:val="none"/>
        </w:rPr>
        <w:t>【注：1、最终报价不得超出招标控制价；2、最终报价明显低于成本价的，</w:t>
      </w:r>
      <w:r>
        <w:rPr>
          <w:rFonts w:hint="eastAsia" w:ascii="宋体" w:hAnsi="宋体"/>
          <w:b/>
          <w:bCs/>
          <w:color w:val="auto"/>
          <w:sz w:val="24"/>
          <w:highlight w:val="none"/>
          <w:lang w:eastAsia="zh-CN"/>
        </w:rPr>
        <w:t>供应商</w:t>
      </w:r>
      <w:r>
        <w:rPr>
          <w:rFonts w:hint="eastAsia" w:ascii="宋体" w:hAnsi="宋体"/>
          <w:b/>
          <w:bCs/>
          <w:color w:val="auto"/>
          <w:sz w:val="24"/>
          <w:highlight w:val="none"/>
        </w:rPr>
        <w:t>需做出合理说明，否则将承担不被接受的风险】</w:t>
      </w:r>
      <w:r>
        <w:rPr>
          <w:rFonts w:hint="eastAsia" w:ascii="宋体" w:hAnsi="宋体"/>
          <w:color w:val="auto"/>
          <w:sz w:val="24"/>
          <w:highlight w:val="none"/>
        </w:rPr>
        <w:t>。</w:t>
      </w:r>
      <w:bookmarkStart w:id="116" w:name="_Toc438797972"/>
      <w:bookmarkStart w:id="117" w:name="_Toc391284769"/>
      <w:bookmarkStart w:id="118" w:name="_Toc438797207"/>
    </w:p>
    <w:bookmarkEnd w:id="116"/>
    <w:bookmarkEnd w:id="117"/>
    <w:bookmarkEnd w:id="118"/>
    <w:p w14:paraId="1062D30E">
      <w:pPr>
        <w:rPr>
          <w:b/>
          <w:color w:val="auto"/>
          <w:kern w:val="0"/>
          <w:sz w:val="24"/>
          <w:szCs w:val="28"/>
          <w:highlight w:val="none"/>
        </w:rPr>
      </w:pPr>
      <w:r>
        <w:rPr>
          <w:b/>
          <w:color w:val="auto"/>
          <w:kern w:val="0"/>
          <w:sz w:val="24"/>
          <w:szCs w:val="28"/>
          <w:highlight w:val="none"/>
        </w:rPr>
        <w:t>6.</w:t>
      </w:r>
      <w:r>
        <w:rPr>
          <w:rFonts w:hint="eastAsia"/>
          <w:b/>
          <w:color w:val="auto"/>
          <w:kern w:val="0"/>
          <w:sz w:val="24"/>
          <w:szCs w:val="28"/>
          <w:highlight w:val="none"/>
        </w:rPr>
        <w:t>4综合评分</w:t>
      </w:r>
    </w:p>
    <w:p w14:paraId="7BEE74CE">
      <w:pPr>
        <w:autoSpaceDE w:val="0"/>
        <w:autoSpaceDN w:val="0"/>
        <w:spacing w:line="360" w:lineRule="auto"/>
        <w:ind w:firstLine="480" w:firstLineChars="200"/>
        <w:jc w:val="left"/>
        <w:rPr>
          <w:rFonts w:ascii="宋体" w:hAnsi="宋体"/>
          <w:color w:val="auto"/>
          <w:sz w:val="24"/>
          <w:highlight w:val="none"/>
        </w:rPr>
      </w:pPr>
      <w:r>
        <w:rPr>
          <w:rFonts w:ascii="宋体" w:hAnsi="宋体"/>
          <w:color w:val="auto"/>
          <w:sz w:val="24"/>
          <w:highlight w:val="none"/>
        </w:rPr>
        <w:t>由磋商小组采用综合评分法对提交最</w:t>
      </w:r>
      <w:r>
        <w:rPr>
          <w:rFonts w:hint="eastAsia" w:ascii="宋体" w:hAnsi="宋体"/>
          <w:color w:val="auto"/>
          <w:sz w:val="24"/>
          <w:highlight w:val="none"/>
        </w:rPr>
        <w:t>后</w:t>
      </w:r>
      <w:r>
        <w:rPr>
          <w:rFonts w:ascii="宋体" w:hAnsi="宋体"/>
          <w:color w:val="auto"/>
          <w:sz w:val="24"/>
          <w:highlight w:val="none"/>
        </w:rPr>
        <w:t>报价的</w:t>
      </w:r>
      <w:r>
        <w:rPr>
          <w:rFonts w:hint="eastAsia" w:ascii="宋体" w:hAnsi="宋体"/>
          <w:color w:val="auto"/>
          <w:sz w:val="24"/>
          <w:highlight w:val="none"/>
          <w:lang w:eastAsia="zh-CN"/>
        </w:rPr>
        <w:t>供应商</w:t>
      </w:r>
      <w:r>
        <w:rPr>
          <w:rFonts w:ascii="宋体" w:hAnsi="宋体"/>
          <w:color w:val="auto"/>
          <w:sz w:val="24"/>
          <w:highlight w:val="none"/>
        </w:rPr>
        <w:t>的</w:t>
      </w:r>
      <w:r>
        <w:rPr>
          <w:rFonts w:hint="eastAsia" w:ascii="宋体" w:hAnsi="宋体"/>
          <w:color w:val="auto"/>
          <w:sz w:val="24"/>
          <w:highlight w:val="none"/>
          <w:lang w:eastAsia="zh-CN"/>
        </w:rPr>
        <w:t>响应文件</w:t>
      </w:r>
      <w:r>
        <w:rPr>
          <w:rFonts w:ascii="宋体" w:hAnsi="宋体"/>
          <w:color w:val="auto"/>
          <w:sz w:val="24"/>
          <w:highlight w:val="none"/>
        </w:rPr>
        <w:t>和最后报价进行综合评分</w:t>
      </w:r>
      <w:r>
        <w:rPr>
          <w:rFonts w:hint="eastAsia" w:ascii="宋体" w:hAnsi="宋体"/>
          <w:color w:val="auto"/>
          <w:kern w:val="0"/>
          <w:sz w:val="24"/>
          <w:highlight w:val="none"/>
        </w:rPr>
        <w:t>。磋商小组应按照第三章“评标方法”规定的方法、评审因素、标准和程序对</w:t>
      </w:r>
      <w:r>
        <w:rPr>
          <w:rFonts w:hint="eastAsia" w:ascii="宋体" w:hAnsi="宋体"/>
          <w:color w:val="auto"/>
          <w:kern w:val="0"/>
          <w:sz w:val="24"/>
          <w:highlight w:val="none"/>
          <w:lang w:eastAsia="zh-CN"/>
        </w:rPr>
        <w:t>响应文件</w:t>
      </w:r>
      <w:r>
        <w:rPr>
          <w:rFonts w:hint="eastAsia" w:ascii="宋体" w:hAnsi="宋体"/>
          <w:color w:val="auto"/>
          <w:kern w:val="0"/>
          <w:sz w:val="24"/>
          <w:highlight w:val="none"/>
        </w:rPr>
        <w:t>进行评审。第三章“评标方法”没有规定的方法、评审因素和标准，不作为综合评分依据。</w:t>
      </w:r>
    </w:p>
    <w:p w14:paraId="5FE1D3A0">
      <w:pPr>
        <w:pStyle w:val="27"/>
        <w:rPr>
          <w:rFonts w:ascii="宋体" w:hAnsi="宋体" w:eastAsia="宋体"/>
          <w:color w:val="auto"/>
          <w:kern w:val="0"/>
          <w:sz w:val="28"/>
          <w:szCs w:val="36"/>
          <w:highlight w:val="none"/>
        </w:rPr>
      </w:pPr>
      <w:bookmarkStart w:id="119" w:name="_Toc438797208"/>
      <w:bookmarkEnd w:id="119"/>
      <w:bookmarkStart w:id="120" w:name="_Toc19073"/>
      <w:bookmarkEnd w:id="120"/>
      <w:bookmarkStart w:id="121" w:name="_Toc391284770"/>
      <w:bookmarkEnd w:id="121"/>
      <w:bookmarkStart w:id="122" w:name="_Toc438797973"/>
      <w:bookmarkEnd w:id="122"/>
      <w:r>
        <w:rPr>
          <w:rFonts w:ascii="宋体" w:hAnsi="宋体" w:eastAsia="宋体"/>
          <w:color w:val="auto"/>
          <w:kern w:val="0"/>
          <w:sz w:val="28"/>
          <w:szCs w:val="36"/>
          <w:highlight w:val="none"/>
        </w:rPr>
        <w:t xml:space="preserve">7. </w:t>
      </w:r>
      <w:r>
        <w:rPr>
          <w:rFonts w:hint="eastAsia" w:ascii="宋体" w:hAnsi="宋体" w:eastAsia="宋体"/>
          <w:color w:val="auto"/>
          <w:kern w:val="0"/>
          <w:sz w:val="28"/>
          <w:szCs w:val="36"/>
          <w:highlight w:val="none"/>
        </w:rPr>
        <w:t>合同授予</w:t>
      </w:r>
    </w:p>
    <w:p w14:paraId="37127092">
      <w:pPr>
        <w:rPr>
          <w:b/>
          <w:color w:val="auto"/>
          <w:kern w:val="0"/>
          <w:sz w:val="24"/>
          <w:szCs w:val="28"/>
          <w:highlight w:val="none"/>
        </w:rPr>
      </w:pPr>
      <w:bookmarkStart w:id="123" w:name="_Toc391284771"/>
      <w:bookmarkEnd w:id="123"/>
      <w:bookmarkStart w:id="124" w:name="_Toc438797209"/>
      <w:bookmarkEnd w:id="124"/>
      <w:bookmarkStart w:id="125" w:name="_Toc438797974"/>
      <w:bookmarkEnd w:id="125"/>
      <w:r>
        <w:rPr>
          <w:b/>
          <w:color w:val="auto"/>
          <w:kern w:val="0"/>
          <w:sz w:val="24"/>
          <w:szCs w:val="28"/>
          <w:highlight w:val="none"/>
        </w:rPr>
        <w:t xml:space="preserve">7.1 </w:t>
      </w:r>
      <w:r>
        <w:rPr>
          <w:rFonts w:hint="eastAsia"/>
          <w:b/>
          <w:color w:val="auto"/>
          <w:kern w:val="0"/>
          <w:sz w:val="24"/>
          <w:szCs w:val="28"/>
          <w:highlight w:val="none"/>
        </w:rPr>
        <w:t>定标方式</w:t>
      </w:r>
    </w:p>
    <w:p w14:paraId="343AA9FF">
      <w:pPr>
        <w:autoSpaceDE w:val="0"/>
        <w:autoSpaceDN w:val="0"/>
        <w:spacing w:line="360" w:lineRule="auto"/>
        <w:ind w:firstLine="480" w:firstLineChars="200"/>
        <w:jc w:val="left"/>
        <w:rPr>
          <w:rFonts w:hint="eastAsia" w:ascii="宋体" w:hAnsi="宋体"/>
          <w:color w:val="auto"/>
          <w:kern w:val="0"/>
          <w:sz w:val="24"/>
          <w:highlight w:val="none"/>
          <w:lang w:eastAsia="zh-CN"/>
        </w:rPr>
      </w:pPr>
      <w:r>
        <w:rPr>
          <w:rFonts w:hint="eastAsia" w:ascii="宋体" w:hAnsi="宋体"/>
          <w:color w:val="auto"/>
          <w:kern w:val="0"/>
          <w:sz w:val="24"/>
          <w:highlight w:val="none"/>
          <w:lang w:eastAsia="zh-CN"/>
        </w:rPr>
        <w:t>采购人</w:t>
      </w:r>
      <w:r>
        <w:rPr>
          <w:rFonts w:hint="eastAsia" w:ascii="宋体" w:hAnsi="宋体"/>
          <w:color w:val="auto"/>
          <w:kern w:val="0"/>
          <w:sz w:val="24"/>
          <w:highlight w:val="none"/>
        </w:rPr>
        <w:t>依据磋商小组推荐的中标候选人确定中标人，磋商小组推荐中标候选人的人数见</w:t>
      </w:r>
      <w:r>
        <w:rPr>
          <w:rFonts w:hint="eastAsia" w:ascii="宋体" w:hAnsi="宋体"/>
          <w:color w:val="auto"/>
          <w:kern w:val="0"/>
          <w:sz w:val="24"/>
          <w:highlight w:val="none"/>
          <w:lang w:eastAsia="zh-CN"/>
        </w:rPr>
        <w:t>供应商须知前附表</w:t>
      </w:r>
      <w:r>
        <w:rPr>
          <w:rFonts w:hint="eastAsia" w:ascii="宋体" w:hAnsi="宋体"/>
          <w:color w:val="auto"/>
          <w:kern w:val="0"/>
          <w:sz w:val="24"/>
          <w:highlight w:val="none"/>
        </w:rPr>
        <w:t>。</w:t>
      </w:r>
    </w:p>
    <w:p w14:paraId="69FCC256">
      <w:pPr>
        <w:rPr>
          <w:b/>
          <w:color w:val="auto"/>
          <w:kern w:val="0"/>
          <w:sz w:val="24"/>
          <w:szCs w:val="28"/>
          <w:highlight w:val="none"/>
        </w:rPr>
      </w:pPr>
      <w:bookmarkStart w:id="126" w:name="_Toc391284772"/>
      <w:bookmarkEnd w:id="126"/>
      <w:bookmarkStart w:id="127" w:name="_Toc438797975"/>
      <w:bookmarkEnd w:id="127"/>
      <w:bookmarkStart w:id="128" w:name="_Toc438797210"/>
      <w:bookmarkEnd w:id="128"/>
      <w:r>
        <w:rPr>
          <w:b/>
          <w:color w:val="auto"/>
          <w:kern w:val="0"/>
          <w:sz w:val="24"/>
          <w:szCs w:val="28"/>
          <w:highlight w:val="none"/>
        </w:rPr>
        <w:t xml:space="preserve">7.2 </w:t>
      </w:r>
      <w:r>
        <w:rPr>
          <w:rFonts w:hint="eastAsia"/>
          <w:b/>
          <w:color w:val="auto"/>
          <w:kern w:val="0"/>
          <w:sz w:val="24"/>
          <w:szCs w:val="28"/>
          <w:highlight w:val="none"/>
          <w:lang w:val="en-US" w:eastAsia="zh-CN"/>
        </w:rPr>
        <w:t>中标</w:t>
      </w:r>
      <w:r>
        <w:rPr>
          <w:rFonts w:hint="eastAsia"/>
          <w:b/>
          <w:color w:val="auto"/>
          <w:kern w:val="0"/>
          <w:sz w:val="24"/>
          <w:szCs w:val="28"/>
          <w:highlight w:val="none"/>
        </w:rPr>
        <w:t>通知</w:t>
      </w:r>
    </w:p>
    <w:p w14:paraId="74C89591">
      <w:pPr>
        <w:autoSpaceDE w:val="0"/>
        <w:autoSpaceDN w:val="0"/>
        <w:spacing w:line="360" w:lineRule="auto"/>
        <w:ind w:firstLine="480" w:firstLineChars="200"/>
        <w:jc w:val="left"/>
        <w:rPr>
          <w:rFonts w:hint="eastAsia" w:ascii="宋体" w:hAnsi="宋体"/>
          <w:color w:val="auto"/>
          <w:kern w:val="0"/>
          <w:sz w:val="24"/>
          <w:highlight w:val="none"/>
        </w:rPr>
      </w:pPr>
      <w:r>
        <w:rPr>
          <w:rFonts w:hint="eastAsia" w:ascii="宋体" w:hAnsi="宋体"/>
          <w:color w:val="auto"/>
          <w:kern w:val="0"/>
          <w:sz w:val="24"/>
          <w:highlight w:val="none"/>
        </w:rPr>
        <w:t>在本章第</w:t>
      </w:r>
      <w:r>
        <w:rPr>
          <w:rFonts w:ascii="宋体" w:hAnsi="宋体"/>
          <w:color w:val="auto"/>
          <w:kern w:val="0"/>
          <w:sz w:val="24"/>
          <w:highlight w:val="none"/>
        </w:rPr>
        <w:t xml:space="preserve">3.3 </w:t>
      </w:r>
      <w:r>
        <w:rPr>
          <w:rFonts w:hint="eastAsia" w:ascii="宋体" w:hAnsi="宋体"/>
          <w:color w:val="auto"/>
          <w:kern w:val="0"/>
          <w:sz w:val="24"/>
          <w:highlight w:val="none"/>
        </w:rPr>
        <w:t>款规定的</w:t>
      </w:r>
      <w:r>
        <w:rPr>
          <w:rFonts w:hint="eastAsia" w:ascii="宋体" w:hAnsi="宋体"/>
          <w:color w:val="auto"/>
          <w:kern w:val="0"/>
          <w:sz w:val="24"/>
          <w:highlight w:val="none"/>
          <w:lang w:val="en-US" w:eastAsia="zh-CN"/>
        </w:rPr>
        <w:t>磋商</w:t>
      </w:r>
      <w:r>
        <w:rPr>
          <w:rFonts w:hint="eastAsia" w:ascii="宋体" w:hAnsi="宋体"/>
          <w:color w:val="auto"/>
          <w:kern w:val="0"/>
          <w:sz w:val="24"/>
          <w:highlight w:val="none"/>
        </w:rPr>
        <w:t>有效期内，</w:t>
      </w:r>
      <w:r>
        <w:rPr>
          <w:rFonts w:hint="eastAsia" w:ascii="宋体" w:hAnsi="宋体"/>
          <w:color w:val="auto"/>
          <w:kern w:val="0"/>
          <w:sz w:val="24"/>
          <w:highlight w:val="none"/>
          <w:lang w:eastAsia="zh-CN"/>
        </w:rPr>
        <w:t>采购人</w:t>
      </w:r>
      <w:r>
        <w:rPr>
          <w:rFonts w:hint="eastAsia" w:ascii="宋体" w:hAnsi="宋体"/>
          <w:color w:val="auto"/>
          <w:kern w:val="0"/>
          <w:sz w:val="24"/>
          <w:highlight w:val="none"/>
        </w:rPr>
        <w:t>以书面形式向中标人发出</w:t>
      </w:r>
      <w:r>
        <w:rPr>
          <w:rFonts w:hint="eastAsia" w:ascii="宋体" w:hAnsi="宋体"/>
          <w:color w:val="auto"/>
          <w:kern w:val="0"/>
          <w:sz w:val="24"/>
          <w:highlight w:val="none"/>
          <w:lang w:val="en-US" w:eastAsia="zh-CN"/>
        </w:rPr>
        <w:t>中标</w:t>
      </w:r>
      <w:r>
        <w:rPr>
          <w:rFonts w:hint="eastAsia" w:ascii="宋体" w:hAnsi="宋体"/>
          <w:color w:val="auto"/>
          <w:kern w:val="0"/>
          <w:sz w:val="24"/>
          <w:highlight w:val="none"/>
        </w:rPr>
        <w:t>通知书，同时将</w:t>
      </w:r>
      <w:r>
        <w:rPr>
          <w:rFonts w:hint="eastAsia" w:ascii="宋体" w:hAnsi="宋体"/>
          <w:color w:val="auto"/>
          <w:kern w:val="0"/>
          <w:sz w:val="24"/>
          <w:highlight w:val="none"/>
          <w:lang w:val="en-US" w:eastAsia="zh-CN"/>
        </w:rPr>
        <w:t>中标</w:t>
      </w:r>
      <w:r>
        <w:rPr>
          <w:rFonts w:hint="eastAsia" w:ascii="宋体" w:hAnsi="宋体"/>
          <w:color w:val="auto"/>
          <w:kern w:val="0"/>
          <w:sz w:val="24"/>
          <w:highlight w:val="none"/>
        </w:rPr>
        <w:t>结果向未中标企业以书面或电子形式告知未中标原因。（在确定成交</w:t>
      </w:r>
      <w:r>
        <w:rPr>
          <w:rFonts w:hint="eastAsia" w:ascii="宋体" w:hAnsi="宋体"/>
          <w:color w:val="auto"/>
          <w:kern w:val="0"/>
          <w:sz w:val="24"/>
          <w:highlight w:val="none"/>
          <w:lang w:eastAsia="zh-CN"/>
        </w:rPr>
        <w:t>供应商</w:t>
      </w:r>
      <w:r>
        <w:rPr>
          <w:rFonts w:hint="eastAsia" w:ascii="宋体" w:hAnsi="宋体"/>
          <w:color w:val="auto"/>
          <w:kern w:val="0"/>
          <w:sz w:val="24"/>
          <w:highlight w:val="none"/>
        </w:rPr>
        <w:t>后，</w:t>
      </w:r>
      <w:r>
        <w:rPr>
          <w:rFonts w:hint="eastAsia" w:ascii="宋体" w:hAnsi="宋体"/>
          <w:color w:val="auto"/>
          <w:kern w:val="0"/>
          <w:sz w:val="24"/>
          <w:highlight w:val="none"/>
          <w:lang w:val="en-US" w:eastAsia="zh-CN"/>
        </w:rPr>
        <w:t>中标</w:t>
      </w:r>
      <w:r>
        <w:rPr>
          <w:rFonts w:hint="eastAsia" w:ascii="宋体" w:hAnsi="宋体"/>
          <w:color w:val="auto"/>
          <w:kern w:val="0"/>
          <w:sz w:val="24"/>
          <w:highlight w:val="none"/>
        </w:rPr>
        <w:t>结果将在磋商公告发布的网站进行公布）。</w:t>
      </w:r>
    </w:p>
    <w:p w14:paraId="52DB545B">
      <w:pPr>
        <w:rPr>
          <w:b/>
          <w:color w:val="auto"/>
          <w:kern w:val="0"/>
          <w:sz w:val="24"/>
          <w:szCs w:val="28"/>
          <w:highlight w:val="none"/>
        </w:rPr>
      </w:pPr>
      <w:bookmarkStart w:id="129" w:name="_Toc438797976"/>
      <w:bookmarkEnd w:id="129"/>
      <w:bookmarkStart w:id="130" w:name="_Toc438797211"/>
      <w:bookmarkEnd w:id="130"/>
      <w:bookmarkStart w:id="131" w:name="_Toc391284773"/>
      <w:bookmarkEnd w:id="131"/>
      <w:r>
        <w:rPr>
          <w:b/>
          <w:color w:val="auto"/>
          <w:kern w:val="0"/>
          <w:sz w:val="24"/>
          <w:szCs w:val="28"/>
          <w:highlight w:val="none"/>
        </w:rPr>
        <w:t xml:space="preserve">7.3 </w:t>
      </w:r>
      <w:r>
        <w:rPr>
          <w:rFonts w:hint="eastAsia"/>
          <w:b/>
          <w:color w:val="auto"/>
          <w:kern w:val="0"/>
          <w:sz w:val="24"/>
          <w:szCs w:val="28"/>
          <w:highlight w:val="none"/>
        </w:rPr>
        <w:t>履约担保</w:t>
      </w:r>
    </w:p>
    <w:p w14:paraId="5293C40A">
      <w:pPr>
        <w:autoSpaceDE w:val="0"/>
        <w:autoSpaceDN w:val="0"/>
        <w:spacing w:line="360" w:lineRule="auto"/>
        <w:ind w:firstLine="484" w:firstLineChars="202"/>
        <w:jc w:val="left"/>
        <w:rPr>
          <w:rFonts w:ascii="宋体" w:hAnsi="宋体"/>
          <w:color w:val="auto"/>
          <w:kern w:val="0"/>
          <w:sz w:val="24"/>
          <w:highlight w:val="none"/>
        </w:rPr>
      </w:pPr>
      <w:r>
        <w:rPr>
          <w:rFonts w:ascii="宋体" w:hAnsi="宋体"/>
          <w:color w:val="auto"/>
          <w:kern w:val="0"/>
          <w:sz w:val="24"/>
          <w:highlight w:val="none"/>
        </w:rPr>
        <w:t xml:space="preserve">7.3.1 </w:t>
      </w:r>
      <w:r>
        <w:rPr>
          <w:rFonts w:hint="eastAsia" w:ascii="宋体" w:hAnsi="宋体"/>
          <w:color w:val="auto"/>
          <w:kern w:val="0"/>
          <w:sz w:val="24"/>
          <w:highlight w:val="none"/>
        </w:rPr>
        <w:t>在签订合同前，中标人应按</w:t>
      </w:r>
      <w:r>
        <w:rPr>
          <w:rFonts w:hint="eastAsia" w:ascii="宋体" w:hAnsi="宋体"/>
          <w:color w:val="auto"/>
          <w:kern w:val="0"/>
          <w:sz w:val="24"/>
          <w:highlight w:val="none"/>
          <w:lang w:eastAsia="zh-CN"/>
        </w:rPr>
        <w:t>供应商须知前附表</w:t>
      </w:r>
      <w:r>
        <w:rPr>
          <w:rFonts w:hint="eastAsia" w:ascii="宋体" w:hAnsi="宋体"/>
          <w:color w:val="auto"/>
          <w:kern w:val="0"/>
          <w:sz w:val="24"/>
          <w:highlight w:val="none"/>
        </w:rPr>
        <w:t>规定的金额、担保形式和</w:t>
      </w:r>
      <w:r>
        <w:rPr>
          <w:rFonts w:hint="eastAsia" w:ascii="宋体" w:hAnsi="宋体"/>
          <w:color w:val="auto"/>
          <w:kern w:val="0"/>
          <w:sz w:val="24"/>
          <w:highlight w:val="none"/>
          <w:lang w:eastAsia="zh-CN"/>
        </w:rPr>
        <w:t>竞争性磋商</w:t>
      </w:r>
      <w:r>
        <w:rPr>
          <w:rFonts w:hint="eastAsia" w:ascii="宋体" w:hAnsi="宋体"/>
          <w:color w:val="auto"/>
          <w:kern w:val="0"/>
          <w:sz w:val="24"/>
          <w:highlight w:val="none"/>
        </w:rPr>
        <w:t>文件第四章“合同条款及格式”规定的履约担保格式向</w:t>
      </w:r>
      <w:r>
        <w:rPr>
          <w:rFonts w:hint="eastAsia" w:ascii="宋体" w:hAnsi="宋体"/>
          <w:color w:val="auto"/>
          <w:kern w:val="0"/>
          <w:sz w:val="24"/>
          <w:highlight w:val="none"/>
          <w:lang w:eastAsia="zh-CN"/>
        </w:rPr>
        <w:t>采购人</w:t>
      </w:r>
      <w:r>
        <w:rPr>
          <w:rFonts w:hint="eastAsia" w:ascii="宋体" w:hAnsi="宋体"/>
          <w:color w:val="auto"/>
          <w:kern w:val="0"/>
          <w:sz w:val="24"/>
          <w:highlight w:val="none"/>
        </w:rPr>
        <w:t>提交履约担保。</w:t>
      </w:r>
    </w:p>
    <w:p w14:paraId="45F75D28">
      <w:pPr>
        <w:rPr>
          <w:b/>
          <w:color w:val="auto"/>
          <w:kern w:val="0"/>
          <w:sz w:val="24"/>
          <w:szCs w:val="28"/>
          <w:highlight w:val="none"/>
        </w:rPr>
      </w:pPr>
      <w:bookmarkStart w:id="132" w:name="_Toc438797977"/>
      <w:bookmarkEnd w:id="132"/>
      <w:bookmarkStart w:id="133" w:name="_Toc391284774"/>
      <w:bookmarkEnd w:id="133"/>
      <w:bookmarkStart w:id="134" w:name="_Toc438797212"/>
      <w:bookmarkEnd w:id="134"/>
      <w:r>
        <w:rPr>
          <w:b/>
          <w:color w:val="auto"/>
          <w:kern w:val="0"/>
          <w:sz w:val="24"/>
          <w:szCs w:val="28"/>
          <w:highlight w:val="none"/>
        </w:rPr>
        <w:t xml:space="preserve">7.4 </w:t>
      </w:r>
      <w:r>
        <w:rPr>
          <w:rFonts w:hint="eastAsia"/>
          <w:b/>
          <w:color w:val="auto"/>
          <w:kern w:val="0"/>
          <w:sz w:val="24"/>
          <w:szCs w:val="28"/>
          <w:highlight w:val="none"/>
        </w:rPr>
        <w:t>签订合同</w:t>
      </w:r>
    </w:p>
    <w:p w14:paraId="67B2DA5F">
      <w:pPr>
        <w:autoSpaceDE w:val="0"/>
        <w:autoSpaceDN w:val="0"/>
        <w:spacing w:line="360" w:lineRule="auto"/>
        <w:ind w:firstLine="484" w:firstLineChars="202"/>
        <w:jc w:val="left"/>
        <w:rPr>
          <w:rFonts w:ascii="宋体" w:hAnsi="宋体"/>
          <w:color w:val="auto"/>
          <w:kern w:val="0"/>
          <w:sz w:val="24"/>
          <w:highlight w:val="none"/>
        </w:rPr>
      </w:pPr>
      <w:r>
        <w:rPr>
          <w:rFonts w:ascii="宋体" w:hAnsi="宋体"/>
          <w:color w:val="auto"/>
          <w:kern w:val="0"/>
          <w:sz w:val="24"/>
          <w:highlight w:val="none"/>
        </w:rPr>
        <w:t xml:space="preserve">7.4.1 </w:t>
      </w:r>
      <w:r>
        <w:rPr>
          <w:rFonts w:hint="eastAsia" w:ascii="宋体" w:hAnsi="宋体"/>
          <w:color w:val="auto"/>
          <w:kern w:val="0"/>
          <w:sz w:val="24"/>
          <w:highlight w:val="none"/>
          <w:lang w:eastAsia="zh-CN"/>
        </w:rPr>
        <w:t>采购人</w:t>
      </w:r>
      <w:r>
        <w:rPr>
          <w:rFonts w:hint="eastAsia" w:ascii="宋体" w:hAnsi="宋体"/>
          <w:color w:val="auto"/>
          <w:kern w:val="0"/>
          <w:sz w:val="24"/>
          <w:highlight w:val="none"/>
        </w:rPr>
        <w:t>和中标人应当自中标通知书发出之日起30天内，根据</w:t>
      </w:r>
      <w:r>
        <w:rPr>
          <w:rFonts w:hint="eastAsia" w:ascii="宋体" w:hAnsi="宋体"/>
          <w:color w:val="auto"/>
          <w:kern w:val="0"/>
          <w:sz w:val="24"/>
          <w:highlight w:val="none"/>
          <w:lang w:eastAsia="zh-CN"/>
        </w:rPr>
        <w:t>竞争性磋商</w:t>
      </w:r>
      <w:r>
        <w:rPr>
          <w:rFonts w:hint="eastAsia" w:ascii="宋体" w:hAnsi="宋体"/>
          <w:color w:val="auto"/>
          <w:kern w:val="0"/>
          <w:sz w:val="24"/>
          <w:highlight w:val="none"/>
        </w:rPr>
        <w:t>文件和中标人的</w:t>
      </w:r>
      <w:r>
        <w:rPr>
          <w:rFonts w:hint="eastAsia" w:ascii="宋体" w:hAnsi="宋体"/>
          <w:color w:val="auto"/>
          <w:kern w:val="0"/>
          <w:sz w:val="24"/>
          <w:highlight w:val="none"/>
          <w:lang w:eastAsia="zh-CN"/>
        </w:rPr>
        <w:t>响应文件</w:t>
      </w:r>
      <w:r>
        <w:rPr>
          <w:rFonts w:hint="eastAsia" w:ascii="宋体" w:hAnsi="宋体"/>
          <w:color w:val="auto"/>
          <w:kern w:val="0"/>
          <w:sz w:val="24"/>
          <w:highlight w:val="none"/>
        </w:rPr>
        <w:t>订立书面合同。中标人无正当理由拒签合同的，</w:t>
      </w:r>
      <w:r>
        <w:rPr>
          <w:rFonts w:hint="eastAsia" w:ascii="宋体" w:hAnsi="宋体"/>
          <w:color w:val="auto"/>
          <w:kern w:val="0"/>
          <w:sz w:val="24"/>
          <w:highlight w:val="none"/>
          <w:lang w:eastAsia="zh-CN"/>
        </w:rPr>
        <w:t>采购人</w:t>
      </w:r>
      <w:r>
        <w:rPr>
          <w:rFonts w:hint="eastAsia" w:ascii="宋体" w:hAnsi="宋体"/>
          <w:color w:val="auto"/>
          <w:kern w:val="0"/>
          <w:sz w:val="24"/>
          <w:highlight w:val="none"/>
        </w:rPr>
        <w:t>取消其中标资格；给</w:t>
      </w:r>
      <w:r>
        <w:rPr>
          <w:rFonts w:hint="eastAsia" w:ascii="宋体" w:hAnsi="宋体"/>
          <w:color w:val="auto"/>
          <w:kern w:val="0"/>
          <w:sz w:val="24"/>
          <w:highlight w:val="none"/>
          <w:lang w:eastAsia="zh-CN"/>
        </w:rPr>
        <w:t>采购人</w:t>
      </w:r>
      <w:r>
        <w:rPr>
          <w:rFonts w:hint="eastAsia" w:ascii="宋体" w:hAnsi="宋体"/>
          <w:color w:val="auto"/>
          <w:kern w:val="0"/>
          <w:sz w:val="24"/>
          <w:highlight w:val="none"/>
        </w:rPr>
        <w:t>造成的损失，中标人应当对</w:t>
      </w:r>
      <w:r>
        <w:rPr>
          <w:rFonts w:hint="eastAsia" w:ascii="宋体" w:hAnsi="宋体"/>
          <w:color w:val="auto"/>
          <w:kern w:val="0"/>
          <w:sz w:val="24"/>
          <w:highlight w:val="none"/>
          <w:lang w:eastAsia="zh-CN"/>
        </w:rPr>
        <w:t>采购人</w:t>
      </w:r>
      <w:r>
        <w:rPr>
          <w:rFonts w:hint="eastAsia" w:ascii="宋体" w:hAnsi="宋体"/>
          <w:color w:val="auto"/>
          <w:kern w:val="0"/>
          <w:sz w:val="24"/>
          <w:highlight w:val="none"/>
        </w:rPr>
        <w:t>予以赔偿。</w:t>
      </w:r>
    </w:p>
    <w:p w14:paraId="6B22E19F">
      <w:pPr>
        <w:autoSpaceDE w:val="0"/>
        <w:autoSpaceDN w:val="0"/>
        <w:spacing w:line="360" w:lineRule="auto"/>
        <w:ind w:firstLine="484" w:firstLineChars="202"/>
        <w:jc w:val="left"/>
        <w:rPr>
          <w:rFonts w:ascii="宋体" w:hAnsi="宋体"/>
          <w:color w:val="auto"/>
          <w:kern w:val="0"/>
          <w:sz w:val="24"/>
          <w:highlight w:val="none"/>
        </w:rPr>
      </w:pPr>
      <w:r>
        <w:rPr>
          <w:rFonts w:ascii="宋体" w:hAnsi="宋体"/>
          <w:color w:val="auto"/>
          <w:kern w:val="0"/>
          <w:sz w:val="24"/>
          <w:highlight w:val="none"/>
        </w:rPr>
        <w:t xml:space="preserve">7.4.2 </w:t>
      </w:r>
      <w:r>
        <w:rPr>
          <w:rFonts w:hint="eastAsia" w:ascii="宋体" w:hAnsi="宋体"/>
          <w:color w:val="auto"/>
          <w:kern w:val="0"/>
          <w:sz w:val="24"/>
          <w:highlight w:val="none"/>
        </w:rPr>
        <w:t>发出中标通知书后，</w:t>
      </w:r>
      <w:r>
        <w:rPr>
          <w:rFonts w:hint="eastAsia" w:ascii="宋体" w:hAnsi="宋体"/>
          <w:color w:val="auto"/>
          <w:kern w:val="0"/>
          <w:sz w:val="24"/>
          <w:highlight w:val="none"/>
          <w:lang w:eastAsia="zh-CN"/>
        </w:rPr>
        <w:t>采购人</w:t>
      </w:r>
      <w:r>
        <w:rPr>
          <w:rFonts w:hint="eastAsia" w:ascii="宋体" w:hAnsi="宋体"/>
          <w:color w:val="auto"/>
          <w:kern w:val="0"/>
          <w:sz w:val="24"/>
          <w:highlight w:val="none"/>
        </w:rPr>
        <w:t>无正当理由拒签合同的，给中标人造成损失的，还应当赔偿损失。</w:t>
      </w:r>
    </w:p>
    <w:p w14:paraId="6DD44933">
      <w:pPr>
        <w:pStyle w:val="27"/>
        <w:rPr>
          <w:rFonts w:ascii="宋体" w:hAnsi="宋体" w:eastAsia="宋体"/>
          <w:color w:val="auto"/>
          <w:kern w:val="0"/>
          <w:sz w:val="28"/>
          <w:szCs w:val="36"/>
          <w:highlight w:val="none"/>
        </w:rPr>
      </w:pPr>
      <w:bookmarkStart w:id="135" w:name="_Toc438797213"/>
      <w:bookmarkEnd w:id="135"/>
      <w:bookmarkStart w:id="136" w:name="_Toc387"/>
      <w:bookmarkEnd w:id="136"/>
      <w:bookmarkStart w:id="137" w:name="_Toc438797978"/>
      <w:bookmarkEnd w:id="137"/>
      <w:bookmarkStart w:id="138" w:name="_Toc391284775"/>
      <w:bookmarkEnd w:id="138"/>
      <w:r>
        <w:rPr>
          <w:rFonts w:ascii="宋体" w:hAnsi="宋体" w:eastAsia="宋体"/>
          <w:color w:val="auto"/>
          <w:kern w:val="0"/>
          <w:sz w:val="28"/>
          <w:szCs w:val="36"/>
          <w:highlight w:val="none"/>
        </w:rPr>
        <w:t xml:space="preserve">8. </w:t>
      </w:r>
      <w:r>
        <w:rPr>
          <w:rFonts w:hint="eastAsia" w:ascii="宋体" w:hAnsi="宋体" w:eastAsia="宋体"/>
          <w:color w:val="auto"/>
          <w:kern w:val="0"/>
          <w:sz w:val="28"/>
          <w:szCs w:val="36"/>
          <w:highlight w:val="none"/>
        </w:rPr>
        <w:t>重新招标和不再招标</w:t>
      </w:r>
    </w:p>
    <w:p w14:paraId="3F818E9A">
      <w:pPr>
        <w:rPr>
          <w:b/>
          <w:color w:val="auto"/>
          <w:kern w:val="0"/>
          <w:sz w:val="24"/>
          <w:szCs w:val="28"/>
          <w:highlight w:val="none"/>
        </w:rPr>
      </w:pPr>
      <w:bookmarkStart w:id="139" w:name="_Toc438797214"/>
      <w:bookmarkEnd w:id="139"/>
      <w:bookmarkStart w:id="140" w:name="_Toc438797979"/>
      <w:bookmarkEnd w:id="140"/>
      <w:bookmarkStart w:id="141" w:name="_Toc391284776"/>
      <w:bookmarkEnd w:id="141"/>
      <w:r>
        <w:rPr>
          <w:b/>
          <w:color w:val="auto"/>
          <w:kern w:val="0"/>
          <w:sz w:val="24"/>
          <w:szCs w:val="28"/>
          <w:highlight w:val="none"/>
        </w:rPr>
        <w:t xml:space="preserve">8.1 </w:t>
      </w:r>
      <w:r>
        <w:rPr>
          <w:rFonts w:hint="eastAsia"/>
          <w:b/>
          <w:color w:val="auto"/>
          <w:kern w:val="0"/>
          <w:sz w:val="24"/>
          <w:szCs w:val="28"/>
          <w:highlight w:val="none"/>
        </w:rPr>
        <w:t>重新招标</w:t>
      </w:r>
    </w:p>
    <w:p w14:paraId="2040C706">
      <w:pPr>
        <w:spacing w:line="360" w:lineRule="auto"/>
        <w:ind w:firstLine="607" w:firstLineChars="253"/>
        <w:rPr>
          <w:rFonts w:hint="eastAsia" w:ascii="宋体" w:hAnsi="宋体"/>
          <w:color w:val="auto"/>
          <w:sz w:val="24"/>
          <w:highlight w:val="none"/>
        </w:rPr>
      </w:pPr>
      <w:r>
        <w:rPr>
          <w:rFonts w:hint="eastAsia" w:ascii="宋体" w:hAnsi="宋体"/>
          <w:color w:val="auto"/>
          <w:sz w:val="24"/>
          <w:highlight w:val="none"/>
        </w:rPr>
        <w:t>有下列情形之一的，</w:t>
      </w:r>
      <w:r>
        <w:rPr>
          <w:rFonts w:hint="eastAsia" w:ascii="宋体" w:hAnsi="宋体"/>
          <w:color w:val="auto"/>
          <w:sz w:val="24"/>
          <w:highlight w:val="none"/>
          <w:lang w:eastAsia="zh-CN"/>
        </w:rPr>
        <w:t>采购人</w:t>
      </w:r>
      <w:r>
        <w:rPr>
          <w:rFonts w:hint="eastAsia" w:ascii="宋体" w:hAnsi="宋体"/>
          <w:color w:val="auto"/>
          <w:sz w:val="24"/>
          <w:highlight w:val="none"/>
        </w:rPr>
        <w:t>将重新招标：</w:t>
      </w:r>
    </w:p>
    <w:p w14:paraId="406CE2C8">
      <w:pPr>
        <w:autoSpaceDE w:val="0"/>
        <w:autoSpaceDN w:val="0"/>
        <w:spacing w:line="360" w:lineRule="auto"/>
        <w:ind w:firstLine="484" w:firstLineChars="202"/>
        <w:jc w:val="left"/>
        <w:rPr>
          <w:rFonts w:hint="eastAsia" w:ascii="宋体" w:hAnsi="宋体"/>
          <w:color w:val="auto"/>
          <w:kern w:val="0"/>
          <w:sz w:val="24"/>
          <w:highlight w:val="none"/>
        </w:rPr>
      </w:pPr>
      <w:r>
        <w:rPr>
          <w:rFonts w:hint="eastAsia" w:ascii="宋体" w:hAnsi="宋体"/>
          <w:color w:val="auto"/>
          <w:kern w:val="0"/>
          <w:sz w:val="24"/>
          <w:highlight w:val="none"/>
        </w:rPr>
        <w:t>（</w:t>
      </w:r>
      <w:r>
        <w:rPr>
          <w:rFonts w:ascii="宋体" w:hAnsi="宋体"/>
          <w:color w:val="auto"/>
          <w:kern w:val="0"/>
          <w:sz w:val="24"/>
          <w:highlight w:val="none"/>
        </w:rPr>
        <w:t>1</w:t>
      </w:r>
      <w:r>
        <w:rPr>
          <w:rFonts w:hint="eastAsia" w:ascii="宋体" w:hAnsi="宋体"/>
          <w:color w:val="auto"/>
          <w:kern w:val="0"/>
          <w:sz w:val="24"/>
          <w:highlight w:val="none"/>
        </w:rPr>
        <w:t>）</w:t>
      </w:r>
      <w:r>
        <w:rPr>
          <w:rFonts w:hint="eastAsia" w:ascii="宋体" w:hAnsi="宋体"/>
          <w:color w:val="auto"/>
          <w:kern w:val="0"/>
          <w:sz w:val="24"/>
          <w:highlight w:val="none"/>
          <w:lang w:val="en-US" w:eastAsia="zh-CN"/>
        </w:rPr>
        <w:t>磋商</w:t>
      </w:r>
      <w:r>
        <w:rPr>
          <w:rFonts w:hint="eastAsia" w:ascii="宋体" w:hAnsi="宋体"/>
          <w:color w:val="auto"/>
          <w:kern w:val="0"/>
          <w:sz w:val="24"/>
          <w:highlight w:val="none"/>
        </w:rPr>
        <w:t>截止时间止，</w:t>
      </w:r>
      <w:r>
        <w:rPr>
          <w:rFonts w:hint="eastAsia" w:ascii="宋体" w:hAnsi="宋体"/>
          <w:color w:val="auto"/>
          <w:kern w:val="0"/>
          <w:sz w:val="24"/>
          <w:highlight w:val="none"/>
          <w:lang w:eastAsia="zh-CN"/>
        </w:rPr>
        <w:t>供应商</w:t>
      </w:r>
      <w:r>
        <w:rPr>
          <w:rFonts w:hint="eastAsia" w:ascii="宋体" w:hAnsi="宋体"/>
          <w:color w:val="auto"/>
          <w:kern w:val="0"/>
          <w:sz w:val="24"/>
          <w:highlight w:val="none"/>
        </w:rPr>
        <w:t>少于</w:t>
      </w:r>
      <w:r>
        <w:rPr>
          <w:rFonts w:ascii="宋体" w:hAnsi="宋体"/>
          <w:color w:val="auto"/>
          <w:kern w:val="0"/>
          <w:sz w:val="24"/>
          <w:highlight w:val="none"/>
        </w:rPr>
        <w:t>法定人数</w:t>
      </w:r>
      <w:r>
        <w:rPr>
          <w:rFonts w:hint="eastAsia" w:ascii="宋体" w:hAnsi="宋体"/>
          <w:color w:val="auto"/>
          <w:kern w:val="0"/>
          <w:sz w:val="24"/>
          <w:highlight w:val="none"/>
        </w:rPr>
        <w:t>的；</w:t>
      </w:r>
    </w:p>
    <w:p w14:paraId="505669CE">
      <w:pPr>
        <w:autoSpaceDE w:val="0"/>
        <w:autoSpaceDN w:val="0"/>
        <w:spacing w:line="360" w:lineRule="auto"/>
        <w:ind w:firstLine="484" w:firstLineChars="202"/>
        <w:jc w:val="left"/>
        <w:rPr>
          <w:rFonts w:hint="eastAsia" w:ascii="宋体" w:hAnsi="宋体"/>
          <w:color w:val="auto"/>
          <w:kern w:val="0"/>
          <w:sz w:val="24"/>
          <w:highlight w:val="none"/>
        </w:rPr>
      </w:pPr>
      <w:r>
        <w:rPr>
          <w:rFonts w:hint="eastAsia" w:ascii="宋体" w:hAnsi="宋体"/>
          <w:color w:val="auto"/>
          <w:kern w:val="0"/>
          <w:sz w:val="24"/>
          <w:highlight w:val="none"/>
        </w:rPr>
        <w:t>（</w:t>
      </w:r>
      <w:r>
        <w:rPr>
          <w:rFonts w:ascii="宋体" w:hAnsi="宋体"/>
          <w:color w:val="auto"/>
          <w:kern w:val="0"/>
          <w:sz w:val="24"/>
          <w:highlight w:val="none"/>
        </w:rPr>
        <w:t>2</w:t>
      </w:r>
      <w:r>
        <w:rPr>
          <w:rFonts w:hint="eastAsia" w:ascii="宋体" w:hAnsi="宋体"/>
          <w:color w:val="auto"/>
          <w:kern w:val="0"/>
          <w:sz w:val="24"/>
          <w:highlight w:val="none"/>
        </w:rPr>
        <w:t>）经磋商小组评审后否决所有竞标的。</w:t>
      </w:r>
    </w:p>
    <w:p w14:paraId="3F024359">
      <w:pPr>
        <w:rPr>
          <w:b/>
          <w:color w:val="auto"/>
          <w:kern w:val="0"/>
          <w:sz w:val="24"/>
          <w:szCs w:val="28"/>
          <w:highlight w:val="none"/>
        </w:rPr>
      </w:pPr>
      <w:bookmarkStart w:id="142" w:name="_Toc438797980"/>
      <w:bookmarkEnd w:id="142"/>
      <w:bookmarkStart w:id="143" w:name="_Toc391284777"/>
      <w:bookmarkEnd w:id="143"/>
      <w:bookmarkStart w:id="144" w:name="_Toc438797215"/>
      <w:bookmarkEnd w:id="144"/>
      <w:r>
        <w:rPr>
          <w:b/>
          <w:color w:val="auto"/>
          <w:kern w:val="0"/>
          <w:sz w:val="24"/>
          <w:szCs w:val="28"/>
          <w:highlight w:val="none"/>
        </w:rPr>
        <w:t xml:space="preserve">8.2 </w:t>
      </w:r>
      <w:r>
        <w:rPr>
          <w:rFonts w:hint="eastAsia"/>
          <w:b/>
          <w:color w:val="auto"/>
          <w:kern w:val="0"/>
          <w:sz w:val="24"/>
          <w:szCs w:val="28"/>
          <w:highlight w:val="none"/>
        </w:rPr>
        <w:t>不再招标</w:t>
      </w:r>
    </w:p>
    <w:p w14:paraId="63C51AE1">
      <w:pPr>
        <w:autoSpaceDE w:val="0"/>
        <w:autoSpaceDN w:val="0"/>
        <w:spacing w:line="360" w:lineRule="auto"/>
        <w:ind w:firstLine="484" w:firstLineChars="202"/>
        <w:jc w:val="left"/>
        <w:rPr>
          <w:rFonts w:hint="eastAsia" w:ascii="宋体" w:hAnsi="宋体"/>
          <w:color w:val="auto"/>
          <w:kern w:val="0"/>
          <w:sz w:val="24"/>
          <w:highlight w:val="none"/>
        </w:rPr>
      </w:pPr>
      <w:r>
        <w:rPr>
          <w:rFonts w:hint="eastAsia" w:ascii="宋体" w:hAnsi="宋体"/>
          <w:color w:val="auto"/>
          <w:kern w:val="0"/>
          <w:sz w:val="24"/>
          <w:highlight w:val="none"/>
        </w:rPr>
        <w:t>重新磋商后</w:t>
      </w:r>
      <w:r>
        <w:rPr>
          <w:rFonts w:hint="eastAsia" w:ascii="宋体" w:hAnsi="宋体"/>
          <w:color w:val="auto"/>
          <w:kern w:val="0"/>
          <w:sz w:val="24"/>
          <w:highlight w:val="none"/>
          <w:lang w:eastAsia="zh-CN"/>
        </w:rPr>
        <w:t>供应商</w:t>
      </w:r>
      <w:r>
        <w:rPr>
          <w:rFonts w:hint="eastAsia" w:ascii="宋体" w:hAnsi="宋体"/>
          <w:color w:val="auto"/>
          <w:kern w:val="0"/>
          <w:sz w:val="24"/>
          <w:highlight w:val="none"/>
        </w:rPr>
        <w:t>仍少于法定人数或者所有</w:t>
      </w:r>
      <w:r>
        <w:rPr>
          <w:rFonts w:hint="eastAsia" w:ascii="宋体" w:hAnsi="宋体"/>
          <w:color w:val="auto"/>
          <w:kern w:val="0"/>
          <w:sz w:val="24"/>
          <w:highlight w:val="none"/>
          <w:lang w:eastAsia="zh-CN"/>
        </w:rPr>
        <w:t>响应文件</w:t>
      </w:r>
      <w:r>
        <w:rPr>
          <w:rFonts w:hint="eastAsia" w:ascii="宋体" w:hAnsi="宋体"/>
          <w:color w:val="auto"/>
          <w:kern w:val="0"/>
          <w:sz w:val="24"/>
          <w:highlight w:val="none"/>
        </w:rPr>
        <w:t>被否决的，经原审批或核准部门批准后不再进行磋商。</w:t>
      </w:r>
    </w:p>
    <w:p w14:paraId="4A0FF0ED">
      <w:pPr>
        <w:pStyle w:val="27"/>
        <w:rPr>
          <w:rFonts w:ascii="宋体" w:hAnsi="宋体" w:eastAsia="宋体"/>
          <w:color w:val="auto"/>
          <w:kern w:val="0"/>
          <w:sz w:val="28"/>
          <w:szCs w:val="36"/>
          <w:highlight w:val="none"/>
        </w:rPr>
      </w:pPr>
      <w:bookmarkStart w:id="145" w:name="_Toc15227"/>
      <w:bookmarkEnd w:id="145"/>
      <w:bookmarkStart w:id="146" w:name="_Toc438797981"/>
      <w:bookmarkEnd w:id="146"/>
      <w:bookmarkStart w:id="147" w:name="_Toc391284778"/>
      <w:bookmarkEnd w:id="147"/>
      <w:bookmarkStart w:id="148" w:name="_Toc438797216"/>
      <w:bookmarkEnd w:id="148"/>
      <w:r>
        <w:rPr>
          <w:rFonts w:ascii="宋体" w:hAnsi="宋体" w:eastAsia="宋体"/>
          <w:color w:val="auto"/>
          <w:kern w:val="0"/>
          <w:sz w:val="28"/>
          <w:szCs w:val="36"/>
          <w:highlight w:val="none"/>
        </w:rPr>
        <w:t xml:space="preserve">9. </w:t>
      </w:r>
      <w:r>
        <w:rPr>
          <w:rFonts w:hint="eastAsia" w:ascii="宋体" w:hAnsi="宋体" w:eastAsia="宋体"/>
          <w:color w:val="auto"/>
          <w:kern w:val="0"/>
          <w:sz w:val="28"/>
          <w:szCs w:val="36"/>
          <w:highlight w:val="none"/>
        </w:rPr>
        <w:t>纪律和监督</w:t>
      </w:r>
    </w:p>
    <w:p w14:paraId="6AC97B9D">
      <w:pPr>
        <w:rPr>
          <w:b/>
          <w:color w:val="auto"/>
          <w:kern w:val="0"/>
          <w:sz w:val="24"/>
          <w:szCs w:val="28"/>
          <w:highlight w:val="none"/>
        </w:rPr>
      </w:pPr>
      <w:bookmarkStart w:id="149" w:name="_Toc438797217"/>
      <w:bookmarkEnd w:id="149"/>
      <w:bookmarkStart w:id="150" w:name="_Toc438797982"/>
      <w:bookmarkEnd w:id="150"/>
      <w:bookmarkStart w:id="151" w:name="_Toc391284779"/>
      <w:bookmarkEnd w:id="151"/>
      <w:r>
        <w:rPr>
          <w:b/>
          <w:color w:val="auto"/>
          <w:kern w:val="0"/>
          <w:sz w:val="24"/>
          <w:szCs w:val="28"/>
          <w:highlight w:val="none"/>
        </w:rPr>
        <w:t xml:space="preserve">9.1 </w:t>
      </w:r>
      <w:r>
        <w:rPr>
          <w:rFonts w:hint="eastAsia"/>
          <w:b/>
          <w:color w:val="auto"/>
          <w:kern w:val="0"/>
          <w:sz w:val="24"/>
          <w:szCs w:val="28"/>
          <w:highlight w:val="none"/>
        </w:rPr>
        <w:t>对</w:t>
      </w:r>
      <w:r>
        <w:rPr>
          <w:rFonts w:hint="eastAsia"/>
          <w:b/>
          <w:color w:val="auto"/>
          <w:kern w:val="0"/>
          <w:sz w:val="24"/>
          <w:szCs w:val="28"/>
          <w:highlight w:val="none"/>
          <w:lang w:eastAsia="zh-CN"/>
        </w:rPr>
        <w:t>采购人</w:t>
      </w:r>
      <w:r>
        <w:rPr>
          <w:rFonts w:hint="eastAsia"/>
          <w:b/>
          <w:color w:val="auto"/>
          <w:kern w:val="0"/>
          <w:sz w:val="24"/>
          <w:szCs w:val="28"/>
          <w:highlight w:val="none"/>
        </w:rPr>
        <w:t>的纪律要求</w:t>
      </w:r>
    </w:p>
    <w:p w14:paraId="2348F344">
      <w:pPr>
        <w:autoSpaceDE w:val="0"/>
        <w:autoSpaceDN w:val="0"/>
        <w:spacing w:line="360" w:lineRule="auto"/>
        <w:ind w:firstLine="484" w:firstLineChars="202"/>
        <w:jc w:val="left"/>
        <w:rPr>
          <w:rFonts w:hint="eastAsia" w:ascii="宋体" w:hAnsi="宋体"/>
          <w:color w:val="auto"/>
          <w:kern w:val="0"/>
          <w:sz w:val="24"/>
          <w:highlight w:val="none"/>
          <w:lang w:eastAsia="zh-CN"/>
        </w:rPr>
      </w:pPr>
      <w:r>
        <w:rPr>
          <w:rFonts w:hint="eastAsia" w:ascii="宋体" w:hAnsi="宋体"/>
          <w:color w:val="auto"/>
          <w:kern w:val="0"/>
          <w:sz w:val="24"/>
          <w:highlight w:val="none"/>
          <w:lang w:eastAsia="zh-CN"/>
        </w:rPr>
        <w:t>采购人</w:t>
      </w:r>
      <w:r>
        <w:rPr>
          <w:rFonts w:hint="eastAsia" w:ascii="宋体" w:hAnsi="宋体"/>
          <w:color w:val="auto"/>
          <w:kern w:val="0"/>
          <w:sz w:val="24"/>
          <w:highlight w:val="none"/>
        </w:rPr>
        <w:t>不得泄漏采购活动中应当保密的情况和资料，不得</w:t>
      </w:r>
      <w:r>
        <w:rPr>
          <w:rFonts w:hint="eastAsia" w:ascii="宋体" w:hAnsi="宋体"/>
          <w:color w:val="auto"/>
          <w:kern w:val="0"/>
          <w:sz w:val="24"/>
          <w:highlight w:val="none"/>
          <w:lang w:eastAsia="zh-CN"/>
        </w:rPr>
        <w:t>供应商</w:t>
      </w:r>
      <w:r>
        <w:rPr>
          <w:rFonts w:hint="eastAsia" w:ascii="宋体" w:hAnsi="宋体"/>
          <w:color w:val="auto"/>
          <w:kern w:val="0"/>
          <w:sz w:val="24"/>
          <w:highlight w:val="none"/>
        </w:rPr>
        <w:t>串通损害国家利益、社会公共利益或者他人合法权益。</w:t>
      </w:r>
    </w:p>
    <w:p w14:paraId="4865BE49">
      <w:pPr>
        <w:rPr>
          <w:b/>
          <w:color w:val="auto"/>
          <w:kern w:val="0"/>
          <w:sz w:val="24"/>
          <w:szCs w:val="28"/>
          <w:highlight w:val="none"/>
        </w:rPr>
      </w:pPr>
      <w:bookmarkStart w:id="152" w:name="_Toc391284780"/>
      <w:bookmarkEnd w:id="152"/>
      <w:bookmarkStart w:id="153" w:name="_Toc438797983"/>
      <w:bookmarkEnd w:id="153"/>
      <w:bookmarkStart w:id="154" w:name="_Toc438797218"/>
      <w:bookmarkEnd w:id="154"/>
      <w:r>
        <w:rPr>
          <w:b/>
          <w:color w:val="auto"/>
          <w:kern w:val="0"/>
          <w:sz w:val="24"/>
          <w:szCs w:val="28"/>
          <w:highlight w:val="none"/>
        </w:rPr>
        <w:t xml:space="preserve">9.2 </w:t>
      </w:r>
      <w:r>
        <w:rPr>
          <w:rFonts w:hint="eastAsia"/>
          <w:b/>
          <w:color w:val="auto"/>
          <w:kern w:val="0"/>
          <w:sz w:val="24"/>
          <w:szCs w:val="28"/>
          <w:highlight w:val="none"/>
        </w:rPr>
        <w:t>对</w:t>
      </w:r>
      <w:r>
        <w:rPr>
          <w:rFonts w:hint="eastAsia" w:ascii="宋体" w:hAnsi="宋体"/>
          <w:b/>
          <w:color w:val="auto"/>
          <w:kern w:val="0"/>
          <w:sz w:val="24"/>
          <w:highlight w:val="none"/>
          <w:lang w:eastAsia="zh-CN"/>
        </w:rPr>
        <w:t>供应商</w:t>
      </w:r>
      <w:r>
        <w:rPr>
          <w:rFonts w:hint="eastAsia"/>
          <w:b/>
          <w:color w:val="auto"/>
          <w:kern w:val="0"/>
          <w:sz w:val="24"/>
          <w:szCs w:val="28"/>
          <w:highlight w:val="none"/>
        </w:rPr>
        <w:t>的纪律要求</w:t>
      </w:r>
    </w:p>
    <w:p w14:paraId="598B7A30">
      <w:pPr>
        <w:autoSpaceDE w:val="0"/>
        <w:autoSpaceDN w:val="0"/>
        <w:spacing w:line="360" w:lineRule="auto"/>
        <w:ind w:firstLine="484" w:firstLineChars="202"/>
        <w:jc w:val="left"/>
        <w:rPr>
          <w:rFonts w:hint="eastAsia" w:ascii="宋体" w:hAnsi="宋体"/>
          <w:color w:val="auto"/>
          <w:kern w:val="0"/>
          <w:sz w:val="24"/>
          <w:highlight w:val="none"/>
          <w:lang w:eastAsia="zh-CN"/>
        </w:rPr>
      </w:pPr>
      <w:r>
        <w:rPr>
          <w:rFonts w:hint="eastAsia" w:ascii="宋体" w:hAnsi="宋体"/>
          <w:color w:val="auto"/>
          <w:kern w:val="0"/>
          <w:sz w:val="24"/>
          <w:highlight w:val="none"/>
          <w:lang w:eastAsia="zh-CN"/>
        </w:rPr>
        <w:t>供应商</w:t>
      </w:r>
      <w:r>
        <w:rPr>
          <w:rFonts w:hint="eastAsia" w:ascii="宋体" w:hAnsi="宋体"/>
          <w:color w:val="auto"/>
          <w:kern w:val="0"/>
          <w:sz w:val="24"/>
          <w:highlight w:val="none"/>
        </w:rPr>
        <w:t>不得相互串通竞标或者与</w:t>
      </w:r>
      <w:r>
        <w:rPr>
          <w:rFonts w:hint="eastAsia" w:ascii="宋体" w:hAnsi="宋体"/>
          <w:color w:val="auto"/>
          <w:kern w:val="0"/>
          <w:sz w:val="24"/>
          <w:highlight w:val="none"/>
          <w:lang w:eastAsia="zh-CN"/>
        </w:rPr>
        <w:t>采购人</w:t>
      </w:r>
      <w:r>
        <w:rPr>
          <w:rFonts w:hint="eastAsia" w:ascii="宋体" w:hAnsi="宋体"/>
          <w:color w:val="auto"/>
          <w:kern w:val="0"/>
          <w:sz w:val="24"/>
          <w:highlight w:val="none"/>
        </w:rPr>
        <w:t>串通竞标，不得向</w:t>
      </w:r>
      <w:r>
        <w:rPr>
          <w:rFonts w:hint="eastAsia" w:ascii="宋体" w:hAnsi="宋体"/>
          <w:color w:val="auto"/>
          <w:kern w:val="0"/>
          <w:sz w:val="24"/>
          <w:highlight w:val="none"/>
          <w:lang w:eastAsia="zh-CN"/>
        </w:rPr>
        <w:t>采购人</w:t>
      </w:r>
      <w:r>
        <w:rPr>
          <w:rFonts w:hint="eastAsia" w:ascii="宋体" w:hAnsi="宋体"/>
          <w:color w:val="auto"/>
          <w:kern w:val="0"/>
          <w:sz w:val="24"/>
          <w:highlight w:val="none"/>
        </w:rPr>
        <w:t>或者磋商小组成员行贿谋取中标，不得以他人名义竞标或者以其他方式弄虚作假骗取中标；</w:t>
      </w:r>
      <w:r>
        <w:rPr>
          <w:rFonts w:hint="eastAsia" w:ascii="宋体" w:hAnsi="宋体"/>
          <w:color w:val="auto"/>
          <w:kern w:val="0"/>
          <w:sz w:val="24"/>
          <w:highlight w:val="none"/>
          <w:lang w:eastAsia="zh-CN"/>
        </w:rPr>
        <w:t>供应商</w:t>
      </w:r>
      <w:r>
        <w:rPr>
          <w:rFonts w:hint="eastAsia" w:ascii="宋体" w:hAnsi="宋体"/>
          <w:color w:val="auto"/>
          <w:kern w:val="0"/>
          <w:sz w:val="24"/>
          <w:highlight w:val="none"/>
        </w:rPr>
        <w:t>不得以任何方式干扰、影响评审工作。</w:t>
      </w:r>
    </w:p>
    <w:p w14:paraId="605673D1">
      <w:pPr>
        <w:rPr>
          <w:b/>
          <w:color w:val="auto"/>
          <w:kern w:val="0"/>
          <w:sz w:val="24"/>
          <w:szCs w:val="28"/>
          <w:highlight w:val="none"/>
        </w:rPr>
      </w:pPr>
      <w:bookmarkStart w:id="155" w:name="_Toc438797219"/>
      <w:bookmarkEnd w:id="155"/>
      <w:bookmarkStart w:id="156" w:name="_Toc438797984"/>
      <w:bookmarkEnd w:id="156"/>
      <w:bookmarkStart w:id="157" w:name="_Toc391284781"/>
      <w:bookmarkEnd w:id="157"/>
      <w:r>
        <w:rPr>
          <w:b/>
          <w:color w:val="auto"/>
          <w:kern w:val="0"/>
          <w:sz w:val="24"/>
          <w:szCs w:val="28"/>
          <w:highlight w:val="none"/>
        </w:rPr>
        <w:t xml:space="preserve">9.3 </w:t>
      </w:r>
      <w:r>
        <w:rPr>
          <w:rFonts w:hint="eastAsia"/>
          <w:b/>
          <w:color w:val="auto"/>
          <w:kern w:val="0"/>
          <w:sz w:val="24"/>
          <w:szCs w:val="28"/>
          <w:highlight w:val="none"/>
        </w:rPr>
        <w:t>对磋商小组成员的纪律要求</w:t>
      </w:r>
    </w:p>
    <w:p w14:paraId="31421866">
      <w:pPr>
        <w:autoSpaceDE w:val="0"/>
        <w:autoSpaceDN w:val="0"/>
        <w:spacing w:line="360" w:lineRule="auto"/>
        <w:ind w:firstLine="484" w:firstLineChars="202"/>
        <w:jc w:val="left"/>
        <w:rPr>
          <w:rFonts w:hint="eastAsia" w:ascii="宋体" w:hAnsi="宋体"/>
          <w:color w:val="auto"/>
          <w:kern w:val="0"/>
          <w:sz w:val="24"/>
          <w:highlight w:val="none"/>
        </w:rPr>
      </w:pPr>
      <w:r>
        <w:rPr>
          <w:rFonts w:hint="eastAsia" w:ascii="宋体" w:hAnsi="宋体"/>
          <w:color w:val="auto"/>
          <w:kern w:val="0"/>
          <w:sz w:val="24"/>
          <w:highlight w:val="none"/>
        </w:rPr>
        <w:t>磋商小组成员不得收受他人的财物或者其他好处，不得向他人透漏对</w:t>
      </w:r>
      <w:r>
        <w:rPr>
          <w:rFonts w:hint="eastAsia" w:ascii="宋体" w:hAnsi="宋体"/>
          <w:color w:val="auto"/>
          <w:kern w:val="0"/>
          <w:sz w:val="24"/>
          <w:highlight w:val="none"/>
          <w:lang w:eastAsia="zh-CN"/>
        </w:rPr>
        <w:t>响应文件</w:t>
      </w:r>
      <w:r>
        <w:rPr>
          <w:rFonts w:hint="eastAsia" w:ascii="宋体" w:hAnsi="宋体"/>
          <w:color w:val="auto"/>
          <w:kern w:val="0"/>
          <w:sz w:val="24"/>
          <w:highlight w:val="none"/>
        </w:rPr>
        <w:t>的评审和比较、中标候选人的推荐情况以及评审有关的其他情况。在评审活动中，磋商小组成员不得擅离职守，影响评审程序正常进行，不得使用第六章“评审标准和方法”没有规定的评审因素和标准进行评审。评审专家（磋商小组）应当遵守评审工作纪律，不得透露评审情况和评审中获悉的商业秘密。</w:t>
      </w:r>
    </w:p>
    <w:p w14:paraId="467AAF67">
      <w:pPr>
        <w:rPr>
          <w:b/>
          <w:color w:val="auto"/>
          <w:kern w:val="0"/>
          <w:sz w:val="24"/>
          <w:szCs w:val="28"/>
          <w:highlight w:val="none"/>
        </w:rPr>
      </w:pPr>
      <w:bookmarkStart w:id="158" w:name="_Toc391284782"/>
      <w:bookmarkEnd w:id="158"/>
      <w:bookmarkStart w:id="159" w:name="_Toc438797985"/>
      <w:bookmarkEnd w:id="159"/>
      <w:bookmarkStart w:id="160" w:name="_Toc438797220"/>
      <w:bookmarkEnd w:id="160"/>
      <w:r>
        <w:rPr>
          <w:b/>
          <w:color w:val="auto"/>
          <w:kern w:val="0"/>
          <w:sz w:val="24"/>
          <w:szCs w:val="28"/>
          <w:highlight w:val="none"/>
        </w:rPr>
        <w:t xml:space="preserve">9.4 </w:t>
      </w:r>
      <w:r>
        <w:rPr>
          <w:rFonts w:hint="eastAsia"/>
          <w:b/>
          <w:color w:val="auto"/>
          <w:kern w:val="0"/>
          <w:sz w:val="24"/>
          <w:szCs w:val="28"/>
          <w:highlight w:val="none"/>
        </w:rPr>
        <w:t>对与评审活动有关的工作人员的纪律要求</w:t>
      </w:r>
    </w:p>
    <w:p w14:paraId="178683AA">
      <w:pPr>
        <w:autoSpaceDE w:val="0"/>
        <w:autoSpaceDN w:val="0"/>
        <w:spacing w:line="360" w:lineRule="auto"/>
        <w:ind w:firstLine="484" w:firstLineChars="202"/>
        <w:jc w:val="left"/>
        <w:rPr>
          <w:rFonts w:hint="eastAsia" w:ascii="宋体" w:hAnsi="宋体"/>
          <w:color w:val="auto"/>
          <w:kern w:val="0"/>
          <w:sz w:val="24"/>
          <w:highlight w:val="none"/>
        </w:rPr>
      </w:pPr>
      <w:r>
        <w:rPr>
          <w:rFonts w:hint="eastAsia" w:ascii="宋体" w:hAnsi="宋体"/>
          <w:color w:val="auto"/>
          <w:kern w:val="0"/>
          <w:sz w:val="24"/>
          <w:highlight w:val="none"/>
        </w:rPr>
        <w:t>与评审活动有关的工作人员不得收受他人的财物或者其他好处，不得向他人透漏对</w:t>
      </w:r>
      <w:r>
        <w:rPr>
          <w:rFonts w:hint="eastAsia" w:ascii="宋体" w:hAnsi="宋体"/>
          <w:color w:val="auto"/>
          <w:kern w:val="0"/>
          <w:sz w:val="24"/>
          <w:highlight w:val="none"/>
          <w:lang w:eastAsia="zh-CN"/>
        </w:rPr>
        <w:t>响应文件</w:t>
      </w:r>
      <w:r>
        <w:rPr>
          <w:rFonts w:hint="eastAsia" w:ascii="宋体" w:hAnsi="宋体"/>
          <w:color w:val="auto"/>
          <w:kern w:val="0"/>
          <w:sz w:val="24"/>
          <w:highlight w:val="none"/>
        </w:rPr>
        <w:t>的</w:t>
      </w:r>
      <w:r>
        <w:rPr>
          <w:rFonts w:hint="eastAsia" w:ascii="宋体" w:hAnsi="宋体"/>
          <w:color w:val="auto"/>
          <w:sz w:val="24"/>
          <w:highlight w:val="none"/>
        </w:rPr>
        <w:t>评审和比较、中标候选人的推荐情况以及评审有关的其他情况。在评审活动中，与评审活动有关的工作人员不得</w:t>
      </w:r>
      <w:r>
        <w:rPr>
          <w:rFonts w:hint="eastAsia" w:ascii="宋体" w:hAnsi="宋体"/>
          <w:color w:val="auto"/>
          <w:kern w:val="0"/>
          <w:sz w:val="24"/>
          <w:highlight w:val="none"/>
        </w:rPr>
        <w:t>擅离职守，影响评审程序正常进行。</w:t>
      </w:r>
    </w:p>
    <w:p w14:paraId="018CCCE8">
      <w:pPr>
        <w:rPr>
          <w:b/>
          <w:color w:val="auto"/>
          <w:kern w:val="0"/>
          <w:sz w:val="24"/>
          <w:szCs w:val="28"/>
          <w:highlight w:val="none"/>
        </w:rPr>
      </w:pPr>
      <w:bookmarkStart w:id="161" w:name="_Toc438797221"/>
      <w:bookmarkEnd w:id="161"/>
      <w:bookmarkStart w:id="162" w:name="_Toc391284783"/>
      <w:bookmarkEnd w:id="162"/>
      <w:bookmarkStart w:id="163" w:name="_Toc438797986"/>
      <w:bookmarkEnd w:id="163"/>
      <w:r>
        <w:rPr>
          <w:b/>
          <w:color w:val="auto"/>
          <w:kern w:val="0"/>
          <w:sz w:val="24"/>
          <w:szCs w:val="28"/>
          <w:highlight w:val="none"/>
        </w:rPr>
        <w:t xml:space="preserve">9.5 </w:t>
      </w:r>
      <w:r>
        <w:rPr>
          <w:rFonts w:hint="eastAsia"/>
          <w:b/>
          <w:color w:val="auto"/>
          <w:kern w:val="0"/>
          <w:sz w:val="24"/>
          <w:szCs w:val="28"/>
          <w:highlight w:val="none"/>
        </w:rPr>
        <w:t>投诉</w:t>
      </w:r>
    </w:p>
    <w:p w14:paraId="4E20BA5D">
      <w:pPr>
        <w:autoSpaceDE w:val="0"/>
        <w:autoSpaceDN w:val="0"/>
        <w:spacing w:line="360" w:lineRule="auto"/>
        <w:ind w:firstLine="484" w:firstLineChars="202"/>
        <w:jc w:val="left"/>
        <w:rPr>
          <w:rFonts w:hint="eastAsia" w:ascii="宋体" w:hAnsi="宋体"/>
          <w:color w:val="auto"/>
          <w:kern w:val="0"/>
          <w:sz w:val="24"/>
          <w:highlight w:val="none"/>
          <w:lang w:eastAsia="zh-CN"/>
        </w:rPr>
      </w:pPr>
      <w:r>
        <w:rPr>
          <w:rFonts w:hint="eastAsia" w:ascii="宋体" w:hAnsi="宋体"/>
          <w:color w:val="auto"/>
          <w:kern w:val="0"/>
          <w:sz w:val="24"/>
          <w:highlight w:val="none"/>
          <w:lang w:eastAsia="zh-CN"/>
        </w:rPr>
        <w:t>供应商</w:t>
      </w:r>
      <w:r>
        <w:rPr>
          <w:rFonts w:hint="eastAsia" w:ascii="宋体" w:hAnsi="宋体"/>
          <w:color w:val="auto"/>
          <w:kern w:val="0"/>
          <w:sz w:val="24"/>
          <w:highlight w:val="none"/>
        </w:rPr>
        <w:t>和其他利害关系人认为本次采购活动违反法律、法规和规章规定的，有权向有关行政监督部门投诉。</w:t>
      </w:r>
    </w:p>
    <w:p w14:paraId="63303042">
      <w:pPr>
        <w:numPr>
          <w:ilvl w:val="0"/>
          <w:numId w:val="2"/>
        </w:numPr>
        <w:spacing w:line="440" w:lineRule="exact"/>
        <w:rPr>
          <w:rFonts w:hint="eastAsia" w:ascii="宋体" w:hAnsi="宋体" w:eastAsia="宋体"/>
          <w:b/>
          <w:color w:val="auto"/>
          <w:sz w:val="28"/>
          <w:szCs w:val="28"/>
          <w:highlight w:val="none"/>
          <w:lang w:val="en-US" w:eastAsia="zh-CN"/>
        </w:rPr>
      </w:pPr>
      <w:r>
        <w:rPr>
          <w:rFonts w:hint="eastAsia" w:ascii="宋体" w:hAnsi="宋体" w:eastAsia="宋体"/>
          <w:b/>
          <w:color w:val="auto"/>
          <w:sz w:val="28"/>
          <w:szCs w:val="28"/>
          <w:highlight w:val="none"/>
          <w:lang w:val="en-US" w:eastAsia="zh-CN"/>
        </w:rPr>
        <w:t>招标控制价编制说明</w:t>
      </w:r>
    </w:p>
    <w:p w14:paraId="16A11E37">
      <w:pPr>
        <w:autoSpaceDE w:val="0"/>
        <w:autoSpaceDN w:val="0"/>
        <w:spacing w:line="360" w:lineRule="auto"/>
        <w:ind w:firstLine="484" w:firstLineChars="202"/>
        <w:jc w:val="left"/>
        <w:rPr>
          <w:rFonts w:hint="eastAsia" w:ascii="宋体" w:hAnsi="宋体"/>
          <w:color w:val="auto"/>
          <w:kern w:val="0"/>
          <w:sz w:val="24"/>
          <w:highlight w:val="none"/>
          <w:lang w:val="en-US" w:eastAsia="zh-CN"/>
        </w:rPr>
      </w:pPr>
      <w:r>
        <w:rPr>
          <w:rFonts w:hint="eastAsia" w:ascii="宋体" w:hAnsi="宋体"/>
          <w:color w:val="auto"/>
          <w:kern w:val="0"/>
          <w:sz w:val="24"/>
          <w:highlight w:val="none"/>
          <w:lang w:val="en-US" w:eastAsia="zh-CN"/>
        </w:rPr>
        <w:t>10.1编制依据：</w:t>
      </w:r>
      <w:bookmarkStart w:id="164" w:name="_Toc179632598"/>
      <w:bookmarkEnd w:id="164"/>
      <w:bookmarkStart w:id="165" w:name="_Toc152045580"/>
      <w:bookmarkEnd w:id="165"/>
      <w:bookmarkStart w:id="166" w:name="_Toc144974547"/>
      <w:bookmarkEnd w:id="166"/>
      <w:bookmarkStart w:id="167" w:name="_Toc152042357"/>
      <w:bookmarkEnd w:id="167"/>
    </w:p>
    <w:p w14:paraId="4D32B961">
      <w:pPr>
        <w:autoSpaceDE w:val="0"/>
        <w:autoSpaceDN w:val="0"/>
        <w:spacing w:line="360" w:lineRule="auto"/>
        <w:ind w:firstLine="484" w:firstLineChars="202"/>
        <w:jc w:val="left"/>
        <w:rPr>
          <w:rFonts w:hint="eastAsia" w:ascii="宋体" w:hAnsi="宋体" w:eastAsia="宋体" w:cs="Times New Roman"/>
          <w:b w:val="0"/>
          <w:bCs w:val="0"/>
          <w:color w:val="auto"/>
          <w:kern w:val="0"/>
          <w:sz w:val="24"/>
          <w:szCs w:val="24"/>
          <w:highlight w:val="none"/>
          <w:lang w:val="en-US" w:eastAsia="zh-CN" w:bidi="ar-SA"/>
        </w:rPr>
      </w:pPr>
      <w:r>
        <w:rPr>
          <w:rFonts w:hint="eastAsia" w:ascii="宋体" w:hAnsi="宋体" w:eastAsia="宋体" w:cs="Times New Roman"/>
          <w:b w:val="0"/>
          <w:bCs w:val="0"/>
          <w:color w:val="auto"/>
          <w:kern w:val="0"/>
          <w:sz w:val="24"/>
          <w:szCs w:val="24"/>
          <w:highlight w:val="none"/>
          <w:lang w:val="en-US" w:eastAsia="zh-CN" w:bidi="ar-SA"/>
        </w:rPr>
        <w:t>1)交通部交工发(2018)86号文发布的《公路工程预算定额》(JTG/T3832-2018)</w:t>
      </w:r>
      <w:r>
        <w:rPr>
          <w:rFonts w:hint="eastAsia" w:ascii="宋体" w:hAnsi="宋体" w:cs="Times New Roman"/>
          <w:b w:val="0"/>
          <w:bCs w:val="0"/>
          <w:color w:val="auto"/>
          <w:kern w:val="0"/>
          <w:sz w:val="24"/>
          <w:szCs w:val="24"/>
          <w:highlight w:val="none"/>
          <w:lang w:val="en-US" w:eastAsia="zh-CN" w:bidi="ar-SA"/>
        </w:rPr>
        <w:t>。</w:t>
      </w:r>
    </w:p>
    <w:p w14:paraId="1D5A7DB3">
      <w:pPr>
        <w:autoSpaceDE w:val="0"/>
        <w:autoSpaceDN w:val="0"/>
        <w:spacing w:line="360" w:lineRule="auto"/>
        <w:ind w:firstLine="484" w:firstLineChars="202"/>
        <w:jc w:val="left"/>
        <w:rPr>
          <w:rFonts w:hint="eastAsia" w:ascii="宋体" w:hAnsi="宋体" w:eastAsia="宋体" w:cs="Times New Roman"/>
          <w:b w:val="0"/>
          <w:bCs w:val="0"/>
          <w:color w:val="auto"/>
          <w:kern w:val="0"/>
          <w:sz w:val="24"/>
          <w:szCs w:val="24"/>
          <w:highlight w:val="none"/>
          <w:lang w:val="en-US" w:eastAsia="zh-CN" w:bidi="ar-SA"/>
        </w:rPr>
      </w:pPr>
      <w:r>
        <w:rPr>
          <w:rFonts w:hint="eastAsia" w:ascii="宋体" w:hAnsi="宋体" w:eastAsia="宋体" w:cs="Times New Roman"/>
          <w:b w:val="0"/>
          <w:bCs w:val="0"/>
          <w:color w:val="auto"/>
          <w:kern w:val="0"/>
          <w:sz w:val="24"/>
          <w:szCs w:val="24"/>
          <w:highlight w:val="none"/>
          <w:lang w:val="en-US" w:eastAsia="zh-CN" w:bidi="ar-SA"/>
        </w:rPr>
        <w:t>2)交通部交工发(2018)86号文发布的《公路工程机械台班费用定额》(JTG/T 3833-2018)。</w:t>
      </w:r>
    </w:p>
    <w:p w14:paraId="27D497EA">
      <w:pPr>
        <w:autoSpaceDE w:val="0"/>
        <w:autoSpaceDN w:val="0"/>
        <w:spacing w:line="360" w:lineRule="auto"/>
        <w:ind w:firstLine="484" w:firstLineChars="202"/>
        <w:jc w:val="left"/>
        <w:rPr>
          <w:rFonts w:hint="eastAsia" w:ascii="宋体" w:hAnsi="宋体" w:eastAsia="宋体" w:cs="Times New Roman"/>
          <w:b w:val="0"/>
          <w:bCs w:val="0"/>
          <w:color w:val="auto"/>
          <w:kern w:val="0"/>
          <w:sz w:val="24"/>
          <w:szCs w:val="24"/>
          <w:highlight w:val="none"/>
          <w:lang w:val="en-US" w:eastAsia="zh-CN" w:bidi="ar-SA"/>
        </w:rPr>
      </w:pPr>
      <w:r>
        <w:rPr>
          <w:rFonts w:hint="eastAsia" w:ascii="宋体" w:hAnsi="宋体" w:eastAsia="宋体" w:cs="Times New Roman"/>
          <w:b w:val="0"/>
          <w:bCs w:val="0"/>
          <w:color w:val="auto"/>
          <w:kern w:val="0"/>
          <w:sz w:val="24"/>
          <w:szCs w:val="24"/>
          <w:highlight w:val="none"/>
          <w:lang w:val="en-US" w:eastAsia="zh-CN" w:bidi="ar-SA"/>
        </w:rPr>
        <w:t>3)交通部交工发(2018)86号文发布的《公路工程基本建设项目概算、预算编制办法》(JTG 3830-2018)。</w:t>
      </w:r>
    </w:p>
    <w:p w14:paraId="3B61F168">
      <w:pPr>
        <w:autoSpaceDE w:val="0"/>
        <w:autoSpaceDN w:val="0"/>
        <w:spacing w:line="360" w:lineRule="auto"/>
        <w:ind w:firstLine="484" w:firstLineChars="202"/>
        <w:jc w:val="left"/>
        <w:rPr>
          <w:rFonts w:hint="eastAsia" w:ascii="宋体" w:hAnsi="宋体" w:eastAsia="宋体" w:cs="Times New Roman"/>
          <w:b w:val="0"/>
          <w:bCs w:val="0"/>
          <w:color w:val="auto"/>
          <w:kern w:val="0"/>
          <w:sz w:val="24"/>
          <w:szCs w:val="24"/>
          <w:highlight w:val="none"/>
          <w:lang w:val="en-US" w:eastAsia="zh-CN" w:bidi="ar-SA"/>
        </w:rPr>
      </w:pPr>
      <w:r>
        <w:rPr>
          <w:rFonts w:hint="eastAsia" w:ascii="宋体" w:hAnsi="宋体" w:eastAsia="宋体" w:cs="Times New Roman"/>
          <w:b w:val="0"/>
          <w:bCs w:val="0"/>
          <w:color w:val="auto"/>
          <w:kern w:val="0"/>
          <w:sz w:val="24"/>
          <w:szCs w:val="24"/>
          <w:highlight w:val="none"/>
          <w:lang w:val="en-US" w:eastAsia="zh-CN" w:bidi="ar-SA"/>
        </w:rPr>
        <w:t>4)河南省交通厅豫交文(2019)274号文发布的“关于执行《公路上基本建设项目概算、预算编制办法》、《公路工程概算定额》、《公路工程预算定额》、《公路工程机械台班费用定额》的通知”</w:t>
      </w:r>
      <w:r>
        <w:rPr>
          <w:rFonts w:hint="eastAsia" w:ascii="宋体" w:hAnsi="宋体" w:cs="Times New Roman"/>
          <w:b w:val="0"/>
          <w:bCs w:val="0"/>
          <w:color w:val="auto"/>
          <w:kern w:val="0"/>
          <w:sz w:val="24"/>
          <w:szCs w:val="24"/>
          <w:highlight w:val="none"/>
          <w:lang w:val="en-US" w:eastAsia="zh-CN" w:bidi="ar-SA"/>
        </w:rPr>
        <w:t>。</w:t>
      </w:r>
    </w:p>
    <w:p w14:paraId="0BA29D11">
      <w:pPr>
        <w:autoSpaceDE w:val="0"/>
        <w:autoSpaceDN w:val="0"/>
        <w:spacing w:line="360" w:lineRule="auto"/>
        <w:ind w:firstLine="484" w:firstLineChars="202"/>
        <w:jc w:val="left"/>
        <w:rPr>
          <w:rFonts w:hint="eastAsia" w:ascii="宋体" w:hAnsi="宋体" w:eastAsia="宋体" w:cs="Times New Roman"/>
          <w:b w:val="0"/>
          <w:bCs w:val="0"/>
          <w:color w:val="auto"/>
          <w:kern w:val="0"/>
          <w:sz w:val="24"/>
          <w:szCs w:val="24"/>
          <w:highlight w:val="none"/>
          <w:lang w:val="en-US" w:eastAsia="zh-CN" w:bidi="ar-SA"/>
        </w:rPr>
      </w:pPr>
      <w:r>
        <w:rPr>
          <w:rFonts w:hint="eastAsia" w:ascii="宋体" w:hAnsi="宋体" w:eastAsia="宋体" w:cs="Times New Roman"/>
          <w:b w:val="0"/>
          <w:bCs w:val="0"/>
          <w:color w:val="auto"/>
          <w:kern w:val="0"/>
          <w:sz w:val="24"/>
          <w:szCs w:val="24"/>
          <w:highlight w:val="none"/>
          <w:lang w:val="en-US" w:eastAsia="zh-CN" w:bidi="ar-SA"/>
        </w:rPr>
        <w:t>5)河南省交通运输厅《关于发布河南省公路工程建设项目估算概算预算编制办法补充规定的通知》。</w:t>
      </w:r>
    </w:p>
    <w:p w14:paraId="1C374F46">
      <w:pPr>
        <w:autoSpaceDE w:val="0"/>
        <w:autoSpaceDN w:val="0"/>
        <w:spacing w:line="360" w:lineRule="auto"/>
        <w:ind w:firstLine="484" w:firstLineChars="202"/>
        <w:jc w:val="left"/>
        <w:rPr>
          <w:rFonts w:hint="eastAsia" w:ascii="宋体" w:hAnsi="宋体" w:eastAsia="宋体" w:cs="Times New Roman"/>
          <w:b w:val="0"/>
          <w:bCs w:val="0"/>
          <w:color w:val="auto"/>
          <w:kern w:val="0"/>
          <w:sz w:val="24"/>
          <w:szCs w:val="24"/>
          <w:highlight w:val="none"/>
          <w:lang w:val="en-US" w:eastAsia="zh-CN" w:bidi="ar-SA"/>
        </w:rPr>
      </w:pPr>
      <w:r>
        <w:rPr>
          <w:rFonts w:hint="eastAsia" w:ascii="宋体" w:hAnsi="宋体" w:eastAsia="宋体" w:cs="Times New Roman"/>
          <w:b w:val="0"/>
          <w:bCs w:val="0"/>
          <w:color w:val="auto"/>
          <w:kern w:val="0"/>
          <w:sz w:val="24"/>
          <w:szCs w:val="24"/>
          <w:highlight w:val="none"/>
          <w:lang w:val="en-US" w:eastAsia="zh-CN" w:bidi="ar-SA"/>
        </w:rPr>
        <w:t>6)河南省交通厅关于发布《河南省普通公路养护工程预算编制办法》《河南省普通公路养护工程预算定额》《河南省普通公路养护工程机械台班费用定额》及《河南省普通公路日常养护预算编制办法》《河南省普通公路日常养护预算指标(定额)》的通知(豫交文(2021)76号</w:t>
      </w:r>
      <w:r>
        <w:rPr>
          <w:rFonts w:hint="eastAsia" w:ascii="宋体" w:hAnsi="宋体" w:cs="Times New Roman"/>
          <w:b w:val="0"/>
          <w:bCs w:val="0"/>
          <w:color w:val="auto"/>
          <w:kern w:val="0"/>
          <w:sz w:val="24"/>
          <w:szCs w:val="24"/>
          <w:highlight w:val="none"/>
          <w:lang w:val="en-US" w:eastAsia="zh-CN" w:bidi="ar-SA"/>
        </w:rPr>
        <w:t>。</w:t>
      </w:r>
    </w:p>
    <w:p w14:paraId="41AD1F6D">
      <w:pPr>
        <w:autoSpaceDE w:val="0"/>
        <w:autoSpaceDN w:val="0"/>
        <w:spacing w:line="360" w:lineRule="auto"/>
        <w:ind w:firstLine="484" w:firstLineChars="202"/>
        <w:jc w:val="left"/>
        <w:rPr>
          <w:rFonts w:hint="eastAsia" w:ascii="宋体" w:hAnsi="宋体" w:eastAsia="宋体" w:cs="Times New Roman"/>
          <w:b w:val="0"/>
          <w:bCs w:val="0"/>
          <w:color w:val="auto"/>
          <w:kern w:val="0"/>
          <w:sz w:val="24"/>
          <w:szCs w:val="24"/>
          <w:highlight w:val="none"/>
          <w:lang w:val="en-US" w:eastAsia="zh-CN" w:bidi="ar-SA"/>
        </w:rPr>
      </w:pPr>
      <w:r>
        <w:rPr>
          <w:rFonts w:hint="eastAsia" w:ascii="宋体" w:hAnsi="宋体" w:eastAsia="宋体" w:cs="Times New Roman"/>
          <w:b w:val="0"/>
          <w:bCs w:val="0"/>
          <w:color w:val="auto"/>
          <w:kern w:val="0"/>
          <w:sz w:val="24"/>
          <w:szCs w:val="24"/>
          <w:highlight w:val="none"/>
          <w:lang w:val="en-US" w:eastAsia="zh-CN" w:bidi="ar-SA"/>
        </w:rPr>
        <w:t>7)人工费采用标准</w:t>
      </w:r>
      <w:r>
        <w:rPr>
          <w:rFonts w:hint="eastAsia" w:ascii="宋体" w:hAnsi="宋体" w:cs="Times New Roman"/>
          <w:b w:val="0"/>
          <w:bCs w:val="0"/>
          <w:color w:val="auto"/>
          <w:kern w:val="0"/>
          <w:sz w:val="24"/>
          <w:szCs w:val="24"/>
          <w:highlight w:val="none"/>
          <w:lang w:val="en-US" w:eastAsia="zh-CN" w:bidi="ar-SA"/>
        </w:rPr>
        <w:t>：</w:t>
      </w:r>
      <w:r>
        <w:rPr>
          <w:rFonts w:hint="eastAsia" w:ascii="宋体" w:hAnsi="宋体" w:eastAsia="宋体" w:cs="Times New Roman"/>
          <w:b w:val="0"/>
          <w:bCs w:val="0"/>
          <w:color w:val="auto"/>
          <w:kern w:val="0"/>
          <w:sz w:val="24"/>
          <w:szCs w:val="24"/>
          <w:highlight w:val="none"/>
          <w:lang w:val="en-US" w:eastAsia="zh-CN" w:bidi="ar-SA"/>
        </w:rPr>
        <w:t>人工、机械工108.85元/工日。</w:t>
      </w:r>
    </w:p>
    <w:p w14:paraId="26A33BBB">
      <w:pPr>
        <w:autoSpaceDE w:val="0"/>
        <w:autoSpaceDN w:val="0"/>
        <w:spacing w:line="360" w:lineRule="auto"/>
        <w:ind w:firstLine="484" w:firstLineChars="202"/>
        <w:jc w:val="left"/>
        <w:rPr>
          <w:rFonts w:hint="eastAsia" w:ascii="宋体" w:hAnsi="宋体" w:eastAsia="宋体" w:cs="Times New Roman"/>
          <w:b w:val="0"/>
          <w:bCs w:val="0"/>
          <w:color w:val="auto"/>
          <w:kern w:val="0"/>
          <w:sz w:val="24"/>
          <w:szCs w:val="24"/>
          <w:highlight w:val="none"/>
          <w:lang w:val="en-US" w:eastAsia="zh-CN" w:bidi="ar-SA"/>
        </w:rPr>
      </w:pPr>
      <w:r>
        <w:rPr>
          <w:rFonts w:hint="eastAsia" w:ascii="宋体" w:hAnsi="宋体" w:eastAsia="宋体" w:cs="Times New Roman"/>
          <w:b w:val="0"/>
          <w:bCs w:val="0"/>
          <w:color w:val="auto"/>
          <w:kern w:val="0"/>
          <w:sz w:val="24"/>
          <w:szCs w:val="24"/>
          <w:highlight w:val="none"/>
          <w:lang w:val="en-US" w:eastAsia="zh-CN" w:bidi="ar-SA"/>
        </w:rPr>
        <w:t>8)材料单价依据《三门峡工程标准造价信息》2025年第3期信息价，同时参照河南省交通工程定额站发布的三门峡市2025年5月公路材料单价</w:t>
      </w:r>
      <w:r>
        <w:rPr>
          <w:rFonts w:hint="eastAsia" w:ascii="宋体" w:hAnsi="宋体" w:cs="Times New Roman"/>
          <w:b w:val="0"/>
          <w:bCs w:val="0"/>
          <w:color w:val="auto"/>
          <w:kern w:val="0"/>
          <w:sz w:val="24"/>
          <w:szCs w:val="24"/>
          <w:highlight w:val="none"/>
          <w:lang w:val="en-US" w:eastAsia="zh-CN" w:bidi="ar-SA"/>
        </w:rPr>
        <w:t>；</w:t>
      </w:r>
      <w:r>
        <w:rPr>
          <w:rFonts w:hint="eastAsia" w:ascii="宋体" w:hAnsi="宋体" w:eastAsia="宋体" w:cs="Times New Roman"/>
          <w:b w:val="0"/>
          <w:bCs w:val="0"/>
          <w:color w:val="auto"/>
          <w:kern w:val="0"/>
          <w:sz w:val="24"/>
          <w:szCs w:val="24"/>
          <w:highlight w:val="none"/>
          <w:lang w:val="en-US" w:eastAsia="zh-CN" w:bidi="ar-SA"/>
        </w:rPr>
        <w:t>缺少信息价的材料单价均通过在项目所在地及采购地实地市场调查和厂家询价，最终确定适当材料单价</w:t>
      </w:r>
      <w:r>
        <w:rPr>
          <w:rFonts w:hint="eastAsia" w:ascii="宋体" w:hAnsi="宋体" w:cs="Times New Roman"/>
          <w:b w:val="0"/>
          <w:bCs w:val="0"/>
          <w:color w:val="auto"/>
          <w:kern w:val="0"/>
          <w:sz w:val="24"/>
          <w:szCs w:val="24"/>
          <w:highlight w:val="none"/>
          <w:lang w:val="en-US" w:eastAsia="zh-CN" w:bidi="ar-SA"/>
        </w:rPr>
        <w:t>。</w:t>
      </w:r>
    </w:p>
    <w:p w14:paraId="2D1EE7E6">
      <w:pPr>
        <w:autoSpaceDE w:val="0"/>
        <w:autoSpaceDN w:val="0"/>
        <w:spacing w:line="360" w:lineRule="auto"/>
        <w:ind w:firstLine="565" w:firstLineChars="202"/>
        <w:jc w:val="left"/>
        <w:rPr>
          <w:rFonts w:hint="eastAsia" w:ascii="宋体" w:hAnsi="宋体" w:eastAsia="宋体"/>
          <w:color w:val="auto"/>
          <w:kern w:val="0"/>
          <w:sz w:val="28"/>
          <w:szCs w:val="36"/>
          <w:highlight w:val="none"/>
          <w:lang w:val="en-US" w:eastAsia="zh-CN"/>
        </w:rPr>
      </w:pPr>
      <w:r>
        <w:rPr>
          <w:rFonts w:hint="eastAsia" w:ascii="宋体" w:hAnsi="宋体" w:eastAsia="宋体"/>
          <w:color w:val="auto"/>
          <w:kern w:val="0"/>
          <w:sz w:val="28"/>
          <w:szCs w:val="36"/>
          <w:highlight w:val="none"/>
          <w:lang w:val="en-US" w:eastAsia="zh-CN"/>
        </w:rPr>
        <w:t>11其他</w:t>
      </w:r>
    </w:p>
    <w:p w14:paraId="3E5D1AA4">
      <w:pPr>
        <w:autoSpaceDE w:val="0"/>
        <w:autoSpaceDN w:val="0"/>
        <w:spacing w:line="360" w:lineRule="auto"/>
        <w:ind w:firstLine="484" w:firstLineChars="202"/>
        <w:jc w:val="left"/>
        <w:rPr>
          <w:rFonts w:hint="eastAsia" w:ascii="宋体" w:hAnsi="宋体" w:eastAsia="宋体"/>
          <w:color w:val="auto"/>
          <w:kern w:val="0"/>
          <w:sz w:val="24"/>
          <w:highlight w:val="none"/>
          <w:lang w:val="en-US" w:eastAsia="zh-CN"/>
        </w:rPr>
      </w:pPr>
      <w:bookmarkStart w:id="168" w:name="_Toc152042358"/>
      <w:bookmarkStart w:id="169" w:name="_Toc152045581"/>
      <w:bookmarkStart w:id="170" w:name="_Toc144974548"/>
      <w:bookmarkStart w:id="171" w:name="_Toc179632599"/>
      <w:r>
        <w:rPr>
          <w:rFonts w:hint="eastAsia" w:ascii="宋体" w:hAnsi="宋体"/>
          <w:color w:val="auto"/>
          <w:kern w:val="0"/>
          <w:sz w:val="24"/>
          <w:highlight w:val="none"/>
          <w:lang w:val="en-US" w:eastAsia="zh-CN"/>
        </w:rPr>
        <w:t>11.</w:t>
      </w:r>
      <w:r>
        <w:rPr>
          <w:rFonts w:hint="eastAsia" w:ascii="宋体" w:hAnsi="宋体" w:eastAsia="宋体"/>
          <w:color w:val="auto"/>
          <w:kern w:val="0"/>
          <w:sz w:val="24"/>
          <w:highlight w:val="none"/>
          <w:lang w:val="en-US" w:eastAsia="zh-CN"/>
        </w:rPr>
        <w:t>1、需要补充的其他内容：见</w:t>
      </w:r>
      <w:r>
        <w:rPr>
          <w:rFonts w:hint="eastAsia" w:ascii="宋体" w:hAnsi="宋体"/>
          <w:color w:val="auto"/>
          <w:kern w:val="0"/>
          <w:sz w:val="24"/>
          <w:highlight w:val="none"/>
          <w:lang w:val="en-US" w:eastAsia="zh-CN"/>
        </w:rPr>
        <w:t>供应商</w:t>
      </w:r>
      <w:r>
        <w:rPr>
          <w:rFonts w:hint="eastAsia" w:ascii="宋体" w:hAnsi="宋体" w:eastAsia="宋体"/>
          <w:color w:val="auto"/>
          <w:kern w:val="0"/>
          <w:sz w:val="24"/>
          <w:highlight w:val="none"/>
          <w:lang w:val="en-US" w:eastAsia="zh-CN"/>
        </w:rPr>
        <w:t>须知前附表。</w:t>
      </w:r>
    </w:p>
    <w:bookmarkEnd w:id="168"/>
    <w:bookmarkEnd w:id="169"/>
    <w:bookmarkEnd w:id="170"/>
    <w:bookmarkEnd w:id="171"/>
    <w:p w14:paraId="3CEB8016">
      <w:pPr>
        <w:autoSpaceDE w:val="0"/>
        <w:autoSpaceDN w:val="0"/>
        <w:spacing w:line="360" w:lineRule="auto"/>
        <w:ind w:firstLine="484" w:firstLineChars="202"/>
        <w:jc w:val="left"/>
        <w:rPr>
          <w:rFonts w:hint="eastAsia" w:ascii="宋体" w:hAnsi="宋体" w:eastAsia="宋体"/>
          <w:color w:val="auto"/>
          <w:kern w:val="0"/>
          <w:sz w:val="24"/>
          <w:highlight w:val="none"/>
          <w:lang w:val="en-US" w:eastAsia="zh-CN"/>
        </w:rPr>
      </w:pPr>
      <w:r>
        <w:rPr>
          <w:rFonts w:hint="eastAsia" w:ascii="宋体" w:hAnsi="宋体"/>
          <w:color w:val="auto"/>
          <w:kern w:val="0"/>
          <w:sz w:val="24"/>
          <w:highlight w:val="none"/>
          <w:lang w:val="en-US" w:eastAsia="zh-CN"/>
        </w:rPr>
        <w:t>11.</w:t>
      </w:r>
      <w:r>
        <w:rPr>
          <w:rFonts w:hint="eastAsia" w:ascii="宋体" w:hAnsi="宋体" w:eastAsia="宋体"/>
          <w:color w:val="auto"/>
          <w:kern w:val="0"/>
          <w:sz w:val="24"/>
          <w:highlight w:val="none"/>
          <w:lang w:val="en-US" w:eastAsia="zh-CN"/>
        </w:rPr>
        <w:t>2、本磋商文件未尽事宜执行国家、省、市相关规定。</w:t>
      </w:r>
    </w:p>
    <w:bookmarkEnd w:id="8"/>
    <w:bookmarkEnd w:id="9"/>
    <w:bookmarkEnd w:id="10"/>
    <w:p w14:paraId="6617BF37">
      <w:pPr>
        <w:pStyle w:val="26"/>
        <w:tabs>
          <w:tab w:val="clear" w:pos="420"/>
        </w:tabs>
        <w:jc w:val="center"/>
        <w:rPr>
          <w:rFonts w:hint="eastAsia" w:ascii="宋体" w:hAnsi="宋体"/>
          <w:b w:val="0"/>
          <w:color w:val="auto"/>
          <w:highlight w:val="none"/>
        </w:rPr>
      </w:pPr>
      <w:bookmarkStart w:id="172" w:name="_Toc105654861"/>
      <w:bookmarkEnd w:id="172"/>
      <w:r>
        <w:rPr>
          <w:rFonts w:hint="eastAsia" w:ascii="宋体" w:hAnsi="宋体"/>
          <w:b w:val="0"/>
          <w:color w:val="auto"/>
          <w:highlight w:val="none"/>
        </w:rPr>
        <w:br w:type="page"/>
      </w:r>
      <w:r>
        <w:rPr>
          <w:rFonts w:hint="eastAsia" w:ascii="宋体" w:hAnsi="宋体" w:eastAsia="宋体"/>
          <w:color w:val="auto"/>
          <w:sz w:val="32"/>
          <w:szCs w:val="28"/>
          <w:highlight w:val="none"/>
        </w:rPr>
        <w:t>第三章  评标办法</w:t>
      </w:r>
    </w:p>
    <w:p w14:paraId="7B9AA8E2">
      <w:pPr>
        <w:spacing w:line="400" w:lineRule="exact"/>
        <w:ind w:right="-340" w:rightChars="-162" w:firstLine="420"/>
        <w:rPr>
          <w:rFonts w:ascii="宋体" w:hAnsi="宋体"/>
          <w:color w:val="auto"/>
          <w:sz w:val="28"/>
          <w:highlight w:val="none"/>
        </w:rPr>
      </w:pPr>
      <w:bookmarkStart w:id="173" w:name="_Toc251933384"/>
      <w:bookmarkStart w:id="174" w:name="_Toc105654864"/>
      <w:bookmarkStart w:id="175" w:name="_Toc290999295"/>
      <w:bookmarkStart w:id="176" w:name="_Toc1231"/>
      <w:bookmarkStart w:id="177" w:name="_Toc228253503"/>
      <w:r>
        <w:rPr>
          <w:rFonts w:ascii="宋体" w:hAnsi="宋体"/>
          <w:color w:val="auto"/>
          <w:sz w:val="28"/>
          <w:highlight w:val="none"/>
        </w:rPr>
        <w:t>本次</w:t>
      </w:r>
      <w:r>
        <w:rPr>
          <w:rFonts w:hint="eastAsia" w:ascii="宋体" w:hAnsi="宋体"/>
          <w:color w:val="auto"/>
          <w:sz w:val="28"/>
          <w:highlight w:val="none"/>
          <w:lang w:eastAsia="zh-CN"/>
        </w:rPr>
        <w:t>竞争性磋商</w:t>
      </w:r>
      <w:r>
        <w:rPr>
          <w:rFonts w:hint="eastAsia" w:ascii="宋体" w:hAnsi="宋体"/>
          <w:color w:val="auto"/>
          <w:sz w:val="28"/>
          <w:highlight w:val="none"/>
        </w:rPr>
        <w:t>的评审分为初步审查和详细审查</w:t>
      </w:r>
      <w:r>
        <w:rPr>
          <w:rFonts w:hint="eastAsia" w:ascii="宋体" w:hAnsi="宋体"/>
          <w:color w:val="auto"/>
          <w:sz w:val="24"/>
          <w:highlight w:val="none"/>
        </w:rPr>
        <w:t>。</w:t>
      </w:r>
    </w:p>
    <w:p w14:paraId="43EE5D03">
      <w:pPr>
        <w:numPr>
          <w:ilvl w:val="0"/>
          <w:numId w:val="3"/>
        </w:numPr>
        <w:spacing w:after="200" w:line="400" w:lineRule="exact"/>
        <w:ind w:right="-340" w:rightChars="-162"/>
        <w:rPr>
          <w:rFonts w:hint="eastAsia" w:ascii="宋体" w:hAnsi="宋体"/>
          <w:b/>
          <w:color w:val="auto"/>
          <w:sz w:val="24"/>
          <w:highlight w:val="none"/>
        </w:rPr>
      </w:pPr>
      <w:r>
        <w:rPr>
          <w:rFonts w:hint="eastAsia" w:ascii="宋体" w:hAnsi="宋体"/>
          <w:b/>
          <w:color w:val="auto"/>
          <w:sz w:val="24"/>
          <w:highlight w:val="none"/>
        </w:rPr>
        <w:t>初步审查</w:t>
      </w:r>
    </w:p>
    <w:tbl>
      <w:tblPr>
        <w:tblStyle w:val="12"/>
        <w:tblpPr w:leftFromText="180" w:rightFromText="180" w:vertAnchor="text" w:tblpY="1"/>
        <w:tblOverlap w:val="never"/>
        <w:tblW w:w="9654"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17"/>
        <w:gridCol w:w="2126"/>
        <w:gridCol w:w="6711"/>
      </w:tblGrid>
      <w:tr w14:paraId="540F0F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7" w:hRule="atLeast"/>
        </w:trPr>
        <w:tc>
          <w:tcPr>
            <w:tcW w:w="9654" w:type="dxa"/>
            <w:gridSpan w:val="3"/>
            <w:vAlign w:val="center"/>
          </w:tcPr>
          <w:p w14:paraId="7A021EDD">
            <w:pPr>
              <w:autoSpaceDE w:val="0"/>
              <w:autoSpaceDN w:val="0"/>
              <w:spacing w:line="480" w:lineRule="exact"/>
              <w:jc w:val="center"/>
              <w:rPr>
                <w:rFonts w:hint="eastAsia" w:ascii="宋体" w:hAnsi="宋体"/>
                <w:b/>
                <w:color w:val="auto"/>
                <w:kern w:val="0"/>
                <w:sz w:val="24"/>
                <w:highlight w:val="none"/>
              </w:rPr>
            </w:pPr>
            <w:r>
              <w:rPr>
                <w:rFonts w:hint="eastAsia" w:ascii="宋体" w:hAnsi="宋体"/>
                <w:b/>
                <w:color w:val="auto"/>
                <w:kern w:val="0"/>
                <w:sz w:val="24"/>
                <w:highlight w:val="none"/>
              </w:rPr>
              <w:t>初步审查</w:t>
            </w:r>
          </w:p>
        </w:tc>
      </w:tr>
      <w:tr w14:paraId="20DF00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7" w:hRule="atLeast"/>
        </w:trPr>
        <w:tc>
          <w:tcPr>
            <w:tcW w:w="2943" w:type="dxa"/>
            <w:gridSpan w:val="2"/>
            <w:vAlign w:val="center"/>
          </w:tcPr>
          <w:p w14:paraId="2FC6CB53">
            <w:pPr>
              <w:autoSpaceDE w:val="0"/>
              <w:autoSpaceDN w:val="0"/>
              <w:spacing w:line="480" w:lineRule="exact"/>
              <w:jc w:val="center"/>
              <w:rPr>
                <w:rFonts w:hint="eastAsia" w:ascii="宋体" w:hAnsi="宋体"/>
                <w:b/>
                <w:color w:val="auto"/>
                <w:kern w:val="0"/>
                <w:sz w:val="24"/>
                <w:highlight w:val="none"/>
              </w:rPr>
            </w:pPr>
            <w:r>
              <w:rPr>
                <w:rFonts w:hint="eastAsia" w:ascii="宋体" w:hAnsi="宋体"/>
                <w:b/>
                <w:color w:val="auto"/>
                <w:kern w:val="0"/>
                <w:sz w:val="24"/>
                <w:highlight w:val="none"/>
              </w:rPr>
              <w:t>评审项</w:t>
            </w:r>
          </w:p>
        </w:tc>
        <w:tc>
          <w:tcPr>
            <w:tcW w:w="6711" w:type="dxa"/>
            <w:vAlign w:val="center"/>
          </w:tcPr>
          <w:p w14:paraId="5319337B">
            <w:pPr>
              <w:autoSpaceDE w:val="0"/>
              <w:autoSpaceDN w:val="0"/>
              <w:spacing w:line="480" w:lineRule="exact"/>
              <w:jc w:val="center"/>
              <w:rPr>
                <w:rFonts w:hint="eastAsia" w:ascii="宋体" w:hAnsi="宋体"/>
                <w:b/>
                <w:color w:val="auto"/>
                <w:kern w:val="0"/>
                <w:sz w:val="24"/>
                <w:highlight w:val="none"/>
              </w:rPr>
            </w:pPr>
            <w:r>
              <w:rPr>
                <w:rFonts w:hint="eastAsia" w:ascii="宋体" w:hAnsi="宋体"/>
                <w:b/>
                <w:color w:val="auto"/>
                <w:kern w:val="0"/>
                <w:sz w:val="24"/>
                <w:highlight w:val="none"/>
              </w:rPr>
              <w:t>评审标准</w:t>
            </w:r>
          </w:p>
        </w:tc>
      </w:tr>
      <w:tr w14:paraId="7A9B72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4" w:hRule="atLeast"/>
        </w:trPr>
        <w:tc>
          <w:tcPr>
            <w:tcW w:w="817" w:type="dxa"/>
            <w:vMerge w:val="restart"/>
            <w:vAlign w:val="center"/>
          </w:tcPr>
          <w:p w14:paraId="2ADF8CD8">
            <w:pPr>
              <w:autoSpaceDE w:val="0"/>
              <w:autoSpaceDN w:val="0"/>
              <w:spacing w:line="276" w:lineRule="auto"/>
              <w:jc w:val="center"/>
              <w:rPr>
                <w:rFonts w:hint="eastAsia" w:ascii="宋体" w:hAnsi="宋体"/>
                <w:color w:val="auto"/>
                <w:kern w:val="0"/>
                <w:sz w:val="24"/>
                <w:highlight w:val="none"/>
              </w:rPr>
            </w:pPr>
            <w:r>
              <w:rPr>
                <w:rFonts w:hint="eastAsia" w:ascii="宋体" w:hAnsi="宋体"/>
                <w:color w:val="auto"/>
                <w:kern w:val="0"/>
                <w:sz w:val="24"/>
                <w:highlight w:val="none"/>
              </w:rPr>
              <w:t>形式评审</w:t>
            </w:r>
          </w:p>
          <w:p w14:paraId="5BF20A17">
            <w:pPr>
              <w:autoSpaceDE w:val="0"/>
              <w:autoSpaceDN w:val="0"/>
              <w:spacing w:line="276" w:lineRule="auto"/>
              <w:jc w:val="center"/>
              <w:rPr>
                <w:rFonts w:hint="eastAsia" w:ascii="宋体" w:hAnsi="宋体"/>
                <w:color w:val="auto"/>
                <w:kern w:val="0"/>
                <w:sz w:val="24"/>
                <w:highlight w:val="none"/>
              </w:rPr>
            </w:pPr>
            <w:r>
              <w:rPr>
                <w:rFonts w:hint="eastAsia" w:ascii="宋体" w:hAnsi="宋体"/>
                <w:color w:val="auto"/>
                <w:kern w:val="0"/>
                <w:sz w:val="24"/>
                <w:highlight w:val="none"/>
              </w:rPr>
              <w:t>标准</w:t>
            </w:r>
          </w:p>
        </w:tc>
        <w:tc>
          <w:tcPr>
            <w:tcW w:w="2126" w:type="dxa"/>
            <w:vAlign w:val="center"/>
          </w:tcPr>
          <w:p w14:paraId="6BC55ED6">
            <w:pPr>
              <w:autoSpaceDE w:val="0"/>
              <w:autoSpaceDN w:val="0"/>
              <w:jc w:val="center"/>
              <w:rPr>
                <w:rFonts w:hint="eastAsia"/>
                <w:color w:val="auto"/>
                <w:sz w:val="24"/>
                <w:highlight w:val="none"/>
                <w:lang w:val="en-US" w:eastAsia="zh-CN"/>
              </w:rPr>
            </w:pPr>
            <w:r>
              <w:rPr>
                <w:rFonts w:hint="eastAsia"/>
                <w:color w:val="auto"/>
                <w:sz w:val="24"/>
                <w:highlight w:val="none"/>
                <w:lang w:val="en-US" w:eastAsia="zh-CN"/>
              </w:rPr>
              <w:t>供应商</w:t>
            </w:r>
            <w:r>
              <w:rPr>
                <w:rFonts w:hint="eastAsia"/>
                <w:color w:val="auto"/>
                <w:sz w:val="24"/>
                <w:highlight w:val="none"/>
              </w:rPr>
              <w:t>名称</w:t>
            </w:r>
          </w:p>
        </w:tc>
        <w:tc>
          <w:tcPr>
            <w:tcW w:w="6711" w:type="dxa"/>
            <w:vAlign w:val="center"/>
          </w:tcPr>
          <w:p w14:paraId="1A964215">
            <w:pPr>
              <w:autoSpaceDE w:val="0"/>
              <w:autoSpaceDN w:val="0"/>
              <w:rPr>
                <w:rFonts w:hint="eastAsia"/>
                <w:color w:val="auto"/>
                <w:sz w:val="24"/>
                <w:highlight w:val="none"/>
              </w:rPr>
            </w:pPr>
            <w:r>
              <w:rPr>
                <w:rFonts w:hint="eastAsia"/>
                <w:color w:val="auto"/>
                <w:sz w:val="24"/>
                <w:highlight w:val="none"/>
              </w:rPr>
              <w:t>与营业执照、资质证书、安全生产许可证一致</w:t>
            </w:r>
          </w:p>
        </w:tc>
      </w:tr>
      <w:tr w14:paraId="309869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4" w:hRule="atLeast"/>
        </w:trPr>
        <w:tc>
          <w:tcPr>
            <w:tcW w:w="817" w:type="dxa"/>
            <w:vMerge w:val="continue"/>
            <w:vAlign w:val="center"/>
          </w:tcPr>
          <w:p w14:paraId="1BE17243">
            <w:pPr>
              <w:autoSpaceDE w:val="0"/>
              <w:autoSpaceDN w:val="0"/>
              <w:spacing w:line="276" w:lineRule="auto"/>
              <w:jc w:val="center"/>
              <w:rPr>
                <w:rFonts w:ascii="宋体" w:hAnsi="宋体"/>
                <w:color w:val="auto"/>
                <w:kern w:val="0"/>
                <w:sz w:val="24"/>
                <w:highlight w:val="none"/>
              </w:rPr>
            </w:pPr>
          </w:p>
        </w:tc>
        <w:tc>
          <w:tcPr>
            <w:tcW w:w="2126" w:type="dxa"/>
            <w:vAlign w:val="center"/>
          </w:tcPr>
          <w:p w14:paraId="3757801A">
            <w:pPr>
              <w:autoSpaceDE w:val="0"/>
              <w:autoSpaceDN w:val="0"/>
              <w:jc w:val="center"/>
              <w:rPr>
                <w:rFonts w:hint="eastAsia"/>
                <w:color w:val="auto"/>
                <w:sz w:val="24"/>
                <w:highlight w:val="none"/>
                <w:lang w:val="en-US" w:eastAsia="zh-CN"/>
              </w:rPr>
            </w:pPr>
            <w:r>
              <w:rPr>
                <w:rFonts w:hint="eastAsia"/>
                <w:color w:val="auto"/>
                <w:sz w:val="24"/>
                <w:highlight w:val="none"/>
                <w:lang w:val="en-US" w:eastAsia="zh-CN"/>
              </w:rPr>
              <w:t>响应文件</w:t>
            </w:r>
          </w:p>
          <w:p w14:paraId="2C6652CF">
            <w:pPr>
              <w:autoSpaceDE w:val="0"/>
              <w:autoSpaceDN w:val="0"/>
              <w:jc w:val="center"/>
              <w:rPr>
                <w:rFonts w:hint="eastAsia"/>
                <w:color w:val="auto"/>
                <w:sz w:val="24"/>
                <w:highlight w:val="none"/>
              </w:rPr>
            </w:pPr>
            <w:r>
              <w:rPr>
                <w:rFonts w:hint="eastAsia"/>
                <w:color w:val="auto"/>
                <w:sz w:val="24"/>
                <w:highlight w:val="none"/>
              </w:rPr>
              <w:t>盖章、签字</w:t>
            </w:r>
          </w:p>
        </w:tc>
        <w:tc>
          <w:tcPr>
            <w:tcW w:w="6711" w:type="dxa"/>
            <w:vAlign w:val="center"/>
          </w:tcPr>
          <w:p w14:paraId="1ECDCDFD">
            <w:pPr>
              <w:autoSpaceDE w:val="0"/>
              <w:autoSpaceDN w:val="0"/>
              <w:rPr>
                <w:rFonts w:hint="eastAsia"/>
                <w:color w:val="auto"/>
                <w:sz w:val="24"/>
                <w:highlight w:val="none"/>
              </w:rPr>
            </w:pPr>
            <w:r>
              <w:rPr>
                <w:rFonts w:hint="eastAsia"/>
                <w:color w:val="auto"/>
                <w:sz w:val="24"/>
                <w:highlight w:val="none"/>
              </w:rPr>
              <w:t>符合</w:t>
            </w:r>
            <w:r>
              <w:rPr>
                <w:rFonts w:hint="eastAsia"/>
                <w:color w:val="auto"/>
                <w:sz w:val="24"/>
                <w:highlight w:val="none"/>
                <w:lang w:eastAsia="zh-CN"/>
              </w:rPr>
              <w:t>竞争性磋商</w:t>
            </w:r>
            <w:r>
              <w:rPr>
                <w:rFonts w:hint="eastAsia"/>
                <w:color w:val="auto"/>
                <w:sz w:val="24"/>
                <w:highlight w:val="none"/>
              </w:rPr>
              <w:t>文件签字、盖章的要求</w:t>
            </w:r>
          </w:p>
        </w:tc>
      </w:tr>
      <w:tr w14:paraId="22FC9F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4" w:hRule="atLeast"/>
        </w:trPr>
        <w:tc>
          <w:tcPr>
            <w:tcW w:w="817" w:type="dxa"/>
            <w:vMerge w:val="continue"/>
            <w:vAlign w:val="center"/>
          </w:tcPr>
          <w:p w14:paraId="5E407C42">
            <w:pPr>
              <w:autoSpaceDE w:val="0"/>
              <w:autoSpaceDN w:val="0"/>
              <w:spacing w:line="276" w:lineRule="auto"/>
              <w:jc w:val="center"/>
              <w:rPr>
                <w:rFonts w:ascii="宋体" w:hAnsi="宋体"/>
                <w:color w:val="auto"/>
                <w:kern w:val="0"/>
                <w:sz w:val="24"/>
                <w:highlight w:val="none"/>
              </w:rPr>
            </w:pPr>
          </w:p>
        </w:tc>
        <w:tc>
          <w:tcPr>
            <w:tcW w:w="2126" w:type="dxa"/>
            <w:vAlign w:val="center"/>
          </w:tcPr>
          <w:p w14:paraId="676F69AC">
            <w:pPr>
              <w:autoSpaceDE w:val="0"/>
              <w:autoSpaceDN w:val="0"/>
              <w:jc w:val="center"/>
              <w:rPr>
                <w:rFonts w:hint="eastAsia"/>
                <w:color w:val="auto"/>
                <w:sz w:val="24"/>
                <w:highlight w:val="none"/>
              </w:rPr>
            </w:pPr>
            <w:r>
              <w:rPr>
                <w:rFonts w:hint="eastAsia"/>
                <w:color w:val="auto"/>
                <w:sz w:val="24"/>
                <w:highlight w:val="none"/>
              </w:rPr>
              <w:t>报价唯一</w:t>
            </w:r>
          </w:p>
        </w:tc>
        <w:tc>
          <w:tcPr>
            <w:tcW w:w="6711" w:type="dxa"/>
            <w:vAlign w:val="center"/>
          </w:tcPr>
          <w:p w14:paraId="03D43412">
            <w:pPr>
              <w:autoSpaceDE w:val="0"/>
              <w:autoSpaceDN w:val="0"/>
              <w:rPr>
                <w:rFonts w:hint="eastAsia"/>
                <w:color w:val="auto"/>
                <w:sz w:val="24"/>
                <w:highlight w:val="none"/>
              </w:rPr>
            </w:pPr>
            <w:r>
              <w:rPr>
                <w:rFonts w:hint="eastAsia"/>
                <w:color w:val="auto"/>
                <w:sz w:val="24"/>
                <w:highlight w:val="none"/>
              </w:rPr>
              <w:t>只能有一个有效报价且不超过最高限价</w:t>
            </w:r>
          </w:p>
        </w:tc>
      </w:tr>
      <w:tr w14:paraId="47AA1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0" w:hRule="atLeast"/>
        </w:trPr>
        <w:tc>
          <w:tcPr>
            <w:tcW w:w="817" w:type="dxa"/>
            <w:vMerge w:val="restart"/>
            <w:vAlign w:val="center"/>
          </w:tcPr>
          <w:p w14:paraId="46C7459C">
            <w:pPr>
              <w:autoSpaceDE w:val="0"/>
              <w:autoSpaceDN w:val="0"/>
              <w:spacing w:line="276" w:lineRule="auto"/>
              <w:jc w:val="center"/>
              <w:rPr>
                <w:rFonts w:hint="eastAsia" w:ascii="宋体" w:hAnsi="宋体"/>
                <w:color w:val="auto"/>
                <w:kern w:val="0"/>
                <w:sz w:val="24"/>
                <w:highlight w:val="none"/>
              </w:rPr>
            </w:pPr>
            <w:r>
              <w:rPr>
                <w:rFonts w:hint="eastAsia" w:ascii="宋体" w:hAnsi="宋体"/>
                <w:color w:val="auto"/>
                <w:kern w:val="0"/>
                <w:sz w:val="24"/>
                <w:highlight w:val="none"/>
              </w:rPr>
              <w:t>资格评审标准</w:t>
            </w:r>
          </w:p>
        </w:tc>
        <w:tc>
          <w:tcPr>
            <w:tcW w:w="2126" w:type="dxa"/>
            <w:vAlign w:val="center"/>
          </w:tcPr>
          <w:p w14:paraId="2C235271">
            <w:pPr>
              <w:autoSpaceDE w:val="0"/>
              <w:autoSpaceDN w:val="0"/>
              <w:spacing w:line="400" w:lineRule="exact"/>
              <w:jc w:val="center"/>
              <w:rPr>
                <w:rFonts w:hint="eastAsia" w:ascii="宋体" w:hAnsi="宋体"/>
                <w:color w:val="auto"/>
                <w:kern w:val="0"/>
                <w:sz w:val="24"/>
                <w:highlight w:val="none"/>
              </w:rPr>
            </w:pPr>
            <w:r>
              <w:rPr>
                <w:rFonts w:hint="eastAsia" w:ascii="宋体" w:hAnsi="宋体"/>
                <w:color w:val="auto"/>
                <w:kern w:val="0"/>
                <w:sz w:val="24"/>
                <w:highlight w:val="none"/>
              </w:rPr>
              <w:t>满足《中华人民共和国政府采购法》第二十二条规定</w:t>
            </w:r>
          </w:p>
        </w:tc>
        <w:tc>
          <w:tcPr>
            <w:tcW w:w="6711" w:type="dxa"/>
            <w:vAlign w:val="center"/>
          </w:tcPr>
          <w:p w14:paraId="41CF9C89">
            <w:pPr>
              <w:autoSpaceDE w:val="0"/>
              <w:autoSpaceDN w:val="0"/>
              <w:spacing w:line="400" w:lineRule="exact"/>
              <w:jc w:val="left"/>
              <w:rPr>
                <w:rFonts w:hint="default" w:ascii="宋体" w:hAnsi="宋体" w:eastAsia="宋体"/>
                <w:color w:val="auto"/>
                <w:kern w:val="0"/>
                <w:sz w:val="24"/>
                <w:highlight w:val="none"/>
                <w:lang w:val="en-US" w:eastAsia="zh-CN"/>
              </w:rPr>
            </w:pPr>
            <w:r>
              <w:rPr>
                <w:rFonts w:hint="eastAsia" w:ascii="宋体" w:hAnsi="宋体"/>
                <w:color w:val="auto"/>
                <w:kern w:val="0"/>
                <w:sz w:val="24"/>
                <w:highlight w:val="none"/>
                <w:lang w:val="en-US" w:eastAsia="zh-CN"/>
              </w:rPr>
              <w:t>自行承诺</w:t>
            </w:r>
          </w:p>
        </w:tc>
      </w:tr>
      <w:tr w14:paraId="19A19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3" w:hRule="atLeast"/>
        </w:trPr>
        <w:tc>
          <w:tcPr>
            <w:tcW w:w="817" w:type="dxa"/>
            <w:vMerge w:val="continue"/>
            <w:vAlign w:val="center"/>
          </w:tcPr>
          <w:p w14:paraId="0D54EC95">
            <w:pPr>
              <w:autoSpaceDE w:val="0"/>
              <w:autoSpaceDN w:val="0"/>
              <w:spacing w:line="276" w:lineRule="auto"/>
              <w:jc w:val="center"/>
              <w:rPr>
                <w:rFonts w:ascii="宋体" w:hAnsi="宋体"/>
                <w:color w:val="auto"/>
                <w:kern w:val="0"/>
                <w:sz w:val="24"/>
                <w:highlight w:val="none"/>
              </w:rPr>
            </w:pPr>
          </w:p>
        </w:tc>
        <w:tc>
          <w:tcPr>
            <w:tcW w:w="2126" w:type="dxa"/>
            <w:shd w:val="clear" w:color="auto" w:fill="auto"/>
            <w:vAlign w:val="center"/>
          </w:tcPr>
          <w:p w14:paraId="03988BC9">
            <w:pPr>
              <w:autoSpaceDE w:val="0"/>
              <w:autoSpaceDN w:val="0"/>
              <w:spacing w:line="400" w:lineRule="exact"/>
              <w:jc w:val="center"/>
              <w:rPr>
                <w:rFonts w:hint="eastAsia" w:ascii="宋体" w:hAnsi="宋体" w:eastAsia="宋体" w:cs="Times New Roman"/>
                <w:color w:val="auto"/>
                <w:kern w:val="0"/>
                <w:sz w:val="24"/>
                <w:szCs w:val="24"/>
                <w:highlight w:val="none"/>
                <w:lang w:val="en-US" w:eastAsia="zh-CN" w:bidi="ar-SA"/>
              </w:rPr>
            </w:pPr>
            <w:r>
              <w:rPr>
                <w:rFonts w:hint="eastAsia" w:ascii="宋体" w:hAnsi="宋体"/>
                <w:color w:val="auto"/>
                <w:kern w:val="0"/>
                <w:sz w:val="24"/>
                <w:highlight w:val="none"/>
              </w:rPr>
              <w:t>营业执照</w:t>
            </w:r>
          </w:p>
        </w:tc>
        <w:tc>
          <w:tcPr>
            <w:tcW w:w="6711" w:type="dxa"/>
            <w:shd w:val="clear" w:color="auto" w:fill="auto"/>
            <w:vAlign w:val="center"/>
          </w:tcPr>
          <w:p w14:paraId="1CAB43BB">
            <w:pPr>
              <w:autoSpaceDE w:val="0"/>
              <w:autoSpaceDN w:val="0"/>
              <w:spacing w:line="400" w:lineRule="exact"/>
              <w:jc w:val="left"/>
              <w:rPr>
                <w:rFonts w:hint="eastAsia" w:ascii="宋体" w:hAnsi="宋体" w:eastAsia="宋体" w:cs="Times New Roman"/>
                <w:color w:val="auto"/>
                <w:kern w:val="0"/>
                <w:sz w:val="24"/>
                <w:szCs w:val="24"/>
                <w:highlight w:val="none"/>
                <w:lang w:val="en-US" w:eastAsia="zh-CN" w:bidi="ar-SA"/>
              </w:rPr>
            </w:pPr>
            <w:r>
              <w:rPr>
                <w:rFonts w:hint="eastAsia" w:ascii="宋体" w:hAnsi="宋体" w:eastAsia="宋体" w:cs="Times New Roman"/>
                <w:color w:val="auto"/>
                <w:kern w:val="0"/>
                <w:sz w:val="24"/>
                <w:szCs w:val="24"/>
                <w:highlight w:val="none"/>
                <w:lang w:val="en-US" w:eastAsia="zh-CN" w:bidi="ar-SA"/>
              </w:rPr>
              <w:t>供应商具有有效的企业营业执照</w:t>
            </w:r>
          </w:p>
        </w:tc>
      </w:tr>
      <w:tr w14:paraId="4B8111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3" w:hRule="atLeast"/>
        </w:trPr>
        <w:tc>
          <w:tcPr>
            <w:tcW w:w="817" w:type="dxa"/>
            <w:vMerge w:val="continue"/>
            <w:vAlign w:val="center"/>
          </w:tcPr>
          <w:p w14:paraId="48CFB0FD">
            <w:pPr>
              <w:autoSpaceDE w:val="0"/>
              <w:autoSpaceDN w:val="0"/>
              <w:spacing w:line="276" w:lineRule="auto"/>
              <w:jc w:val="center"/>
              <w:rPr>
                <w:rFonts w:ascii="宋体" w:hAnsi="宋体"/>
                <w:color w:val="auto"/>
                <w:kern w:val="0"/>
                <w:sz w:val="24"/>
                <w:highlight w:val="none"/>
              </w:rPr>
            </w:pPr>
          </w:p>
        </w:tc>
        <w:tc>
          <w:tcPr>
            <w:tcW w:w="2126" w:type="dxa"/>
            <w:shd w:val="clear" w:color="auto" w:fill="auto"/>
            <w:vAlign w:val="center"/>
          </w:tcPr>
          <w:p w14:paraId="21094993">
            <w:pPr>
              <w:autoSpaceDE w:val="0"/>
              <w:autoSpaceDN w:val="0"/>
              <w:spacing w:line="400" w:lineRule="exact"/>
              <w:jc w:val="center"/>
              <w:rPr>
                <w:rFonts w:hint="eastAsia" w:ascii="宋体" w:hAnsi="宋体" w:eastAsia="宋体" w:cs="Times New Roman"/>
                <w:bCs/>
                <w:color w:val="auto"/>
                <w:kern w:val="0"/>
                <w:sz w:val="24"/>
                <w:szCs w:val="24"/>
                <w:highlight w:val="none"/>
                <w:lang w:val="en-US" w:eastAsia="zh-CN" w:bidi="ar-SA"/>
              </w:rPr>
            </w:pPr>
            <w:r>
              <w:rPr>
                <w:rFonts w:hint="eastAsia" w:ascii="宋体" w:hAnsi="宋体"/>
                <w:bCs/>
                <w:color w:val="auto"/>
                <w:kern w:val="0"/>
                <w:sz w:val="24"/>
                <w:highlight w:val="none"/>
              </w:rPr>
              <w:t>资质证书</w:t>
            </w:r>
          </w:p>
        </w:tc>
        <w:tc>
          <w:tcPr>
            <w:tcW w:w="6711" w:type="dxa"/>
            <w:shd w:val="clear" w:color="auto" w:fill="auto"/>
            <w:vAlign w:val="center"/>
          </w:tcPr>
          <w:p w14:paraId="77BD765E">
            <w:pPr>
              <w:autoSpaceDE w:val="0"/>
              <w:autoSpaceDN w:val="0"/>
              <w:spacing w:line="400" w:lineRule="exact"/>
              <w:jc w:val="left"/>
              <w:rPr>
                <w:rFonts w:hint="eastAsia" w:ascii="宋体" w:hAnsi="宋体" w:eastAsia="宋体" w:cs="Times New Roman"/>
                <w:bCs/>
                <w:color w:val="auto"/>
                <w:kern w:val="0"/>
                <w:sz w:val="24"/>
                <w:szCs w:val="24"/>
                <w:highlight w:val="none"/>
                <w:lang w:val="en-US" w:eastAsia="zh-CN" w:bidi="ar-SA"/>
              </w:rPr>
            </w:pPr>
            <w:r>
              <w:rPr>
                <w:rFonts w:hint="eastAsia" w:ascii="宋体" w:hAnsi="宋体"/>
                <w:bCs/>
                <w:color w:val="auto"/>
                <w:kern w:val="0"/>
                <w:sz w:val="24"/>
                <w:highlight w:val="none"/>
                <w:lang w:eastAsia="zh-CN"/>
              </w:rPr>
              <w:t>供应商</w:t>
            </w:r>
            <w:r>
              <w:rPr>
                <w:rFonts w:hint="eastAsia" w:ascii="宋体" w:hAnsi="宋体" w:eastAsia="宋体"/>
                <w:bCs/>
                <w:color w:val="auto"/>
                <w:kern w:val="0"/>
                <w:sz w:val="24"/>
                <w:highlight w:val="none"/>
                <w:lang w:eastAsia="zh-CN"/>
              </w:rPr>
              <w:t>具有</w:t>
            </w:r>
            <w:r>
              <w:rPr>
                <w:rFonts w:hint="eastAsia" w:ascii="宋体" w:hAnsi="宋体"/>
                <w:bCs/>
                <w:color w:val="auto"/>
                <w:kern w:val="0"/>
                <w:sz w:val="24"/>
                <w:highlight w:val="none"/>
                <w:lang w:eastAsia="zh-CN"/>
              </w:rPr>
              <w:t>公路工程施工总承包叁级</w:t>
            </w:r>
            <w:r>
              <w:rPr>
                <w:rFonts w:hint="eastAsia" w:ascii="宋体" w:hAnsi="宋体" w:eastAsia="宋体"/>
                <w:bCs/>
                <w:color w:val="auto"/>
                <w:kern w:val="0"/>
                <w:sz w:val="24"/>
                <w:highlight w:val="none"/>
                <w:lang w:eastAsia="zh-CN"/>
              </w:rPr>
              <w:t>（含）以上资质，且具有有效的安全生产许可证；</w:t>
            </w:r>
          </w:p>
        </w:tc>
      </w:tr>
      <w:tr w14:paraId="3EEAC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87" w:hRule="atLeast"/>
        </w:trPr>
        <w:tc>
          <w:tcPr>
            <w:tcW w:w="817" w:type="dxa"/>
            <w:vMerge w:val="continue"/>
            <w:vAlign w:val="center"/>
          </w:tcPr>
          <w:p w14:paraId="0D1D9AE5">
            <w:pPr>
              <w:autoSpaceDE w:val="0"/>
              <w:autoSpaceDN w:val="0"/>
              <w:spacing w:line="276" w:lineRule="auto"/>
              <w:jc w:val="center"/>
              <w:rPr>
                <w:rFonts w:ascii="宋体" w:hAnsi="宋体"/>
                <w:color w:val="auto"/>
                <w:kern w:val="0"/>
                <w:sz w:val="24"/>
                <w:highlight w:val="none"/>
              </w:rPr>
            </w:pPr>
          </w:p>
        </w:tc>
        <w:tc>
          <w:tcPr>
            <w:tcW w:w="2126" w:type="dxa"/>
            <w:vAlign w:val="center"/>
          </w:tcPr>
          <w:p w14:paraId="1CC34FDD">
            <w:pPr>
              <w:autoSpaceDE w:val="0"/>
              <w:autoSpaceDN w:val="0"/>
              <w:spacing w:line="400" w:lineRule="exact"/>
              <w:jc w:val="center"/>
              <w:rPr>
                <w:rFonts w:hint="eastAsia" w:ascii="宋体" w:hAnsi="宋体"/>
                <w:bCs/>
                <w:color w:val="auto"/>
                <w:kern w:val="0"/>
                <w:sz w:val="24"/>
                <w:highlight w:val="none"/>
              </w:rPr>
            </w:pPr>
            <w:r>
              <w:rPr>
                <w:rFonts w:hint="eastAsia" w:ascii="宋体" w:hAnsi="宋体"/>
                <w:bCs/>
                <w:color w:val="auto"/>
                <w:kern w:val="0"/>
                <w:sz w:val="24"/>
                <w:highlight w:val="none"/>
              </w:rPr>
              <w:t>项目经理</w:t>
            </w:r>
          </w:p>
        </w:tc>
        <w:tc>
          <w:tcPr>
            <w:tcW w:w="6711" w:type="dxa"/>
            <w:vAlign w:val="center"/>
          </w:tcPr>
          <w:p w14:paraId="67F727D0">
            <w:pPr>
              <w:spacing w:line="400" w:lineRule="exact"/>
              <w:jc w:val="left"/>
              <w:rPr>
                <w:rFonts w:hint="eastAsia" w:ascii="宋体" w:hAnsi="宋体"/>
                <w:bCs/>
                <w:color w:val="auto"/>
                <w:kern w:val="0"/>
                <w:sz w:val="24"/>
                <w:highlight w:val="none"/>
              </w:rPr>
            </w:pPr>
            <w:r>
              <w:rPr>
                <w:rFonts w:hint="eastAsia" w:ascii="宋体" w:hAnsi="宋体"/>
                <w:bCs/>
                <w:color w:val="auto"/>
                <w:kern w:val="0"/>
                <w:sz w:val="24"/>
                <w:highlight w:val="none"/>
              </w:rPr>
              <w:t>拟派项目经理须具备</w:t>
            </w:r>
            <w:r>
              <w:rPr>
                <w:rFonts w:hint="eastAsia" w:ascii="宋体" w:hAnsi="宋体"/>
                <w:bCs/>
                <w:color w:val="auto"/>
                <w:kern w:val="0"/>
                <w:sz w:val="24"/>
                <w:highlight w:val="none"/>
                <w:lang w:eastAsia="zh-CN"/>
              </w:rPr>
              <w:t>公路工程专业</w:t>
            </w:r>
            <w:r>
              <w:rPr>
                <w:rFonts w:hint="eastAsia" w:ascii="宋体" w:hAnsi="宋体"/>
                <w:bCs/>
                <w:color w:val="auto"/>
                <w:kern w:val="0"/>
                <w:sz w:val="24"/>
                <w:highlight w:val="none"/>
                <w:lang w:val="en-US" w:eastAsia="zh-CN"/>
              </w:rPr>
              <w:t>二</w:t>
            </w:r>
            <w:r>
              <w:rPr>
                <w:rFonts w:hint="eastAsia" w:ascii="宋体" w:hAnsi="宋体"/>
                <w:bCs/>
                <w:color w:val="auto"/>
                <w:kern w:val="0"/>
                <w:sz w:val="24"/>
                <w:highlight w:val="none"/>
                <w:lang w:eastAsia="zh-CN"/>
              </w:rPr>
              <w:t>级注册建造师资格、B类安全生产考核合格证且无在建工程</w:t>
            </w:r>
            <w:r>
              <w:rPr>
                <w:rFonts w:hint="eastAsia" w:ascii="宋体" w:hAnsi="宋体"/>
                <w:bCs/>
                <w:color w:val="auto"/>
                <w:kern w:val="0"/>
                <w:sz w:val="24"/>
                <w:highlight w:val="none"/>
              </w:rPr>
              <w:t>（单位自行出具无在建项目的证明）；</w:t>
            </w:r>
          </w:p>
        </w:tc>
      </w:tr>
      <w:tr w14:paraId="55D3F5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trPr>
        <w:tc>
          <w:tcPr>
            <w:tcW w:w="817" w:type="dxa"/>
            <w:vMerge w:val="continue"/>
            <w:vAlign w:val="center"/>
          </w:tcPr>
          <w:p w14:paraId="099DF934">
            <w:pPr>
              <w:autoSpaceDE w:val="0"/>
              <w:autoSpaceDN w:val="0"/>
              <w:spacing w:line="276" w:lineRule="auto"/>
              <w:jc w:val="center"/>
              <w:rPr>
                <w:rFonts w:ascii="宋体" w:hAnsi="宋体"/>
                <w:color w:val="auto"/>
                <w:kern w:val="0"/>
                <w:sz w:val="24"/>
                <w:highlight w:val="none"/>
              </w:rPr>
            </w:pPr>
          </w:p>
        </w:tc>
        <w:tc>
          <w:tcPr>
            <w:tcW w:w="2126" w:type="dxa"/>
            <w:vAlign w:val="center"/>
          </w:tcPr>
          <w:p w14:paraId="529CC27A">
            <w:pPr>
              <w:autoSpaceDE w:val="0"/>
              <w:autoSpaceDN w:val="0"/>
              <w:spacing w:line="400" w:lineRule="exact"/>
              <w:ind w:left="-99" w:leftChars="-47"/>
              <w:jc w:val="center"/>
              <w:rPr>
                <w:rFonts w:hint="eastAsia" w:ascii="宋体" w:hAnsi="宋体"/>
                <w:bCs/>
                <w:color w:val="auto"/>
                <w:kern w:val="0"/>
                <w:sz w:val="24"/>
                <w:highlight w:val="none"/>
              </w:rPr>
            </w:pPr>
            <w:r>
              <w:rPr>
                <w:rFonts w:hint="eastAsia" w:ascii="宋体" w:hAnsi="宋体"/>
                <w:bCs/>
                <w:color w:val="auto"/>
                <w:kern w:val="0"/>
                <w:sz w:val="24"/>
                <w:highlight w:val="none"/>
              </w:rPr>
              <w:t>无商业贿赂及不正当竞争行为承诺书</w:t>
            </w:r>
          </w:p>
        </w:tc>
        <w:tc>
          <w:tcPr>
            <w:tcW w:w="6711" w:type="dxa"/>
            <w:vAlign w:val="center"/>
          </w:tcPr>
          <w:p w14:paraId="5D6A642E">
            <w:pPr>
              <w:autoSpaceDE w:val="0"/>
              <w:autoSpaceDN w:val="0"/>
              <w:spacing w:line="400" w:lineRule="exact"/>
              <w:ind w:right="-59" w:rightChars="-28"/>
              <w:jc w:val="left"/>
              <w:rPr>
                <w:rFonts w:hint="eastAsia" w:ascii="宋体" w:hAnsi="宋体"/>
                <w:bCs/>
                <w:color w:val="auto"/>
                <w:kern w:val="0"/>
                <w:sz w:val="24"/>
                <w:highlight w:val="none"/>
              </w:rPr>
            </w:pPr>
            <w:r>
              <w:rPr>
                <w:rFonts w:hint="eastAsia" w:ascii="宋体" w:hAnsi="宋体"/>
                <w:bCs/>
                <w:color w:val="auto"/>
                <w:kern w:val="0"/>
                <w:sz w:val="24"/>
                <w:highlight w:val="none"/>
              </w:rPr>
              <w:t>须自行出具本单位无商业贿赂及无不正当竞争行为的承诺书；</w:t>
            </w:r>
          </w:p>
        </w:tc>
      </w:tr>
      <w:tr w14:paraId="70940E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trPr>
        <w:tc>
          <w:tcPr>
            <w:tcW w:w="817" w:type="dxa"/>
            <w:vMerge w:val="continue"/>
            <w:vAlign w:val="center"/>
          </w:tcPr>
          <w:p w14:paraId="655C5598">
            <w:pPr>
              <w:autoSpaceDE w:val="0"/>
              <w:autoSpaceDN w:val="0"/>
              <w:spacing w:line="276" w:lineRule="auto"/>
              <w:jc w:val="center"/>
              <w:rPr>
                <w:rFonts w:ascii="宋体" w:hAnsi="宋体"/>
                <w:color w:val="auto"/>
                <w:kern w:val="0"/>
                <w:sz w:val="24"/>
                <w:highlight w:val="none"/>
              </w:rPr>
            </w:pPr>
          </w:p>
        </w:tc>
        <w:tc>
          <w:tcPr>
            <w:tcW w:w="2126" w:type="dxa"/>
            <w:vAlign w:val="center"/>
          </w:tcPr>
          <w:p w14:paraId="641DCC49">
            <w:pPr>
              <w:autoSpaceDE w:val="0"/>
              <w:autoSpaceDN w:val="0"/>
              <w:spacing w:line="400" w:lineRule="exact"/>
              <w:ind w:left="-99" w:leftChars="-47"/>
              <w:jc w:val="center"/>
              <w:rPr>
                <w:rFonts w:hint="eastAsia" w:ascii="宋体" w:hAnsi="宋体"/>
                <w:color w:val="auto"/>
                <w:sz w:val="24"/>
                <w:highlight w:val="none"/>
              </w:rPr>
            </w:pPr>
            <w:r>
              <w:rPr>
                <w:rFonts w:hint="eastAsia" w:ascii="宋体" w:hAnsi="宋体"/>
                <w:color w:val="auto"/>
                <w:sz w:val="24"/>
                <w:highlight w:val="none"/>
              </w:rPr>
              <w:t>无行贿犯罪记录</w:t>
            </w:r>
          </w:p>
        </w:tc>
        <w:tc>
          <w:tcPr>
            <w:tcW w:w="6711" w:type="dxa"/>
            <w:vAlign w:val="center"/>
          </w:tcPr>
          <w:p w14:paraId="28434F90">
            <w:pPr>
              <w:autoSpaceDE w:val="0"/>
              <w:autoSpaceDN w:val="0"/>
              <w:spacing w:line="400" w:lineRule="exact"/>
              <w:ind w:right="-59" w:rightChars="-28"/>
              <w:jc w:val="left"/>
              <w:rPr>
                <w:rFonts w:hint="eastAsia" w:ascii="宋体" w:hAnsi="宋体"/>
                <w:color w:val="auto"/>
                <w:sz w:val="24"/>
                <w:highlight w:val="none"/>
                <w:lang w:val="en-US" w:eastAsia="zh-CN"/>
              </w:rPr>
            </w:pPr>
            <w:r>
              <w:rPr>
                <w:rFonts w:hint="eastAsia" w:ascii="宋体" w:hAnsi="宋体"/>
                <w:color w:val="auto"/>
                <w:sz w:val="24"/>
                <w:highlight w:val="none"/>
                <w:lang w:val="en-US" w:eastAsia="zh-CN"/>
              </w:rPr>
              <w:t>供应商</w:t>
            </w:r>
            <w:r>
              <w:rPr>
                <w:rFonts w:hint="eastAsia" w:ascii="宋体" w:hAnsi="宋体"/>
                <w:color w:val="auto"/>
                <w:sz w:val="24"/>
                <w:highlight w:val="none"/>
              </w:rPr>
              <w:t>须出具无行贿犯罪记录在中国裁判文书网自行查询结果或自行承诺（查询对象：企业、法定代表人）</w:t>
            </w:r>
            <w:r>
              <w:rPr>
                <w:rFonts w:hint="eastAsia" w:ascii="宋体" w:hAnsi="宋体"/>
                <w:color w:val="auto"/>
                <w:sz w:val="24"/>
                <w:highlight w:val="none"/>
                <w:lang w:eastAsia="zh-CN"/>
              </w:rPr>
              <w:t>；</w:t>
            </w:r>
          </w:p>
        </w:tc>
      </w:tr>
      <w:tr w14:paraId="4B2C06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trPr>
        <w:tc>
          <w:tcPr>
            <w:tcW w:w="817" w:type="dxa"/>
            <w:vMerge w:val="continue"/>
            <w:vAlign w:val="center"/>
          </w:tcPr>
          <w:p w14:paraId="5B2E4BB1">
            <w:pPr>
              <w:autoSpaceDE w:val="0"/>
              <w:autoSpaceDN w:val="0"/>
              <w:spacing w:line="276" w:lineRule="auto"/>
              <w:jc w:val="center"/>
              <w:rPr>
                <w:rFonts w:ascii="宋体" w:hAnsi="宋体"/>
                <w:color w:val="auto"/>
                <w:kern w:val="0"/>
                <w:sz w:val="24"/>
                <w:highlight w:val="none"/>
              </w:rPr>
            </w:pPr>
          </w:p>
        </w:tc>
        <w:tc>
          <w:tcPr>
            <w:tcW w:w="2126" w:type="dxa"/>
            <w:vAlign w:val="center"/>
          </w:tcPr>
          <w:p w14:paraId="458EC5F5">
            <w:pPr>
              <w:autoSpaceDE w:val="0"/>
              <w:autoSpaceDN w:val="0"/>
              <w:spacing w:line="400" w:lineRule="exact"/>
              <w:jc w:val="center"/>
              <w:rPr>
                <w:rFonts w:hint="eastAsia" w:ascii="宋体" w:hAnsi="宋体"/>
                <w:color w:val="auto"/>
                <w:kern w:val="0"/>
                <w:sz w:val="24"/>
                <w:highlight w:val="none"/>
              </w:rPr>
            </w:pPr>
            <w:r>
              <w:rPr>
                <w:rFonts w:hint="eastAsia" w:ascii="宋体" w:hAnsi="宋体"/>
                <w:color w:val="auto"/>
                <w:kern w:val="0"/>
                <w:sz w:val="24"/>
                <w:highlight w:val="none"/>
              </w:rPr>
              <w:t>信用查询</w:t>
            </w:r>
          </w:p>
        </w:tc>
        <w:tc>
          <w:tcPr>
            <w:tcW w:w="6711" w:type="dxa"/>
            <w:vAlign w:val="center"/>
          </w:tcPr>
          <w:p w14:paraId="127ADFEC">
            <w:pPr>
              <w:autoSpaceDE w:val="0"/>
              <w:autoSpaceDN w:val="0"/>
              <w:spacing w:line="400" w:lineRule="exact"/>
              <w:ind w:right="-59" w:rightChars="-28"/>
              <w:jc w:val="left"/>
              <w:rPr>
                <w:rFonts w:hint="eastAsia" w:ascii="宋体" w:hAnsi="宋体"/>
                <w:color w:val="auto"/>
                <w:sz w:val="24"/>
                <w:highlight w:val="none"/>
              </w:rPr>
            </w:pPr>
            <w:bookmarkStart w:id="353" w:name="_GoBack"/>
            <w:bookmarkEnd w:id="353"/>
            <w:r>
              <w:rPr>
                <w:rFonts w:hint="eastAsia" w:ascii="宋体" w:hAnsi="宋体"/>
                <w:color w:val="auto"/>
                <w:sz w:val="24"/>
                <w:highlight w:val="none"/>
              </w:rPr>
              <w:t>根据《关于在政府采购活动中查询及使用信用记录有关问题的通知》(财库[2016]125号)的规定，对列入失信被执行人、重大税收违法案件当事人名单【查询渠道：“信用中国”网站（www.creditchina.gov.cn）】、政府采购严重违法失信行为记录名单【查询渠道：中国政府采购网（www.ccgp.gov.cn）】的供应商，拒绝参与本项目政府采购活动；（查询时间自公告发布之日起）</w:t>
            </w:r>
          </w:p>
        </w:tc>
      </w:tr>
      <w:tr w14:paraId="60FF29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3" w:hRule="atLeast"/>
        </w:trPr>
        <w:tc>
          <w:tcPr>
            <w:tcW w:w="817" w:type="dxa"/>
            <w:vMerge w:val="restart"/>
            <w:vAlign w:val="center"/>
          </w:tcPr>
          <w:p w14:paraId="7738C2E5">
            <w:pPr>
              <w:autoSpaceDE w:val="0"/>
              <w:autoSpaceDN w:val="0"/>
              <w:spacing w:line="276" w:lineRule="auto"/>
              <w:jc w:val="center"/>
              <w:rPr>
                <w:rFonts w:hint="eastAsia" w:ascii="宋体" w:hAnsi="宋体"/>
                <w:color w:val="auto"/>
                <w:kern w:val="0"/>
                <w:sz w:val="24"/>
                <w:highlight w:val="none"/>
              </w:rPr>
            </w:pPr>
            <w:r>
              <w:rPr>
                <w:rFonts w:hint="eastAsia" w:ascii="宋体" w:hAnsi="宋体"/>
                <w:color w:val="auto"/>
                <w:kern w:val="0"/>
                <w:sz w:val="24"/>
                <w:highlight w:val="none"/>
              </w:rPr>
              <w:t>响应</w:t>
            </w:r>
          </w:p>
          <w:p w14:paraId="50A41ADF">
            <w:pPr>
              <w:autoSpaceDE w:val="0"/>
              <w:autoSpaceDN w:val="0"/>
              <w:spacing w:line="276" w:lineRule="auto"/>
              <w:jc w:val="center"/>
              <w:rPr>
                <w:rFonts w:hint="eastAsia" w:ascii="宋体" w:hAnsi="宋体"/>
                <w:color w:val="auto"/>
                <w:kern w:val="0"/>
                <w:sz w:val="24"/>
                <w:highlight w:val="none"/>
              </w:rPr>
            </w:pPr>
            <w:r>
              <w:rPr>
                <w:rFonts w:hint="eastAsia" w:ascii="宋体" w:hAnsi="宋体"/>
                <w:color w:val="auto"/>
                <w:kern w:val="0"/>
                <w:sz w:val="24"/>
                <w:highlight w:val="none"/>
              </w:rPr>
              <w:t>性评</w:t>
            </w:r>
          </w:p>
          <w:p w14:paraId="3AC2E227">
            <w:pPr>
              <w:autoSpaceDE w:val="0"/>
              <w:autoSpaceDN w:val="0"/>
              <w:spacing w:line="276" w:lineRule="auto"/>
              <w:jc w:val="center"/>
              <w:rPr>
                <w:rFonts w:hint="eastAsia" w:ascii="宋体" w:hAnsi="宋体"/>
                <w:color w:val="auto"/>
                <w:kern w:val="0"/>
                <w:sz w:val="24"/>
                <w:highlight w:val="none"/>
              </w:rPr>
            </w:pPr>
            <w:r>
              <w:rPr>
                <w:rFonts w:hint="eastAsia" w:ascii="宋体" w:hAnsi="宋体"/>
                <w:color w:val="auto"/>
                <w:kern w:val="0"/>
                <w:sz w:val="24"/>
                <w:highlight w:val="none"/>
              </w:rPr>
              <w:t>审标</w:t>
            </w:r>
          </w:p>
          <w:p w14:paraId="16E7B4D7">
            <w:pPr>
              <w:autoSpaceDE w:val="0"/>
              <w:autoSpaceDN w:val="0"/>
              <w:spacing w:line="276" w:lineRule="auto"/>
              <w:jc w:val="center"/>
              <w:rPr>
                <w:rFonts w:hint="eastAsia" w:ascii="宋体" w:hAnsi="宋体"/>
                <w:color w:val="auto"/>
                <w:kern w:val="0"/>
                <w:sz w:val="24"/>
                <w:highlight w:val="none"/>
              </w:rPr>
            </w:pPr>
            <w:r>
              <w:rPr>
                <w:rFonts w:hint="eastAsia" w:ascii="宋体" w:hAnsi="宋体"/>
                <w:color w:val="auto"/>
                <w:kern w:val="0"/>
                <w:sz w:val="24"/>
                <w:highlight w:val="none"/>
              </w:rPr>
              <w:t>准</w:t>
            </w:r>
          </w:p>
        </w:tc>
        <w:tc>
          <w:tcPr>
            <w:tcW w:w="2126" w:type="dxa"/>
            <w:vAlign w:val="center"/>
          </w:tcPr>
          <w:p w14:paraId="788AD115">
            <w:pPr>
              <w:autoSpaceDE w:val="0"/>
              <w:autoSpaceDN w:val="0"/>
              <w:spacing w:line="480" w:lineRule="exact"/>
              <w:jc w:val="center"/>
              <w:rPr>
                <w:rFonts w:hint="eastAsia" w:ascii="宋体" w:hAnsi="宋体" w:eastAsia="宋体"/>
                <w:color w:val="auto"/>
                <w:sz w:val="24"/>
                <w:szCs w:val="28"/>
                <w:highlight w:val="none"/>
                <w:lang w:val="en-US" w:eastAsia="zh-CN"/>
              </w:rPr>
            </w:pPr>
            <w:r>
              <w:rPr>
                <w:rFonts w:hint="eastAsia" w:ascii="宋体" w:hAnsi="宋体" w:eastAsia="宋体"/>
                <w:color w:val="auto"/>
                <w:sz w:val="24"/>
                <w:szCs w:val="28"/>
                <w:highlight w:val="none"/>
                <w:lang w:val="en-US" w:eastAsia="zh-CN"/>
              </w:rPr>
              <w:t>计划工期</w:t>
            </w:r>
          </w:p>
        </w:tc>
        <w:tc>
          <w:tcPr>
            <w:tcW w:w="6711" w:type="dxa"/>
            <w:vAlign w:val="center"/>
          </w:tcPr>
          <w:p w14:paraId="76F9A52B">
            <w:pPr>
              <w:autoSpaceDE w:val="0"/>
              <w:autoSpaceDN w:val="0"/>
              <w:spacing w:line="480" w:lineRule="exact"/>
              <w:jc w:val="left"/>
              <w:rPr>
                <w:rFonts w:hint="eastAsia" w:ascii="宋体" w:hAnsi="宋体" w:eastAsia="宋体"/>
                <w:color w:val="auto"/>
                <w:sz w:val="24"/>
                <w:highlight w:val="none"/>
                <w:lang w:val="en-US" w:eastAsia="zh-CN"/>
              </w:rPr>
            </w:pPr>
            <w:r>
              <w:rPr>
                <w:rFonts w:hint="eastAsia" w:ascii="宋体" w:hAnsi="宋体"/>
                <w:color w:val="auto"/>
                <w:sz w:val="24"/>
                <w:highlight w:val="none"/>
                <w:lang w:val="en-US" w:eastAsia="zh-CN"/>
              </w:rPr>
              <w:t>90</w:t>
            </w:r>
            <w:r>
              <w:rPr>
                <w:rFonts w:hint="eastAsia" w:ascii="宋体" w:hAnsi="宋体" w:eastAsia="宋体"/>
                <w:color w:val="auto"/>
                <w:sz w:val="24"/>
                <w:highlight w:val="none"/>
                <w:lang w:val="en-US" w:eastAsia="zh-CN"/>
              </w:rPr>
              <w:t>日历天</w:t>
            </w:r>
          </w:p>
        </w:tc>
      </w:tr>
      <w:tr w14:paraId="21CD4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7" w:type="dxa"/>
            <w:vMerge w:val="continue"/>
            <w:vAlign w:val="center"/>
          </w:tcPr>
          <w:p w14:paraId="427806B7">
            <w:pPr>
              <w:spacing w:line="480" w:lineRule="exact"/>
              <w:rPr>
                <w:rFonts w:ascii="宋体" w:hAnsi="宋体"/>
                <w:color w:val="auto"/>
                <w:sz w:val="24"/>
                <w:highlight w:val="none"/>
              </w:rPr>
            </w:pPr>
          </w:p>
        </w:tc>
        <w:tc>
          <w:tcPr>
            <w:tcW w:w="2126" w:type="dxa"/>
            <w:vAlign w:val="center"/>
          </w:tcPr>
          <w:p w14:paraId="45CEB3EA">
            <w:pPr>
              <w:autoSpaceDE w:val="0"/>
              <w:autoSpaceDN w:val="0"/>
              <w:spacing w:line="480" w:lineRule="exact"/>
              <w:jc w:val="center"/>
              <w:rPr>
                <w:rFonts w:hint="eastAsia" w:ascii="宋体" w:hAnsi="宋体"/>
                <w:color w:val="auto"/>
                <w:kern w:val="0"/>
                <w:sz w:val="24"/>
                <w:highlight w:val="none"/>
              </w:rPr>
            </w:pPr>
            <w:r>
              <w:rPr>
                <w:rFonts w:hint="eastAsia" w:ascii="宋体" w:hAnsi="宋体"/>
                <w:color w:val="auto"/>
                <w:kern w:val="0"/>
                <w:sz w:val="24"/>
                <w:highlight w:val="none"/>
              </w:rPr>
              <w:t>质量要求</w:t>
            </w:r>
          </w:p>
        </w:tc>
        <w:tc>
          <w:tcPr>
            <w:tcW w:w="6711" w:type="dxa"/>
            <w:vAlign w:val="center"/>
          </w:tcPr>
          <w:p w14:paraId="54C1F841">
            <w:pPr>
              <w:pStyle w:val="52"/>
              <w:widowControl/>
              <w:spacing w:line="480" w:lineRule="exact"/>
              <w:rPr>
                <w:rFonts w:hint="eastAsia" w:ascii="宋体" w:hAnsi="宋体"/>
                <w:color w:val="auto"/>
                <w:sz w:val="24"/>
                <w:highlight w:val="none"/>
              </w:rPr>
            </w:pPr>
            <w:r>
              <w:rPr>
                <w:rFonts w:hint="eastAsia" w:ascii="宋体" w:hAnsi="宋体"/>
                <w:color w:val="auto"/>
                <w:sz w:val="24"/>
                <w:highlight w:val="none"/>
                <w:lang w:eastAsia="zh-CN"/>
              </w:rPr>
              <w:t>符合国家相关法律、法规政策及技术规范的规定及有关部门的验收要求</w:t>
            </w:r>
            <w:r>
              <w:rPr>
                <w:rFonts w:hint="eastAsia" w:ascii="宋体" w:hAnsi="宋体"/>
                <w:color w:val="auto"/>
                <w:sz w:val="24"/>
                <w:highlight w:val="none"/>
              </w:rPr>
              <w:t>。</w:t>
            </w:r>
          </w:p>
        </w:tc>
      </w:tr>
      <w:tr w14:paraId="1D8F3C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atLeast"/>
        </w:trPr>
        <w:tc>
          <w:tcPr>
            <w:tcW w:w="817" w:type="dxa"/>
            <w:vMerge w:val="continue"/>
            <w:vAlign w:val="center"/>
          </w:tcPr>
          <w:p w14:paraId="6699E5D1">
            <w:pPr>
              <w:spacing w:line="480" w:lineRule="exact"/>
              <w:rPr>
                <w:rFonts w:ascii="宋体" w:hAnsi="宋体"/>
                <w:color w:val="auto"/>
                <w:sz w:val="24"/>
                <w:highlight w:val="none"/>
              </w:rPr>
            </w:pPr>
          </w:p>
        </w:tc>
        <w:tc>
          <w:tcPr>
            <w:tcW w:w="2126" w:type="dxa"/>
            <w:vAlign w:val="center"/>
          </w:tcPr>
          <w:p w14:paraId="55F0160E">
            <w:pPr>
              <w:autoSpaceDE w:val="0"/>
              <w:autoSpaceDN w:val="0"/>
              <w:spacing w:line="480" w:lineRule="exact"/>
              <w:jc w:val="center"/>
              <w:rPr>
                <w:rFonts w:hint="eastAsia" w:ascii="宋体" w:hAnsi="宋体"/>
                <w:color w:val="auto"/>
                <w:kern w:val="0"/>
                <w:sz w:val="24"/>
                <w:highlight w:val="none"/>
              </w:rPr>
            </w:pPr>
            <w:r>
              <w:rPr>
                <w:rFonts w:hint="eastAsia" w:ascii="宋体" w:hAnsi="宋体"/>
                <w:color w:val="auto"/>
                <w:kern w:val="0"/>
                <w:sz w:val="24"/>
                <w:highlight w:val="none"/>
              </w:rPr>
              <w:t>磋商有效期</w:t>
            </w:r>
          </w:p>
        </w:tc>
        <w:tc>
          <w:tcPr>
            <w:tcW w:w="6711" w:type="dxa"/>
            <w:vAlign w:val="center"/>
          </w:tcPr>
          <w:p w14:paraId="23154C79">
            <w:pPr>
              <w:pStyle w:val="52"/>
              <w:widowControl/>
              <w:spacing w:line="480" w:lineRule="exact"/>
              <w:rPr>
                <w:rFonts w:hint="eastAsia" w:ascii="宋体" w:hAnsi="宋体"/>
                <w:color w:val="auto"/>
                <w:sz w:val="24"/>
                <w:highlight w:val="none"/>
              </w:rPr>
            </w:pPr>
            <w:r>
              <w:rPr>
                <w:rFonts w:hint="eastAsia" w:ascii="宋体" w:hAnsi="宋体"/>
                <w:color w:val="auto"/>
                <w:sz w:val="24"/>
                <w:highlight w:val="none"/>
              </w:rPr>
              <w:t>60日历天（从磋商截止之日算起）</w:t>
            </w:r>
          </w:p>
        </w:tc>
      </w:tr>
      <w:tr w14:paraId="695F8C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5" w:hRule="atLeast"/>
        </w:trPr>
        <w:tc>
          <w:tcPr>
            <w:tcW w:w="817" w:type="dxa"/>
            <w:vMerge w:val="continue"/>
            <w:vAlign w:val="center"/>
          </w:tcPr>
          <w:p w14:paraId="4D3B3ED1">
            <w:pPr>
              <w:spacing w:line="480" w:lineRule="exact"/>
              <w:rPr>
                <w:rFonts w:ascii="宋体" w:hAnsi="宋体"/>
                <w:color w:val="auto"/>
                <w:sz w:val="24"/>
                <w:highlight w:val="none"/>
              </w:rPr>
            </w:pPr>
          </w:p>
        </w:tc>
        <w:tc>
          <w:tcPr>
            <w:tcW w:w="2126" w:type="dxa"/>
            <w:vAlign w:val="center"/>
          </w:tcPr>
          <w:p w14:paraId="5E81ED98">
            <w:pPr>
              <w:autoSpaceDE w:val="0"/>
              <w:autoSpaceDN w:val="0"/>
              <w:spacing w:line="480" w:lineRule="exact"/>
              <w:jc w:val="center"/>
              <w:rPr>
                <w:rFonts w:hint="eastAsia"/>
                <w:color w:val="auto"/>
                <w:sz w:val="24"/>
                <w:highlight w:val="none"/>
              </w:rPr>
            </w:pPr>
            <w:r>
              <w:rPr>
                <w:rFonts w:hint="eastAsia"/>
                <w:color w:val="auto"/>
                <w:sz w:val="24"/>
                <w:highlight w:val="none"/>
              </w:rPr>
              <w:t>其他响应性</w:t>
            </w:r>
          </w:p>
        </w:tc>
        <w:tc>
          <w:tcPr>
            <w:tcW w:w="6711" w:type="dxa"/>
            <w:vAlign w:val="center"/>
          </w:tcPr>
          <w:p w14:paraId="328CC94B">
            <w:pPr>
              <w:autoSpaceDE w:val="0"/>
              <w:autoSpaceDN w:val="0"/>
              <w:spacing w:line="480" w:lineRule="exact"/>
              <w:rPr>
                <w:rFonts w:hint="eastAsia"/>
                <w:color w:val="auto"/>
                <w:sz w:val="24"/>
                <w:highlight w:val="none"/>
              </w:rPr>
            </w:pPr>
            <w:r>
              <w:rPr>
                <w:rFonts w:hint="eastAsia"/>
                <w:color w:val="auto"/>
                <w:sz w:val="24"/>
                <w:highlight w:val="none"/>
              </w:rPr>
              <w:t>符合“</w:t>
            </w:r>
            <w:r>
              <w:rPr>
                <w:rFonts w:hint="eastAsia"/>
                <w:color w:val="auto"/>
                <w:sz w:val="24"/>
                <w:highlight w:val="none"/>
                <w:lang w:eastAsia="zh-CN"/>
              </w:rPr>
              <w:t>磋商文件</w:t>
            </w:r>
            <w:r>
              <w:rPr>
                <w:rFonts w:hint="eastAsia"/>
                <w:color w:val="auto"/>
                <w:sz w:val="24"/>
                <w:highlight w:val="none"/>
              </w:rPr>
              <w:t>”的其他规定</w:t>
            </w:r>
          </w:p>
        </w:tc>
      </w:tr>
    </w:tbl>
    <w:p w14:paraId="6122A35D">
      <w:pPr>
        <w:spacing w:line="460" w:lineRule="exact"/>
        <w:rPr>
          <w:rFonts w:ascii="宋体" w:hAnsi="宋体"/>
          <w:b/>
          <w:color w:val="auto"/>
          <w:sz w:val="28"/>
          <w:szCs w:val="28"/>
          <w:highlight w:val="none"/>
        </w:rPr>
      </w:pPr>
    </w:p>
    <w:p w14:paraId="65478ECC">
      <w:pPr>
        <w:rPr>
          <w:rFonts w:hint="eastAsia" w:ascii="宋体" w:hAnsi="宋体"/>
          <w:b/>
          <w:color w:val="auto"/>
          <w:sz w:val="28"/>
          <w:szCs w:val="28"/>
          <w:highlight w:val="none"/>
        </w:rPr>
      </w:pPr>
      <w:r>
        <w:rPr>
          <w:rFonts w:hint="eastAsia" w:ascii="宋体" w:hAnsi="宋体"/>
          <w:b/>
          <w:color w:val="auto"/>
          <w:sz w:val="28"/>
          <w:szCs w:val="28"/>
          <w:highlight w:val="none"/>
        </w:rPr>
        <w:t>详细审查</w:t>
      </w:r>
      <w:r>
        <w:rPr>
          <w:rFonts w:ascii="宋体" w:hAnsi="宋体"/>
          <w:b/>
          <w:color w:val="auto"/>
          <w:sz w:val="28"/>
          <w:szCs w:val="28"/>
          <w:highlight w:val="none"/>
        </w:rPr>
        <w:t>：</w:t>
      </w:r>
    </w:p>
    <w:p w14:paraId="781A7C99">
      <w:pPr>
        <w:pStyle w:val="9"/>
        <w:rPr>
          <w:color w:val="auto"/>
          <w:highlight w:val="none"/>
        </w:rPr>
      </w:pPr>
    </w:p>
    <w:tbl>
      <w:tblPr>
        <w:tblStyle w:val="12"/>
        <w:tblW w:w="9840" w:type="dxa"/>
        <w:tblInd w:w="-142" w:type="dxa"/>
        <w:tblLayout w:type="fixed"/>
        <w:tblCellMar>
          <w:top w:w="0" w:type="dxa"/>
          <w:left w:w="108" w:type="dxa"/>
          <w:bottom w:w="0" w:type="dxa"/>
          <w:right w:w="108" w:type="dxa"/>
        </w:tblCellMar>
      </w:tblPr>
      <w:tblGrid>
        <w:gridCol w:w="1194"/>
        <w:gridCol w:w="1427"/>
        <w:gridCol w:w="7219"/>
      </w:tblGrid>
      <w:tr w14:paraId="645AD3D4">
        <w:trPr>
          <w:trHeight w:val="518" w:hRule="atLeast"/>
        </w:trPr>
        <w:tc>
          <w:tcPr>
            <w:tcW w:w="9840" w:type="dxa"/>
            <w:gridSpan w:val="3"/>
            <w:tcBorders>
              <w:top w:val="single" w:color="000000" w:sz="6" w:space="0"/>
              <w:left w:val="single" w:color="000000" w:sz="12" w:space="0"/>
              <w:bottom w:val="single" w:color="000000" w:sz="6" w:space="0"/>
              <w:right w:val="single" w:color="000000" w:sz="12" w:space="0"/>
            </w:tcBorders>
            <w:vAlign w:val="center"/>
          </w:tcPr>
          <w:p w14:paraId="2E66A447">
            <w:pPr>
              <w:jc w:val="center"/>
              <w:rPr>
                <w:rFonts w:ascii="宋体" w:hAnsi="宋体"/>
                <w:b/>
                <w:color w:val="auto"/>
                <w:kern w:val="1"/>
                <w:sz w:val="24"/>
                <w:highlight w:val="none"/>
              </w:rPr>
            </w:pPr>
            <w:r>
              <w:rPr>
                <w:rFonts w:ascii="宋体" w:hAnsi="宋体"/>
                <w:b/>
                <w:color w:val="auto"/>
                <w:kern w:val="1"/>
                <w:sz w:val="24"/>
                <w:highlight w:val="none"/>
              </w:rPr>
              <w:t>综合评分部分（满分100分）</w:t>
            </w:r>
          </w:p>
        </w:tc>
      </w:tr>
      <w:tr w14:paraId="6124106E">
        <w:tblPrEx>
          <w:tblCellMar>
            <w:top w:w="0" w:type="dxa"/>
            <w:left w:w="108" w:type="dxa"/>
            <w:bottom w:w="0" w:type="dxa"/>
            <w:right w:w="108" w:type="dxa"/>
          </w:tblCellMar>
        </w:tblPrEx>
        <w:trPr>
          <w:trHeight w:val="691" w:hRule="atLeast"/>
        </w:trPr>
        <w:tc>
          <w:tcPr>
            <w:tcW w:w="2621" w:type="dxa"/>
            <w:gridSpan w:val="2"/>
            <w:tcBorders>
              <w:top w:val="single" w:color="000000" w:sz="6" w:space="0"/>
              <w:left w:val="single" w:color="000000" w:sz="6" w:space="0"/>
              <w:bottom w:val="single" w:color="000000" w:sz="6" w:space="0"/>
              <w:right w:val="single" w:color="000000" w:sz="6" w:space="0"/>
            </w:tcBorders>
            <w:vAlign w:val="center"/>
          </w:tcPr>
          <w:p w14:paraId="0E294389">
            <w:pPr>
              <w:ind w:hanging="210"/>
              <w:jc w:val="center"/>
              <w:rPr>
                <w:rFonts w:ascii="宋体" w:hAnsi="宋体"/>
                <w:color w:val="auto"/>
                <w:kern w:val="1"/>
                <w:sz w:val="24"/>
                <w:szCs w:val="24"/>
                <w:highlight w:val="none"/>
              </w:rPr>
            </w:pPr>
            <w:r>
              <w:rPr>
                <w:rFonts w:ascii="宋体" w:hAnsi="宋体"/>
                <w:color w:val="auto"/>
                <w:kern w:val="1"/>
                <w:sz w:val="24"/>
                <w:szCs w:val="24"/>
                <w:highlight w:val="none"/>
              </w:rPr>
              <w:t>分值构成</w:t>
            </w:r>
          </w:p>
          <w:p w14:paraId="613D31A7">
            <w:pPr>
              <w:ind w:hanging="210"/>
              <w:jc w:val="center"/>
              <w:rPr>
                <w:rFonts w:ascii="宋体" w:hAnsi="宋体"/>
                <w:color w:val="auto"/>
                <w:kern w:val="1"/>
                <w:sz w:val="24"/>
                <w:szCs w:val="24"/>
                <w:highlight w:val="none"/>
              </w:rPr>
            </w:pPr>
            <w:r>
              <w:rPr>
                <w:rFonts w:ascii="宋体" w:hAnsi="宋体"/>
                <w:color w:val="auto"/>
                <w:kern w:val="1"/>
                <w:sz w:val="24"/>
                <w:szCs w:val="24"/>
                <w:highlight w:val="none"/>
              </w:rPr>
              <w:t>(总分100分)</w:t>
            </w:r>
          </w:p>
        </w:tc>
        <w:tc>
          <w:tcPr>
            <w:tcW w:w="7219" w:type="dxa"/>
            <w:tcBorders>
              <w:top w:val="single" w:color="000000" w:sz="6" w:space="0"/>
              <w:left w:val="single" w:color="000000" w:sz="6" w:space="0"/>
              <w:bottom w:val="single" w:color="000000" w:sz="6" w:space="0"/>
              <w:right w:val="single" w:color="000000" w:sz="12" w:space="0"/>
            </w:tcBorders>
            <w:vAlign w:val="center"/>
          </w:tcPr>
          <w:p w14:paraId="534958FD">
            <w:pPr>
              <w:rPr>
                <w:rFonts w:hint="eastAsia" w:ascii="宋体" w:hAnsi="宋体"/>
                <w:color w:val="auto"/>
                <w:kern w:val="1"/>
                <w:sz w:val="24"/>
                <w:szCs w:val="24"/>
                <w:highlight w:val="none"/>
              </w:rPr>
            </w:pPr>
            <w:r>
              <w:rPr>
                <w:rFonts w:hint="eastAsia" w:ascii="宋体" w:hAnsi="宋体"/>
                <w:color w:val="auto"/>
                <w:kern w:val="1"/>
                <w:sz w:val="24"/>
                <w:szCs w:val="24"/>
                <w:highlight w:val="none"/>
              </w:rPr>
              <w:t>商务标</w:t>
            </w:r>
            <w:r>
              <w:rPr>
                <w:rFonts w:ascii="宋体" w:hAnsi="宋体"/>
                <w:color w:val="auto"/>
                <w:kern w:val="1"/>
                <w:sz w:val="24"/>
                <w:szCs w:val="24"/>
                <w:highlight w:val="none"/>
              </w:rPr>
              <w:t>：</w:t>
            </w:r>
            <w:r>
              <w:rPr>
                <w:rFonts w:hint="eastAsia" w:ascii="宋体" w:hAnsi="宋体"/>
                <w:color w:val="auto"/>
                <w:kern w:val="1"/>
                <w:sz w:val="24"/>
                <w:szCs w:val="24"/>
                <w:highlight w:val="none"/>
                <w:u w:val="single"/>
              </w:rPr>
              <w:t>30</w:t>
            </w:r>
            <w:r>
              <w:rPr>
                <w:rFonts w:ascii="宋体" w:hAnsi="宋体"/>
                <w:color w:val="auto"/>
                <w:kern w:val="1"/>
                <w:sz w:val="24"/>
                <w:szCs w:val="24"/>
                <w:highlight w:val="none"/>
              </w:rPr>
              <w:t>分</w:t>
            </w:r>
          </w:p>
          <w:p w14:paraId="5823647B">
            <w:pPr>
              <w:rPr>
                <w:rFonts w:ascii="宋体" w:hAnsi="宋体"/>
                <w:color w:val="auto"/>
                <w:kern w:val="1"/>
                <w:sz w:val="24"/>
                <w:szCs w:val="24"/>
                <w:highlight w:val="none"/>
              </w:rPr>
            </w:pPr>
            <w:r>
              <w:rPr>
                <w:rFonts w:ascii="宋体" w:hAnsi="宋体"/>
                <w:color w:val="auto"/>
                <w:kern w:val="1"/>
                <w:sz w:val="24"/>
                <w:szCs w:val="24"/>
                <w:highlight w:val="none"/>
              </w:rPr>
              <w:t>技术标：</w:t>
            </w:r>
            <w:r>
              <w:rPr>
                <w:rFonts w:hint="eastAsia" w:ascii="宋体" w:hAnsi="宋体"/>
                <w:color w:val="auto"/>
                <w:kern w:val="1"/>
                <w:sz w:val="24"/>
                <w:szCs w:val="24"/>
                <w:highlight w:val="none"/>
                <w:u w:val="single"/>
                <w:lang w:val="en-US" w:eastAsia="zh-CN"/>
              </w:rPr>
              <w:t>5</w:t>
            </w:r>
            <w:r>
              <w:rPr>
                <w:rFonts w:hint="eastAsia" w:ascii="宋体" w:hAnsi="宋体"/>
                <w:color w:val="auto"/>
                <w:kern w:val="1"/>
                <w:sz w:val="24"/>
                <w:szCs w:val="24"/>
                <w:highlight w:val="none"/>
                <w:u w:val="single"/>
              </w:rPr>
              <w:t>0</w:t>
            </w:r>
            <w:r>
              <w:rPr>
                <w:rFonts w:ascii="宋体" w:hAnsi="宋体"/>
                <w:color w:val="auto"/>
                <w:kern w:val="1"/>
                <w:sz w:val="24"/>
                <w:szCs w:val="24"/>
                <w:highlight w:val="none"/>
              </w:rPr>
              <w:t>分</w:t>
            </w:r>
          </w:p>
          <w:p w14:paraId="4274C87E">
            <w:pPr>
              <w:rPr>
                <w:rFonts w:ascii="宋体" w:hAnsi="宋体"/>
                <w:color w:val="auto"/>
                <w:kern w:val="1"/>
                <w:sz w:val="24"/>
                <w:szCs w:val="24"/>
                <w:highlight w:val="none"/>
              </w:rPr>
            </w:pPr>
            <w:r>
              <w:rPr>
                <w:rFonts w:ascii="宋体" w:hAnsi="宋体"/>
                <w:color w:val="auto"/>
                <w:kern w:val="1"/>
                <w:sz w:val="24"/>
                <w:szCs w:val="24"/>
                <w:highlight w:val="none"/>
              </w:rPr>
              <w:t>综合标：</w:t>
            </w:r>
            <w:r>
              <w:rPr>
                <w:rFonts w:hint="eastAsia" w:ascii="宋体" w:hAnsi="宋体"/>
                <w:color w:val="auto"/>
                <w:kern w:val="1"/>
                <w:sz w:val="24"/>
                <w:szCs w:val="24"/>
                <w:highlight w:val="none"/>
                <w:u w:val="single"/>
                <w:lang w:val="en-US" w:eastAsia="zh-CN"/>
              </w:rPr>
              <w:t>2</w:t>
            </w:r>
            <w:r>
              <w:rPr>
                <w:rFonts w:hint="eastAsia" w:ascii="宋体" w:hAnsi="宋体"/>
                <w:color w:val="auto"/>
                <w:kern w:val="1"/>
                <w:sz w:val="24"/>
                <w:szCs w:val="24"/>
                <w:highlight w:val="none"/>
                <w:u w:val="single"/>
              </w:rPr>
              <w:t>0</w:t>
            </w:r>
            <w:r>
              <w:rPr>
                <w:rFonts w:ascii="宋体" w:hAnsi="宋体"/>
                <w:color w:val="auto"/>
                <w:kern w:val="1"/>
                <w:sz w:val="24"/>
                <w:szCs w:val="24"/>
                <w:highlight w:val="none"/>
              </w:rPr>
              <w:t>分</w:t>
            </w:r>
          </w:p>
        </w:tc>
      </w:tr>
      <w:tr w14:paraId="327E5EA8">
        <w:tblPrEx>
          <w:tblCellMar>
            <w:top w:w="0" w:type="dxa"/>
            <w:left w:w="108" w:type="dxa"/>
            <w:bottom w:w="0" w:type="dxa"/>
            <w:right w:w="108" w:type="dxa"/>
          </w:tblCellMar>
        </w:tblPrEx>
        <w:trPr>
          <w:trHeight w:val="207" w:hRule="atLeast"/>
        </w:trPr>
        <w:tc>
          <w:tcPr>
            <w:tcW w:w="2621" w:type="dxa"/>
            <w:gridSpan w:val="2"/>
            <w:tcBorders>
              <w:top w:val="single" w:color="000000" w:sz="6" w:space="0"/>
              <w:left w:val="single" w:color="000000" w:sz="6" w:space="0"/>
              <w:bottom w:val="single" w:color="000000" w:sz="6" w:space="0"/>
              <w:right w:val="single" w:color="000000" w:sz="6" w:space="0"/>
            </w:tcBorders>
            <w:vAlign w:val="center"/>
          </w:tcPr>
          <w:p w14:paraId="33F63551">
            <w:pPr>
              <w:jc w:val="center"/>
              <w:rPr>
                <w:rFonts w:ascii="宋体" w:hAnsi="宋体"/>
                <w:b/>
                <w:color w:val="auto"/>
                <w:kern w:val="1"/>
                <w:szCs w:val="21"/>
                <w:highlight w:val="none"/>
              </w:rPr>
            </w:pPr>
            <w:r>
              <w:rPr>
                <w:rFonts w:ascii="宋体" w:hAnsi="宋体"/>
                <w:b/>
                <w:color w:val="auto"/>
                <w:kern w:val="1"/>
                <w:szCs w:val="21"/>
                <w:highlight w:val="none"/>
              </w:rPr>
              <w:t>评分因素</w:t>
            </w:r>
          </w:p>
        </w:tc>
        <w:tc>
          <w:tcPr>
            <w:tcW w:w="7219" w:type="dxa"/>
            <w:tcBorders>
              <w:top w:val="single" w:color="000000" w:sz="6" w:space="0"/>
              <w:left w:val="single" w:color="000000" w:sz="6" w:space="0"/>
              <w:bottom w:val="single" w:color="000000" w:sz="6" w:space="0"/>
              <w:right w:val="single" w:color="000000" w:sz="12" w:space="0"/>
            </w:tcBorders>
            <w:vAlign w:val="center"/>
          </w:tcPr>
          <w:p w14:paraId="242DA60C">
            <w:pPr>
              <w:jc w:val="center"/>
              <w:rPr>
                <w:rFonts w:ascii="宋体" w:hAnsi="宋体"/>
                <w:b/>
                <w:color w:val="auto"/>
                <w:kern w:val="1"/>
                <w:szCs w:val="21"/>
                <w:highlight w:val="none"/>
              </w:rPr>
            </w:pPr>
            <w:r>
              <w:rPr>
                <w:rFonts w:ascii="宋体" w:hAnsi="宋体"/>
                <w:b/>
                <w:color w:val="auto"/>
                <w:kern w:val="1"/>
                <w:szCs w:val="21"/>
                <w:highlight w:val="none"/>
              </w:rPr>
              <w:t>评分标准</w:t>
            </w:r>
          </w:p>
        </w:tc>
      </w:tr>
      <w:tr w14:paraId="2F0B6F54">
        <w:tblPrEx>
          <w:tblCellMar>
            <w:top w:w="0" w:type="dxa"/>
            <w:left w:w="108" w:type="dxa"/>
            <w:bottom w:w="0" w:type="dxa"/>
            <w:right w:w="108" w:type="dxa"/>
          </w:tblCellMar>
        </w:tblPrEx>
        <w:trPr>
          <w:trHeight w:val="3396" w:hRule="atLeast"/>
        </w:trPr>
        <w:tc>
          <w:tcPr>
            <w:tcW w:w="1194" w:type="dxa"/>
            <w:tcBorders>
              <w:top w:val="single" w:color="000000" w:sz="6" w:space="0"/>
              <w:left w:val="single" w:color="000000" w:sz="4" w:space="0"/>
              <w:bottom w:val="single" w:color="000000" w:sz="6" w:space="0"/>
              <w:right w:val="single" w:color="000000" w:sz="6" w:space="0"/>
            </w:tcBorders>
            <w:vAlign w:val="center"/>
          </w:tcPr>
          <w:p w14:paraId="444E575C">
            <w:pPr>
              <w:jc w:val="center"/>
              <w:rPr>
                <w:rFonts w:hint="eastAsia" w:ascii="宋体" w:hAnsi="宋体"/>
                <w:color w:val="auto"/>
                <w:kern w:val="1"/>
                <w:sz w:val="24"/>
                <w:szCs w:val="24"/>
                <w:highlight w:val="none"/>
              </w:rPr>
            </w:pPr>
            <w:r>
              <w:rPr>
                <w:rFonts w:hint="eastAsia" w:ascii="宋体" w:hAnsi="宋体"/>
                <w:color w:val="auto"/>
                <w:kern w:val="1"/>
                <w:sz w:val="24"/>
                <w:szCs w:val="24"/>
                <w:highlight w:val="none"/>
              </w:rPr>
              <w:t>商务标</w:t>
            </w:r>
          </w:p>
          <w:p w14:paraId="5240C615">
            <w:pPr>
              <w:spacing w:line="312" w:lineRule="auto"/>
              <w:jc w:val="both"/>
              <w:rPr>
                <w:rFonts w:hint="eastAsia" w:ascii="宋体" w:hAnsi="宋体"/>
                <w:color w:val="auto"/>
                <w:kern w:val="1"/>
                <w:sz w:val="24"/>
                <w:szCs w:val="24"/>
                <w:highlight w:val="none"/>
                <w:lang w:eastAsia="zh-CN"/>
              </w:rPr>
            </w:pPr>
            <w:r>
              <w:rPr>
                <w:rFonts w:hint="eastAsia" w:ascii="宋体" w:hAnsi="宋体" w:eastAsia="宋体" w:cs="Times New Roman"/>
                <w:color w:val="auto"/>
                <w:spacing w:val="6"/>
                <w:kern w:val="1"/>
                <w:sz w:val="24"/>
                <w:szCs w:val="24"/>
                <w:highlight w:val="none"/>
                <w:lang w:val="en-US" w:eastAsia="zh-CN"/>
              </w:rPr>
              <w:t>(</w:t>
            </w:r>
            <w:r>
              <w:rPr>
                <w:rFonts w:hint="eastAsia" w:ascii="宋体" w:hAnsi="宋体" w:eastAsia="宋体" w:cs="Times New Roman"/>
                <w:color w:val="auto"/>
                <w:spacing w:val="6"/>
                <w:kern w:val="1"/>
                <w:sz w:val="24"/>
                <w:szCs w:val="24"/>
                <w:highlight w:val="none"/>
              </w:rPr>
              <w:t>30分）</w:t>
            </w:r>
          </w:p>
        </w:tc>
        <w:tc>
          <w:tcPr>
            <w:tcW w:w="1427" w:type="dxa"/>
            <w:tcBorders>
              <w:top w:val="single" w:color="000000" w:sz="6" w:space="0"/>
              <w:left w:val="single" w:color="000000" w:sz="4" w:space="0"/>
              <w:bottom w:val="single" w:color="000000" w:sz="6" w:space="0"/>
              <w:right w:val="single" w:color="000000" w:sz="6" w:space="0"/>
            </w:tcBorders>
            <w:vAlign w:val="center"/>
          </w:tcPr>
          <w:p w14:paraId="649D817F">
            <w:pPr>
              <w:jc w:val="center"/>
              <w:rPr>
                <w:rFonts w:hint="eastAsia" w:ascii="宋体" w:hAnsi="宋体"/>
                <w:color w:val="auto"/>
                <w:kern w:val="1"/>
                <w:sz w:val="24"/>
                <w:szCs w:val="24"/>
                <w:highlight w:val="none"/>
              </w:rPr>
            </w:pPr>
            <w:r>
              <w:rPr>
                <w:rFonts w:hint="eastAsia" w:ascii="宋体" w:hAnsi="宋体"/>
                <w:color w:val="auto"/>
                <w:kern w:val="1"/>
                <w:sz w:val="24"/>
                <w:szCs w:val="24"/>
                <w:highlight w:val="none"/>
              </w:rPr>
              <w:t>磋商</w:t>
            </w:r>
          </w:p>
          <w:p w14:paraId="4CC61400">
            <w:pPr>
              <w:jc w:val="center"/>
              <w:rPr>
                <w:rFonts w:hint="eastAsia" w:ascii="宋体" w:hAnsi="宋体"/>
                <w:color w:val="auto"/>
                <w:kern w:val="1"/>
                <w:sz w:val="24"/>
                <w:szCs w:val="24"/>
                <w:highlight w:val="none"/>
              </w:rPr>
            </w:pPr>
            <w:r>
              <w:rPr>
                <w:rFonts w:hint="eastAsia" w:ascii="宋体" w:hAnsi="宋体"/>
                <w:color w:val="auto"/>
                <w:kern w:val="1"/>
                <w:sz w:val="24"/>
                <w:szCs w:val="24"/>
                <w:highlight w:val="none"/>
              </w:rPr>
              <w:t>报价</w:t>
            </w:r>
          </w:p>
        </w:tc>
        <w:tc>
          <w:tcPr>
            <w:tcW w:w="7219" w:type="dxa"/>
            <w:tcBorders>
              <w:top w:val="single" w:color="000000" w:sz="6" w:space="0"/>
              <w:left w:val="single" w:color="000000" w:sz="6" w:space="0"/>
              <w:bottom w:val="single" w:color="000000" w:sz="6" w:space="0"/>
              <w:right w:val="single" w:color="000000" w:sz="12" w:space="0"/>
            </w:tcBorders>
            <w:vAlign w:val="center"/>
          </w:tcPr>
          <w:p w14:paraId="024F15FA">
            <w:pPr>
              <w:spacing w:line="440" w:lineRule="exact"/>
              <w:jc w:val="left"/>
              <w:rPr>
                <w:rFonts w:hint="eastAsia" w:ascii="宋体" w:hAnsi="宋体"/>
                <w:color w:val="auto"/>
                <w:sz w:val="24"/>
                <w:highlight w:val="none"/>
              </w:rPr>
            </w:pPr>
            <w:r>
              <w:rPr>
                <w:rFonts w:hint="eastAsia" w:ascii="宋体" w:hAnsi="宋体"/>
                <w:color w:val="auto"/>
                <w:sz w:val="24"/>
                <w:highlight w:val="none"/>
              </w:rPr>
              <w:t>综合评分法中的价格分统一采用低价优先法计算，即满足磋商文件要求且最后报价最低的</w:t>
            </w:r>
            <w:r>
              <w:rPr>
                <w:rFonts w:hint="eastAsia" w:ascii="宋体" w:hAnsi="宋体"/>
                <w:color w:val="auto"/>
                <w:sz w:val="24"/>
                <w:highlight w:val="none"/>
                <w:lang w:eastAsia="zh-CN"/>
              </w:rPr>
              <w:t>供应商</w:t>
            </w:r>
            <w:r>
              <w:rPr>
                <w:rFonts w:hint="eastAsia" w:ascii="宋体" w:hAnsi="宋体"/>
                <w:color w:val="auto"/>
                <w:sz w:val="24"/>
                <w:highlight w:val="none"/>
              </w:rPr>
              <w:t>的价格为磋商基准价，其价格分为满分。其他</w:t>
            </w:r>
            <w:r>
              <w:rPr>
                <w:rFonts w:hint="eastAsia" w:ascii="宋体" w:hAnsi="宋体"/>
                <w:color w:val="auto"/>
                <w:sz w:val="24"/>
                <w:highlight w:val="none"/>
                <w:lang w:eastAsia="zh-CN"/>
              </w:rPr>
              <w:t>供应商</w:t>
            </w:r>
            <w:r>
              <w:rPr>
                <w:rFonts w:hint="eastAsia" w:ascii="宋体" w:hAnsi="宋体"/>
                <w:color w:val="auto"/>
                <w:sz w:val="24"/>
                <w:highlight w:val="none"/>
              </w:rPr>
              <w:t>的价格分统一按照下列公式计算：磋商报价得分=（磋商基准价/最后磋商报价）×30</w:t>
            </w:r>
          </w:p>
          <w:p w14:paraId="00C742E2">
            <w:pPr>
              <w:spacing w:line="360" w:lineRule="auto"/>
              <w:ind w:firstLine="482" w:firstLineChars="200"/>
              <w:jc w:val="left"/>
              <w:rPr>
                <w:rFonts w:hint="eastAsia" w:ascii="宋体" w:hAnsi="宋体" w:eastAsia="宋体"/>
                <w:b/>
                <w:bCs/>
                <w:color w:val="auto"/>
                <w:sz w:val="24"/>
                <w:highlight w:val="none"/>
              </w:rPr>
            </w:pPr>
            <w:r>
              <w:rPr>
                <w:rFonts w:hint="eastAsia" w:ascii="宋体" w:hAnsi="宋体" w:eastAsia="宋体"/>
                <w:b/>
                <w:bCs/>
                <w:color w:val="auto"/>
                <w:sz w:val="24"/>
                <w:highlight w:val="none"/>
              </w:rPr>
              <w:t>根据《政府采购促进中小企业发展管理办法》（财库﹝2020﹞46 号）的规定，对小型、微型企业产品的价格给予3%～5%的扣除，用扣除后的价格参与评审，本项目的扣除比例为：小型企业扣除5%，微型企业扣除5%。</w:t>
            </w:r>
          </w:p>
        </w:tc>
      </w:tr>
    </w:tbl>
    <w:p w14:paraId="54DB7448">
      <w:pPr>
        <w:pStyle w:val="80"/>
        <w:rPr>
          <w:color w:val="auto"/>
          <w:highlight w:val="none"/>
        </w:rPr>
      </w:pPr>
    </w:p>
    <w:tbl>
      <w:tblPr>
        <w:tblStyle w:val="12"/>
        <w:tblW w:w="9852" w:type="dxa"/>
        <w:tblInd w:w="-142" w:type="dxa"/>
        <w:tblLayout w:type="fixed"/>
        <w:tblCellMar>
          <w:top w:w="0" w:type="dxa"/>
          <w:left w:w="108" w:type="dxa"/>
          <w:bottom w:w="0" w:type="dxa"/>
          <w:right w:w="108" w:type="dxa"/>
        </w:tblCellMar>
      </w:tblPr>
      <w:tblGrid>
        <w:gridCol w:w="1209"/>
        <w:gridCol w:w="1426"/>
        <w:gridCol w:w="6069"/>
        <w:gridCol w:w="1148"/>
      </w:tblGrid>
      <w:tr w14:paraId="50C2308D">
        <w:tblPrEx>
          <w:tblCellMar>
            <w:top w:w="0" w:type="dxa"/>
            <w:left w:w="108" w:type="dxa"/>
            <w:bottom w:w="0" w:type="dxa"/>
            <w:right w:w="108" w:type="dxa"/>
          </w:tblCellMar>
        </w:tblPrEx>
        <w:trPr>
          <w:trHeight w:val="406" w:hRule="atLeast"/>
        </w:trPr>
        <w:tc>
          <w:tcPr>
            <w:tcW w:w="1209" w:type="dxa"/>
            <w:vMerge w:val="restart"/>
            <w:tcBorders>
              <w:top w:val="single" w:color="000000" w:sz="6" w:space="0"/>
              <w:left w:val="single" w:color="000000" w:sz="6" w:space="0"/>
              <w:right w:val="single" w:color="000000" w:sz="4" w:space="0"/>
            </w:tcBorders>
            <w:vAlign w:val="center"/>
          </w:tcPr>
          <w:p w14:paraId="0F08B0B7">
            <w:pPr>
              <w:spacing w:line="312" w:lineRule="auto"/>
              <w:jc w:val="center"/>
              <w:rPr>
                <w:rFonts w:hint="eastAsia" w:ascii="宋体" w:hAnsi="宋体"/>
                <w:color w:val="auto"/>
                <w:spacing w:val="6"/>
                <w:kern w:val="1"/>
                <w:sz w:val="24"/>
                <w:szCs w:val="24"/>
                <w:highlight w:val="none"/>
              </w:rPr>
            </w:pPr>
          </w:p>
          <w:p w14:paraId="05624B90">
            <w:pPr>
              <w:spacing w:line="312" w:lineRule="auto"/>
              <w:jc w:val="center"/>
              <w:rPr>
                <w:rFonts w:hint="eastAsia" w:ascii="宋体" w:hAnsi="宋体"/>
                <w:color w:val="auto"/>
                <w:spacing w:val="6"/>
                <w:kern w:val="1"/>
                <w:sz w:val="24"/>
                <w:szCs w:val="24"/>
                <w:highlight w:val="none"/>
              </w:rPr>
            </w:pPr>
          </w:p>
          <w:p w14:paraId="7F246B70">
            <w:pPr>
              <w:spacing w:line="312" w:lineRule="auto"/>
              <w:jc w:val="center"/>
              <w:rPr>
                <w:rFonts w:hint="eastAsia" w:ascii="宋体" w:hAnsi="宋体"/>
                <w:color w:val="auto"/>
                <w:spacing w:val="6"/>
                <w:kern w:val="1"/>
                <w:sz w:val="24"/>
                <w:szCs w:val="24"/>
                <w:highlight w:val="none"/>
              </w:rPr>
            </w:pPr>
            <w:r>
              <w:rPr>
                <w:rFonts w:hint="eastAsia" w:ascii="宋体" w:hAnsi="宋体"/>
                <w:color w:val="auto"/>
                <w:spacing w:val="6"/>
                <w:kern w:val="1"/>
                <w:sz w:val="24"/>
                <w:szCs w:val="24"/>
                <w:highlight w:val="none"/>
              </w:rPr>
              <w:t>技术标</w:t>
            </w:r>
          </w:p>
          <w:p w14:paraId="03BAEAE4">
            <w:pPr>
              <w:spacing w:line="312" w:lineRule="auto"/>
              <w:jc w:val="center"/>
              <w:rPr>
                <w:rFonts w:hint="eastAsia" w:ascii="宋体" w:hAnsi="宋体"/>
                <w:color w:val="auto"/>
                <w:spacing w:val="6"/>
                <w:kern w:val="1"/>
                <w:sz w:val="24"/>
                <w:szCs w:val="24"/>
                <w:highlight w:val="none"/>
              </w:rPr>
            </w:pPr>
            <w:r>
              <w:rPr>
                <w:rFonts w:hint="eastAsia" w:ascii="宋体" w:hAnsi="宋体"/>
                <w:color w:val="auto"/>
                <w:spacing w:val="6"/>
                <w:kern w:val="1"/>
                <w:sz w:val="24"/>
                <w:szCs w:val="24"/>
                <w:highlight w:val="none"/>
              </w:rPr>
              <w:t>(</w:t>
            </w:r>
            <w:r>
              <w:rPr>
                <w:rFonts w:hint="eastAsia" w:ascii="宋体" w:hAnsi="宋体"/>
                <w:color w:val="auto"/>
                <w:spacing w:val="6"/>
                <w:kern w:val="1"/>
                <w:sz w:val="24"/>
                <w:szCs w:val="24"/>
                <w:highlight w:val="none"/>
                <w:lang w:val="en-US" w:eastAsia="zh-CN"/>
              </w:rPr>
              <w:t>50</w:t>
            </w:r>
            <w:r>
              <w:rPr>
                <w:rFonts w:ascii="宋体" w:hAnsi="宋体"/>
                <w:color w:val="auto"/>
                <w:spacing w:val="6"/>
                <w:kern w:val="1"/>
                <w:sz w:val="24"/>
                <w:szCs w:val="24"/>
                <w:highlight w:val="none"/>
              </w:rPr>
              <w:t>分</w:t>
            </w:r>
            <w:r>
              <w:rPr>
                <w:rFonts w:hint="eastAsia" w:ascii="宋体" w:hAnsi="宋体"/>
                <w:color w:val="auto"/>
                <w:spacing w:val="6"/>
                <w:kern w:val="1"/>
                <w:sz w:val="24"/>
                <w:szCs w:val="24"/>
                <w:highlight w:val="none"/>
              </w:rPr>
              <w:t>)</w:t>
            </w:r>
          </w:p>
          <w:p w14:paraId="4A4C1C59">
            <w:pPr>
              <w:spacing w:line="312" w:lineRule="auto"/>
              <w:jc w:val="center"/>
              <w:rPr>
                <w:rFonts w:ascii="宋体" w:hAnsi="宋体"/>
                <w:color w:val="auto"/>
                <w:spacing w:val="6"/>
                <w:kern w:val="1"/>
                <w:sz w:val="24"/>
                <w:szCs w:val="24"/>
                <w:highlight w:val="none"/>
              </w:rPr>
            </w:pPr>
          </w:p>
          <w:p w14:paraId="11EE7AD4">
            <w:pPr>
              <w:spacing w:line="312" w:lineRule="auto"/>
              <w:jc w:val="center"/>
              <w:rPr>
                <w:rFonts w:ascii="宋体" w:hAnsi="宋体"/>
                <w:color w:val="auto"/>
                <w:spacing w:val="6"/>
                <w:kern w:val="1"/>
                <w:sz w:val="24"/>
                <w:szCs w:val="24"/>
                <w:highlight w:val="none"/>
              </w:rPr>
            </w:pPr>
          </w:p>
        </w:tc>
        <w:tc>
          <w:tcPr>
            <w:tcW w:w="1426" w:type="dxa"/>
            <w:tcBorders>
              <w:top w:val="single" w:color="000000" w:sz="4" w:space="0"/>
              <w:left w:val="single" w:color="000000" w:sz="4" w:space="0"/>
              <w:bottom w:val="single" w:color="000000" w:sz="4" w:space="0"/>
              <w:right w:val="single" w:color="000000" w:sz="4" w:space="0"/>
            </w:tcBorders>
            <w:vAlign w:val="center"/>
          </w:tcPr>
          <w:p w14:paraId="48CBF9F2">
            <w:pPr>
              <w:jc w:val="center"/>
              <w:rPr>
                <w:rFonts w:hint="eastAsia" w:ascii="宋体" w:hAnsi="宋体"/>
                <w:color w:val="auto"/>
                <w:kern w:val="0"/>
                <w:sz w:val="24"/>
                <w:szCs w:val="24"/>
                <w:highlight w:val="none"/>
              </w:rPr>
            </w:pPr>
            <w:r>
              <w:rPr>
                <w:rFonts w:hint="eastAsia" w:ascii="宋体" w:hAnsi="宋体"/>
                <w:color w:val="auto"/>
                <w:kern w:val="0"/>
                <w:sz w:val="24"/>
                <w:szCs w:val="24"/>
                <w:highlight w:val="none"/>
              </w:rPr>
              <w:t>内容完整性和编制水平</w:t>
            </w:r>
          </w:p>
        </w:tc>
        <w:tc>
          <w:tcPr>
            <w:tcW w:w="6069" w:type="dxa"/>
            <w:tcBorders>
              <w:top w:val="single" w:color="000000" w:sz="6" w:space="0"/>
              <w:left w:val="single" w:color="000000" w:sz="4" w:space="0"/>
              <w:bottom w:val="single" w:color="000000" w:sz="6" w:space="0"/>
              <w:right w:val="single" w:color="000000" w:sz="6" w:space="0"/>
            </w:tcBorders>
            <w:vAlign w:val="center"/>
          </w:tcPr>
          <w:p w14:paraId="62DF9267">
            <w:pPr>
              <w:spacing w:line="360" w:lineRule="auto"/>
              <w:rPr>
                <w:rFonts w:hint="eastAsia" w:ascii="宋体" w:hAnsi="宋体"/>
                <w:color w:val="auto"/>
                <w:kern w:val="0"/>
                <w:sz w:val="24"/>
                <w:szCs w:val="24"/>
                <w:highlight w:val="none"/>
              </w:rPr>
            </w:pPr>
            <w:r>
              <w:rPr>
                <w:rFonts w:hint="eastAsia" w:ascii="宋体" w:hAnsi="宋体"/>
                <w:color w:val="auto"/>
                <w:kern w:val="0"/>
                <w:sz w:val="24"/>
                <w:szCs w:val="24"/>
                <w:highlight w:val="none"/>
              </w:rPr>
              <w:t>科学、合理、满足要求的</w:t>
            </w:r>
            <w:r>
              <w:rPr>
                <w:rFonts w:hint="eastAsia" w:ascii="宋体" w:hAnsi="宋体"/>
                <w:color w:val="auto"/>
                <w:kern w:val="0"/>
                <w:sz w:val="24"/>
                <w:szCs w:val="24"/>
                <w:highlight w:val="none"/>
                <w:lang w:val="en-US" w:eastAsia="zh-CN"/>
              </w:rPr>
              <w:t>6</w:t>
            </w:r>
            <w:r>
              <w:rPr>
                <w:rFonts w:hint="eastAsia" w:ascii="宋体" w:hAnsi="宋体"/>
                <w:color w:val="auto"/>
                <w:kern w:val="0"/>
                <w:sz w:val="24"/>
                <w:szCs w:val="24"/>
                <w:highlight w:val="none"/>
              </w:rPr>
              <w:t>分；基本合理、基本满足要求的3分；不满足要求的不得分。</w:t>
            </w:r>
          </w:p>
        </w:tc>
        <w:tc>
          <w:tcPr>
            <w:tcW w:w="1148" w:type="dxa"/>
            <w:tcBorders>
              <w:top w:val="single" w:color="000000" w:sz="6" w:space="0"/>
              <w:left w:val="single" w:color="000000" w:sz="6" w:space="0"/>
              <w:bottom w:val="single" w:color="000000" w:sz="6" w:space="0"/>
              <w:right w:val="single" w:color="000000" w:sz="12" w:space="0"/>
            </w:tcBorders>
            <w:vAlign w:val="center"/>
          </w:tcPr>
          <w:p w14:paraId="0E74FFC8">
            <w:pPr>
              <w:spacing w:line="360" w:lineRule="auto"/>
              <w:jc w:val="center"/>
              <w:rPr>
                <w:rFonts w:hint="eastAsia" w:ascii="宋体" w:hAnsi="宋体"/>
                <w:color w:val="auto"/>
                <w:kern w:val="0"/>
                <w:sz w:val="24"/>
                <w:szCs w:val="24"/>
                <w:highlight w:val="none"/>
              </w:rPr>
            </w:pPr>
            <w:r>
              <w:rPr>
                <w:rFonts w:hint="eastAsia" w:ascii="宋体" w:hAnsi="宋体"/>
                <w:color w:val="auto"/>
                <w:kern w:val="0"/>
                <w:sz w:val="24"/>
                <w:szCs w:val="24"/>
                <w:highlight w:val="none"/>
                <w:lang w:val="en-US" w:eastAsia="zh-CN"/>
              </w:rPr>
              <w:t>6</w:t>
            </w:r>
            <w:r>
              <w:rPr>
                <w:rFonts w:hint="eastAsia" w:ascii="宋体" w:hAnsi="宋体"/>
                <w:color w:val="auto"/>
                <w:kern w:val="0"/>
                <w:sz w:val="24"/>
                <w:szCs w:val="24"/>
                <w:highlight w:val="none"/>
              </w:rPr>
              <w:t>分</w:t>
            </w:r>
          </w:p>
        </w:tc>
      </w:tr>
      <w:tr w14:paraId="28C2F8E2">
        <w:tblPrEx>
          <w:tblCellMar>
            <w:top w:w="0" w:type="dxa"/>
            <w:left w:w="108" w:type="dxa"/>
            <w:bottom w:w="0" w:type="dxa"/>
            <w:right w:w="108" w:type="dxa"/>
          </w:tblCellMar>
        </w:tblPrEx>
        <w:trPr>
          <w:trHeight w:val="406" w:hRule="atLeast"/>
        </w:trPr>
        <w:tc>
          <w:tcPr>
            <w:tcW w:w="1209" w:type="dxa"/>
            <w:vMerge w:val="continue"/>
            <w:tcBorders>
              <w:left w:val="single" w:color="000000" w:sz="6" w:space="0"/>
              <w:bottom w:val="single" w:color="000000" w:sz="4" w:space="0"/>
              <w:right w:val="single" w:color="000000" w:sz="4" w:space="0"/>
            </w:tcBorders>
            <w:vAlign w:val="top"/>
          </w:tcPr>
          <w:p w14:paraId="192EEC6E">
            <w:pPr>
              <w:spacing w:line="312" w:lineRule="auto"/>
              <w:jc w:val="left"/>
              <w:rPr>
                <w:rFonts w:ascii="宋体" w:hAnsi="宋体"/>
                <w:color w:val="auto"/>
                <w:kern w:val="1"/>
                <w:sz w:val="24"/>
                <w:szCs w:val="24"/>
                <w:highlight w:val="none"/>
              </w:rPr>
            </w:pPr>
          </w:p>
        </w:tc>
        <w:tc>
          <w:tcPr>
            <w:tcW w:w="1426" w:type="dxa"/>
            <w:tcBorders>
              <w:top w:val="single" w:color="000000" w:sz="4" w:space="0"/>
              <w:left w:val="single" w:color="000000" w:sz="4" w:space="0"/>
              <w:bottom w:val="single" w:color="000000" w:sz="4" w:space="0"/>
              <w:right w:val="single" w:color="000000" w:sz="4" w:space="0"/>
            </w:tcBorders>
            <w:vAlign w:val="center"/>
          </w:tcPr>
          <w:p w14:paraId="5AFD79AE">
            <w:pPr>
              <w:jc w:val="center"/>
              <w:rPr>
                <w:rFonts w:hint="eastAsia" w:ascii="宋体" w:hAnsi="宋体"/>
                <w:color w:val="auto"/>
                <w:kern w:val="0"/>
                <w:sz w:val="24"/>
                <w:szCs w:val="24"/>
                <w:highlight w:val="none"/>
              </w:rPr>
            </w:pPr>
            <w:r>
              <w:rPr>
                <w:rFonts w:hint="eastAsia" w:ascii="宋体" w:hAnsi="宋体"/>
                <w:color w:val="auto"/>
                <w:kern w:val="0"/>
                <w:sz w:val="24"/>
                <w:szCs w:val="24"/>
                <w:highlight w:val="none"/>
              </w:rPr>
              <w:t>施工方案与技术措施</w:t>
            </w:r>
          </w:p>
        </w:tc>
        <w:tc>
          <w:tcPr>
            <w:tcW w:w="6069" w:type="dxa"/>
            <w:tcBorders>
              <w:top w:val="single" w:color="000000" w:sz="6" w:space="0"/>
              <w:left w:val="single" w:color="000000" w:sz="4" w:space="0"/>
              <w:bottom w:val="single" w:color="000000" w:sz="6" w:space="0"/>
              <w:right w:val="single" w:color="000000" w:sz="6" w:space="0"/>
            </w:tcBorders>
            <w:vAlign w:val="center"/>
          </w:tcPr>
          <w:p w14:paraId="476034C4">
            <w:pPr>
              <w:spacing w:line="360" w:lineRule="auto"/>
              <w:rPr>
                <w:rFonts w:hint="eastAsia" w:ascii="宋体" w:hAnsi="宋体"/>
                <w:color w:val="auto"/>
                <w:kern w:val="0"/>
                <w:sz w:val="24"/>
                <w:szCs w:val="24"/>
                <w:highlight w:val="none"/>
              </w:rPr>
            </w:pPr>
            <w:r>
              <w:rPr>
                <w:rFonts w:hint="eastAsia" w:ascii="宋体" w:hAnsi="宋体"/>
                <w:color w:val="auto"/>
                <w:kern w:val="0"/>
                <w:sz w:val="24"/>
                <w:szCs w:val="24"/>
                <w:highlight w:val="none"/>
              </w:rPr>
              <w:t>科学、合理、满足要求的</w:t>
            </w:r>
            <w:r>
              <w:rPr>
                <w:rFonts w:hint="eastAsia" w:ascii="宋体" w:hAnsi="宋体"/>
                <w:color w:val="auto"/>
                <w:kern w:val="0"/>
                <w:sz w:val="24"/>
                <w:szCs w:val="24"/>
                <w:highlight w:val="none"/>
                <w:lang w:val="en-US" w:eastAsia="zh-CN"/>
              </w:rPr>
              <w:t>6</w:t>
            </w:r>
            <w:r>
              <w:rPr>
                <w:rFonts w:hint="eastAsia" w:ascii="宋体" w:hAnsi="宋体"/>
                <w:color w:val="auto"/>
                <w:kern w:val="0"/>
                <w:sz w:val="24"/>
                <w:szCs w:val="24"/>
                <w:highlight w:val="none"/>
              </w:rPr>
              <w:t>分；基本合理、基本满足要求的3分；不满足要求的不得分。</w:t>
            </w:r>
          </w:p>
        </w:tc>
        <w:tc>
          <w:tcPr>
            <w:tcW w:w="1148" w:type="dxa"/>
            <w:tcBorders>
              <w:top w:val="single" w:color="000000" w:sz="6" w:space="0"/>
              <w:left w:val="single" w:color="000000" w:sz="6" w:space="0"/>
              <w:bottom w:val="single" w:color="000000" w:sz="6" w:space="0"/>
              <w:right w:val="single" w:color="000000" w:sz="12" w:space="0"/>
            </w:tcBorders>
            <w:vAlign w:val="center"/>
          </w:tcPr>
          <w:p w14:paraId="3DCFD25A">
            <w:pPr>
              <w:spacing w:line="360" w:lineRule="auto"/>
              <w:jc w:val="center"/>
              <w:rPr>
                <w:rFonts w:hint="eastAsia" w:ascii="宋体" w:hAnsi="宋体"/>
                <w:color w:val="auto"/>
                <w:kern w:val="0"/>
                <w:sz w:val="24"/>
                <w:szCs w:val="24"/>
                <w:highlight w:val="none"/>
              </w:rPr>
            </w:pPr>
            <w:r>
              <w:rPr>
                <w:rFonts w:hint="eastAsia" w:ascii="宋体" w:hAnsi="宋体"/>
                <w:color w:val="auto"/>
                <w:kern w:val="0"/>
                <w:sz w:val="24"/>
                <w:szCs w:val="24"/>
                <w:highlight w:val="none"/>
                <w:lang w:val="en-US" w:eastAsia="zh-CN"/>
              </w:rPr>
              <w:t>6</w:t>
            </w:r>
            <w:r>
              <w:rPr>
                <w:rFonts w:hint="eastAsia" w:ascii="宋体" w:hAnsi="宋体"/>
                <w:color w:val="auto"/>
                <w:kern w:val="0"/>
                <w:sz w:val="24"/>
                <w:szCs w:val="24"/>
                <w:highlight w:val="none"/>
              </w:rPr>
              <w:t>分</w:t>
            </w:r>
          </w:p>
        </w:tc>
      </w:tr>
      <w:tr w14:paraId="1BCADC5C">
        <w:tblPrEx>
          <w:tblCellMar>
            <w:top w:w="0" w:type="dxa"/>
            <w:left w:w="108" w:type="dxa"/>
            <w:bottom w:w="0" w:type="dxa"/>
            <w:right w:w="108" w:type="dxa"/>
          </w:tblCellMar>
        </w:tblPrEx>
        <w:trPr>
          <w:trHeight w:val="363" w:hRule="atLeast"/>
        </w:trPr>
        <w:tc>
          <w:tcPr>
            <w:tcW w:w="1209" w:type="dxa"/>
            <w:vMerge w:val="continue"/>
            <w:tcBorders>
              <w:top w:val="single" w:color="000000" w:sz="4" w:space="0"/>
              <w:left w:val="single" w:color="000000" w:sz="6" w:space="0"/>
              <w:right w:val="single" w:color="000000" w:sz="4" w:space="0"/>
            </w:tcBorders>
            <w:vAlign w:val="top"/>
          </w:tcPr>
          <w:p w14:paraId="3E0B943F">
            <w:pPr>
              <w:spacing w:line="312" w:lineRule="auto"/>
              <w:jc w:val="left"/>
              <w:rPr>
                <w:rFonts w:hint="eastAsia" w:ascii="宋体" w:hAnsi="宋体" w:eastAsia="宋体"/>
                <w:color w:val="auto"/>
                <w:kern w:val="1"/>
                <w:sz w:val="24"/>
                <w:szCs w:val="24"/>
                <w:highlight w:val="none"/>
              </w:rPr>
            </w:pPr>
          </w:p>
        </w:tc>
        <w:tc>
          <w:tcPr>
            <w:tcW w:w="1426" w:type="dxa"/>
            <w:tcBorders>
              <w:top w:val="single" w:color="000000" w:sz="4" w:space="0"/>
              <w:left w:val="single" w:color="000000" w:sz="4" w:space="0"/>
              <w:bottom w:val="single" w:color="000000" w:sz="4" w:space="0"/>
              <w:right w:val="single" w:color="000000" w:sz="4" w:space="0"/>
            </w:tcBorders>
            <w:vAlign w:val="center"/>
          </w:tcPr>
          <w:p w14:paraId="6BE956B2">
            <w:pPr>
              <w:jc w:val="center"/>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质量管理体系与措施</w:t>
            </w:r>
          </w:p>
        </w:tc>
        <w:tc>
          <w:tcPr>
            <w:tcW w:w="6069" w:type="dxa"/>
            <w:tcBorders>
              <w:top w:val="single" w:color="000000" w:sz="6" w:space="0"/>
              <w:left w:val="single" w:color="000000" w:sz="4" w:space="0"/>
              <w:bottom w:val="single" w:color="000000" w:sz="6" w:space="0"/>
              <w:right w:val="single" w:color="000000" w:sz="6" w:space="0"/>
            </w:tcBorders>
            <w:vAlign w:val="center"/>
          </w:tcPr>
          <w:p w14:paraId="20622BBE">
            <w:pPr>
              <w:spacing w:line="360" w:lineRule="auto"/>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科学、合理、满足要求的</w:t>
            </w:r>
            <w:r>
              <w:rPr>
                <w:rFonts w:hint="eastAsia" w:ascii="宋体" w:hAnsi="宋体"/>
                <w:color w:val="auto"/>
                <w:kern w:val="0"/>
                <w:sz w:val="24"/>
                <w:szCs w:val="24"/>
                <w:highlight w:val="none"/>
                <w:lang w:val="en-US" w:eastAsia="zh-CN"/>
              </w:rPr>
              <w:t>6</w:t>
            </w:r>
            <w:r>
              <w:rPr>
                <w:rFonts w:hint="eastAsia" w:ascii="宋体" w:hAnsi="宋体" w:eastAsia="宋体"/>
                <w:color w:val="auto"/>
                <w:kern w:val="0"/>
                <w:sz w:val="24"/>
                <w:szCs w:val="24"/>
                <w:highlight w:val="none"/>
              </w:rPr>
              <w:t>分；基本合理、基本满足要求的3分；不满足要求的不得分。</w:t>
            </w:r>
          </w:p>
        </w:tc>
        <w:tc>
          <w:tcPr>
            <w:tcW w:w="1148" w:type="dxa"/>
            <w:tcBorders>
              <w:top w:val="single" w:color="000000" w:sz="6" w:space="0"/>
              <w:left w:val="single" w:color="000000" w:sz="6" w:space="0"/>
              <w:bottom w:val="single" w:color="000000" w:sz="6" w:space="0"/>
              <w:right w:val="single" w:color="000000" w:sz="12" w:space="0"/>
            </w:tcBorders>
            <w:vAlign w:val="center"/>
          </w:tcPr>
          <w:p w14:paraId="5B46659E">
            <w:pPr>
              <w:spacing w:line="360" w:lineRule="auto"/>
              <w:jc w:val="center"/>
              <w:rPr>
                <w:rFonts w:hint="eastAsia" w:ascii="宋体" w:hAnsi="宋体" w:eastAsia="宋体"/>
                <w:color w:val="auto"/>
                <w:kern w:val="0"/>
                <w:sz w:val="24"/>
                <w:szCs w:val="24"/>
                <w:highlight w:val="none"/>
              </w:rPr>
            </w:pPr>
            <w:r>
              <w:rPr>
                <w:rFonts w:hint="eastAsia" w:ascii="宋体" w:hAnsi="宋体"/>
                <w:color w:val="auto"/>
                <w:kern w:val="0"/>
                <w:sz w:val="24"/>
                <w:szCs w:val="24"/>
                <w:highlight w:val="none"/>
                <w:lang w:val="en-US" w:eastAsia="zh-CN"/>
              </w:rPr>
              <w:t>6</w:t>
            </w:r>
            <w:r>
              <w:rPr>
                <w:rFonts w:hint="eastAsia" w:ascii="宋体" w:hAnsi="宋体" w:eastAsia="宋体"/>
                <w:color w:val="auto"/>
                <w:kern w:val="0"/>
                <w:sz w:val="24"/>
                <w:szCs w:val="24"/>
                <w:highlight w:val="none"/>
              </w:rPr>
              <w:t>分</w:t>
            </w:r>
          </w:p>
        </w:tc>
      </w:tr>
      <w:tr w14:paraId="04C404CD">
        <w:tblPrEx>
          <w:tblCellMar>
            <w:top w:w="0" w:type="dxa"/>
            <w:left w:w="108" w:type="dxa"/>
            <w:bottom w:w="0" w:type="dxa"/>
            <w:right w:w="108" w:type="dxa"/>
          </w:tblCellMar>
        </w:tblPrEx>
        <w:trPr>
          <w:trHeight w:val="349" w:hRule="atLeast"/>
        </w:trPr>
        <w:tc>
          <w:tcPr>
            <w:tcW w:w="1209" w:type="dxa"/>
            <w:vMerge w:val="continue"/>
            <w:tcBorders>
              <w:left w:val="single" w:color="000000" w:sz="6" w:space="0"/>
              <w:right w:val="single" w:color="000000" w:sz="4" w:space="0"/>
            </w:tcBorders>
            <w:vAlign w:val="top"/>
          </w:tcPr>
          <w:p w14:paraId="20BF7867">
            <w:pPr>
              <w:spacing w:line="312" w:lineRule="auto"/>
              <w:jc w:val="left"/>
              <w:rPr>
                <w:rFonts w:hint="eastAsia" w:ascii="宋体" w:hAnsi="宋体" w:eastAsia="宋体"/>
                <w:color w:val="auto"/>
                <w:kern w:val="1"/>
                <w:sz w:val="24"/>
                <w:szCs w:val="24"/>
                <w:highlight w:val="none"/>
              </w:rPr>
            </w:pPr>
          </w:p>
        </w:tc>
        <w:tc>
          <w:tcPr>
            <w:tcW w:w="1426" w:type="dxa"/>
            <w:tcBorders>
              <w:top w:val="single" w:color="000000" w:sz="4" w:space="0"/>
              <w:left w:val="single" w:color="000000" w:sz="4" w:space="0"/>
              <w:bottom w:val="single" w:color="000000" w:sz="4" w:space="0"/>
              <w:right w:val="single" w:color="000000" w:sz="4" w:space="0"/>
            </w:tcBorders>
            <w:vAlign w:val="center"/>
          </w:tcPr>
          <w:p w14:paraId="747F2C7C">
            <w:pPr>
              <w:jc w:val="center"/>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安全管理体系与措施</w:t>
            </w:r>
          </w:p>
        </w:tc>
        <w:tc>
          <w:tcPr>
            <w:tcW w:w="6069" w:type="dxa"/>
            <w:tcBorders>
              <w:top w:val="single" w:color="000000" w:sz="6" w:space="0"/>
              <w:left w:val="single" w:color="000000" w:sz="4" w:space="0"/>
              <w:bottom w:val="single" w:color="000000" w:sz="6" w:space="0"/>
              <w:right w:val="single" w:color="000000" w:sz="6" w:space="0"/>
            </w:tcBorders>
            <w:vAlign w:val="center"/>
          </w:tcPr>
          <w:p w14:paraId="4E45D70C">
            <w:pPr>
              <w:spacing w:line="360" w:lineRule="auto"/>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科学、合理、满足要求的</w:t>
            </w:r>
            <w:r>
              <w:rPr>
                <w:rFonts w:hint="eastAsia" w:ascii="宋体" w:hAnsi="宋体"/>
                <w:color w:val="auto"/>
                <w:kern w:val="0"/>
                <w:sz w:val="24"/>
                <w:szCs w:val="24"/>
                <w:highlight w:val="none"/>
                <w:lang w:val="en-US" w:eastAsia="zh-CN"/>
              </w:rPr>
              <w:t>6</w:t>
            </w:r>
            <w:r>
              <w:rPr>
                <w:rFonts w:hint="eastAsia" w:ascii="宋体" w:hAnsi="宋体" w:eastAsia="宋体"/>
                <w:color w:val="auto"/>
                <w:kern w:val="0"/>
                <w:sz w:val="24"/>
                <w:szCs w:val="24"/>
                <w:highlight w:val="none"/>
              </w:rPr>
              <w:t>分；基本合理、基本满足要求的3分；不满足要求的不得分。</w:t>
            </w:r>
          </w:p>
        </w:tc>
        <w:tc>
          <w:tcPr>
            <w:tcW w:w="1148" w:type="dxa"/>
            <w:tcBorders>
              <w:top w:val="single" w:color="000000" w:sz="6" w:space="0"/>
              <w:left w:val="single" w:color="000000" w:sz="6" w:space="0"/>
              <w:bottom w:val="single" w:color="000000" w:sz="6" w:space="0"/>
              <w:right w:val="single" w:color="000000" w:sz="12" w:space="0"/>
            </w:tcBorders>
            <w:vAlign w:val="center"/>
          </w:tcPr>
          <w:p w14:paraId="6B9E4C1D">
            <w:pPr>
              <w:spacing w:line="360" w:lineRule="auto"/>
              <w:jc w:val="center"/>
              <w:rPr>
                <w:rFonts w:hint="eastAsia" w:ascii="宋体" w:hAnsi="宋体" w:eastAsia="宋体"/>
                <w:color w:val="auto"/>
                <w:kern w:val="0"/>
                <w:sz w:val="24"/>
                <w:szCs w:val="24"/>
                <w:highlight w:val="none"/>
              </w:rPr>
            </w:pPr>
            <w:r>
              <w:rPr>
                <w:rFonts w:hint="eastAsia" w:ascii="宋体" w:hAnsi="宋体"/>
                <w:color w:val="auto"/>
                <w:kern w:val="0"/>
                <w:sz w:val="24"/>
                <w:szCs w:val="24"/>
                <w:highlight w:val="none"/>
                <w:lang w:val="en-US" w:eastAsia="zh-CN"/>
              </w:rPr>
              <w:t>6</w:t>
            </w:r>
            <w:r>
              <w:rPr>
                <w:rFonts w:hint="eastAsia" w:ascii="宋体" w:hAnsi="宋体" w:eastAsia="宋体"/>
                <w:color w:val="auto"/>
                <w:kern w:val="0"/>
                <w:sz w:val="24"/>
                <w:szCs w:val="24"/>
                <w:highlight w:val="none"/>
              </w:rPr>
              <w:t>分</w:t>
            </w:r>
          </w:p>
        </w:tc>
      </w:tr>
      <w:tr w14:paraId="08DB438D">
        <w:tblPrEx>
          <w:tblCellMar>
            <w:top w:w="0" w:type="dxa"/>
            <w:left w:w="108" w:type="dxa"/>
            <w:bottom w:w="0" w:type="dxa"/>
            <w:right w:w="108" w:type="dxa"/>
          </w:tblCellMar>
        </w:tblPrEx>
        <w:trPr>
          <w:trHeight w:val="364" w:hRule="atLeast"/>
        </w:trPr>
        <w:tc>
          <w:tcPr>
            <w:tcW w:w="1209" w:type="dxa"/>
            <w:vMerge w:val="continue"/>
            <w:tcBorders>
              <w:left w:val="single" w:color="000000" w:sz="6" w:space="0"/>
              <w:right w:val="single" w:color="000000" w:sz="4" w:space="0"/>
            </w:tcBorders>
            <w:vAlign w:val="top"/>
          </w:tcPr>
          <w:p w14:paraId="302D0990">
            <w:pPr>
              <w:spacing w:line="312" w:lineRule="auto"/>
              <w:jc w:val="left"/>
              <w:rPr>
                <w:rFonts w:hint="eastAsia" w:ascii="宋体" w:hAnsi="宋体" w:eastAsia="宋体"/>
                <w:color w:val="auto"/>
                <w:kern w:val="1"/>
                <w:sz w:val="24"/>
                <w:szCs w:val="24"/>
                <w:highlight w:val="none"/>
              </w:rPr>
            </w:pPr>
          </w:p>
        </w:tc>
        <w:tc>
          <w:tcPr>
            <w:tcW w:w="1426" w:type="dxa"/>
            <w:tcBorders>
              <w:top w:val="single" w:color="000000" w:sz="4" w:space="0"/>
              <w:left w:val="single" w:color="000000" w:sz="4" w:space="0"/>
              <w:bottom w:val="single" w:color="000000" w:sz="4" w:space="0"/>
              <w:right w:val="single" w:color="000000" w:sz="4" w:space="0"/>
            </w:tcBorders>
            <w:vAlign w:val="center"/>
          </w:tcPr>
          <w:p w14:paraId="3342B6ED">
            <w:pPr>
              <w:jc w:val="center"/>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环境保护管理体系与措施</w:t>
            </w:r>
          </w:p>
        </w:tc>
        <w:tc>
          <w:tcPr>
            <w:tcW w:w="6069" w:type="dxa"/>
            <w:tcBorders>
              <w:top w:val="single" w:color="000000" w:sz="6" w:space="0"/>
              <w:left w:val="single" w:color="000000" w:sz="4" w:space="0"/>
              <w:bottom w:val="single" w:color="000000" w:sz="6" w:space="0"/>
              <w:right w:val="single" w:color="000000" w:sz="6" w:space="0"/>
            </w:tcBorders>
            <w:vAlign w:val="center"/>
          </w:tcPr>
          <w:p w14:paraId="59BD0900">
            <w:pPr>
              <w:spacing w:line="360" w:lineRule="auto"/>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科学、合理、满足要求的</w:t>
            </w:r>
            <w:r>
              <w:rPr>
                <w:rFonts w:hint="eastAsia" w:ascii="宋体" w:hAnsi="宋体"/>
                <w:color w:val="auto"/>
                <w:kern w:val="0"/>
                <w:sz w:val="24"/>
                <w:szCs w:val="24"/>
                <w:highlight w:val="none"/>
                <w:lang w:val="en-US" w:eastAsia="zh-CN"/>
              </w:rPr>
              <w:t>6</w:t>
            </w:r>
            <w:r>
              <w:rPr>
                <w:rFonts w:hint="eastAsia" w:ascii="宋体" w:hAnsi="宋体" w:eastAsia="宋体"/>
                <w:color w:val="auto"/>
                <w:kern w:val="0"/>
                <w:sz w:val="24"/>
                <w:szCs w:val="24"/>
                <w:highlight w:val="none"/>
              </w:rPr>
              <w:t>分；基本合理、基本满足要求的</w:t>
            </w:r>
            <w:r>
              <w:rPr>
                <w:rFonts w:hint="eastAsia" w:ascii="宋体" w:hAnsi="宋体"/>
                <w:color w:val="auto"/>
                <w:kern w:val="0"/>
                <w:sz w:val="24"/>
                <w:szCs w:val="24"/>
                <w:highlight w:val="none"/>
                <w:lang w:val="en-US" w:eastAsia="zh-CN"/>
              </w:rPr>
              <w:t>3</w:t>
            </w:r>
            <w:r>
              <w:rPr>
                <w:rFonts w:hint="eastAsia" w:ascii="宋体" w:hAnsi="宋体" w:eastAsia="宋体"/>
                <w:color w:val="auto"/>
                <w:kern w:val="0"/>
                <w:sz w:val="24"/>
                <w:szCs w:val="24"/>
                <w:highlight w:val="none"/>
              </w:rPr>
              <w:t>分；不满足要求的不得分。</w:t>
            </w:r>
          </w:p>
        </w:tc>
        <w:tc>
          <w:tcPr>
            <w:tcW w:w="1148" w:type="dxa"/>
            <w:tcBorders>
              <w:top w:val="single" w:color="000000" w:sz="6" w:space="0"/>
              <w:left w:val="single" w:color="000000" w:sz="6" w:space="0"/>
              <w:bottom w:val="single" w:color="000000" w:sz="6" w:space="0"/>
              <w:right w:val="single" w:color="000000" w:sz="12" w:space="0"/>
            </w:tcBorders>
            <w:vAlign w:val="center"/>
          </w:tcPr>
          <w:p w14:paraId="01975DE7">
            <w:pPr>
              <w:spacing w:line="360" w:lineRule="auto"/>
              <w:jc w:val="center"/>
              <w:rPr>
                <w:rFonts w:hint="eastAsia" w:ascii="宋体" w:hAnsi="宋体" w:eastAsia="宋体"/>
                <w:color w:val="auto"/>
                <w:kern w:val="0"/>
                <w:sz w:val="24"/>
                <w:szCs w:val="24"/>
                <w:highlight w:val="none"/>
              </w:rPr>
            </w:pPr>
            <w:r>
              <w:rPr>
                <w:rFonts w:hint="eastAsia" w:ascii="宋体" w:hAnsi="宋体"/>
                <w:color w:val="auto"/>
                <w:kern w:val="0"/>
                <w:sz w:val="24"/>
                <w:szCs w:val="24"/>
                <w:highlight w:val="none"/>
                <w:lang w:val="en-US" w:eastAsia="zh-CN"/>
              </w:rPr>
              <w:t>6</w:t>
            </w:r>
            <w:r>
              <w:rPr>
                <w:rFonts w:hint="eastAsia" w:ascii="宋体" w:hAnsi="宋体" w:eastAsia="宋体"/>
                <w:color w:val="auto"/>
                <w:kern w:val="0"/>
                <w:sz w:val="24"/>
                <w:szCs w:val="24"/>
                <w:highlight w:val="none"/>
              </w:rPr>
              <w:t>分</w:t>
            </w:r>
          </w:p>
        </w:tc>
      </w:tr>
      <w:tr w14:paraId="44079932">
        <w:tblPrEx>
          <w:tblCellMar>
            <w:top w:w="0" w:type="dxa"/>
            <w:left w:w="108" w:type="dxa"/>
            <w:bottom w:w="0" w:type="dxa"/>
            <w:right w:w="108" w:type="dxa"/>
          </w:tblCellMar>
        </w:tblPrEx>
        <w:trPr>
          <w:trHeight w:val="349" w:hRule="atLeast"/>
        </w:trPr>
        <w:tc>
          <w:tcPr>
            <w:tcW w:w="1209" w:type="dxa"/>
            <w:vMerge w:val="continue"/>
            <w:tcBorders>
              <w:left w:val="single" w:color="000000" w:sz="6" w:space="0"/>
              <w:right w:val="single" w:color="000000" w:sz="4" w:space="0"/>
            </w:tcBorders>
            <w:vAlign w:val="top"/>
          </w:tcPr>
          <w:p w14:paraId="6F32B0AF">
            <w:pPr>
              <w:spacing w:line="312" w:lineRule="auto"/>
              <w:jc w:val="left"/>
              <w:rPr>
                <w:rFonts w:hint="eastAsia" w:ascii="宋体" w:hAnsi="宋体" w:eastAsia="宋体"/>
                <w:color w:val="auto"/>
                <w:kern w:val="1"/>
                <w:sz w:val="24"/>
                <w:szCs w:val="24"/>
                <w:highlight w:val="none"/>
              </w:rPr>
            </w:pPr>
          </w:p>
        </w:tc>
        <w:tc>
          <w:tcPr>
            <w:tcW w:w="1426" w:type="dxa"/>
            <w:tcBorders>
              <w:top w:val="single" w:color="000000" w:sz="4" w:space="0"/>
              <w:left w:val="single" w:color="000000" w:sz="4" w:space="0"/>
              <w:bottom w:val="single" w:color="000000" w:sz="4" w:space="0"/>
              <w:right w:val="single" w:color="000000" w:sz="4" w:space="0"/>
            </w:tcBorders>
            <w:vAlign w:val="center"/>
          </w:tcPr>
          <w:p w14:paraId="04574C41">
            <w:pPr>
              <w:jc w:val="center"/>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工程进度计划与措施</w:t>
            </w:r>
          </w:p>
        </w:tc>
        <w:tc>
          <w:tcPr>
            <w:tcW w:w="6069" w:type="dxa"/>
            <w:tcBorders>
              <w:top w:val="single" w:color="000000" w:sz="6" w:space="0"/>
              <w:left w:val="single" w:color="000000" w:sz="4" w:space="0"/>
              <w:bottom w:val="single" w:color="000000" w:sz="6" w:space="0"/>
              <w:right w:val="single" w:color="000000" w:sz="6" w:space="0"/>
            </w:tcBorders>
            <w:vAlign w:val="center"/>
          </w:tcPr>
          <w:p w14:paraId="23CFD08D">
            <w:pPr>
              <w:spacing w:line="360" w:lineRule="auto"/>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科学、合理、满足要求的5分；基本合理、基本满足要求的3分；不满足要求的不得分。</w:t>
            </w:r>
          </w:p>
        </w:tc>
        <w:tc>
          <w:tcPr>
            <w:tcW w:w="1148" w:type="dxa"/>
            <w:tcBorders>
              <w:top w:val="single" w:color="000000" w:sz="6" w:space="0"/>
              <w:left w:val="single" w:color="000000" w:sz="6" w:space="0"/>
              <w:bottom w:val="single" w:color="000000" w:sz="6" w:space="0"/>
              <w:right w:val="single" w:color="000000" w:sz="12" w:space="0"/>
            </w:tcBorders>
            <w:vAlign w:val="center"/>
          </w:tcPr>
          <w:p w14:paraId="2789DAB1">
            <w:pPr>
              <w:spacing w:line="360" w:lineRule="auto"/>
              <w:jc w:val="center"/>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5分</w:t>
            </w:r>
          </w:p>
        </w:tc>
      </w:tr>
      <w:tr w14:paraId="6D805A8A">
        <w:tblPrEx>
          <w:tblCellMar>
            <w:top w:w="0" w:type="dxa"/>
            <w:left w:w="108" w:type="dxa"/>
            <w:bottom w:w="0" w:type="dxa"/>
            <w:right w:w="108" w:type="dxa"/>
          </w:tblCellMar>
        </w:tblPrEx>
        <w:trPr>
          <w:trHeight w:val="391" w:hRule="atLeast"/>
        </w:trPr>
        <w:tc>
          <w:tcPr>
            <w:tcW w:w="1209" w:type="dxa"/>
            <w:vMerge w:val="continue"/>
            <w:tcBorders>
              <w:left w:val="single" w:color="000000" w:sz="6" w:space="0"/>
              <w:right w:val="single" w:color="000000" w:sz="4" w:space="0"/>
            </w:tcBorders>
            <w:vAlign w:val="top"/>
          </w:tcPr>
          <w:p w14:paraId="526D4AEA">
            <w:pPr>
              <w:spacing w:line="312" w:lineRule="auto"/>
              <w:jc w:val="left"/>
              <w:rPr>
                <w:rFonts w:hint="eastAsia" w:ascii="宋体" w:hAnsi="宋体" w:eastAsia="宋体"/>
                <w:color w:val="auto"/>
                <w:kern w:val="1"/>
                <w:sz w:val="24"/>
                <w:szCs w:val="24"/>
                <w:highlight w:val="none"/>
              </w:rPr>
            </w:pPr>
          </w:p>
        </w:tc>
        <w:tc>
          <w:tcPr>
            <w:tcW w:w="1426" w:type="dxa"/>
            <w:tcBorders>
              <w:top w:val="single" w:color="000000" w:sz="4" w:space="0"/>
              <w:left w:val="single" w:color="000000" w:sz="4" w:space="0"/>
              <w:bottom w:val="single" w:color="000000" w:sz="4" w:space="0"/>
              <w:right w:val="single" w:color="000000" w:sz="4" w:space="0"/>
            </w:tcBorders>
            <w:vAlign w:val="center"/>
          </w:tcPr>
          <w:p w14:paraId="76116C0B">
            <w:pPr>
              <w:jc w:val="center"/>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拟投入资源配备计划</w:t>
            </w:r>
          </w:p>
        </w:tc>
        <w:tc>
          <w:tcPr>
            <w:tcW w:w="6069" w:type="dxa"/>
            <w:tcBorders>
              <w:top w:val="single" w:color="000000" w:sz="6" w:space="0"/>
              <w:left w:val="single" w:color="000000" w:sz="4" w:space="0"/>
              <w:bottom w:val="single" w:color="000000" w:sz="6" w:space="0"/>
              <w:right w:val="single" w:color="000000" w:sz="6" w:space="0"/>
            </w:tcBorders>
            <w:vAlign w:val="center"/>
          </w:tcPr>
          <w:p w14:paraId="4D4201FD">
            <w:pPr>
              <w:spacing w:line="360" w:lineRule="auto"/>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科学、合理、满足要求的</w:t>
            </w:r>
            <w:r>
              <w:rPr>
                <w:rFonts w:hint="eastAsia" w:ascii="宋体" w:hAnsi="宋体"/>
                <w:color w:val="auto"/>
                <w:kern w:val="0"/>
                <w:sz w:val="24"/>
                <w:szCs w:val="24"/>
                <w:highlight w:val="none"/>
                <w:lang w:val="en-US" w:eastAsia="zh-CN"/>
              </w:rPr>
              <w:t>5</w:t>
            </w:r>
            <w:r>
              <w:rPr>
                <w:rFonts w:hint="eastAsia" w:ascii="宋体" w:hAnsi="宋体" w:eastAsia="宋体"/>
                <w:color w:val="auto"/>
                <w:kern w:val="0"/>
                <w:sz w:val="24"/>
                <w:szCs w:val="24"/>
                <w:highlight w:val="none"/>
              </w:rPr>
              <w:t>分；基本合理、基本满足要求的</w:t>
            </w:r>
            <w:r>
              <w:rPr>
                <w:rFonts w:hint="eastAsia" w:ascii="宋体" w:hAnsi="宋体"/>
                <w:color w:val="auto"/>
                <w:kern w:val="0"/>
                <w:sz w:val="24"/>
                <w:szCs w:val="24"/>
                <w:highlight w:val="none"/>
                <w:lang w:val="en-US" w:eastAsia="zh-CN"/>
              </w:rPr>
              <w:t>3</w:t>
            </w:r>
            <w:r>
              <w:rPr>
                <w:rFonts w:hint="eastAsia" w:ascii="宋体" w:hAnsi="宋体" w:eastAsia="宋体"/>
                <w:color w:val="auto"/>
                <w:kern w:val="0"/>
                <w:sz w:val="24"/>
                <w:szCs w:val="24"/>
                <w:highlight w:val="none"/>
              </w:rPr>
              <w:t>分；不满足要求的不得分。</w:t>
            </w:r>
          </w:p>
        </w:tc>
        <w:tc>
          <w:tcPr>
            <w:tcW w:w="1148" w:type="dxa"/>
            <w:tcBorders>
              <w:top w:val="single" w:color="000000" w:sz="6" w:space="0"/>
              <w:left w:val="single" w:color="000000" w:sz="6" w:space="0"/>
              <w:bottom w:val="single" w:color="000000" w:sz="6" w:space="0"/>
              <w:right w:val="single" w:color="000000" w:sz="12" w:space="0"/>
            </w:tcBorders>
            <w:vAlign w:val="center"/>
          </w:tcPr>
          <w:p w14:paraId="13D76803">
            <w:pPr>
              <w:spacing w:line="360" w:lineRule="auto"/>
              <w:jc w:val="center"/>
              <w:rPr>
                <w:rFonts w:hint="eastAsia" w:ascii="宋体" w:hAnsi="宋体" w:eastAsia="宋体"/>
                <w:color w:val="auto"/>
                <w:kern w:val="0"/>
                <w:sz w:val="24"/>
                <w:szCs w:val="24"/>
                <w:highlight w:val="none"/>
              </w:rPr>
            </w:pPr>
            <w:r>
              <w:rPr>
                <w:rFonts w:hint="eastAsia" w:ascii="宋体" w:hAnsi="宋体"/>
                <w:color w:val="auto"/>
                <w:kern w:val="0"/>
                <w:sz w:val="24"/>
                <w:szCs w:val="24"/>
                <w:highlight w:val="none"/>
                <w:lang w:val="en-US" w:eastAsia="zh-CN"/>
              </w:rPr>
              <w:t>5</w:t>
            </w:r>
            <w:r>
              <w:rPr>
                <w:rFonts w:hint="eastAsia" w:ascii="宋体" w:hAnsi="宋体" w:eastAsia="宋体"/>
                <w:color w:val="auto"/>
                <w:kern w:val="0"/>
                <w:sz w:val="24"/>
                <w:szCs w:val="24"/>
                <w:highlight w:val="none"/>
              </w:rPr>
              <w:t>分</w:t>
            </w:r>
          </w:p>
        </w:tc>
      </w:tr>
      <w:tr w14:paraId="60594032">
        <w:tblPrEx>
          <w:tblCellMar>
            <w:top w:w="0" w:type="dxa"/>
            <w:left w:w="108" w:type="dxa"/>
            <w:bottom w:w="0" w:type="dxa"/>
            <w:right w:w="108" w:type="dxa"/>
          </w:tblCellMar>
        </w:tblPrEx>
        <w:trPr>
          <w:trHeight w:val="1201" w:hRule="atLeast"/>
        </w:trPr>
        <w:tc>
          <w:tcPr>
            <w:tcW w:w="1209" w:type="dxa"/>
            <w:vMerge w:val="continue"/>
            <w:tcBorders>
              <w:left w:val="single" w:color="000000" w:sz="6" w:space="0"/>
              <w:right w:val="single" w:color="000000" w:sz="4" w:space="0"/>
            </w:tcBorders>
            <w:vAlign w:val="top"/>
          </w:tcPr>
          <w:p w14:paraId="35950E19">
            <w:pPr>
              <w:spacing w:line="312" w:lineRule="auto"/>
              <w:jc w:val="left"/>
              <w:rPr>
                <w:rFonts w:hint="eastAsia" w:ascii="宋体" w:hAnsi="宋体" w:eastAsia="宋体"/>
                <w:color w:val="auto"/>
                <w:kern w:val="1"/>
                <w:sz w:val="24"/>
                <w:szCs w:val="24"/>
                <w:highlight w:val="none"/>
              </w:rPr>
            </w:pPr>
          </w:p>
        </w:tc>
        <w:tc>
          <w:tcPr>
            <w:tcW w:w="1426" w:type="dxa"/>
            <w:tcBorders>
              <w:top w:val="single" w:color="000000" w:sz="4" w:space="0"/>
              <w:left w:val="single" w:color="000000" w:sz="4" w:space="0"/>
              <w:bottom w:val="single" w:color="000000" w:sz="4" w:space="0"/>
              <w:right w:val="single" w:color="000000" w:sz="4" w:space="0"/>
            </w:tcBorders>
            <w:vAlign w:val="center"/>
          </w:tcPr>
          <w:p w14:paraId="59D22586">
            <w:pPr>
              <w:jc w:val="center"/>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施工网络图</w:t>
            </w:r>
          </w:p>
        </w:tc>
        <w:tc>
          <w:tcPr>
            <w:tcW w:w="6069" w:type="dxa"/>
            <w:tcBorders>
              <w:top w:val="single" w:color="000000" w:sz="6" w:space="0"/>
              <w:left w:val="single" w:color="000000" w:sz="4" w:space="0"/>
              <w:bottom w:val="single" w:color="000000" w:sz="6" w:space="0"/>
              <w:right w:val="single" w:color="000000" w:sz="6" w:space="0"/>
            </w:tcBorders>
            <w:vAlign w:val="center"/>
          </w:tcPr>
          <w:p w14:paraId="1B211555">
            <w:pPr>
              <w:spacing w:line="360" w:lineRule="auto"/>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科学、合理、满足要求的</w:t>
            </w:r>
            <w:r>
              <w:rPr>
                <w:rFonts w:hint="eastAsia" w:ascii="宋体" w:hAnsi="宋体"/>
                <w:color w:val="auto"/>
                <w:kern w:val="0"/>
                <w:sz w:val="24"/>
                <w:szCs w:val="24"/>
                <w:highlight w:val="none"/>
                <w:lang w:val="en-US" w:eastAsia="zh-CN"/>
              </w:rPr>
              <w:t>5</w:t>
            </w:r>
            <w:r>
              <w:rPr>
                <w:rFonts w:hint="eastAsia" w:ascii="宋体" w:hAnsi="宋体" w:eastAsia="宋体"/>
                <w:color w:val="auto"/>
                <w:kern w:val="0"/>
                <w:sz w:val="24"/>
                <w:szCs w:val="24"/>
                <w:highlight w:val="none"/>
              </w:rPr>
              <w:t>分；基本合理、基本满足要求的</w:t>
            </w:r>
            <w:r>
              <w:rPr>
                <w:rFonts w:hint="eastAsia" w:ascii="宋体" w:hAnsi="宋体"/>
                <w:color w:val="auto"/>
                <w:kern w:val="0"/>
                <w:sz w:val="24"/>
                <w:szCs w:val="24"/>
                <w:highlight w:val="none"/>
                <w:lang w:val="en-US" w:eastAsia="zh-CN"/>
              </w:rPr>
              <w:t>3</w:t>
            </w:r>
            <w:r>
              <w:rPr>
                <w:rFonts w:hint="eastAsia" w:ascii="宋体" w:hAnsi="宋体" w:eastAsia="宋体"/>
                <w:color w:val="auto"/>
                <w:kern w:val="0"/>
                <w:sz w:val="24"/>
                <w:szCs w:val="24"/>
                <w:highlight w:val="none"/>
              </w:rPr>
              <w:t>分；不满足要求的不得分。</w:t>
            </w:r>
          </w:p>
        </w:tc>
        <w:tc>
          <w:tcPr>
            <w:tcW w:w="1148" w:type="dxa"/>
            <w:tcBorders>
              <w:top w:val="single" w:color="000000" w:sz="6" w:space="0"/>
              <w:left w:val="single" w:color="000000" w:sz="6" w:space="0"/>
              <w:bottom w:val="single" w:color="000000" w:sz="6" w:space="0"/>
              <w:right w:val="single" w:color="000000" w:sz="12" w:space="0"/>
            </w:tcBorders>
            <w:vAlign w:val="center"/>
          </w:tcPr>
          <w:p w14:paraId="278C664D">
            <w:pPr>
              <w:spacing w:line="360" w:lineRule="auto"/>
              <w:jc w:val="center"/>
              <w:rPr>
                <w:rFonts w:hint="eastAsia" w:ascii="宋体" w:hAnsi="宋体" w:eastAsia="宋体"/>
                <w:color w:val="auto"/>
                <w:kern w:val="0"/>
                <w:sz w:val="24"/>
                <w:szCs w:val="24"/>
                <w:highlight w:val="none"/>
              </w:rPr>
            </w:pPr>
            <w:r>
              <w:rPr>
                <w:rFonts w:hint="eastAsia" w:ascii="宋体" w:hAnsi="宋体"/>
                <w:color w:val="auto"/>
                <w:kern w:val="0"/>
                <w:sz w:val="24"/>
                <w:szCs w:val="24"/>
                <w:highlight w:val="none"/>
                <w:lang w:val="en-US" w:eastAsia="zh-CN"/>
              </w:rPr>
              <w:t>5</w:t>
            </w:r>
            <w:r>
              <w:rPr>
                <w:rFonts w:hint="eastAsia" w:ascii="宋体" w:hAnsi="宋体" w:eastAsia="宋体"/>
                <w:color w:val="auto"/>
                <w:kern w:val="0"/>
                <w:sz w:val="24"/>
                <w:szCs w:val="24"/>
                <w:highlight w:val="none"/>
              </w:rPr>
              <w:t>分</w:t>
            </w:r>
          </w:p>
        </w:tc>
      </w:tr>
      <w:tr w14:paraId="64B5FE2B">
        <w:tblPrEx>
          <w:tblCellMar>
            <w:top w:w="0" w:type="dxa"/>
            <w:left w:w="108" w:type="dxa"/>
            <w:bottom w:w="0" w:type="dxa"/>
            <w:right w:w="108" w:type="dxa"/>
          </w:tblCellMar>
        </w:tblPrEx>
        <w:trPr>
          <w:trHeight w:val="1453" w:hRule="atLeast"/>
        </w:trPr>
        <w:tc>
          <w:tcPr>
            <w:tcW w:w="1209" w:type="dxa"/>
            <w:vMerge w:val="continue"/>
            <w:tcBorders>
              <w:left w:val="single" w:color="000000" w:sz="6" w:space="0"/>
              <w:right w:val="single" w:color="000000" w:sz="4" w:space="0"/>
            </w:tcBorders>
            <w:vAlign w:val="top"/>
          </w:tcPr>
          <w:p w14:paraId="799A5731">
            <w:pPr>
              <w:spacing w:line="312" w:lineRule="auto"/>
              <w:jc w:val="left"/>
              <w:rPr>
                <w:rFonts w:hint="eastAsia" w:ascii="宋体" w:hAnsi="宋体" w:eastAsia="宋体"/>
                <w:color w:val="auto"/>
                <w:kern w:val="1"/>
                <w:sz w:val="24"/>
                <w:szCs w:val="24"/>
                <w:highlight w:val="none"/>
              </w:rPr>
            </w:pPr>
          </w:p>
        </w:tc>
        <w:tc>
          <w:tcPr>
            <w:tcW w:w="1426" w:type="dxa"/>
            <w:tcBorders>
              <w:top w:val="single" w:color="000000" w:sz="4" w:space="0"/>
              <w:left w:val="single" w:color="000000" w:sz="4" w:space="0"/>
              <w:bottom w:val="single" w:color="000000" w:sz="4" w:space="0"/>
              <w:right w:val="single" w:color="000000" w:sz="4" w:space="0"/>
            </w:tcBorders>
            <w:vAlign w:val="center"/>
          </w:tcPr>
          <w:p w14:paraId="04746220">
            <w:pPr>
              <w:spacing w:line="360" w:lineRule="auto"/>
              <w:jc w:val="center"/>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节能减排与工艺创新</w:t>
            </w:r>
          </w:p>
        </w:tc>
        <w:tc>
          <w:tcPr>
            <w:tcW w:w="6069" w:type="dxa"/>
            <w:tcBorders>
              <w:top w:val="single" w:color="000000" w:sz="6" w:space="0"/>
              <w:left w:val="single" w:color="000000" w:sz="4" w:space="0"/>
              <w:bottom w:val="single" w:color="000000" w:sz="6" w:space="0"/>
              <w:right w:val="single" w:color="000000" w:sz="6" w:space="0"/>
            </w:tcBorders>
            <w:vAlign w:val="center"/>
          </w:tcPr>
          <w:p w14:paraId="1F7F8EB5">
            <w:pPr>
              <w:spacing w:line="360" w:lineRule="auto"/>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科学、合理、满足要求的</w:t>
            </w:r>
            <w:r>
              <w:rPr>
                <w:rFonts w:hint="eastAsia" w:ascii="宋体" w:hAnsi="宋体"/>
                <w:color w:val="auto"/>
                <w:kern w:val="0"/>
                <w:sz w:val="24"/>
                <w:szCs w:val="24"/>
                <w:highlight w:val="none"/>
                <w:lang w:val="en-US" w:eastAsia="zh-CN"/>
              </w:rPr>
              <w:t>5</w:t>
            </w:r>
            <w:r>
              <w:rPr>
                <w:rFonts w:hint="eastAsia" w:ascii="宋体" w:hAnsi="宋体" w:eastAsia="宋体"/>
                <w:color w:val="auto"/>
                <w:kern w:val="0"/>
                <w:sz w:val="24"/>
                <w:szCs w:val="24"/>
                <w:highlight w:val="none"/>
              </w:rPr>
              <w:t>分；基本合理、基本满足要求的</w:t>
            </w:r>
            <w:r>
              <w:rPr>
                <w:rFonts w:hint="eastAsia" w:ascii="宋体" w:hAnsi="宋体"/>
                <w:color w:val="auto"/>
                <w:kern w:val="0"/>
                <w:sz w:val="24"/>
                <w:szCs w:val="24"/>
                <w:highlight w:val="none"/>
                <w:lang w:val="en-US" w:eastAsia="zh-CN"/>
              </w:rPr>
              <w:t>3</w:t>
            </w:r>
            <w:r>
              <w:rPr>
                <w:rFonts w:hint="eastAsia" w:ascii="宋体" w:hAnsi="宋体" w:eastAsia="宋体"/>
                <w:color w:val="auto"/>
                <w:kern w:val="0"/>
                <w:sz w:val="24"/>
                <w:szCs w:val="24"/>
                <w:highlight w:val="none"/>
              </w:rPr>
              <w:t>分；不满足要求的不得分。</w:t>
            </w:r>
          </w:p>
        </w:tc>
        <w:tc>
          <w:tcPr>
            <w:tcW w:w="1148" w:type="dxa"/>
            <w:tcBorders>
              <w:top w:val="single" w:color="000000" w:sz="6" w:space="0"/>
              <w:left w:val="single" w:color="000000" w:sz="6" w:space="0"/>
              <w:bottom w:val="single" w:color="000000" w:sz="6" w:space="0"/>
              <w:right w:val="single" w:color="000000" w:sz="12" w:space="0"/>
            </w:tcBorders>
            <w:vAlign w:val="center"/>
          </w:tcPr>
          <w:p w14:paraId="1BB632C7">
            <w:pPr>
              <w:spacing w:line="360" w:lineRule="auto"/>
              <w:jc w:val="center"/>
              <w:rPr>
                <w:rFonts w:hint="eastAsia" w:ascii="宋体" w:hAnsi="宋体" w:eastAsia="宋体"/>
                <w:color w:val="auto"/>
                <w:kern w:val="0"/>
                <w:sz w:val="24"/>
                <w:szCs w:val="24"/>
                <w:highlight w:val="none"/>
              </w:rPr>
            </w:pPr>
            <w:r>
              <w:rPr>
                <w:rFonts w:hint="eastAsia" w:ascii="宋体" w:hAnsi="宋体"/>
                <w:color w:val="auto"/>
                <w:kern w:val="0"/>
                <w:sz w:val="24"/>
                <w:szCs w:val="24"/>
                <w:highlight w:val="none"/>
                <w:lang w:val="en-US" w:eastAsia="zh-CN"/>
              </w:rPr>
              <w:t>5</w:t>
            </w:r>
            <w:r>
              <w:rPr>
                <w:rFonts w:hint="eastAsia" w:ascii="宋体" w:hAnsi="宋体" w:eastAsia="宋体"/>
                <w:color w:val="auto"/>
                <w:kern w:val="0"/>
                <w:sz w:val="24"/>
                <w:szCs w:val="24"/>
                <w:highlight w:val="none"/>
              </w:rPr>
              <w:t>分</w:t>
            </w:r>
          </w:p>
        </w:tc>
      </w:tr>
      <w:tr w14:paraId="466193CA">
        <w:tblPrEx>
          <w:tblCellMar>
            <w:top w:w="0" w:type="dxa"/>
            <w:left w:w="108" w:type="dxa"/>
            <w:bottom w:w="0" w:type="dxa"/>
            <w:right w:w="108" w:type="dxa"/>
          </w:tblCellMar>
        </w:tblPrEx>
        <w:trPr>
          <w:trHeight w:val="391" w:hRule="atLeast"/>
        </w:trPr>
        <w:tc>
          <w:tcPr>
            <w:tcW w:w="1209" w:type="dxa"/>
            <w:vMerge w:val="continue"/>
            <w:tcBorders>
              <w:left w:val="single" w:color="000000" w:sz="6" w:space="0"/>
              <w:right w:val="single" w:color="000000" w:sz="4" w:space="0"/>
            </w:tcBorders>
            <w:vAlign w:val="top"/>
          </w:tcPr>
          <w:p w14:paraId="468DC5B8">
            <w:pPr>
              <w:spacing w:line="312" w:lineRule="auto"/>
              <w:jc w:val="left"/>
              <w:rPr>
                <w:rFonts w:hint="eastAsia" w:ascii="宋体" w:hAnsi="宋体" w:eastAsia="宋体"/>
                <w:color w:val="auto"/>
                <w:kern w:val="1"/>
                <w:sz w:val="24"/>
                <w:szCs w:val="24"/>
                <w:highlight w:val="none"/>
              </w:rPr>
            </w:pPr>
          </w:p>
        </w:tc>
        <w:tc>
          <w:tcPr>
            <w:tcW w:w="8643" w:type="dxa"/>
            <w:gridSpan w:val="3"/>
            <w:tcBorders>
              <w:top w:val="single" w:color="000000" w:sz="4" w:space="0"/>
              <w:left w:val="single" w:color="000000" w:sz="4" w:space="0"/>
              <w:bottom w:val="single" w:color="000000" w:sz="4" w:space="0"/>
              <w:right w:val="single" w:color="000000" w:sz="12" w:space="0"/>
            </w:tcBorders>
            <w:vAlign w:val="top"/>
          </w:tcPr>
          <w:p w14:paraId="17CF4D9C">
            <w:pPr>
              <w:spacing w:line="312" w:lineRule="auto"/>
              <w:jc w:val="left"/>
              <w:rPr>
                <w:rFonts w:hint="eastAsia" w:ascii="宋体" w:hAnsi="宋体" w:eastAsia="宋体"/>
                <w:color w:val="auto"/>
                <w:kern w:val="0"/>
                <w:sz w:val="24"/>
                <w:szCs w:val="24"/>
                <w:highlight w:val="none"/>
              </w:rPr>
            </w:pPr>
            <w:r>
              <w:rPr>
                <w:rFonts w:hint="eastAsia" w:ascii="宋体" w:hAnsi="宋体" w:eastAsia="宋体"/>
                <w:color w:val="auto"/>
                <w:kern w:val="0"/>
                <w:sz w:val="24"/>
                <w:szCs w:val="24"/>
                <w:highlight w:val="none"/>
              </w:rPr>
              <w:t>注：以上内容缺项者，该项不得分；评委根据编制内容的齐全、突出、可行性等原则，自行酌情给分。</w:t>
            </w:r>
          </w:p>
        </w:tc>
      </w:tr>
      <w:tr w14:paraId="3A0DE9EC">
        <w:tblPrEx>
          <w:tblCellMar>
            <w:top w:w="0" w:type="dxa"/>
            <w:left w:w="108" w:type="dxa"/>
            <w:bottom w:w="0" w:type="dxa"/>
            <w:right w:w="108" w:type="dxa"/>
          </w:tblCellMar>
        </w:tblPrEx>
        <w:trPr>
          <w:trHeight w:val="637" w:hRule="atLeast"/>
        </w:trPr>
        <w:tc>
          <w:tcPr>
            <w:tcW w:w="1209" w:type="dxa"/>
            <w:vMerge w:val="restart"/>
            <w:tcBorders>
              <w:top w:val="single" w:color="000000" w:sz="4" w:space="0"/>
              <w:left w:val="single" w:color="000000" w:sz="6" w:space="0"/>
              <w:right w:val="single" w:color="000000" w:sz="2" w:space="0"/>
            </w:tcBorders>
            <w:vAlign w:val="center"/>
          </w:tcPr>
          <w:p w14:paraId="173BFE4F">
            <w:pPr>
              <w:spacing w:line="312" w:lineRule="auto"/>
              <w:jc w:val="center"/>
              <w:rPr>
                <w:rFonts w:hint="eastAsia" w:ascii="宋体" w:hAnsi="宋体" w:eastAsia="宋体"/>
                <w:color w:val="auto"/>
                <w:kern w:val="1"/>
                <w:sz w:val="24"/>
                <w:szCs w:val="24"/>
                <w:highlight w:val="none"/>
              </w:rPr>
            </w:pPr>
            <w:r>
              <w:rPr>
                <w:rFonts w:hint="eastAsia" w:ascii="宋体" w:hAnsi="宋体" w:eastAsia="宋体"/>
                <w:color w:val="auto"/>
                <w:kern w:val="1"/>
                <w:sz w:val="24"/>
                <w:szCs w:val="24"/>
                <w:highlight w:val="none"/>
              </w:rPr>
              <w:t>综合标</w:t>
            </w:r>
          </w:p>
          <w:p w14:paraId="71E3D364">
            <w:pPr>
              <w:spacing w:line="312" w:lineRule="auto"/>
              <w:jc w:val="center"/>
              <w:rPr>
                <w:rFonts w:hint="eastAsia" w:ascii="宋体" w:hAnsi="宋体" w:eastAsia="宋体"/>
                <w:color w:val="auto"/>
                <w:kern w:val="1"/>
                <w:sz w:val="24"/>
                <w:szCs w:val="24"/>
                <w:highlight w:val="none"/>
              </w:rPr>
            </w:pPr>
            <w:r>
              <w:rPr>
                <w:rFonts w:hint="eastAsia" w:ascii="宋体" w:hAnsi="宋体" w:eastAsia="宋体"/>
                <w:color w:val="auto"/>
                <w:kern w:val="1"/>
                <w:sz w:val="24"/>
                <w:szCs w:val="24"/>
                <w:highlight w:val="none"/>
              </w:rPr>
              <w:t>(</w:t>
            </w:r>
            <w:r>
              <w:rPr>
                <w:rFonts w:hint="eastAsia" w:ascii="宋体" w:hAnsi="宋体"/>
                <w:color w:val="auto"/>
                <w:kern w:val="1"/>
                <w:sz w:val="24"/>
                <w:szCs w:val="24"/>
                <w:highlight w:val="none"/>
                <w:lang w:val="en-US" w:eastAsia="zh-CN"/>
              </w:rPr>
              <w:t>2</w:t>
            </w:r>
            <w:r>
              <w:rPr>
                <w:rFonts w:hint="eastAsia" w:ascii="宋体" w:hAnsi="宋体" w:eastAsia="宋体"/>
                <w:color w:val="auto"/>
                <w:kern w:val="1"/>
                <w:sz w:val="24"/>
                <w:szCs w:val="24"/>
                <w:highlight w:val="none"/>
              </w:rPr>
              <w:t>0分)</w:t>
            </w:r>
          </w:p>
        </w:tc>
        <w:tc>
          <w:tcPr>
            <w:tcW w:w="1426" w:type="dxa"/>
            <w:tcBorders>
              <w:top w:val="single" w:color="000000" w:sz="4" w:space="0"/>
              <w:left w:val="single" w:color="000000" w:sz="6" w:space="0"/>
              <w:bottom w:val="single" w:color="000000" w:sz="4" w:space="0"/>
              <w:right w:val="single" w:color="000000" w:sz="2" w:space="0"/>
            </w:tcBorders>
            <w:vAlign w:val="center"/>
          </w:tcPr>
          <w:p w14:paraId="466F38D3">
            <w:pPr>
              <w:spacing w:line="276" w:lineRule="auto"/>
              <w:jc w:val="center"/>
              <w:rPr>
                <w:rFonts w:hint="eastAsia" w:ascii="宋体" w:hAnsi="宋体" w:eastAsia="宋体"/>
                <w:color w:val="auto"/>
                <w:kern w:val="1"/>
                <w:sz w:val="24"/>
                <w:szCs w:val="24"/>
                <w:highlight w:val="none"/>
              </w:rPr>
            </w:pPr>
            <w:r>
              <w:rPr>
                <w:rFonts w:hint="eastAsia" w:ascii="宋体" w:hAnsi="宋体" w:eastAsia="宋体"/>
                <w:color w:val="auto"/>
                <w:kern w:val="1"/>
                <w:sz w:val="24"/>
                <w:szCs w:val="24"/>
                <w:highlight w:val="none"/>
              </w:rPr>
              <w:t>履职尽责承诺(</w:t>
            </w:r>
            <w:r>
              <w:rPr>
                <w:rFonts w:hint="eastAsia" w:ascii="宋体" w:hAnsi="宋体"/>
                <w:color w:val="auto"/>
                <w:kern w:val="1"/>
                <w:sz w:val="24"/>
                <w:szCs w:val="24"/>
                <w:highlight w:val="none"/>
                <w:lang w:val="en-US" w:eastAsia="zh-CN"/>
              </w:rPr>
              <w:t>6</w:t>
            </w:r>
            <w:r>
              <w:rPr>
                <w:rFonts w:hint="eastAsia" w:ascii="宋体" w:hAnsi="宋体" w:eastAsia="宋体"/>
                <w:color w:val="auto"/>
                <w:kern w:val="1"/>
                <w:sz w:val="24"/>
                <w:szCs w:val="24"/>
                <w:highlight w:val="none"/>
              </w:rPr>
              <w:t>分)</w:t>
            </w:r>
          </w:p>
        </w:tc>
        <w:tc>
          <w:tcPr>
            <w:tcW w:w="7217" w:type="dxa"/>
            <w:gridSpan w:val="2"/>
            <w:tcBorders>
              <w:left w:val="single" w:color="000000" w:sz="2" w:space="0"/>
              <w:bottom w:val="single" w:color="000000" w:sz="4" w:space="0"/>
              <w:right w:val="single" w:color="000000" w:sz="12" w:space="0"/>
            </w:tcBorders>
            <w:vAlign w:val="center"/>
          </w:tcPr>
          <w:p w14:paraId="46313CB2">
            <w:pPr>
              <w:pStyle w:val="9"/>
              <w:spacing w:line="360" w:lineRule="auto"/>
              <w:rPr>
                <w:rFonts w:hint="eastAsia" w:ascii="宋体" w:hAnsi="宋体" w:eastAsia="宋体"/>
                <w:color w:val="auto"/>
                <w:sz w:val="24"/>
                <w:szCs w:val="24"/>
                <w:highlight w:val="none"/>
              </w:rPr>
            </w:pPr>
            <w:r>
              <w:rPr>
                <w:rFonts w:hint="eastAsia" w:ascii="宋体" w:hAnsi="宋体" w:eastAsia="宋体" w:cs="宋体"/>
                <w:color w:val="auto"/>
                <w:sz w:val="24"/>
                <w:szCs w:val="24"/>
                <w:highlight w:val="none"/>
              </w:rPr>
              <w:t>具有全面、详实、可行、合法有效的书面保证技术措施落实到位的承诺和落实不到位的处理承诺，其中包括各关键岗位人员（项目经理及相关技术人员）的在岗、更换等履职尽责承诺，提供响应人履约保证</w:t>
            </w:r>
            <w:r>
              <w:rPr>
                <w:rFonts w:hint="eastAsia" w:ascii="宋体" w:hAnsi="宋体" w:eastAsia="宋体" w:cs="宋体"/>
                <w:color w:val="auto"/>
                <w:sz w:val="24"/>
                <w:szCs w:val="24"/>
                <w:highlight w:val="none"/>
                <w:lang w:val="en-US" w:eastAsia="zh-CN"/>
              </w:rPr>
              <w:t>得</w:t>
            </w:r>
            <w:r>
              <w:rPr>
                <w:rFonts w:hint="eastAsia" w:hAnsi="宋体" w:cs="宋体"/>
                <w:color w:val="auto"/>
                <w:sz w:val="24"/>
                <w:szCs w:val="24"/>
                <w:highlight w:val="none"/>
                <w:lang w:val="en-US" w:eastAsia="zh-CN"/>
              </w:rPr>
              <w:t>6</w:t>
            </w:r>
            <w:r>
              <w:rPr>
                <w:rFonts w:hint="eastAsia" w:ascii="宋体" w:hAnsi="宋体" w:eastAsia="宋体" w:cs="宋体"/>
                <w:color w:val="auto"/>
                <w:sz w:val="24"/>
                <w:szCs w:val="24"/>
                <w:highlight w:val="none"/>
              </w:rPr>
              <w:t>分；保证技术措施落实到位的承诺和落实不到位的处理承诺不够全面、详尽、无具体措施、不可行的，得</w:t>
            </w:r>
            <w:r>
              <w:rPr>
                <w:rFonts w:hint="eastAsia" w:hAnsi="宋体" w:cs="宋体"/>
                <w:color w:val="auto"/>
                <w:sz w:val="24"/>
                <w:szCs w:val="24"/>
                <w:highlight w:val="none"/>
                <w:lang w:val="en-US" w:eastAsia="zh-CN"/>
              </w:rPr>
              <w:t>3</w:t>
            </w:r>
            <w:r>
              <w:rPr>
                <w:rFonts w:hint="eastAsia" w:ascii="宋体" w:hAnsi="宋体" w:eastAsia="宋体" w:cs="宋体"/>
                <w:color w:val="auto"/>
                <w:sz w:val="24"/>
                <w:szCs w:val="24"/>
                <w:highlight w:val="none"/>
              </w:rPr>
              <w:t>分；</w:t>
            </w:r>
            <w:r>
              <w:rPr>
                <w:rFonts w:hint="eastAsia" w:ascii="宋体" w:hAnsi="宋体" w:eastAsia="宋体"/>
                <w:color w:val="auto"/>
                <w:sz w:val="24"/>
                <w:szCs w:val="24"/>
                <w:highlight w:val="none"/>
              </w:rPr>
              <w:t>承诺不合理、不科学的不得分。</w:t>
            </w:r>
          </w:p>
        </w:tc>
      </w:tr>
      <w:tr w14:paraId="468B289F">
        <w:tblPrEx>
          <w:tblCellMar>
            <w:top w:w="0" w:type="dxa"/>
            <w:left w:w="108" w:type="dxa"/>
            <w:bottom w:w="0" w:type="dxa"/>
            <w:right w:w="108" w:type="dxa"/>
          </w:tblCellMar>
        </w:tblPrEx>
        <w:trPr>
          <w:trHeight w:val="637" w:hRule="atLeast"/>
        </w:trPr>
        <w:tc>
          <w:tcPr>
            <w:tcW w:w="1209" w:type="dxa"/>
            <w:vMerge w:val="continue"/>
            <w:tcBorders>
              <w:left w:val="single" w:color="000000" w:sz="6" w:space="0"/>
              <w:right w:val="single" w:color="000000" w:sz="2" w:space="0"/>
            </w:tcBorders>
            <w:vAlign w:val="center"/>
          </w:tcPr>
          <w:p w14:paraId="1990C8AB">
            <w:pPr>
              <w:spacing w:line="312" w:lineRule="auto"/>
              <w:jc w:val="center"/>
              <w:rPr>
                <w:rFonts w:hint="eastAsia" w:ascii="宋体" w:hAnsi="宋体" w:eastAsia="宋体"/>
                <w:color w:val="auto"/>
                <w:kern w:val="1"/>
                <w:sz w:val="24"/>
                <w:szCs w:val="24"/>
                <w:highlight w:val="none"/>
              </w:rPr>
            </w:pPr>
          </w:p>
        </w:tc>
        <w:tc>
          <w:tcPr>
            <w:tcW w:w="1426" w:type="dxa"/>
            <w:tcBorders>
              <w:top w:val="single" w:color="000000" w:sz="4" w:space="0"/>
              <w:left w:val="single" w:color="000000" w:sz="6" w:space="0"/>
              <w:bottom w:val="single" w:color="000000" w:sz="4" w:space="0"/>
              <w:right w:val="single" w:color="000000" w:sz="2" w:space="0"/>
            </w:tcBorders>
            <w:vAlign w:val="center"/>
          </w:tcPr>
          <w:p w14:paraId="1D5B7DB0">
            <w:pPr>
              <w:spacing w:line="276" w:lineRule="auto"/>
              <w:jc w:val="center"/>
              <w:rPr>
                <w:rFonts w:hint="eastAsia" w:ascii="宋体" w:hAnsi="宋体" w:eastAsia="宋体"/>
                <w:color w:val="auto"/>
                <w:kern w:val="1"/>
                <w:sz w:val="24"/>
                <w:szCs w:val="24"/>
                <w:highlight w:val="none"/>
              </w:rPr>
            </w:pPr>
            <w:r>
              <w:rPr>
                <w:rFonts w:hint="eastAsia" w:ascii="宋体" w:hAnsi="宋体" w:eastAsia="宋体"/>
                <w:color w:val="auto"/>
                <w:kern w:val="1"/>
                <w:sz w:val="24"/>
                <w:szCs w:val="24"/>
                <w:highlight w:val="none"/>
              </w:rPr>
              <w:t>优惠承诺（</w:t>
            </w:r>
            <w:r>
              <w:rPr>
                <w:rFonts w:hint="eastAsia" w:ascii="宋体" w:hAnsi="宋体"/>
                <w:color w:val="auto"/>
                <w:kern w:val="1"/>
                <w:sz w:val="24"/>
                <w:szCs w:val="24"/>
                <w:highlight w:val="none"/>
                <w:lang w:val="en-US" w:eastAsia="zh-CN"/>
              </w:rPr>
              <w:t>4</w:t>
            </w:r>
            <w:r>
              <w:rPr>
                <w:rFonts w:hint="eastAsia" w:ascii="宋体" w:hAnsi="宋体" w:eastAsia="宋体"/>
                <w:color w:val="auto"/>
                <w:kern w:val="1"/>
                <w:sz w:val="24"/>
                <w:szCs w:val="24"/>
                <w:highlight w:val="none"/>
              </w:rPr>
              <w:t>分）</w:t>
            </w:r>
          </w:p>
        </w:tc>
        <w:tc>
          <w:tcPr>
            <w:tcW w:w="7217" w:type="dxa"/>
            <w:gridSpan w:val="2"/>
            <w:tcBorders>
              <w:left w:val="single" w:color="000000" w:sz="2" w:space="0"/>
              <w:bottom w:val="single" w:color="000000" w:sz="4" w:space="0"/>
              <w:right w:val="single" w:color="000000" w:sz="12" w:space="0"/>
            </w:tcBorders>
            <w:vAlign w:val="center"/>
          </w:tcPr>
          <w:p w14:paraId="0A111DE7">
            <w:pPr>
              <w:pStyle w:val="9"/>
              <w:spacing w:line="360" w:lineRule="auto"/>
              <w:rPr>
                <w:rFonts w:hint="eastAsia" w:ascii="宋体" w:hAnsi="宋体" w:eastAsia="宋体"/>
                <w:color w:val="auto"/>
                <w:sz w:val="24"/>
                <w:szCs w:val="24"/>
                <w:highlight w:val="none"/>
              </w:rPr>
            </w:pPr>
            <w:r>
              <w:rPr>
                <w:rFonts w:hint="eastAsia" w:ascii="宋体" w:hAnsi="宋体" w:eastAsia="宋体"/>
                <w:color w:val="auto"/>
                <w:sz w:val="24"/>
                <w:szCs w:val="24"/>
                <w:highlight w:val="none"/>
              </w:rPr>
              <w:t>优惠承诺应是书面的符合工程实际情况，确保依法依规，优惠合理，承诺科学、合理、切实可行的</w:t>
            </w:r>
            <w:r>
              <w:rPr>
                <w:rFonts w:hint="eastAsia" w:hAnsi="宋体"/>
                <w:color w:val="auto"/>
                <w:sz w:val="24"/>
                <w:szCs w:val="24"/>
                <w:highlight w:val="none"/>
                <w:lang w:val="en-US" w:eastAsia="zh-CN"/>
              </w:rPr>
              <w:t>4</w:t>
            </w:r>
            <w:r>
              <w:rPr>
                <w:rFonts w:hint="eastAsia" w:ascii="宋体" w:hAnsi="宋体" w:eastAsia="宋体"/>
                <w:color w:val="auto"/>
                <w:sz w:val="24"/>
                <w:szCs w:val="24"/>
                <w:highlight w:val="none"/>
              </w:rPr>
              <w:t>分；承诺基本合理，基本符合要求、基本切实可行的</w:t>
            </w:r>
            <w:r>
              <w:rPr>
                <w:rFonts w:hint="eastAsia" w:hAnsi="宋体"/>
                <w:color w:val="auto"/>
                <w:sz w:val="24"/>
                <w:szCs w:val="24"/>
                <w:highlight w:val="none"/>
                <w:lang w:val="en-US" w:eastAsia="zh-CN"/>
              </w:rPr>
              <w:t>2</w:t>
            </w:r>
            <w:r>
              <w:rPr>
                <w:rFonts w:hint="eastAsia" w:ascii="宋体" w:hAnsi="宋体" w:eastAsia="宋体"/>
                <w:color w:val="auto"/>
                <w:sz w:val="24"/>
                <w:szCs w:val="24"/>
                <w:highlight w:val="none"/>
              </w:rPr>
              <w:t>分；承诺不合理、不科学的不得分。</w:t>
            </w:r>
          </w:p>
        </w:tc>
      </w:tr>
      <w:tr w14:paraId="2548073C">
        <w:tblPrEx>
          <w:tblCellMar>
            <w:top w:w="0" w:type="dxa"/>
            <w:left w:w="108" w:type="dxa"/>
            <w:bottom w:w="0" w:type="dxa"/>
            <w:right w:w="108" w:type="dxa"/>
          </w:tblCellMar>
        </w:tblPrEx>
        <w:trPr>
          <w:trHeight w:val="637" w:hRule="atLeast"/>
        </w:trPr>
        <w:tc>
          <w:tcPr>
            <w:tcW w:w="1209" w:type="dxa"/>
            <w:vMerge w:val="continue"/>
            <w:tcBorders>
              <w:left w:val="single" w:color="000000" w:sz="6" w:space="0"/>
              <w:right w:val="single" w:color="000000" w:sz="2" w:space="0"/>
            </w:tcBorders>
            <w:vAlign w:val="center"/>
          </w:tcPr>
          <w:p w14:paraId="71400ADD">
            <w:pPr>
              <w:spacing w:line="312" w:lineRule="auto"/>
              <w:jc w:val="center"/>
              <w:rPr>
                <w:rFonts w:hint="eastAsia" w:ascii="宋体" w:hAnsi="宋体" w:eastAsia="宋体"/>
                <w:color w:val="auto"/>
                <w:kern w:val="1"/>
                <w:sz w:val="24"/>
                <w:szCs w:val="24"/>
                <w:highlight w:val="none"/>
              </w:rPr>
            </w:pPr>
          </w:p>
        </w:tc>
        <w:tc>
          <w:tcPr>
            <w:tcW w:w="1426" w:type="dxa"/>
            <w:tcBorders>
              <w:top w:val="single" w:color="000000" w:sz="4" w:space="0"/>
              <w:left w:val="single" w:color="000000" w:sz="6" w:space="0"/>
              <w:bottom w:val="single" w:color="000000" w:sz="4" w:space="0"/>
              <w:right w:val="single" w:color="000000" w:sz="2" w:space="0"/>
            </w:tcBorders>
            <w:vAlign w:val="center"/>
          </w:tcPr>
          <w:p w14:paraId="704CF5F4">
            <w:pPr>
              <w:spacing w:line="276" w:lineRule="auto"/>
              <w:jc w:val="center"/>
              <w:rPr>
                <w:rFonts w:hint="eastAsia" w:ascii="宋体" w:hAnsi="宋体" w:eastAsia="宋体"/>
                <w:color w:val="auto"/>
                <w:kern w:val="1"/>
                <w:sz w:val="24"/>
                <w:szCs w:val="24"/>
                <w:highlight w:val="none"/>
              </w:rPr>
            </w:pPr>
            <w:r>
              <w:rPr>
                <w:rFonts w:hint="eastAsia" w:ascii="宋体" w:hAnsi="宋体" w:eastAsia="宋体"/>
                <w:color w:val="auto"/>
                <w:kern w:val="1"/>
                <w:sz w:val="24"/>
                <w:szCs w:val="24"/>
                <w:highlight w:val="none"/>
              </w:rPr>
              <w:t>企业业绩</w:t>
            </w:r>
          </w:p>
          <w:p w14:paraId="4451AD28">
            <w:pPr>
              <w:spacing w:line="276" w:lineRule="auto"/>
              <w:jc w:val="center"/>
              <w:rPr>
                <w:rFonts w:hint="eastAsia" w:ascii="宋体" w:hAnsi="宋体" w:eastAsia="宋体"/>
                <w:color w:val="auto"/>
                <w:kern w:val="1"/>
                <w:sz w:val="24"/>
                <w:szCs w:val="24"/>
                <w:highlight w:val="none"/>
              </w:rPr>
            </w:pPr>
            <w:r>
              <w:rPr>
                <w:rFonts w:hint="eastAsia" w:ascii="宋体" w:hAnsi="宋体" w:eastAsia="宋体"/>
                <w:color w:val="auto"/>
                <w:kern w:val="1"/>
                <w:sz w:val="24"/>
                <w:szCs w:val="24"/>
                <w:highlight w:val="none"/>
              </w:rPr>
              <w:t>（6分）</w:t>
            </w:r>
          </w:p>
        </w:tc>
        <w:tc>
          <w:tcPr>
            <w:tcW w:w="7217" w:type="dxa"/>
            <w:gridSpan w:val="2"/>
            <w:tcBorders>
              <w:top w:val="single" w:color="000000" w:sz="4" w:space="0"/>
              <w:left w:val="single" w:color="000000" w:sz="2" w:space="0"/>
              <w:bottom w:val="single" w:color="000000" w:sz="4" w:space="0"/>
              <w:right w:val="single" w:color="000000" w:sz="12" w:space="0"/>
            </w:tcBorders>
            <w:vAlign w:val="center"/>
          </w:tcPr>
          <w:p w14:paraId="47FA21E5">
            <w:pPr>
              <w:pStyle w:val="9"/>
              <w:spacing w:line="360" w:lineRule="auto"/>
              <w:rPr>
                <w:rFonts w:hint="eastAsia" w:ascii="宋体" w:hAnsi="宋体" w:eastAsia="宋体"/>
                <w:bCs/>
                <w:color w:val="auto"/>
                <w:sz w:val="24"/>
                <w:szCs w:val="24"/>
                <w:highlight w:val="none"/>
              </w:rPr>
            </w:pPr>
            <w:r>
              <w:rPr>
                <w:rFonts w:hint="eastAsia" w:ascii="宋体" w:hAnsi="宋体" w:eastAsia="宋体"/>
                <w:bCs/>
                <w:color w:val="auto"/>
                <w:sz w:val="24"/>
                <w:szCs w:val="24"/>
                <w:highlight w:val="none"/>
              </w:rPr>
              <w:t>企业20</w:t>
            </w:r>
            <w:r>
              <w:rPr>
                <w:rFonts w:hint="eastAsia" w:ascii="宋体" w:hAnsi="宋体" w:eastAsia="宋体"/>
                <w:bCs/>
                <w:color w:val="auto"/>
                <w:sz w:val="24"/>
                <w:szCs w:val="24"/>
                <w:highlight w:val="none"/>
                <w:lang w:val="en-US" w:eastAsia="zh-CN"/>
              </w:rPr>
              <w:t>2</w:t>
            </w:r>
            <w:r>
              <w:rPr>
                <w:rFonts w:hint="eastAsia" w:hAnsi="宋体"/>
                <w:bCs/>
                <w:color w:val="auto"/>
                <w:sz w:val="24"/>
                <w:szCs w:val="24"/>
                <w:highlight w:val="none"/>
                <w:lang w:val="en-US" w:eastAsia="zh-CN"/>
              </w:rPr>
              <w:t>2年</w:t>
            </w:r>
            <w:r>
              <w:rPr>
                <w:rFonts w:hint="eastAsia" w:ascii="宋体" w:hAnsi="宋体" w:cs="宋体"/>
                <w:color w:val="auto"/>
                <w:sz w:val="24"/>
                <w:szCs w:val="24"/>
                <w:highlight w:val="none"/>
              </w:rPr>
              <w:t>1月1日起（至投标截止时间止）</w:t>
            </w:r>
            <w:r>
              <w:rPr>
                <w:rFonts w:hint="eastAsia" w:ascii="宋体" w:hAnsi="宋体" w:cs="宋体"/>
                <w:color w:val="auto"/>
                <w:sz w:val="24"/>
                <w:szCs w:val="24"/>
                <w:highlight w:val="none"/>
                <w:lang w:eastAsia="zh-CN"/>
              </w:rPr>
              <w:t>，</w:t>
            </w:r>
            <w:r>
              <w:rPr>
                <w:rFonts w:hint="eastAsia" w:ascii="宋体" w:hAnsi="宋体" w:eastAsia="宋体"/>
                <w:bCs/>
                <w:color w:val="auto"/>
                <w:sz w:val="24"/>
                <w:szCs w:val="24"/>
                <w:highlight w:val="none"/>
              </w:rPr>
              <w:t>具有类似项目业绩的，每提供一份得</w:t>
            </w:r>
            <w:r>
              <w:rPr>
                <w:rFonts w:hint="eastAsia" w:hAnsi="宋体"/>
                <w:bCs/>
                <w:color w:val="auto"/>
                <w:sz w:val="24"/>
                <w:szCs w:val="24"/>
                <w:highlight w:val="none"/>
                <w:lang w:val="en-US" w:eastAsia="zh-CN"/>
              </w:rPr>
              <w:t>2</w:t>
            </w:r>
            <w:r>
              <w:rPr>
                <w:rFonts w:hint="eastAsia" w:ascii="宋体" w:hAnsi="宋体" w:eastAsia="宋体"/>
                <w:bCs/>
                <w:color w:val="auto"/>
                <w:sz w:val="24"/>
                <w:szCs w:val="24"/>
                <w:highlight w:val="none"/>
              </w:rPr>
              <w:t>分，满分6分。</w:t>
            </w:r>
            <w:r>
              <w:rPr>
                <w:rFonts w:hint="eastAsia" w:ascii="宋体" w:hAnsi="宋体" w:eastAsia="宋体"/>
                <w:b/>
                <w:bCs/>
                <w:color w:val="auto"/>
                <w:sz w:val="24"/>
                <w:szCs w:val="24"/>
                <w:highlight w:val="none"/>
              </w:rPr>
              <w:t>（以合同或中标通知书为准。</w:t>
            </w:r>
            <w:r>
              <w:rPr>
                <w:rFonts w:hint="eastAsia" w:ascii="宋体" w:hAnsi="宋体" w:eastAsia="宋体"/>
                <w:color w:val="auto"/>
                <w:sz w:val="24"/>
                <w:szCs w:val="24"/>
                <w:highlight w:val="none"/>
              </w:rPr>
              <w:t>）</w:t>
            </w:r>
          </w:p>
        </w:tc>
      </w:tr>
      <w:tr w14:paraId="37508B2D">
        <w:tblPrEx>
          <w:tblCellMar>
            <w:top w:w="0" w:type="dxa"/>
            <w:left w:w="108" w:type="dxa"/>
            <w:bottom w:w="0" w:type="dxa"/>
            <w:right w:w="108" w:type="dxa"/>
          </w:tblCellMar>
        </w:tblPrEx>
        <w:trPr>
          <w:trHeight w:val="637" w:hRule="atLeast"/>
        </w:trPr>
        <w:tc>
          <w:tcPr>
            <w:tcW w:w="1209" w:type="dxa"/>
            <w:vMerge w:val="continue"/>
            <w:tcBorders>
              <w:left w:val="single" w:color="000000" w:sz="6" w:space="0"/>
              <w:right w:val="single" w:color="000000" w:sz="2" w:space="0"/>
            </w:tcBorders>
            <w:vAlign w:val="center"/>
          </w:tcPr>
          <w:p w14:paraId="5DCE8391">
            <w:pPr>
              <w:spacing w:line="312" w:lineRule="auto"/>
              <w:jc w:val="center"/>
              <w:rPr>
                <w:rFonts w:hint="eastAsia" w:ascii="宋体" w:hAnsi="宋体" w:eastAsia="宋体"/>
                <w:color w:val="auto"/>
                <w:kern w:val="1"/>
                <w:sz w:val="24"/>
                <w:szCs w:val="24"/>
                <w:highlight w:val="none"/>
              </w:rPr>
            </w:pPr>
          </w:p>
        </w:tc>
        <w:tc>
          <w:tcPr>
            <w:tcW w:w="1426" w:type="dxa"/>
            <w:tcBorders>
              <w:top w:val="single" w:color="000000" w:sz="4" w:space="0"/>
              <w:left w:val="single" w:color="000000" w:sz="6" w:space="0"/>
              <w:bottom w:val="single" w:color="000000" w:sz="4" w:space="0"/>
              <w:right w:val="single" w:color="000000" w:sz="2" w:space="0"/>
            </w:tcBorders>
            <w:vAlign w:val="center"/>
          </w:tcPr>
          <w:p w14:paraId="1B875A6D">
            <w:pPr>
              <w:spacing w:line="276" w:lineRule="auto"/>
              <w:jc w:val="center"/>
              <w:rPr>
                <w:rFonts w:hint="eastAsia" w:ascii="宋体" w:hAnsi="宋体" w:eastAsia="宋体"/>
                <w:color w:val="auto"/>
                <w:kern w:val="1"/>
                <w:sz w:val="24"/>
                <w:szCs w:val="24"/>
                <w:highlight w:val="none"/>
                <w:lang w:eastAsia="zh-CN"/>
              </w:rPr>
            </w:pPr>
            <w:r>
              <w:rPr>
                <w:rFonts w:hint="eastAsia" w:ascii="宋体" w:hAnsi="宋体" w:eastAsia="宋体" w:cs="Times New Roman"/>
                <w:color w:val="auto"/>
                <w:kern w:val="1"/>
                <w:sz w:val="24"/>
                <w:szCs w:val="24"/>
                <w:highlight w:val="none"/>
              </w:rPr>
              <w:t>项目经理业绩</w:t>
            </w:r>
            <w:r>
              <w:rPr>
                <w:rFonts w:hint="eastAsia" w:ascii="宋体" w:hAnsi="宋体" w:eastAsia="宋体" w:cs="Times New Roman"/>
                <w:color w:val="auto"/>
                <w:kern w:val="1"/>
                <w:sz w:val="24"/>
                <w:szCs w:val="24"/>
                <w:highlight w:val="none"/>
                <w:lang w:eastAsia="zh-CN"/>
              </w:rPr>
              <w:t>（</w:t>
            </w:r>
            <w:r>
              <w:rPr>
                <w:rFonts w:hint="eastAsia" w:ascii="宋体" w:hAnsi="宋体" w:eastAsia="宋体" w:cs="Times New Roman"/>
                <w:color w:val="auto"/>
                <w:kern w:val="1"/>
                <w:sz w:val="24"/>
                <w:szCs w:val="24"/>
                <w:highlight w:val="none"/>
                <w:lang w:val="en-US" w:eastAsia="zh-CN"/>
              </w:rPr>
              <w:t>4分</w:t>
            </w:r>
            <w:r>
              <w:rPr>
                <w:rFonts w:hint="eastAsia" w:ascii="宋体" w:hAnsi="宋体" w:eastAsia="宋体" w:cs="Times New Roman"/>
                <w:color w:val="auto"/>
                <w:kern w:val="1"/>
                <w:sz w:val="24"/>
                <w:szCs w:val="24"/>
                <w:highlight w:val="none"/>
                <w:lang w:eastAsia="zh-CN"/>
              </w:rPr>
              <w:t>）</w:t>
            </w:r>
          </w:p>
        </w:tc>
        <w:tc>
          <w:tcPr>
            <w:tcW w:w="7217" w:type="dxa"/>
            <w:gridSpan w:val="2"/>
            <w:tcBorders>
              <w:top w:val="single" w:color="000000" w:sz="4" w:space="0"/>
              <w:left w:val="single" w:color="000000" w:sz="2" w:space="0"/>
              <w:bottom w:val="single" w:color="000000" w:sz="4" w:space="0"/>
              <w:right w:val="single" w:color="000000" w:sz="12" w:space="0"/>
            </w:tcBorders>
            <w:vAlign w:val="center"/>
          </w:tcPr>
          <w:p w14:paraId="3BDDFE2A">
            <w:pPr>
              <w:spacing w:line="400" w:lineRule="exact"/>
              <w:rPr>
                <w:rFonts w:hint="eastAsia" w:ascii="宋体" w:hAnsi="宋体" w:cs="宋体"/>
                <w:color w:val="auto"/>
                <w:sz w:val="24"/>
                <w:szCs w:val="24"/>
                <w:highlight w:val="none"/>
                <w:lang w:val="zh-CN"/>
              </w:rPr>
            </w:pPr>
            <w:r>
              <w:rPr>
                <w:rFonts w:hint="eastAsia" w:ascii="宋体" w:hAnsi="宋体" w:cs="宋体"/>
                <w:color w:val="auto"/>
                <w:sz w:val="24"/>
                <w:szCs w:val="24"/>
                <w:highlight w:val="none"/>
              </w:rPr>
              <w:t>自202</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年1月1日起（至投标截止时间止）有类似</w:t>
            </w:r>
            <w:r>
              <w:rPr>
                <w:rFonts w:hint="eastAsia" w:ascii="宋体" w:hAnsi="宋体" w:cs="宋体"/>
                <w:color w:val="auto"/>
                <w:sz w:val="24"/>
                <w:szCs w:val="24"/>
                <w:highlight w:val="none"/>
                <w:lang w:val="zh-CN"/>
              </w:rPr>
              <w:t>业绩的</w:t>
            </w:r>
            <w:r>
              <w:rPr>
                <w:rFonts w:hint="eastAsia" w:ascii="宋体" w:hAnsi="宋体" w:cs="宋体"/>
                <w:color w:val="auto"/>
                <w:sz w:val="24"/>
                <w:szCs w:val="24"/>
                <w:highlight w:val="none"/>
              </w:rPr>
              <w:t>须提供中标通知书</w:t>
            </w:r>
            <w:r>
              <w:rPr>
                <w:rFonts w:hint="eastAsia" w:ascii="宋体" w:hAnsi="宋体" w:cs="宋体"/>
                <w:color w:val="auto"/>
                <w:sz w:val="24"/>
                <w:szCs w:val="24"/>
                <w:highlight w:val="none"/>
                <w:lang w:val="en-US" w:eastAsia="zh-CN"/>
              </w:rPr>
              <w:t>或</w:t>
            </w:r>
            <w:r>
              <w:rPr>
                <w:rFonts w:hint="eastAsia" w:ascii="宋体" w:hAnsi="宋体" w:cs="宋体"/>
                <w:color w:val="auto"/>
                <w:sz w:val="24"/>
                <w:szCs w:val="24"/>
                <w:highlight w:val="none"/>
              </w:rPr>
              <w:t>合同协议书。每提供一份业绩得2</w:t>
            </w:r>
            <w:r>
              <w:rPr>
                <w:rFonts w:hint="eastAsia" w:ascii="宋体" w:hAnsi="宋体" w:cs="宋体"/>
                <w:color w:val="auto"/>
                <w:sz w:val="24"/>
                <w:szCs w:val="24"/>
                <w:highlight w:val="none"/>
                <w:lang w:val="zh-CN"/>
              </w:rPr>
              <w:t>分，最多得</w:t>
            </w:r>
            <w:r>
              <w:rPr>
                <w:rFonts w:hint="eastAsia" w:ascii="宋体" w:hAnsi="宋体" w:cs="宋体"/>
                <w:color w:val="auto"/>
                <w:sz w:val="24"/>
                <w:szCs w:val="24"/>
                <w:highlight w:val="none"/>
              </w:rPr>
              <w:t>4</w:t>
            </w:r>
            <w:r>
              <w:rPr>
                <w:rFonts w:hint="eastAsia" w:ascii="宋体" w:hAnsi="宋体" w:cs="宋体"/>
                <w:color w:val="auto"/>
                <w:sz w:val="24"/>
                <w:szCs w:val="24"/>
                <w:highlight w:val="none"/>
                <w:lang w:val="zh-CN"/>
              </w:rPr>
              <w:t>分。</w:t>
            </w:r>
          </w:p>
          <w:p w14:paraId="6D2E93CA">
            <w:pPr>
              <w:pStyle w:val="9"/>
              <w:spacing w:line="360" w:lineRule="auto"/>
              <w:rPr>
                <w:rFonts w:hint="eastAsia" w:ascii="宋体" w:hAnsi="宋体" w:eastAsia="宋体"/>
                <w:bCs/>
                <w:color w:val="auto"/>
                <w:sz w:val="24"/>
                <w:szCs w:val="24"/>
                <w:highlight w:val="none"/>
              </w:rPr>
            </w:pPr>
            <w:r>
              <w:rPr>
                <w:rFonts w:hint="eastAsia" w:ascii="宋体" w:hAnsi="宋体" w:cs="宋体"/>
                <w:color w:val="auto"/>
                <w:sz w:val="24"/>
                <w:szCs w:val="24"/>
                <w:highlight w:val="none"/>
                <w:lang w:val="en-US" w:eastAsia="zh-CN"/>
              </w:rPr>
              <w:t>企业业绩与项目经理业绩可重复计分。</w:t>
            </w:r>
          </w:p>
        </w:tc>
      </w:tr>
      <w:tr w14:paraId="5915FD8F">
        <w:tblPrEx>
          <w:tblCellMar>
            <w:top w:w="0" w:type="dxa"/>
            <w:left w:w="108" w:type="dxa"/>
            <w:bottom w:w="0" w:type="dxa"/>
            <w:right w:w="108" w:type="dxa"/>
          </w:tblCellMar>
        </w:tblPrEx>
        <w:trPr>
          <w:trHeight w:val="1009" w:hRule="atLeast"/>
        </w:trPr>
        <w:tc>
          <w:tcPr>
            <w:tcW w:w="9852" w:type="dxa"/>
            <w:gridSpan w:val="4"/>
            <w:tcBorders>
              <w:top w:val="single" w:color="000000" w:sz="4" w:space="0"/>
              <w:left w:val="single" w:color="000000" w:sz="12" w:space="0"/>
              <w:bottom w:val="single" w:color="000000" w:sz="12" w:space="0"/>
              <w:right w:val="single" w:color="000000" w:sz="6" w:space="0"/>
            </w:tcBorders>
            <w:vAlign w:val="center"/>
          </w:tcPr>
          <w:p w14:paraId="0F03A0C5">
            <w:pPr>
              <w:spacing w:line="312" w:lineRule="auto"/>
              <w:jc w:val="left"/>
              <w:rPr>
                <w:rFonts w:hint="eastAsia" w:ascii="宋体" w:hAnsi="宋体" w:eastAsia="宋体"/>
                <w:b/>
                <w:color w:val="auto"/>
                <w:sz w:val="24"/>
                <w:szCs w:val="24"/>
                <w:highlight w:val="none"/>
              </w:rPr>
            </w:pPr>
            <w:r>
              <w:rPr>
                <w:rFonts w:hint="eastAsia" w:ascii="宋体" w:hAnsi="宋体" w:eastAsia="宋体"/>
                <w:b/>
                <w:color w:val="auto"/>
                <w:sz w:val="24"/>
                <w:szCs w:val="24"/>
                <w:highlight w:val="none"/>
              </w:rPr>
              <w:t xml:space="preserve">    </w:t>
            </w:r>
            <w:r>
              <w:rPr>
                <w:rFonts w:hint="eastAsia" w:ascii="宋体" w:hAnsi="宋体"/>
                <w:b/>
                <w:color w:val="auto"/>
                <w:sz w:val="24"/>
                <w:szCs w:val="24"/>
                <w:highlight w:val="none"/>
                <w:lang w:eastAsia="zh-CN"/>
              </w:rPr>
              <w:t>供应商</w:t>
            </w:r>
            <w:r>
              <w:rPr>
                <w:rFonts w:hint="eastAsia" w:ascii="宋体" w:hAnsi="宋体" w:eastAsia="宋体"/>
                <w:b/>
                <w:color w:val="auto"/>
                <w:sz w:val="24"/>
                <w:szCs w:val="24"/>
                <w:highlight w:val="none"/>
              </w:rPr>
              <w:t>综合得分=技术标得分+商务标得分+综合标得分</w:t>
            </w:r>
          </w:p>
          <w:p w14:paraId="7004AEB1">
            <w:pPr>
              <w:spacing w:line="312" w:lineRule="auto"/>
              <w:jc w:val="left"/>
              <w:rPr>
                <w:rFonts w:hint="eastAsia" w:ascii="宋体" w:hAnsi="宋体" w:eastAsia="宋体"/>
                <w:b/>
                <w:color w:val="auto"/>
                <w:sz w:val="24"/>
                <w:szCs w:val="24"/>
                <w:highlight w:val="none"/>
              </w:rPr>
            </w:pPr>
            <w:r>
              <w:rPr>
                <w:rFonts w:hint="eastAsia" w:ascii="宋体" w:hAnsi="宋体" w:eastAsia="宋体"/>
                <w:b/>
                <w:color w:val="auto"/>
                <w:sz w:val="24"/>
                <w:szCs w:val="24"/>
                <w:highlight w:val="none"/>
              </w:rPr>
              <w:t xml:space="preserve">    </w:t>
            </w:r>
            <w:r>
              <w:rPr>
                <w:rFonts w:hint="eastAsia" w:ascii="宋体" w:hAnsi="宋体"/>
                <w:b/>
                <w:color w:val="auto"/>
                <w:sz w:val="24"/>
                <w:szCs w:val="24"/>
                <w:highlight w:val="none"/>
                <w:lang w:eastAsia="zh-CN"/>
              </w:rPr>
              <w:t>供应商</w:t>
            </w:r>
            <w:r>
              <w:rPr>
                <w:rFonts w:hint="eastAsia" w:ascii="宋体" w:hAnsi="宋体" w:eastAsia="宋体"/>
                <w:b/>
                <w:color w:val="auto"/>
                <w:sz w:val="24"/>
                <w:szCs w:val="24"/>
                <w:highlight w:val="none"/>
              </w:rPr>
              <w:t>的报价应包含</w:t>
            </w:r>
            <w:r>
              <w:rPr>
                <w:rFonts w:hint="eastAsia" w:ascii="宋体" w:hAnsi="宋体"/>
                <w:b/>
                <w:color w:val="auto"/>
                <w:sz w:val="24"/>
                <w:szCs w:val="24"/>
                <w:highlight w:val="none"/>
                <w:lang w:eastAsia="zh-CN"/>
              </w:rPr>
              <w:t>供应商</w:t>
            </w:r>
            <w:r>
              <w:rPr>
                <w:rFonts w:hint="eastAsia" w:ascii="宋体" w:hAnsi="宋体" w:eastAsia="宋体"/>
                <w:b/>
                <w:color w:val="auto"/>
                <w:sz w:val="24"/>
                <w:szCs w:val="24"/>
                <w:highlight w:val="none"/>
              </w:rPr>
              <w:t>所承诺的应达到的工程质量标准及其他承诺应达到的标准所包含的所有费用。</w:t>
            </w:r>
          </w:p>
          <w:p w14:paraId="2F2442C1">
            <w:pPr>
              <w:spacing w:line="312" w:lineRule="auto"/>
              <w:jc w:val="left"/>
              <w:rPr>
                <w:rFonts w:hint="eastAsia" w:ascii="宋体" w:hAnsi="宋体" w:eastAsia="宋体"/>
                <w:b/>
                <w:color w:val="auto"/>
                <w:sz w:val="24"/>
                <w:szCs w:val="24"/>
                <w:highlight w:val="none"/>
              </w:rPr>
            </w:pPr>
            <w:r>
              <w:rPr>
                <w:rFonts w:hint="eastAsia" w:ascii="宋体" w:hAnsi="宋体" w:eastAsia="宋体"/>
                <w:b/>
                <w:color w:val="auto"/>
                <w:sz w:val="24"/>
                <w:szCs w:val="24"/>
                <w:highlight w:val="none"/>
              </w:rPr>
              <w:t xml:space="preserve">   磋商小组对施工组织设计、企业实力、磋商报价、其他因素得分进行汇总，计算过程和最终结果按四舍五入保留两位小数。以各磋商小组打分的算术平均值作为该</w:t>
            </w:r>
            <w:r>
              <w:rPr>
                <w:rFonts w:hint="eastAsia" w:ascii="宋体" w:hAnsi="宋体"/>
                <w:b/>
                <w:color w:val="auto"/>
                <w:sz w:val="24"/>
                <w:szCs w:val="24"/>
                <w:highlight w:val="none"/>
                <w:lang w:eastAsia="zh-CN"/>
              </w:rPr>
              <w:t>供应商</w:t>
            </w:r>
            <w:r>
              <w:rPr>
                <w:rFonts w:hint="eastAsia" w:ascii="宋体" w:hAnsi="宋体" w:eastAsia="宋体"/>
                <w:b/>
                <w:color w:val="auto"/>
                <w:sz w:val="24"/>
                <w:szCs w:val="24"/>
                <w:highlight w:val="none"/>
              </w:rPr>
              <w:t>的最终得分。</w:t>
            </w:r>
          </w:p>
        </w:tc>
      </w:tr>
    </w:tbl>
    <w:p w14:paraId="4DA37677">
      <w:pPr>
        <w:pStyle w:val="96"/>
        <w:ind w:left="0" w:leftChars="0" w:firstLine="0" w:firstLineChars="0"/>
        <w:rPr>
          <w:color w:val="auto"/>
          <w:highlight w:val="none"/>
        </w:rPr>
      </w:pPr>
    </w:p>
    <w:p w14:paraId="10F81937">
      <w:pPr>
        <w:spacing w:line="480" w:lineRule="exact"/>
        <w:jc w:val="left"/>
        <w:rPr>
          <w:rFonts w:hint="eastAsia" w:ascii="宋体" w:hAnsi="宋体"/>
          <w:b/>
          <w:bCs/>
          <w:color w:val="auto"/>
          <w:sz w:val="24"/>
          <w:highlight w:val="none"/>
        </w:rPr>
      </w:pPr>
      <w:r>
        <w:rPr>
          <w:rFonts w:hint="eastAsia" w:ascii="宋体" w:hAnsi="宋体"/>
          <w:b/>
          <w:bCs/>
          <w:color w:val="auto"/>
          <w:sz w:val="24"/>
          <w:highlight w:val="none"/>
        </w:rPr>
        <w:t>三、综合评分法</w:t>
      </w:r>
    </w:p>
    <w:p w14:paraId="0666F178">
      <w:pPr>
        <w:spacing w:line="4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3.1、本次采用综合评分法。磋商小组对满足</w:t>
      </w:r>
      <w:r>
        <w:rPr>
          <w:rFonts w:hint="eastAsia" w:ascii="宋体" w:hAnsi="宋体"/>
          <w:color w:val="auto"/>
          <w:sz w:val="24"/>
          <w:highlight w:val="none"/>
          <w:lang w:val="en-US" w:eastAsia="zh-CN"/>
        </w:rPr>
        <w:t>中标</w:t>
      </w:r>
      <w:r>
        <w:rPr>
          <w:rFonts w:hint="eastAsia" w:ascii="宋体" w:hAnsi="宋体"/>
          <w:color w:val="auto"/>
          <w:sz w:val="24"/>
          <w:highlight w:val="none"/>
        </w:rPr>
        <w:t>文件实质性要求的</w:t>
      </w:r>
      <w:r>
        <w:rPr>
          <w:rFonts w:hint="eastAsia" w:ascii="宋体" w:hAnsi="宋体"/>
          <w:color w:val="auto"/>
          <w:sz w:val="24"/>
          <w:highlight w:val="none"/>
          <w:lang w:val="en-US" w:eastAsia="zh-CN"/>
        </w:rPr>
        <w:t>响应文件</w:t>
      </w:r>
      <w:r>
        <w:rPr>
          <w:rFonts w:hint="eastAsia" w:ascii="宋体" w:hAnsi="宋体"/>
          <w:color w:val="auto"/>
          <w:sz w:val="24"/>
          <w:highlight w:val="none"/>
        </w:rPr>
        <w:t>，按照本章规定的评分标准进行打分，按最终得分由高到低顺序推荐候选</w:t>
      </w:r>
      <w:r>
        <w:rPr>
          <w:rFonts w:hint="eastAsia" w:ascii="宋体" w:hAnsi="宋体"/>
          <w:color w:val="auto"/>
          <w:sz w:val="24"/>
          <w:highlight w:val="none"/>
          <w:lang w:val="en-US" w:eastAsia="zh-CN"/>
        </w:rPr>
        <w:t>中标</w:t>
      </w:r>
      <w:r>
        <w:rPr>
          <w:rFonts w:hint="eastAsia" w:ascii="宋体" w:hAnsi="宋体"/>
          <w:color w:val="auto"/>
          <w:sz w:val="24"/>
          <w:highlight w:val="none"/>
        </w:rPr>
        <w:t>供应商。得分相同的，按照最后报价由低到高的顺序推荐。评审得分且最后报价相同的，按照技术指标优劣顺序推荐。</w:t>
      </w:r>
    </w:p>
    <w:p w14:paraId="04FF9B1A">
      <w:pPr>
        <w:spacing w:line="460" w:lineRule="exact"/>
        <w:ind w:firstLine="520" w:firstLineChars="217"/>
        <w:jc w:val="left"/>
        <w:rPr>
          <w:rFonts w:hint="eastAsia" w:ascii="宋体" w:hAnsi="宋体"/>
          <w:color w:val="auto"/>
          <w:sz w:val="24"/>
          <w:highlight w:val="none"/>
        </w:rPr>
      </w:pPr>
      <w:r>
        <w:rPr>
          <w:rFonts w:hint="eastAsia" w:ascii="宋体" w:hAnsi="宋体"/>
          <w:color w:val="auto"/>
          <w:sz w:val="24"/>
          <w:highlight w:val="none"/>
        </w:rPr>
        <w:t>3.2、评分分值计算保留小数点后两位，小数点后第三位“四舍五入”。</w:t>
      </w:r>
    </w:p>
    <w:p w14:paraId="2DE7EE8B">
      <w:pPr>
        <w:spacing w:line="460" w:lineRule="exact"/>
        <w:ind w:firstLine="520" w:firstLineChars="217"/>
        <w:jc w:val="left"/>
        <w:rPr>
          <w:rFonts w:hint="eastAsia" w:ascii="宋体" w:hAnsi="宋体"/>
          <w:color w:val="auto"/>
          <w:sz w:val="24"/>
          <w:highlight w:val="none"/>
        </w:rPr>
      </w:pPr>
      <w:r>
        <w:rPr>
          <w:rFonts w:hint="eastAsia" w:ascii="宋体" w:hAnsi="宋体"/>
          <w:color w:val="auto"/>
          <w:sz w:val="24"/>
          <w:highlight w:val="none"/>
        </w:rPr>
        <w:t xml:space="preserve">3.3、在评标过程中，凡遇到磋商文件中无界定或界定不清、前后不一致使磋商小组成员意见有分歧且又难以协商一致的问题，均由磋商小组成员投票予以表决，少数服从多数原则确定。 </w:t>
      </w:r>
    </w:p>
    <w:p w14:paraId="2E649C63">
      <w:pPr>
        <w:spacing w:line="4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3.4、磋商小组完成评审后，向</w:t>
      </w:r>
      <w:r>
        <w:rPr>
          <w:rFonts w:hint="eastAsia" w:ascii="宋体" w:hAnsi="宋体"/>
          <w:color w:val="auto"/>
          <w:sz w:val="24"/>
          <w:highlight w:val="none"/>
          <w:lang w:val="en-US" w:eastAsia="zh-CN"/>
        </w:rPr>
        <w:t>招标</w:t>
      </w:r>
      <w:r>
        <w:rPr>
          <w:rFonts w:hint="eastAsia" w:ascii="宋体" w:hAnsi="宋体"/>
          <w:color w:val="auto"/>
          <w:sz w:val="24"/>
          <w:highlight w:val="none"/>
        </w:rPr>
        <w:t>人出具书面评审报告。</w:t>
      </w:r>
    </w:p>
    <w:p w14:paraId="6F747490">
      <w:pPr>
        <w:spacing w:line="480" w:lineRule="exact"/>
        <w:jc w:val="left"/>
        <w:rPr>
          <w:rFonts w:hint="eastAsia" w:ascii="宋体" w:hAnsi="宋体"/>
          <w:b/>
          <w:bCs/>
          <w:color w:val="auto"/>
          <w:sz w:val="24"/>
          <w:highlight w:val="none"/>
        </w:rPr>
      </w:pPr>
      <w:r>
        <w:rPr>
          <w:rFonts w:hint="eastAsia" w:ascii="宋体" w:hAnsi="宋体"/>
          <w:b/>
          <w:bCs/>
          <w:color w:val="auto"/>
          <w:sz w:val="24"/>
          <w:highlight w:val="none"/>
        </w:rPr>
        <w:t xml:space="preserve">四、磋商程序 </w:t>
      </w:r>
    </w:p>
    <w:p w14:paraId="65BCEFBE">
      <w:pPr>
        <w:spacing w:line="480" w:lineRule="exact"/>
        <w:ind w:firstLine="482" w:firstLineChars="200"/>
        <w:jc w:val="left"/>
        <w:rPr>
          <w:rFonts w:hint="eastAsia" w:ascii="宋体" w:hAnsi="宋体"/>
          <w:b/>
          <w:bCs/>
          <w:color w:val="auto"/>
          <w:sz w:val="24"/>
          <w:highlight w:val="none"/>
        </w:rPr>
      </w:pPr>
      <w:r>
        <w:rPr>
          <w:rFonts w:hint="eastAsia" w:ascii="宋体" w:hAnsi="宋体"/>
          <w:b/>
          <w:bCs/>
          <w:color w:val="auto"/>
          <w:sz w:val="24"/>
          <w:highlight w:val="none"/>
        </w:rPr>
        <w:t xml:space="preserve">4.1 初步评审 </w:t>
      </w:r>
    </w:p>
    <w:p w14:paraId="6BE60A80">
      <w:pPr>
        <w:spacing w:line="4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4.1.1 磋商小组应该以</w:t>
      </w:r>
      <w:r>
        <w:rPr>
          <w:rFonts w:hint="eastAsia" w:ascii="宋体" w:hAnsi="宋体"/>
          <w:color w:val="auto"/>
          <w:sz w:val="24"/>
          <w:highlight w:val="none"/>
          <w:lang w:val="en-US" w:eastAsia="zh-CN"/>
        </w:rPr>
        <w:t>供应商</w:t>
      </w:r>
      <w:r>
        <w:rPr>
          <w:rFonts w:hint="eastAsia" w:ascii="宋体" w:hAnsi="宋体"/>
          <w:color w:val="auto"/>
          <w:sz w:val="24"/>
          <w:highlight w:val="none"/>
        </w:rPr>
        <w:t>制作在“</w:t>
      </w:r>
      <w:r>
        <w:rPr>
          <w:rFonts w:hint="eastAsia" w:ascii="宋体" w:hAnsi="宋体"/>
          <w:color w:val="auto"/>
          <w:sz w:val="24"/>
          <w:highlight w:val="none"/>
          <w:lang w:eastAsia="zh-CN"/>
        </w:rPr>
        <w:t>响应文件</w:t>
      </w:r>
      <w:r>
        <w:rPr>
          <w:rFonts w:hint="eastAsia" w:ascii="宋体" w:hAnsi="宋体"/>
          <w:color w:val="auto"/>
          <w:sz w:val="24"/>
          <w:highlight w:val="none"/>
        </w:rPr>
        <w:t>”中的内容为准，进行核验。磋商小组查阅响应文件中相关资料原件的扫描件。</w:t>
      </w:r>
    </w:p>
    <w:p w14:paraId="62A1A39B">
      <w:pPr>
        <w:spacing w:line="4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4.1.2磋商小组依据本章附表 1 初步评审表规定的标准对</w:t>
      </w:r>
      <w:r>
        <w:rPr>
          <w:rFonts w:hint="eastAsia" w:ascii="宋体" w:hAnsi="宋体"/>
          <w:color w:val="auto"/>
          <w:sz w:val="24"/>
          <w:highlight w:val="none"/>
          <w:lang w:val="en-US" w:eastAsia="zh-CN"/>
        </w:rPr>
        <w:t>响应文件</w:t>
      </w:r>
      <w:r>
        <w:rPr>
          <w:rFonts w:hint="eastAsia" w:ascii="宋体" w:hAnsi="宋体"/>
          <w:color w:val="auto"/>
          <w:sz w:val="24"/>
          <w:highlight w:val="none"/>
        </w:rPr>
        <w:t xml:space="preserve">进行初步评审。有一项不符合评审标准的，作无效标处理。 </w:t>
      </w:r>
    </w:p>
    <w:p w14:paraId="64D5B8AB">
      <w:pPr>
        <w:spacing w:line="4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4.1.3</w:t>
      </w:r>
      <w:r>
        <w:rPr>
          <w:rFonts w:hint="eastAsia" w:ascii="宋体" w:hAnsi="宋体"/>
          <w:color w:val="auto"/>
          <w:sz w:val="24"/>
          <w:highlight w:val="none"/>
          <w:lang w:eastAsia="zh-CN"/>
        </w:rPr>
        <w:t>供应商</w:t>
      </w:r>
      <w:r>
        <w:rPr>
          <w:rFonts w:hint="eastAsia" w:ascii="宋体" w:hAnsi="宋体"/>
          <w:color w:val="auto"/>
          <w:sz w:val="24"/>
          <w:highlight w:val="none"/>
        </w:rPr>
        <w:t xml:space="preserve">有以下情形之一的，其磋商作无效标处理： </w:t>
      </w:r>
    </w:p>
    <w:p w14:paraId="11B7C404">
      <w:pPr>
        <w:spacing w:line="4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 xml:space="preserve">（1）串通磋商或弄虚作假或有其他违法行为的； </w:t>
      </w:r>
    </w:p>
    <w:p w14:paraId="2BDE6A20">
      <w:pPr>
        <w:spacing w:line="4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 xml:space="preserve">（2）不按磋商小组要求澄清、说明或补正的。 </w:t>
      </w:r>
    </w:p>
    <w:p w14:paraId="288B7DD6">
      <w:pPr>
        <w:spacing w:line="4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4.1.4磋商报价有算术错误的，磋商小组按以下原则对磋商报价进行修正，修正的价格经</w:t>
      </w:r>
      <w:r>
        <w:rPr>
          <w:rFonts w:hint="eastAsia" w:ascii="宋体" w:hAnsi="宋体"/>
          <w:color w:val="auto"/>
          <w:sz w:val="24"/>
          <w:highlight w:val="none"/>
          <w:lang w:eastAsia="zh-CN"/>
        </w:rPr>
        <w:t>供应商</w:t>
      </w:r>
      <w:r>
        <w:rPr>
          <w:rFonts w:hint="eastAsia" w:ascii="宋体" w:hAnsi="宋体"/>
          <w:color w:val="auto"/>
          <w:sz w:val="24"/>
          <w:highlight w:val="none"/>
        </w:rPr>
        <w:t>书面确认后具有约束力。</w:t>
      </w:r>
      <w:r>
        <w:rPr>
          <w:rFonts w:hint="eastAsia" w:ascii="宋体" w:hAnsi="宋体"/>
          <w:color w:val="auto"/>
          <w:sz w:val="24"/>
          <w:highlight w:val="none"/>
          <w:lang w:eastAsia="zh-CN"/>
        </w:rPr>
        <w:t>供应商</w:t>
      </w:r>
      <w:r>
        <w:rPr>
          <w:rFonts w:hint="eastAsia" w:ascii="宋体" w:hAnsi="宋体"/>
          <w:color w:val="auto"/>
          <w:sz w:val="24"/>
          <w:highlight w:val="none"/>
        </w:rPr>
        <w:t xml:space="preserve">不接受修正价格的，其磋商作废标处理。 </w:t>
      </w:r>
    </w:p>
    <w:p w14:paraId="27B34EC3">
      <w:pPr>
        <w:spacing w:line="4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 xml:space="preserve">（1）磋商文件中的大写金额与小写金额不一致的，以大写金额为准； </w:t>
      </w:r>
    </w:p>
    <w:p w14:paraId="432E3884">
      <w:pPr>
        <w:spacing w:line="4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 xml:space="preserve">（2）总价金额与依据单价计算出的结果不一致的，以单价金额为准修正总价，但单价金额小数点有明显错误的除外。 </w:t>
      </w:r>
    </w:p>
    <w:p w14:paraId="08C9545F">
      <w:pPr>
        <w:spacing w:line="460" w:lineRule="exact"/>
        <w:ind w:firstLine="482" w:firstLineChars="200"/>
        <w:jc w:val="left"/>
        <w:rPr>
          <w:rFonts w:hint="eastAsia" w:ascii="宋体" w:hAnsi="宋体"/>
          <w:b/>
          <w:bCs/>
          <w:color w:val="auto"/>
          <w:sz w:val="24"/>
          <w:highlight w:val="none"/>
        </w:rPr>
      </w:pPr>
      <w:r>
        <w:rPr>
          <w:rFonts w:hint="eastAsia" w:ascii="宋体" w:hAnsi="宋体"/>
          <w:b/>
          <w:bCs/>
          <w:color w:val="auto"/>
          <w:sz w:val="24"/>
          <w:highlight w:val="none"/>
        </w:rPr>
        <w:t xml:space="preserve">4.2详细评审 </w:t>
      </w:r>
    </w:p>
    <w:p w14:paraId="30043B00">
      <w:pPr>
        <w:spacing w:line="4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 xml:space="preserve">4.2.1磋商小组按本章评标办法前附表规定的量化因素和分值进行打分，并计算出综合评估得分。 </w:t>
      </w:r>
    </w:p>
    <w:p w14:paraId="15A9BC41">
      <w:pPr>
        <w:spacing w:line="4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4.2.2在评审过程中，磋商小组发现</w:t>
      </w:r>
      <w:r>
        <w:rPr>
          <w:rFonts w:hint="eastAsia" w:ascii="宋体" w:hAnsi="宋体"/>
          <w:color w:val="auto"/>
          <w:sz w:val="24"/>
          <w:highlight w:val="none"/>
          <w:lang w:eastAsia="zh-CN"/>
        </w:rPr>
        <w:t>供应商</w:t>
      </w:r>
      <w:r>
        <w:rPr>
          <w:rFonts w:hint="eastAsia" w:ascii="宋体" w:hAnsi="宋体"/>
          <w:color w:val="auto"/>
          <w:sz w:val="24"/>
          <w:highlight w:val="none"/>
        </w:rPr>
        <w:t>的磋商报价明显低于其他</w:t>
      </w:r>
      <w:r>
        <w:rPr>
          <w:rFonts w:hint="eastAsia" w:ascii="宋体" w:hAnsi="宋体"/>
          <w:color w:val="auto"/>
          <w:sz w:val="24"/>
          <w:highlight w:val="none"/>
          <w:lang w:eastAsia="zh-CN"/>
        </w:rPr>
        <w:t>供应商</w:t>
      </w:r>
      <w:r>
        <w:rPr>
          <w:rFonts w:hint="eastAsia" w:ascii="宋体" w:hAnsi="宋体"/>
          <w:color w:val="auto"/>
          <w:sz w:val="24"/>
          <w:highlight w:val="none"/>
        </w:rPr>
        <w:t>的报价， 并有可能低于其企业成本的，则磋商小组可以以书面形式要求该</w:t>
      </w:r>
      <w:r>
        <w:rPr>
          <w:rFonts w:hint="eastAsia" w:ascii="宋体" w:hAnsi="宋体"/>
          <w:color w:val="auto"/>
          <w:sz w:val="24"/>
          <w:highlight w:val="none"/>
          <w:lang w:eastAsia="zh-CN"/>
        </w:rPr>
        <w:t>供应商</w:t>
      </w:r>
      <w:r>
        <w:rPr>
          <w:rFonts w:hint="eastAsia" w:ascii="宋体" w:hAnsi="宋体"/>
          <w:color w:val="auto"/>
          <w:sz w:val="24"/>
          <w:highlight w:val="none"/>
        </w:rPr>
        <w:t>作出书面说明并提供相关证明材料。</w:t>
      </w:r>
      <w:r>
        <w:rPr>
          <w:rFonts w:hint="eastAsia" w:ascii="宋体" w:hAnsi="宋体"/>
          <w:color w:val="auto"/>
          <w:sz w:val="24"/>
          <w:highlight w:val="none"/>
          <w:lang w:eastAsia="zh-CN"/>
        </w:rPr>
        <w:t>供应商</w:t>
      </w:r>
      <w:r>
        <w:rPr>
          <w:rFonts w:hint="eastAsia" w:ascii="宋体" w:hAnsi="宋体"/>
          <w:color w:val="auto"/>
          <w:sz w:val="24"/>
          <w:highlight w:val="none"/>
        </w:rPr>
        <w:t>不能合理说明或不能提供相关证明材料的，经磋商小组</w:t>
      </w:r>
      <w:r>
        <w:rPr>
          <w:rFonts w:hint="eastAsia" w:ascii="宋体" w:hAnsi="宋体"/>
          <w:color w:val="auto"/>
          <w:spacing w:val="6"/>
          <w:sz w:val="24"/>
          <w:highlight w:val="none"/>
        </w:rPr>
        <w:t>小组认定，属于恶性竞标的，可以按废标处理；评标委员会将不对无效响应文件或废标的供应商进行评审或打分。</w:t>
      </w:r>
    </w:p>
    <w:p w14:paraId="66FCF4E2">
      <w:pPr>
        <w:spacing w:line="460" w:lineRule="exact"/>
        <w:ind w:firstLine="482" w:firstLineChars="200"/>
        <w:jc w:val="left"/>
        <w:rPr>
          <w:rFonts w:hint="eastAsia" w:ascii="宋体" w:hAnsi="宋体"/>
          <w:b/>
          <w:bCs/>
          <w:color w:val="auto"/>
          <w:sz w:val="24"/>
          <w:highlight w:val="none"/>
        </w:rPr>
      </w:pPr>
      <w:r>
        <w:rPr>
          <w:rFonts w:hint="eastAsia" w:ascii="宋体" w:hAnsi="宋体"/>
          <w:b/>
          <w:bCs/>
          <w:color w:val="auto"/>
          <w:sz w:val="24"/>
          <w:highlight w:val="none"/>
        </w:rPr>
        <w:t xml:space="preserve">4.3磋商文件的澄清和补正 </w:t>
      </w:r>
    </w:p>
    <w:p w14:paraId="2B4725F4">
      <w:pPr>
        <w:spacing w:line="4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4.3.1在磋商过程中，磋商小组可以书面形式要求</w:t>
      </w:r>
      <w:r>
        <w:rPr>
          <w:rFonts w:hint="eastAsia" w:ascii="宋体" w:hAnsi="宋体"/>
          <w:color w:val="auto"/>
          <w:sz w:val="24"/>
          <w:highlight w:val="none"/>
          <w:lang w:eastAsia="zh-CN"/>
        </w:rPr>
        <w:t>供应商</w:t>
      </w:r>
      <w:r>
        <w:rPr>
          <w:rFonts w:hint="eastAsia" w:ascii="宋体" w:hAnsi="宋体"/>
          <w:color w:val="auto"/>
          <w:sz w:val="24"/>
          <w:highlight w:val="none"/>
        </w:rPr>
        <w:t>对所提交磋商响应文件中不明确的内容进行书面澄清或说明，或者对细微偏差进行补正。磋商小组不接受</w:t>
      </w:r>
      <w:r>
        <w:rPr>
          <w:rFonts w:hint="eastAsia" w:ascii="宋体" w:hAnsi="宋体"/>
          <w:color w:val="auto"/>
          <w:sz w:val="24"/>
          <w:highlight w:val="none"/>
          <w:lang w:eastAsia="zh-CN"/>
        </w:rPr>
        <w:t>供应商</w:t>
      </w:r>
      <w:r>
        <w:rPr>
          <w:rFonts w:hint="eastAsia" w:ascii="宋体" w:hAnsi="宋体"/>
          <w:color w:val="auto"/>
          <w:sz w:val="24"/>
          <w:highlight w:val="none"/>
        </w:rPr>
        <w:t xml:space="preserve">主动提出的澄清、说明或补正。 </w:t>
      </w:r>
    </w:p>
    <w:p w14:paraId="733E89E0">
      <w:pPr>
        <w:spacing w:line="4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4.3.2澄清、说明和补正不得改变磋商文件的实质性内容（算术性错误修正的除外）。</w:t>
      </w:r>
      <w:r>
        <w:rPr>
          <w:rFonts w:hint="eastAsia" w:ascii="宋体" w:hAnsi="宋体"/>
          <w:color w:val="auto"/>
          <w:sz w:val="24"/>
          <w:highlight w:val="none"/>
          <w:lang w:eastAsia="zh-CN"/>
        </w:rPr>
        <w:t>供应商</w:t>
      </w:r>
      <w:r>
        <w:rPr>
          <w:rFonts w:hint="eastAsia" w:ascii="宋体" w:hAnsi="宋体"/>
          <w:color w:val="auto"/>
          <w:sz w:val="24"/>
          <w:highlight w:val="none"/>
        </w:rPr>
        <w:t xml:space="preserve">的书面澄清、说明和补正属于磋商响应文件的组成部分。 </w:t>
      </w:r>
    </w:p>
    <w:p w14:paraId="4A4EF777">
      <w:pPr>
        <w:spacing w:line="4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4.3.3磋商小组对</w:t>
      </w:r>
      <w:r>
        <w:rPr>
          <w:rFonts w:hint="eastAsia" w:ascii="宋体" w:hAnsi="宋体"/>
          <w:color w:val="auto"/>
          <w:sz w:val="24"/>
          <w:highlight w:val="none"/>
          <w:lang w:eastAsia="zh-CN"/>
        </w:rPr>
        <w:t>供应商</w:t>
      </w:r>
      <w:r>
        <w:rPr>
          <w:rFonts w:hint="eastAsia" w:ascii="宋体" w:hAnsi="宋体"/>
          <w:color w:val="auto"/>
          <w:sz w:val="24"/>
          <w:highlight w:val="none"/>
        </w:rPr>
        <w:t>提交的澄清、说明或补正有疑问的，可以要求</w:t>
      </w:r>
      <w:r>
        <w:rPr>
          <w:rFonts w:hint="eastAsia" w:ascii="宋体" w:hAnsi="宋体"/>
          <w:color w:val="auto"/>
          <w:sz w:val="24"/>
          <w:highlight w:val="none"/>
          <w:lang w:eastAsia="zh-CN"/>
        </w:rPr>
        <w:t>供应商</w:t>
      </w:r>
      <w:r>
        <w:rPr>
          <w:rFonts w:hint="eastAsia" w:ascii="宋体" w:hAnsi="宋体"/>
          <w:color w:val="auto"/>
          <w:sz w:val="24"/>
          <w:highlight w:val="none"/>
        </w:rPr>
        <w:t xml:space="preserve">进一步澄清、说明或补正，直至满足磋商小组的要求。 </w:t>
      </w:r>
    </w:p>
    <w:p w14:paraId="48CC1952">
      <w:pPr>
        <w:spacing w:line="460" w:lineRule="exact"/>
        <w:ind w:firstLine="482" w:firstLineChars="200"/>
        <w:jc w:val="left"/>
        <w:rPr>
          <w:rFonts w:hint="eastAsia" w:ascii="宋体" w:hAnsi="宋体"/>
          <w:b/>
          <w:bCs/>
          <w:color w:val="auto"/>
          <w:sz w:val="24"/>
          <w:highlight w:val="none"/>
        </w:rPr>
      </w:pPr>
      <w:r>
        <w:rPr>
          <w:rFonts w:hint="eastAsia" w:ascii="宋体" w:hAnsi="宋体"/>
          <w:b/>
          <w:bCs/>
          <w:color w:val="auto"/>
          <w:sz w:val="24"/>
          <w:highlight w:val="none"/>
        </w:rPr>
        <w:t>4.4、计分办法</w:t>
      </w:r>
    </w:p>
    <w:p w14:paraId="721FBA4E">
      <w:pPr>
        <w:spacing w:line="4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根据磋商文件、响应文件，按照评分办法，得出每个评委对响应单位的评标分数。响应单位的最终得分为所有评委对其打分的算术平均值。计分过程按四舍五入取至小数点后两位，最终得分取至小数点后二位。</w:t>
      </w:r>
    </w:p>
    <w:p w14:paraId="3EA47EB5">
      <w:pPr>
        <w:spacing w:line="460" w:lineRule="exact"/>
        <w:ind w:firstLine="482" w:firstLineChars="200"/>
        <w:jc w:val="left"/>
        <w:rPr>
          <w:rFonts w:hint="eastAsia" w:ascii="宋体" w:hAnsi="宋体"/>
          <w:b/>
          <w:bCs/>
          <w:color w:val="auto"/>
          <w:sz w:val="24"/>
          <w:highlight w:val="none"/>
        </w:rPr>
      </w:pPr>
      <w:r>
        <w:rPr>
          <w:rFonts w:hint="eastAsia" w:ascii="宋体" w:hAnsi="宋体"/>
          <w:b/>
          <w:bCs/>
          <w:color w:val="auto"/>
          <w:sz w:val="24"/>
          <w:highlight w:val="none"/>
        </w:rPr>
        <w:t>4.5  磋商结果</w:t>
      </w:r>
    </w:p>
    <w:p w14:paraId="374FBB04">
      <w:pPr>
        <w:spacing w:line="4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磋商小组按照得分由高到低的顺序推荐</w:t>
      </w:r>
      <w:r>
        <w:rPr>
          <w:rFonts w:hint="eastAsia" w:ascii="宋体" w:hAnsi="宋体"/>
          <w:color w:val="auto"/>
          <w:sz w:val="24"/>
          <w:highlight w:val="none"/>
          <w:lang w:val="en-US" w:eastAsia="zh-CN"/>
        </w:rPr>
        <w:t>1-</w:t>
      </w:r>
      <w:r>
        <w:rPr>
          <w:rFonts w:hint="eastAsia" w:ascii="宋体" w:hAnsi="宋体"/>
          <w:color w:val="auto"/>
          <w:sz w:val="24"/>
          <w:highlight w:val="none"/>
        </w:rPr>
        <w:t>3名</w:t>
      </w:r>
      <w:r>
        <w:rPr>
          <w:rFonts w:hint="eastAsia" w:ascii="宋体" w:hAnsi="宋体"/>
          <w:color w:val="auto"/>
          <w:sz w:val="24"/>
          <w:highlight w:val="none"/>
          <w:lang w:val="en-US" w:eastAsia="zh-CN"/>
        </w:rPr>
        <w:t>成交</w:t>
      </w:r>
      <w:r>
        <w:rPr>
          <w:rFonts w:hint="eastAsia" w:ascii="宋体" w:hAnsi="宋体"/>
          <w:color w:val="auto"/>
          <w:sz w:val="24"/>
          <w:highlight w:val="none"/>
        </w:rPr>
        <w:t>候选人。磋商小组完成磋商后，应当向</w:t>
      </w:r>
      <w:r>
        <w:rPr>
          <w:rFonts w:hint="eastAsia" w:ascii="宋体" w:hAnsi="宋体"/>
          <w:color w:val="auto"/>
          <w:sz w:val="24"/>
          <w:highlight w:val="none"/>
          <w:lang w:val="en-US" w:eastAsia="zh-CN"/>
        </w:rPr>
        <w:t>采购人</w:t>
      </w:r>
      <w:r>
        <w:rPr>
          <w:rFonts w:hint="eastAsia" w:ascii="宋体" w:hAnsi="宋体"/>
          <w:color w:val="auto"/>
          <w:sz w:val="24"/>
          <w:highlight w:val="none"/>
        </w:rPr>
        <w:t>提交书面磋商报告。</w:t>
      </w:r>
    </w:p>
    <w:p w14:paraId="003EFF81">
      <w:pPr>
        <w:spacing w:line="460" w:lineRule="exact"/>
        <w:ind w:firstLine="482" w:firstLineChars="200"/>
        <w:jc w:val="left"/>
        <w:rPr>
          <w:rFonts w:hint="eastAsia" w:ascii="宋体" w:hAnsi="宋体"/>
          <w:b/>
          <w:bCs/>
          <w:color w:val="auto"/>
          <w:sz w:val="24"/>
          <w:highlight w:val="none"/>
        </w:rPr>
      </w:pPr>
      <w:r>
        <w:rPr>
          <w:rFonts w:hint="eastAsia" w:ascii="宋体" w:hAnsi="宋体"/>
          <w:b/>
          <w:bCs/>
          <w:color w:val="auto"/>
          <w:sz w:val="24"/>
          <w:highlight w:val="none"/>
        </w:rPr>
        <w:t>4.6 定标办法</w:t>
      </w:r>
    </w:p>
    <w:p w14:paraId="16401749">
      <w:pPr>
        <w:spacing w:line="4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（1）磋商小组应当根据供应商最终得分由高到低的顺序推荐</w:t>
      </w:r>
      <w:r>
        <w:rPr>
          <w:rFonts w:hint="eastAsia" w:ascii="宋体" w:hAnsi="宋体"/>
          <w:color w:val="auto"/>
          <w:sz w:val="24"/>
          <w:highlight w:val="none"/>
          <w:lang w:val="en-US" w:eastAsia="zh-CN"/>
        </w:rPr>
        <w:t>1-</w:t>
      </w:r>
      <w:r>
        <w:rPr>
          <w:rFonts w:hint="eastAsia" w:ascii="宋体" w:hAnsi="宋体"/>
          <w:color w:val="auto"/>
          <w:sz w:val="24"/>
          <w:highlight w:val="none"/>
        </w:rPr>
        <w:t>3名成交候选供应商，出具磋商评审报告。</w:t>
      </w:r>
    </w:p>
    <w:p w14:paraId="36770728">
      <w:pPr>
        <w:spacing w:line="4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最终得分相同的，按照最后报价由低到高的顺序推荐。最终得分和最后报价均相同的，按照技术指标优劣顺序或磋商小组举手表决，少数服从多数的原则推荐。</w:t>
      </w:r>
    </w:p>
    <w:p w14:paraId="756868B9">
      <w:pPr>
        <w:spacing w:line="460" w:lineRule="exact"/>
        <w:ind w:firstLine="480" w:firstLineChars="200"/>
        <w:jc w:val="left"/>
        <w:rPr>
          <w:rFonts w:hint="eastAsia" w:ascii="宋体" w:hAnsi="宋体"/>
          <w:color w:val="auto"/>
          <w:sz w:val="24"/>
          <w:highlight w:val="none"/>
        </w:rPr>
      </w:pPr>
      <w:r>
        <w:rPr>
          <w:rFonts w:hint="eastAsia" w:ascii="宋体" w:hAnsi="宋体"/>
          <w:color w:val="auto"/>
          <w:sz w:val="24"/>
          <w:highlight w:val="none"/>
        </w:rPr>
        <w:t>（2）</w:t>
      </w:r>
      <w:r>
        <w:rPr>
          <w:rFonts w:hint="eastAsia" w:ascii="宋体" w:hAnsi="宋体"/>
          <w:color w:val="auto"/>
          <w:sz w:val="24"/>
          <w:highlight w:val="none"/>
          <w:lang w:val="en-US" w:eastAsia="zh-CN"/>
        </w:rPr>
        <w:t>采购人</w:t>
      </w:r>
      <w:r>
        <w:rPr>
          <w:rFonts w:hint="eastAsia" w:ascii="宋体" w:hAnsi="宋体"/>
          <w:color w:val="auto"/>
          <w:sz w:val="24"/>
          <w:highlight w:val="none"/>
        </w:rPr>
        <w:t>按磋商小组写出磋商报告确定排序第一的</w:t>
      </w:r>
      <w:r>
        <w:rPr>
          <w:rFonts w:hint="eastAsia" w:ascii="宋体" w:hAnsi="宋体"/>
          <w:color w:val="auto"/>
          <w:sz w:val="24"/>
          <w:highlight w:val="none"/>
          <w:lang w:val="en-US" w:eastAsia="zh-CN"/>
        </w:rPr>
        <w:t>投标</w:t>
      </w:r>
      <w:r>
        <w:rPr>
          <w:rFonts w:hint="eastAsia" w:ascii="宋体" w:hAnsi="宋体"/>
          <w:color w:val="auto"/>
          <w:sz w:val="24"/>
          <w:highlight w:val="none"/>
        </w:rPr>
        <w:t>单位为</w:t>
      </w:r>
      <w:r>
        <w:rPr>
          <w:rFonts w:hint="eastAsia" w:ascii="宋体" w:hAnsi="宋体"/>
          <w:color w:val="auto"/>
          <w:sz w:val="24"/>
          <w:highlight w:val="none"/>
          <w:lang w:val="en-US" w:eastAsia="zh-CN"/>
        </w:rPr>
        <w:t>成交</w:t>
      </w:r>
      <w:r>
        <w:rPr>
          <w:rFonts w:hint="eastAsia" w:ascii="宋体" w:hAnsi="宋体"/>
          <w:color w:val="auto"/>
          <w:sz w:val="24"/>
          <w:highlight w:val="none"/>
        </w:rPr>
        <w:t>人。</w:t>
      </w:r>
    </w:p>
    <w:p w14:paraId="7578B125">
      <w:pPr>
        <w:spacing w:line="460" w:lineRule="exact"/>
        <w:ind w:firstLine="480" w:firstLineChars="200"/>
        <w:jc w:val="left"/>
        <w:rPr>
          <w:rFonts w:hint="eastAsia" w:ascii="宋体" w:hAnsi="宋体"/>
          <w:color w:val="auto"/>
          <w:sz w:val="24"/>
          <w:highlight w:val="none"/>
        </w:rPr>
      </w:pPr>
    </w:p>
    <w:p w14:paraId="1A48320D">
      <w:pPr>
        <w:spacing w:line="460" w:lineRule="exact"/>
        <w:ind w:firstLine="480" w:firstLineChars="200"/>
        <w:jc w:val="left"/>
        <w:rPr>
          <w:rFonts w:hint="eastAsia" w:ascii="宋体" w:hAnsi="宋体" w:eastAsia="宋体"/>
          <w:color w:val="auto"/>
          <w:sz w:val="24"/>
          <w:highlight w:val="none"/>
          <w:lang w:eastAsia="zh-CN"/>
        </w:rPr>
      </w:pPr>
    </w:p>
    <w:p w14:paraId="04B8775A">
      <w:pPr>
        <w:spacing w:line="460" w:lineRule="exact"/>
        <w:ind w:firstLine="480" w:firstLineChars="200"/>
        <w:jc w:val="left"/>
        <w:rPr>
          <w:rFonts w:hint="eastAsia" w:ascii="宋体" w:hAnsi="宋体"/>
          <w:color w:val="auto"/>
          <w:sz w:val="24"/>
          <w:highlight w:val="none"/>
        </w:rPr>
      </w:pPr>
    </w:p>
    <w:p w14:paraId="2B5B499E">
      <w:pPr>
        <w:spacing w:line="460" w:lineRule="exact"/>
        <w:ind w:firstLine="480" w:firstLineChars="200"/>
        <w:jc w:val="left"/>
        <w:rPr>
          <w:rFonts w:hint="eastAsia" w:ascii="宋体" w:hAnsi="宋体"/>
          <w:color w:val="auto"/>
          <w:sz w:val="24"/>
          <w:highlight w:val="none"/>
        </w:rPr>
      </w:pPr>
    </w:p>
    <w:p w14:paraId="4A1EF45F">
      <w:pPr>
        <w:spacing w:line="460" w:lineRule="exact"/>
        <w:ind w:firstLine="480" w:firstLineChars="200"/>
        <w:jc w:val="left"/>
        <w:rPr>
          <w:rFonts w:hint="eastAsia" w:ascii="宋体" w:hAnsi="宋体"/>
          <w:color w:val="auto"/>
          <w:sz w:val="24"/>
          <w:highlight w:val="none"/>
        </w:rPr>
      </w:pPr>
    </w:p>
    <w:p w14:paraId="2B05F951">
      <w:pPr>
        <w:spacing w:line="460" w:lineRule="exact"/>
        <w:ind w:firstLine="480" w:firstLineChars="200"/>
        <w:jc w:val="left"/>
        <w:rPr>
          <w:rFonts w:hint="eastAsia" w:ascii="宋体" w:hAnsi="宋体"/>
          <w:color w:val="auto"/>
          <w:sz w:val="24"/>
          <w:highlight w:val="none"/>
        </w:rPr>
      </w:pPr>
    </w:p>
    <w:p w14:paraId="17FEB9EF">
      <w:pPr>
        <w:spacing w:line="460" w:lineRule="exact"/>
        <w:ind w:firstLine="480" w:firstLineChars="200"/>
        <w:jc w:val="left"/>
        <w:rPr>
          <w:rFonts w:hint="eastAsia" w:ascii="宋体" w:hAnsi="宋体"/>
          <w:color w:val="auto"/>
          <w:sz w:val="24"/>
          <w:highlight w:val="none"/>
        </w:rPr>
      </w:pPr>
    </w:p>
    <w:p w14:paraId="45D12EF8">
      <w:pPr>
        <w:spacing w:line="460" w:lineRule="exact"/>
        <w:ind w:firstLine="480" w:firstLineChars="200"/>
        <w:jc w:val="left"/>
        <w:rPr>
          <w:rFonts w:hint="eastAsia" w:ascii="宋体" w:hAnsi="宋体"/>
          <w:color w:val="auto"/>
          <w:sz w:val="24"/>
          <w:highlight w:val="none"/>
        </w:rPr>
      </w:pPr>
    </w:p>
    <w:p w14:paraId="52F0B079">
      <w:pPr>
        <w:spacing w:line="460" w:lineRule="exact"/>
        <w:ind w:firstLine="480" w:firstLineChars="200"/>
        <w:jc w:val="left"/>
        <w:rPr>
          <w:rFonts w:hint="eastAsia" w:ascii="宋体" w:hAnsi="宋体"/>
          <w:color w:val="auto"/>
          <w:sz w:val="24"/>
          <w:highlight w:val="none"/>
        </w:rPr>
      </w:pPr>
    </w:p>
    <w:p w14:paraId="19B4D440">
      <w:pPr>
        <w:spacing w:line="460" w:lineRule="exact"/>
        <w:ind w:firstLine="480" w:firstLineChars="200"/>
        <w:jc w:val="left"/>
        <w:rPr>
          <w:rFonts w:hint="eastAsia" w:ascii="宋体" w:hAnsi="宋体"/>
          <w:color w:val="auto"/>
          <w:sz w:val="24"/>
          <w:highlight w:val="none"/>
        </w:rPr>
      </w:pPr>
    </w:p>
    <w:p w14:paraId="51DD7EDC">
      <w:pPr>
        <w:pStyle w:val="2"/>
        <w:rPr>
          <w:rFonts w:hint="eastAsia"/>
          <w:color w:val="auto"/>
          <w:highlight w:val="none"/>
        </w:rPr>
      </w:pPr>
    </w:p>
    <w:bookmarkEnd w:id="173"/>
    <w:bookmarkEnd w:id="174"/>
    <w:bookmarkEnd w:id="175"/>
    <w:bookmarkEnd w:id="176"/>
    <w:p w14:paraId="3C03F94E">
      <w:pPr>
        <w:spacing w:line="460" w:lineRule="exact"/>
        <w:ind w:firstLine="643" w:firstLineChars="200"/>
        <w:jc w:val="center"/>
        <w:rPr>
          <w:rFonts w:hint="eastAsia" w:ascii="宋体" w:hAnsi="宋体" w:eastAsia="宋体"/>
          <w:b/>
          <w:bCs/>
          <w:color w:val="auto"/>
          <w:sz w:val="32"/>
          <w:szCs w:val="28"/>
          <w:highlight w:val="none"/>
        </w:rPr>
      </w:pPr>
      <w:bookmarkStart w:id="178" w:name="_Toc463691041"/>
      <w:bookmarkStart w:id="179" w:name="_Toc16109"/>
      <w:bookmarkStart w:id="180" w:name="_Toc4457"/>
      <w:bookmarkStart w:id="181" w:name="_Toc11796"/>
      <w:bookmarkStart w:id="182" w:name="_Toc18845"/>
      <w:bookmarkStart w:id="183" w:name="_Toc17215"/>
      <w:bookmarkStart w:id="184" w:name="_Toc489602185"/>
    </w:p>
    <w:p w14:paraId="2EED8524">
      <w:pPr>
        <w:spacing w:line="460" w:lineRule="exact"/>
        <w:ind w:firstLine="643" w:firstLineChars="200"/>
        <w:jc w:val="center"/>
        <w:rPr>
          <w:rFonts w:hint="eastAsia" w:ascii="宋体" w:hAnsi="宋体" w:eastAsia="宋体"/>
          <w:b/>
          <w:bCs/>
          <w:color w:val="auto"/>
          <w:sz w:val="32"/>
          <w:szCs w:val="28"/>
          <w:highlight w:val="none"/>
        </w:rPr>
      </w:pPr>
      <w:r>
        <w:rPr>
          <w:rFonts w:hint="eastAsia" w:ascii="宋体" w:hAnsi="宋体" w:eastAsia="宋体"/>
          <w:b/>
          <w:bCs/>
          <w:color w:val="auto"/>
          <w:sz w:val="32"/>
          <w:szCs w:val="28"/>
          <w:highlight w:val="none"/>
        </w:rPr>
        <w:t>第四章 合同条款及格式</w:t>
      </w:r>
    </w:p>
    <w:bookmarkEnd w:id="178"/>
    <w:bookmarkEnd w:id="179"/>
    <w:bookmarkEnd w:id="180"/>
    <w:bookmarkEnd w:id="181"/>
    <w:bookmarkEnd w:id="182"/>
    <w:bookmarkEnd w:id="183"/>
    <w:bookmarkEnd w:id="184"/>
    <w:p w14:paraId="27FAD245">
      <w:pPr>
        <w:spacing w:line="460" w:lineRule="exact"/>
        <w:ind w:firstLine="482" w:firstLineChars="200"/>
        <w:jc w:val="left"/>
        <w:rPr>
          <w:rFonts w:hint="eastAsia" w:ascii="宋体" w:hAnsi="宋体"/>
          <w:b/>
          <w:bCs/>
          <w:color w:val="auto"/>
          <w:sz w:val="30"/>
          <w:szCs w:val="30"/>
          <w:highlight w:val="none"/>
        </w:rPr>
      </w:pPr>
      <w:bookmarkStart w:id="185" w:name="_Toc104558754"/>
      <w:bookmarkEnd w:id="185"/>
      <w:bookmarkStart w:id="186" w:name="_Toc105654865"/>
      <w:bookmarkEnd w:id="186"/>
      <w:bookmarkStart w:id="187" w:name="_Toc14753"/>
      <w:bookmarkStart w:id="188" w:name="_Toc20999"/>
      <w:bookmarkStart w:id="189" w:name="_Toc489602186"/>
      <w:bookmarkStart w:id="190" w:name="_Toc4500"/>
      <w:bookmarkStart w:id="191" w:name="_Toc27509"/>
      <w:bookmarkStart w:id="192" w:name="_Toc463691042"/>
      <w:bookmarkStart w:id="193" w:name="_Toc22130"/>
      <w:r>
        <w:rPr>
          <w:rFonts w:hint="eastAsia" w:ascii="宋体" w:hAnsi="宋体" w:eastAsia="宋体" w:cs="Times New Roman"/>
          <w:b/>
          <w:bCs/>
          <w:color w:val="auto"/>
          <w:sz w:val="24"/>
          <w:highlight w:val="none"/>
        </w:rPr>
        <w:t>第一节  通用合同条款</w:t>
      </w:r>
    </w:p>
    <w:p w14:paraId="1A3A7722">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“通用合同条款”采用《标准施工竞争性磋商文件》的“通用合同条款”。</w:t>
      </w:r>
    </w:p>
    <w:p w14:paraId="0858AC8F">
      <w:pPr>
        <w:spacing w:line="460" w:lineRule="exact"/>
        <w:ind w:firstLine="480" w:firstLineChars="200"/>
        <w:jc w:val="left"/>
        <w:rPr>
          <w:rFonts w:hint="eastAsia" w:ascii="宋体" w:hAnsi="宋体" w:eastAsia="宋体" w:cs="Times New Roman"/>
          <w:color w:val="auto"/>
          <w:sz w:val="24"/>
          <w:highlight w:val="none"/>
        </w:rPr>
      </w:pPr>
    </w:p>
    <w:p w14:paraId="0DD8C797">
      <w:pPr>
        <w:spacing w:line="460" w:lineRule="exact"/>
        <w:ind w:firstLine="482" w:firstLineChars="200"/>
        <w:jc w:val="left"/>
        <w:rPr>
          <w:rFonts w:hint="eastAsia" w:ascii="宋体" w:hAnsi="宋体" w:eastAsia="宋体" w:cs="Times New Roman"/>
          <w:b/>
          <w:bCs/>
          <w:color w:val="auto"/>
          <w:sz w:val="24"/>
          <w:highlight w:val="none"/>
        </w:rPr>
      </w:pPr>
      <w:r>
        <w:rPr>
          <w:rFonts w:hint="eastAsia" w:ascii="宋体" w:hAnsi="宋体" w:eastAsia="宋体" w:cs="Times New Roman"/>
          <w:b/>
          <w:bCs/>
          <w:color w:val="auto"/>
          <w:sz w:val="24"/>
          <w:highlight w:val="none"/>
        </w:rPr>
        <w:t>第二节  专用合同条款</w:t>
      </w:r>
    </w:p>
    <w:p w14:paraId="5738CC80">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A．公路工程专用合同条款</w:t>
      </w:r>
    </w:p>
    <w:p w14:paraId="30C25696">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1．一般约定</w:t>
      </w:r>
    </w:p>
    <w:p w14:paraId="168321FD">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1.1．词语定义</w:t>
      </w:r>
    </w:p>
    <w:p w14:paraId="41B5D688">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1.1.1合同</w:t>
      </w:r>
    </w:p>
    <w:p w14:paraId="48026CB7">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第1.1.1.6目细化为：</w:t>
      </w:r>
    </w:p>
    <w:p w14:paraId="52A3EA44">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技术规范：指本合同所约定的技术标准和要求，是合同文件的组成部分。通用合同条款中“技术标准和要求”一词具有相同含义。</w:t>
      </w:r>
    </w:p>
    <w:p w14:paraId="3C90C5D5">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第1.1.1.8目细化为：</w:t>
      </w:r>
    </w:p>
    <w:p w14:paraId="283A71B2">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已标价工程量清单：指构成合同文件组成部分的已标明价格、经算术性错误修正及其他错误修正（如有）且承包人已确认的最终的工程量清单，包括工程量清单说明、投标报价说明、计日工说明、其他说明及工程量清单各项表格（工程量清单表5.1～表5.5）。</w:t>
      </w:r>
    </w:p>
    <w:p w14:paraId="376C7EA3">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本项补充第1.1.1.10目：</w:t>
      </w:r>
    </w:p>
    <w:p w14:paraId="2FE68816">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1.1.1.10补遗书：指发出竞争性磋商文件之后由采购人向已取得竞争性磋商文件的供应商发出的、编号的对竞争性磋商文件所作的澄清、修改书。</w:t>
      </w:r>
    </w:p>
    <w:p w14:paraId="1A5FFC18">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1.1.2合同当事人和人员</w:t>
      </w:r>
    </w:p>
    <w:p w14:paraId="1805838A">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本项补充第1.1.2.8目：</w:t>
      </w:r>
    </w:p>
    <w:p w14:paraId="01DA8CB8">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1.1.2.8承包人项目总工：指由承包人书面委派常驻现场负责管理本合同工程的总工程师或技术总负责人。</w:t>
      </w:r>
    </w:p>
    <w:p w14:paraId="6BE90231">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1.1.3工程和设备</w:t>
      </w:r>
    </w:p>
    <w:p w14:paraId="3412386E">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第1.1.3.4目细化为：</w:t>
      </w:r>
    </w:p>
    <w:p w14:paraId="76B8C6B4">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单位工程：指在建设项目中，根据签订的合同，具有独立施工条件的工程。</w:t>
      </w:r>
    </w:p>
    <w:p w14:paraId="2C925805">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第1.1.3.10目细化为：</w:t>
      </w:r>
    </w:p>
    <w:p w14:paraId="4DC170D9">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永久占地：指为实施本合同工程而需要的一切永久占用的土地，包括公路两侧路权范围内的用地。</w:t>
      </w:r>
    </w:p>
    <w:p w14:paraId="758C8494">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第1.1.3.11目细化为：</w:t>
      </w:r>
    </w:p>
    <w:p w14:paraId="6CA1D39F">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临时占地：指为实施本合同工程而需要的一切临时占用的土地，包括施工所用的临时支线、便道、便桥和现场的临时出入通道，以及生产（办公）、生活等临时设施用地等。</w:t>
      </w:r>
    </w:p>
    <w:p w14:paraId="7C3B2A87">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本项补充第1.1.3.12目、第1.1.3.13目：</w:t>
      </w:r>
    </w:p>
    <w:p w14:paraId="531A3571">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1.1.3.12分部工程：指在单位工程中，按结构部位、路段长度及施工特点或施工任务划分的若干个工程。</w:t>
      </w:r>
    </w:p>
    <w:p w14:paraId="3DBCB1FE">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1.1.3.13分项工程：指在分部工程中，按不同的施工方法、材料、工序及路段长度等划分的若干个工程。</w:t>
      </w:r>
    </w:p>
    <w:p w14:paraId="748E5DB2">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1.1.6其他</w:t>
      </w:r>
    </w:p>
    <w:p w14:paraId="17E075DE">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本项补充第1.1.6.2目～第1.1.6.9目：</w:t>
      </w:r>
    </w:p>
    <w:p w14:paraId="583A41E6">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1.1.6.2竣工验收：指《公路工程竣（交）工验收办法》中的竣工验收。通用合同条款中“国家验收”一词具有相同含义。</w:t>
      </w:r>
    </w:p>
    <w:p w14:paraId="41A5F3FD">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1.1.6.3交工：指《公路工程竣（交）工验收办法》中的交工。通用合同条款中“竣工”一词具有相同含义。</w:t>
      </w:r>
    </w:p>
    <w:p w14:paraId="6D05F902">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1.1.6.4交工验收：指《公路工程竣（交）工验收办法》中的交工验收。通用合同条款中“竣工验收”一词具有相同含义。</w:t>
      </w:r>
    </w:p>
    <w:p w14:paraId="679B3ECB">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1.1.6.5交工验收证书：指《公路工程竣（交）工验收办法》中的交工验收证书。通用合同条款中“工程接收证书”一词具有相同含义。</w:t>
      </w:r>
    </w:p>
    <w:p w14:paraId="19F8966A">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1.1.6.6转包：指承包人违反法律和不履行合同规定的责任和义务，将中标工程全部委托或以专业分包的名义将中标工程肢解后全部委托给其他施工企业施工的行为。</w:t>
      </w:r>
    </w:p>
    <w:p w14:paraId="48E81C39">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1.1.6.7专业分包：指承包人与具有相应资格的施工企业签订专业分包合同，由分包人承担承包人委托的分部工程、分项工程或适合专业化队伍施工的其他工程，整体结算，并能独立控制工程质量、施工进度、材料采购、生产安全的施工行为。</w:t>
      </w:r>
    </w:p>
    <w:p w14:paraId="3769D03C">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1.1.6.8劳务分包：指承包人与具有施工劳务资质的劳务企业签订劳务分包合同，由劳务企业提供劳务人员及机具，由承包人统一组织施工、统一控制工程质量、施工进度、材料采购、生产安全的施工行为。</w:t>
      </w:r>
    </w:p>
    <w:p w14:paraId="12DC7A1C">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1.1.6.9雇用民工：指承包人与具有相应劳动能力的自然人签订劳动合同，由承包人统一组织管理，从事分项工程施工或配套工程施工的行为。</w:t>
      </w:r>
    </w:p>
    <w:p w14:paraId="74FE79F8">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1.4．合同文件的优先顺序</w:t>
      </w:r>
    </w:p>
    <w:p w14:paraId="1E4C4FC2">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本款约定为：</w:t>
      </w:r>
    </w:p>
    <w:p w14:paraId="2312D0C9">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组成合同的各项文件应互相解释，互为说明。除项目专用合同条款另有约定外，解释合同文件的优先顺序如下：</w:t>
      </w:r>
    </w:p>
    <w:p w14:paraId="691883DA">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（1）合同协议书及各种合同附件（含评标期间和合同谈判过程中的澄清文件和补充资料）；</w:t>
      </w:r>
    </w:p>
    <w:p w14:paraId="0ABB41FF">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（2）中标通知书；</w:t>
      </w:r>
    </w:p>
    <w:p w14:paraId="47ACFED0">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（3）投标函及投标函附录；</w:t>
      </w:r>
    </w:p>
    <w:p w14:paraId="0ACFED26">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（4）项目专用合同条款；</w:t>
      </w:r>
    </w:p>
    <w:p w14:paraId="0D9EA29F">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（5）公路工程专用合同条款；</w:t>
      </w:r>
    </w:p>
    <w:p w14:paraId="6BF3BBA1">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（6）通用合同条款；</w:t>
      </w:r>
    </w:p>
    <w:p w14:paraId="53CE1E4F">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（7）工程量清单计量规则；</w:t>
      </w:r>
    </w:p>
    <w:p w14:paraId="3CE7A551">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（8）技术规范；</w:t>
      </w:r>
    </w:p>
    <w:p w14:paraId="537BEC5C">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（9）图纸；</w:t>
      </w:r>
    </w:p>
    <w:p w14:paraId="1DE4C065">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（10）已标价工程量清单；</w:t>
      </w:r>
    </w:p>
    <w:p w14:paraId="28B8DC65">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（11）承包人有关人员、设备投入的承诺及</w:t>
      </w:r>
      <w:r>
        <w:rPr>
          <w:rFonts w:hint="eastAsia" w:ascii="宋体" w:hAnsi="宋体" w:cs="Times New Roman"/>
          <w:color w:val="auto"/>
          <w:sz w:val="24"/>
          <w:highlight w:val="none"/>
          <w:lang w:eastAsia="zh-CN"/>
        </w:rPr>
        <w:t>响应文件</w:t>
      </w:r>
      <w:r>
        <w:rPr>
          <w:rFonts w:hint="eastAsia" w:ascii="宋体" w:hAnsi="宋体" w:eastAsia="宋体" w:cs="Times New Roman"/>
          <w:color w:val="auto"/>
          <w:sz w:val="24"/>
          <w:highlight w:val="none"/>
        </w:rPr>
        <w:t>中的施工组织设计；</w:t>
      </w:r>
    </w:p>
    <w:p w14:paraId="4AEE7EC0">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（12）其他合同文件。</w:t>
      </w:r>
    </w:p>
    <w:p w14:paraId="7C2D7DBA">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1.5．合同协议书</w:t>
      </w:r>
    </w:p>
    <w:p w14:paraId="5CC408B6">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本款补充：</w:t>
      </w:r>
    </w:p>
    <w:p w14:paraId="21058786">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制备本合同文件的费用由发包人承担。在合同协议书签订并生效之前，投标函和中标通知书将对双方具有约束力。</w:t>
      </w:r>
    </w:p>
    <w:p w14:paraId="5324B6A9">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1.6．图纸和承包人文件</w:t>
      </w:r>
    </w:p>
    <w:p w14:paraId="326D108D">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1.6.1图纸的提供</w:t>
      </w:r>
    </w:p>
    <w:p w14:paraId="37F33E78">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本项细化为：</w:t>
      </w:r>
    </w:p>
    <w:p w14:paraId="4DF73A55">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监理人应在发出中标通知书之后42天内，向承包人免费提供由发包人或其委托的设计单位设计的施工图纸、技术规范和其他技术资料2份，并向承包人进行技术交底。承包人需要更多份数时，应自费复制。由于发包人未按时提供图纸造成工期延误的，按第11.3款的约定办理。</w:t>
      </w:r>
    </w:p>
    <w:p w14:paraId="7CE7F299">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1.6.2承包人提供的文件</w:t>
      </w:r>
    </w:p>
    <w:p w14:paraId="0F1AC1E3">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本项细化为：</w:t>
      </w:r>
    </w:p>
    <w:p w14:paraId="374123D3">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有下列情形之一的，承包人应免费向监理人提交相关部分工程的施工图纸3份，并附必要的计算书、技术资料，或施工工艺图、设备安装图及安装设备的使用和维护手册各2份供监理人批准。</w:t>
      </w:r>
    </w:p>
    <w:p w14:paraId="5C9B902F">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（1）为使第1.6.1项所述的施工图纸适合于经施工测量后的纵、横断面；</w:t>
      </w:r>
    </w:p>
    <w:p w14:paraId="3DF60B77">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（2）为使第1.6.1项所述的施工图纸适合于现场具体地形；</w:t>
      </w:r>
    </w:p>
    <w:p w14:paraId="7EE30746">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（3）为使第1.6.1项所述的施工图纸适合于因尺寸与位置变化而引起局部变更；</w:t>
      </w:r>
    </w:p>
    <w:p w14:paraId="0342CE5E">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（4）由于合同要求与施工需要。</w:t>
      </w:r>
    </w:p>
    <w:p w14:paraId="348A30DA">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此类图纸应按监理人规定的格式和图幅绘制。监理人在收到由承包人绘制的上述工程、工艺图纸、计算书和有关技术资料后14天内应予批准或提出修改要求，承包人应按监理人提出的要求作出修改，重新向监理人提交，监理人应在7天内批准或提出进一步的修改意见。</w:t>
      </w:r>
    </w:p>
    <w:p w14:paraId="6B4B780C">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1.6.4图纸的错误</w:t>
      </w:r>
    </w:p>
    <w:p w14:paraId="5AE83AAD">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本项细化为：</w:t>
      </w:r>
    </w:p>
    <w:p w14:paraId="3315F8EF">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当承包人在查阅合同文件或在本合同工程实施过程中，发现有关的工程设计、技术规范、图纸或其他资料中的任何差错、遗漏或缺陷后，应及时通知监理人。监理人接到该通知后，应立即就此作出决定，并通知承包人和发包人。</w:t>
      </w:r>
    </w:p>
    <w:p w14:paraId="2372B16E">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1.9．严禁贿赂</w:t>
      </w:r>
    </w:p>
    <w:p w14:paraId="2CCA51EF">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本款补充：</w:t>
      </w:r>
    </w:p>
    <w:p w14:paraId="32AB863E">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在合同执行过程中，发包人和承包人应严格履行《廉政合同》约定的双方在廉政建设方面的权利和义务以及应承担的违约责任。承包人如果用行贿、送礼或其他不正当手段企图影响或已经影响了发包人或监理人的行为和（或）欲获得或已获得超出合同规定以外的额外费用，则发包人应按有关法纪严肃处理当事人，且承包人应对其上述行为造成的工程损害、发包人的经济损失等承担一切责任，并予赔偿。情节严重者，发包人有权终止承包人在本合同项下的承包。</w:t>
      </w:r>
    </w:p>
    <w:p w14:paraId="1427B8F9">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2．发包人义务</w:t>
      </w:r>
    </w:p>
    <w:p w14:paraId="61D5BC6D">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2.3．提供施工场地</w:t>
      </w:r>
    </w:p>
    <w:p w14:paraId="4BA75B76">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本款补充：</w:t>
      </w:r>
    </w:p>
    <w:p w14:paraId="77ABABD8">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发包人负责办理永久占地的征用及与之有关的拆迁赔偿手续并承担相关费用。承包人在按第10条规定提交施工进度计划的同时，应向监理人提交一份按施工先后次序所需的永久占地计划。监理人应在收到此计划后的14天内审核并转报发包人核备。发包人应在监理人发出本工程或分部工程开工通知之前，对承包人开工所需的永久占地办妥征用手续和相关拆迁赔偿手续，通知承包人使用，以使承包人能够及时开工；此后按承包人提交并经监理人同意的合同进度计划的安排，分期（也可以一次）将施工所需的其余永久占地办妥征用以及拆迁赔偿手续，通知承包人使用，以使承包人能够连续不间断地施工。由于承包人施工考虑不周或措施不当等原因而造成的超计划占地或拆迁等所发生的征用和赔偿费用，应由承包人承担。</w:t>
      </w:r>
    </w:p>
    <w:p w14:paraId="1B7D9F90">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由于发包人未能按照本项规定办妥永久占地征用手续，影响承包人及时使用永久占地造成的费用增加和（或）工期延误应由发包人承担。由于承包人未能按照本项规定提交占地计划，影响发包人办理永久占地征用手续造成的费用增加和（或）工期延误由承包人承担。</w:t>
      </w:r>
    </w:p>
    <w:p w14:paraId="5E5CD92A">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3．监理人</w:t>
      </w:r>
    </w:p>
    <w:p w14:paraId="2E8B96F1">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3.1．监理人的职责和权力</w:t>
      </w:r>
    </w:p>
    <w:p w14:paraId="763E5DF9">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第3.1.1项补充：</w:t>
      </w:r>
    </w:p>
    <w:p w14:paraId="7E8B07A4">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监理人在行使下列权力前需要经发包人事先批准：</w:t>
      </w:r>
    </w:p>
    <w:p w14:paraId="178C97EA">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（1）根据第4.3款，同意分包本工程的某些非关键性工作或者适合专业化队伍施工的专项工程；</w:t>
      </w:r>
    </w:p>
    <w:p w14:paraId="29F5EF2B">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（2）确定第4.11款下产生的费用增加额；</w:t>
      </w:r>
    </w:p>
    <w:p w14:paraId="4C6BB2B6">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（3）根据第11.1款、第12.3款、第12.4款发布开工通知、暂停施工指示或复工通知；</w:t>
      </w:r>
    </w:p>
    <w:p w14:paraId="51F4E6DD">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（4）决定第11.3款、第11.4款下的工期延长；</w:t>
      </w:r>
    </w:p>
    <w:p w14:paraId="17434D2F">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（5）审查批准技术方案或设计的变更；</w:t>
      </w:r>
    </w:p>
    <w:p w14:paraId="0865ADA5">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（6）根据第15.3款发出的变更指示，其单项工程变更或累计变更涉及的金额超过了项目专用合同条款数据表中规定的金额；</w:t>
      </w:r>
    </w:p>
    <w:p w14:paraId="025E2D11">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（7）确定第15.4款下变更工作的单价；</w:t>
      </w:r>
    </w:p>
    <w:p w14:paraId="2A7ADB7E">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（8）按照第15.6款决定有关暂列金额的使用；</w:t>
      </w:r>
    </w:p>
    <w:p w14:paraId="51391A03">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（9）确定第15.8款下的暂估价金额；</w:t>
      </w:r>
    </w:p>
    <w:p w14:paraId="277A8E71">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（10）确定第23.1款下的索赔额。</w:t>
      </w:r>
    </w:p>
    <w:p w14:paraId="2DB78962">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如果发生紧急情况，监理人认为将造成人员伤亡，或危及本工程或邻近的财产需立即采取行动，监理人有权在未征得发包人的批准的情况下发布处理紧急情况所必需的指令，承包人应予执行，由此造成的费用增加由监理人按第3.5款商定或确定。</w:t>
      </w:r>
    </w:p>
    <w:p w14:paraId="5C17FB87">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3.5．商定或确定</w:t>
      </w:r>
    </w:p>
    <w:p w14:paraId="4F345E2E">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第3.5.1项补充：</w:t>
      </w:r>
    </w:p>
    <w:p w14:paraId="40CDE5F0">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如果这项商定或确定导致费用增加和（或）工期延长，或者涉及确定变更工程的价格，则总监理工程师在发出通知前，应征得发包人的同意。</w:t>
      </w:r>
    </w:p>
    <w:p w14:paraId="0CDB0FEF">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4．承包人</w:t>
      </w:r>
    </w:p>
    <w:p w14:paraId="6901CAF6">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4.1．承包人的一般义务</w:t>
      </w:r>
    </w:p>
    <w:p w14:paraId="5C376E59">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4.1.9工程的维护和照管</w:t>
      </w:r>
    </w:p>
    <w:p w14:paraId="3F0DC795">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本项细化为：</w:t>
      </w:r>
    </w:p>
    <w:p w14:paraId="7898789A">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交工验收证书颁发前，承包人应负责照管和维护工程及将用于或安装在本工程中的材料、设备。交工验收证书颁发时尚有部分未交工工程的，承包人还应负责该未交工工程、材料、设备的照管和维护工作，直至交工后移交给发包人为止。</w:t>
      </w:r>
    </w:p>
    <w:p w14:paraId="181E4E26">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在承包人负责照管与维护期间，如果本工程或材料、设备等发生损失或损害，除不可抗力原因之外，承包人均应自费弥补，并达到合同要求。承包人还应对按第19条规定而实施作业过程中由承包人造成的对工程的任何损失或损害负责。</w:t>
      </w:r>
    </w:p>
    <w:p w14:paraId="12E8EBB8">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4.1.10其他义务</w:t>
      </w:r>
    </w:p>
    <w:p w14:paraId="23C74317">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本项细化为：</w:t>
      </w:r>
    </w:p>
    <w:p w14:paraId="75401088">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（1）临时占地由承包人向当地政府土地管理部门申请，并办理租用手续，承包人按有关规定直接支付其费用，发包人对此将予以协调。</w:t>
      </w:r>
    </w:p>
    <w:p w14:paraId="15FD9B0D">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临时占地范围包括承包人驻地的办公室、食堂、宿舍、道路和机械设备停放场、材料堆放场地、弃土场、预制场、拌和场、仓库、进场临时道路、临时便道、便桥等。承包人应在“临时占地计划表”范围内按实际需要与先后次序，提出具体计划报监理人同意，并报发包人。临时占地的面积和使用期应满足工程需要，费用包括临时占地数量、时间及因此而发生的协调、租用、复耕、地面附着物（电力、电信、房屋、坟墓除外）的拆迁补偿等相关费用。除项目专用合同条款另有约定外，临时占地的租地费用实行总额包干，列入工程量清单第100章中由承包人按总额报价。临时占地退还前，承包人应自费恢复到临时占地使用前的状况。如因承包人撤离后未按要求对临时占地进行恢复或虽进行了恢复但未达到使用标准的，将由发包人委托第三方对其恢复，所发生的费用将从应付给承包人的任何款项内扣除。</w:t>
      </w:r>
    </w:p>
    <w:p w14:paraId="25043A0E">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除项目专用合同条款另有约定外，承包人应承担并支付为获得本合同工程所需的石料、砂、砾石、黏土或其他当地材料等所发生的料场使用费及其他开支或补偿费。发包人应尽可能协助承包人办理料场租用手续及解决使用过程中的有关问题。</w:t>
      </w:r>
    </w:p>
    <w:p w14:paraId="7D92C885">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3）承包人应严格遵守国家有关解决拖欠工程款和民工工资的法律、法规，及时支付工程中的材料、设备货款及民工工资等费用。承包人不得以任何借口拖欠材料、设备货款及民工工资等费用，如果出现此种现象，发包人有权代为支付其拖欠的材料、设备货款及民工工资，并从应付给承包人的工程款中扣除相应款项。对恶意拖欠和拒不按计划支付的，作为不良记录纳入公路建设市场信用信息管理系统。</w:t>
      </w:r>
    </w:p>
    <w:p w14:paraId="03A4446E">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承包人的项目经理部是民工工资支付行为的主体，承包人的项目经理是民工工资支付的责任人。项目经理部要建立全体民工花名册和工资支付表，确保将工资直接发放给民工本人，或委托银行发放民工工资，严禁发放给“包工头”或其他不具备用工主体资格的组织和个人。</w:t>
      </w:r>
    </w:p>
    <w:p w14:paraId="74CEB91C">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工资支付表应如实记录支付单位、支付时间、支付对象、支付数额、支付对象的身份证号和签字等信息。民工花名册和工资支付表应报监理人备查。</w:t>
      </w:r>
    </w:p>
    <w:p w14:paraId="09F75F58">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4）承包人应分解工程价款中的人工费用，在工程项目所在地银行开设民工工资（劳务费）专用账户，专项用于支付民工工资。发包人应按照本合同约定的比例或承包人提供的人工费用数额，将应付工程款中的人工费单独拨付到承包人开设的民工工资（劳务费）专用账户。民工工资（劳务费）专用账户应向人力资源社会保障部门和交通运输主管部门备案，并委托开户银行负责日常监管，确保专款专用。开户银行发现账户资金不足、被挪用等情况，应及时向人力资源社会保障部门和交通运输主管部门报告。</w:t>
      </w:r>
    </w:p>
    <w:p w14:paraId="50C60053">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5）承包人应严格执行竞争性磋商文件技术规范对施工标准化提出的具体要求，结合本单位施工能力和技术优势，积极采取有利于标准化施工的组织方式和工艺流程，加强工地建设、工艺控制、人员管理和内业资料管理，强化对施工一线操作人员的培训，改善职工生产生活条件，与此相关的费用承包人应列入工程量清单第100章中。</w:t>
      </w:r>
    </w:p>
    <w:p w14:paraId="0EFF5929">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（6）承包人应履行项目专用合同条款约定的其他义务。</w:t>
      </w:r>
    </w:p>
    <w:p w14:paraId="64586298">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4.2．履约保证金</w:t>
      </w:r>
    </w:p>
    <w:p w14:paraId="11ED8705">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本款细化为：</w:t>
      </w:r>
    </w:p>
    <w:p w14:paraId="612F4400">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承包人应保证其履约保证金在发包人签发交工验收证书且承包人按照合同约定缴纳质量保证金前一直有效。发包人应在收到承包人缴纳的质量保证金后28天内将履约保证金退还给承包人。</w:t>
      </w:r>
    </w:p>
    <w:p w14:paraId="37241F28">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承包人拒绝按照本合同约定缴纳质量保证金的，发包人有权从交工付款证书中扣留相应金额作为质量保证金，或者直接将履约保证金金额用于保证承包人在缺陷责任期内履行缺陷修复义务。</w:t>
      </w:r>
    </w:p>
    <w:p w14:paraId="5BB3586A">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4.3．分包</w:t>
      </w:r>
    </w:p>
    <w:p w14:paraId="106CBA47">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第4.3.2项～第4.3.4项细化为：</w:t>
      </w:r>
    </w:p>
    <w:p w14:paraId="2D5E1D7C">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4.3.2承包人不得将工程关键性工作分包给第三人。经发包人同意，承包人可将工程的其他部分或工作分包给第三人。分包包括专业分包和劳务分包。</w:t>
      </w:r>
    </w:p>
    <w:p w14:paraId="4C1B96BA">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4.3.3专业分包</w:t>
      </w:r>
    </w:p>
    <w:p w14:paraId="40FDAEFC">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在工程施工过程中，承包人进行专业分包必须遵守以下规定：</w:t>
      </w:r>
    </w:p>
    <w:p w14:paraId="12335A70">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（1）允许专业分包的工程范围仅限于非关键性工程或者适合专业化队伍施工的专项工程。未列入</w:t>
      </w:r>
      <w:r>
        <w:rPr>
          <w:rFonts w:hint="eastAsia" w:ascii="宋体" w:hAnsi="宋体" w:cs="Times New Roman"/>
          <w:color w:val="auto"/>
          <w:sz w:val="24"/>
          <w:highlight w:val="none"/>
          <w:lang w:eastAsia="zh-CN"/>
        </w:rPr>
        <w:t>响应文件</w:t>
      </w:r>
      <w:r>
        <w:rPr>
          <w:rFonts w:hint="eastAsia" w:ascii="宋体" w:hAnsi="宋体" w:eastAsia="宋体" w:cs="Times New Roman"/>
          <w:color w:val="auto"/>
          <w:sz w:val="24"/>
          <w:highlight w:val="none"/>
        </w:rPr>
        <w:t>的专项工程，承包人不得分包。但因工程变更增加了有特殊性技术要求、特殊工艺或者涉及专利保护等的专项工程，且按规定无须再进行招标的，由承包人提出书面申请，经发包人书面同意，可以分包。</w:t>
      </w:r>
    </w:p>
    <w:p w14:paraId="26E71564">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（2）专业分包人的资格能力（含安全生产能力）应与其分包工程的标准和规模相适应，且应当具备如下条件：</w:t>
      </w:r>
    </w:p>
    <w:p w14:paraId="346FE115">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a.具有经工商登记的法人资格；</w:t>
      </w:r>
    </w:p>
    <w:p w14:paraId="780BC330">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b.具有从事类似工程经验的管理与技术人员；</w:t>
      </w:r>
    </w:p>
    <w:p w14:paraId="2E452051">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c.具有（自有或租赁）分包工程所需的施工设备。</w:t>
      </w:r>
    </w:p>
    <w:p w14:paraId="4C7346DB">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承包人应向监理人提交专业分包人的资格能力证明材料，经监理人审查并报发包人批准后，可以将相应专业工程分包给该专业分包人。</w:t>
      </w:r>
    </w:p>
    <w:p w14:paraId="3C5BA812">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（3）专业分包工程不得再次分包。</w:t>
      </w:r>
    </w:p>
    <w:p w14:paraId="480E624C">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4）承包人和专业分包人应当按照交通运输主管部门制定的统一格式依法签订专业分包合同，并履行合同约定的义务。专业分包合同必须遵循承包合同的各项原则，满足承包合同中的质量、安全、进度、环保以及其他技术、经济等要求。专业分包合同必须明确约定工程款支付条款、结算方式以及保证按期支付的相应措施，确保工程款的支付。承包人应在工程实施前，将经监理人审查同意后的分包合同报发包人备案。</w:t>
      </w:r>
    </w:p>
    <w:p w14:paraId="34FFA1D2">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5）专业分包人应当设立项目管理机构，对所分包工程的施工活动实施管理。项目管理机构应当具有与分包工程的规模、技术复杂程度相适应的技术、经济管理人员，其中项目负责人和技术、财务、计量、质量、安全等主要管理人员必须是专业分包人本单位人员。</w:t>
      </w:r>
    </w:p>
    <w:p w14:paraId="02A67C77">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6）承包人应当建立健全相关分包管理制度和台账，对专业分包工程的质量、安全、进度和专业分包人的行为等实施全过程管理，按照本办法规定和合同约定对专业分包工程的实施向发包人负责，并承担赔偿责任。专业分包合同不免除承包合同中规定的承包人的责任或者义务。</w:t>
      </w:r>
    </w:p>
    <w:p w14:paraId="15C90DC6">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（7）专业分包人应当依据专业分包合同的约定，组织分包工程的施工，并对分包工程的质量、安全和进度等实施有效控制。专业分包人对其分包的工程向承包人负责，并就所分包的工程向发包人承担连带责任。</w:t>
      </w:r>
    </w:p>
    <w:p w14:paraId="38B3F014">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8）承包人对施工现场安全负总责，并对专业分包人的安全生产进行培训和管理。专业分包人应将其专业分包工程的施工组织设计和施工安全方案报承包人备案。专业分包人对分包施工现场安全负责，发现事故隐患，应及时处理。</w:t>
      </w:r>
    </w:p>
    <w:p w14:paraId="1282539A">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违反上述规定之一者属违规分包。</w:t>
      </w:r>
    </w:p>
    <w:p w14:paraId="1EB4CA86">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4.3.4劳务分包</w:t>
      </w:r>
    </w:p>
    <w:p w14:paraId="3A1564FC">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在工程施工过程中，承包人进行劳务分包必须遵守以下规定：</w:t>
      </w:r>
    </w:p>
    <w:p w14:paraId="04BAD421">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（1）劳务分包人应具有施工劳务资质。</w:t>
      </w:r>
    </w:p>
    <w:p w14:paraId="4DB72292">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劳务分包应当依法签订劳务分包合同，劳务分包合同必须由承包人的法定代表人或其委托代理人与劳务分包人直接签订，不得由他人代签。承包人的项目经理部、项目经理、施工班组等不具备用工主体资格，不能与劳务分包人签订劳务分包合同。承包人应向发包人和监理人提交劳务分包合同副本并报项目所在地劳动保障部门备案。</w:t>
      </w:r>
    </w:p>
    <w:p w14:paraId="527AB25B">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3）承包人雇用的劳务作业应加入到承包人的施工班组统一管理。有关施工质量、施工安全、施工进度、环境保护、技术方案、试验检测、材料保管与供应、机械设备等都必须由承包人管理与调配，不得以包代管。</w:t>
      </w:r>
    </w:p>
    <w:p w14:paraId="7A31D2B9">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（4）承包人应当对劳务分包人员进行安全培训和管理，劳务分包人不得将其分包的劳务作业再次分包。</w:t>
      </w:r>
    </w:p>
    <w:p w14:paraId="49FB5AD3">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违反上述规定之一者属违规分包。</w:t>
      </w:r>
    </w:p>
    <w:p w14:paraId="28E32D05">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本款补充第4.3.6项、第4.3.7项：</w:t>
      </w:r>
    </w:p>
    <w:p w14:paraId="4F056104">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4.3.6发包人对承包人与分包人之间的法律与经济纠纷不承担任何责任和义务。</w:t>
      </w:r>
    </w:p>
    <w:p w14:paraId="40ADDF4C">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4.3.7本项目的各项分包工作均应遵守《公路工程施工分包管理办法》的有关规定。</w:t>
      </w:r>
    </w:p>
    <w:p w14:paraId="3EA6661D">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4.6．承包人人员的管理</w:t>
      </w:r>
    </w:p>
    <w:p w14:paraId="2887C964">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第4.6.3项细化为：</w:t>
      </w:r>
    </w:p>
    <w:p w14:paraId="3127AEF9">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承包人安排在施工场地的主要管理人员和技术骨干应与承包人承诺的名单一致，并保持相对稳定。未经监理人批准，上述人员不应无故不到位或被替换；若确实无法到位或需替换，需经监理人审核并报发包人批准后，用同等资质和经历的人员替换。</w:t>
      </w:r>
    </w:p>
    <w:p w14:paraId="0C9CC46C">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本款补充第4.6.5项：</w:t>
      </w:r>
    </w:p>
    <w:p w14:paraId="4990A825">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4.6.5尽管承包人已按承诺派遣了上述各类人员，但若这些人员仍不能满足合同进度计划和（或）质量要求时，监理人有权要求承包人继续增派或雇用这类人员，并书面通知承包人和抄送发包人。承包人在接到上述通知后应立即执行监理人的上述指示，不得无故拖延，由此增加的费用和（或）工期延误由承包人承担。</w:t>
      </w:r>
    </w:p>
    <w:p w14:paraId="05DCBD96">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4.7．撤换承包人项目经理和其他人员</w:t>
      </w:r>
    </w:p>
    <w:p w14:paraId="5113E77B">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本款细化为：</w:t>
      </w:r>
    </w:p>
    <w:p w14:paraId="5AA4E91C">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承包人应对其项目经理和其他人员进行有效管理。监理人要求撤换不能胜任本职工作、行为不端或玩忽职守的承包人项目经理和其他人员的，承包人应予以撤换，同时委派经发包人与监理人同意的新的项目经理和其他人员。</w:t>
      </w:r>
    </w:p>
    <w:p w14:paraId="1FD8AB79">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4.9．工程价款应专款专用</w:t>
      </w:r>
    </w:p>
    <w:p w14:paraId="4A411851">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本款细化为：</w:t>
      </w:r>
    </w:p>
    <w:p w14:paraId="1BB8F173">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发包人按合同约定支付给承包人的各项价款应专用于合同工程。承包人必须在发包人指定的银行开户，并与发包人、银行共同签订《工程资金监管协议》，接受发包人和银行对资金的监管。承包人应向发包人授权进行本合同工程开户银行工程资金的查询。发包人支付的工程进度款应为本工程的专款专用资金，不得转移或用于其他工程。发包人的期中支付款将转入该银行所设的专门账户，发包人及其派出机构有权不定期对承包人工程资金使用情况进行检查，发现问题及时责令承包人限期改正，否则，将终止月支付，直至承包人改正为止。</w:t>
      </w:r>
    </w:p>
    <w:p w14:paraId="18AAAD97">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4.10．承包人现场查勘</w:t>
      </w:r>
    </w:p>
    <w:p w14:paraId="61017538">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第4.10.1项细化为：</w:t>
      </w:r>
    </w:p>
    <w:p w14:paraId="5DEFD08A">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发包人提供的本合同工程的水文、地质、气象和料场分布、取土场、弃土场位置等资料均属于参考资料，并不构成合同文件的组成部分，承包人应对自己就上述资料的解释、推论和应用负责，发包人不对承包人据此作出的判断和决策承担任何责任。</w:t>
      </w:r>
    </w:p>
    <w:p w14:paraId="57AD8B06">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4.11．不利物质条件</w:t>
      </w:r>
    </w:p>
    <w:p w14:paraId="0C5CDD92">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第4.11.2项细化为：</w:t>
      </w:r>
    </w:p>
    <w:p w14:paraId="3E56FEC5">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4.11.2承包人遇到不可预见的不利物质条件时，应采取适应不利物质条件的合理措施继续施工，并及时通知监理人。监理人应当及时发出指示，指示构成变更的，按第15条约定办理。监理人没有发出指示的，承包人因采取合理措施而增加的费用和（或）工期延误，由发包人承担。</w:t>
      </w:r>
    </w:p>
    <w:p w14:paraId="7A98E539">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本款补充第4.11.3项：</w:t>
      </w:r>
    </w:p>
    <w:p w14:paraId="655C12DC">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4.11.3可预见的不利物质条件</w:t>
      </w:r>
    </w:p>
    <w:p w14:paraId="1BE92D98">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（1）对于项目专用合同条款中已经明确指出的不利物质条件无论承包人是否有其经历和经验均视为承包人在接受合同时已预见其影响，并已在签约合同价中计入因其影响而可能发生的一切费用。</w:t>
      </w:r>
    </w:p>
    <w:p w14:paraId="56AB635C">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（2）对于项目专用合同条款未明确指出，但是在不利物质条件发生之前，监理人已经指示承包人有可能发生，但承包人未能及时采取有效措施，而导致的损失和后果均由承包人承担。</w:t>
      </w:r>
    </w:p>
    <w:p w14:paraId="13377527">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补充第4.12款、第4.13款：</w:t>
      </w:r>
    </w:p>
    <w:p w14:paraId="0227C97B">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4.12．</w:t>
      </w:r>
      <w:r>
        <w:rPr>
          <w:rFonts w:hint="eastAsia" w:ascii="宋体" w:hAnsi="宋体" w:cs="Times New Roman"/>
          <w:color w:val="auto"/>
          <w:sz w:val="24"/>
          <w:highlight w:val="none"/>
          <w:lang w:eastAsia="zh-CN"/>
        </w:rPr>
        <w:t>响应文件</w:t>
      </w:r>
      <w:r>
        <w:rPr>
          <w:rFonts w:hint="eastAsia" w:ascii="宋体" w:hAnsi="宋体" w:eastAsia="宋体" w:cs="Times New Roman"/>
          <w:color w:val="auto"/>
          <w:sz w:val="24"/>
          <w:highlight w:val="none"/>
        </w:rPr>
        <w:t>的完备性</w:t>
      </w:r>
    </w:p>
    <w:p w14:paraId="5B7946D2">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合同双方一致认为，承包人在递交</w:t>
      </w:r>
      <w:r>
        <w:rPr>
          <w:rFonts w:hint="eastAsia" w:ascii="宋体" w:hAnsi="宋体" w:cs="Times New Roman"/>
          <w:color w:val="auto"/>
          <w:sz w:val="24"/>
          <w:highlight w:val="none"/>
          <w:lang w:eastAsia="zh-CN"/>
        </w:rPr>
        <w:t>响应文件</w:t>
      </w:r>
      <w:r>
        <w:rPr>
          <w:rFonts w:hint="eastAsia" w:ascii="宋体" w:hAnsi="宋体" w:eastAsia="宋体" w:cs="Times New Roman"/>
          <w:color w:val="auto"/>
          <w:sz w:val="24"/>
          <w:highlight w:val="none"/>
        </w:rPr>
        <w:t>前，对本合同工程的</w:t>
      </w:r>
      <w:r>
        <w:rPr>
          <w:rFonts w:hint="eastAsia" w:ascii="宋体" w:hAnsi="宋体" w:cs="Times New Roman"/>
          <w:color w:val="auto"/>
          <w:sz w:val="24"/>
          <w:highlight w:val="none"/>
          <w:lang w:eastAsia="zh-CN"/>
        </w:rPr>
        <w:t>响应文件</w:t>
      </w:r>
      <w:r>
        <w:rPr>
          <w:rFonts w:hint="eastAsia" w:ascii="宋体" w:hAnsi="宋体" w:eastAsia="宋体" w:cs="Times New Roman"/>
          <w:color w:val="auto"/>
          <w:sz w:val="24"/>
          <w:highlight w:val="none"/>
        </w:rPr>
        <w:t>和已标价工程量清单中开列的单价和总额价已查明是正确的和完备的。投标的单价和总额价应已包括了合同中规定的承包人的全部义务（包括提供货物、材料、设备、服务的义务，并包括了暂列金额和暂估价范围内的额外工作的义务）以及为实施和完成本合同工程及其缺陷修复所必需的一切工作和条件。</w:t>
      </w:r>
    </w:p>
    <w:p w14:paraId="74390227">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4.13．开展党建工作要求</w:t>
      </w:r>
    </w:p>
    <w:p w14:paraId="018A0734">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对于政府投资的国家高速公路项目，或承包人为国有控股或参股企业的，承包人应按规定在项目现场设立基层党组织。不满足上述情形的，承包人应创造条件使党员能够参加党组织生活并接受相应管理。</w:t>
      </w:r>
    </w:p>
    <w:p w14:paraId="1D743159">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承包人在项目现场设立基层党组织的，应明确党组织机构设置、党组织负责人及党务工作人员配备情况，编制党务工作开展预案，并按照预案要求在项目实施过程中同步开展党务工作，充分发挥基层党组织在项目实施中的作用。</w:t>
      </w:r>
    </w:p>
    <w:p w14:paraId="1D0695DD">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5．材料和工程设备</w:t>
      </w:r>
    </w:p>
    <w:p w14:paraId="2D5C2450">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5.2．发包人提供的材料和工程设备</w:t>
      </w:r>
    </w:p>
    <w:p w14:paraId="4E2AA74B">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第5.2.3项补充：</w:t>
      </w:r>
    </w:p>
    <w:p w14:paraId="1FEC8F52">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承包人负责接收并按规定对材料进行抽样检验和对工程设备进行检验测试，若发现材料和工程设备存在缺陷，承包人应及时通知监理人，发包人应及时改正通知中指出的缺陷。承包人负责接收后的运输和保管，因承包人的原因发生丢失、损坏或进度拖延，由承包人承担相应责任。</w:t>
      </w:r>
    </w:p>
    <w:p w14:paraId="48715AA8">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6．施工设备和临时设施</w:t>
      </w:r>
    </w:p>
    <w:p w14:paraId="1B74DE56">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6.1．承包人提供的施工设备和临时设施</w:t>
      </w:r>
    </w:p>
    <w:p w14:paraId="5AFD307E">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第6.1.2项约定为：</w:t>
      </w:r>
    </w:p>
    <w:p w14:paraId="11A4CAB5">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承包人应自行承担修建临时设施的费用，需要临时占地的，应由承包人按第4.1.10项（1）目的规定办理。</w:t>
      </w:r>
    </w:p>
    <w:p w14:paraId="384487BC">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6.3．要求承包人增加或更换施工设备</w:t>
      </w:r>
    </w:p>
    <w:p w14:paraId="57F3AF26">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本款细化为：</w:t>
      </w:r>
    </w:p>
    <w:p w14:paraId="72829FB7">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承包人承诺的施工设备必须按时到达现场，不得拖延、缺短或任意更换。尽管承包人已按承诺提供了上述设备，但若承包人使用的施工设备不能满足合同进度计划和（或）质量要求时，监理人有权要求承包人增加或更换施工设备，承包人应及时增加或更换，由此增加的费用和（或）工期延误由承包人承担。</w:t>
      </w:r>
    </w:p>
    <w:p w14:paraId="2571B658">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7．交通运输</w:t>
      </w:r>
    </w:p>
    <w:p w14:paraId="5448E8AF">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7.1．道路通行权和场外设施</w:t>
      </w:r>
    </w:p>
    <w:p w14:paraId="0F2F0AD4">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本款约定为：</w:t>
      </w:r>
    </w:p>
    <w:p w14:paraId="31C5C99B">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承包人应根据合同工程的施工需要，负责办理取得出入施工场地的专用和临时道路的通行权，以及取得为工程建设所需修建场外设施的权利，并承担有关费用。需要发包人协调时，发包人应协助承包人办理相关手续。</w:t>
      </w:r>
    </w:p>
    <w:p w14:paraId="6A4EC719">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8．测量放线</w:t>
      </w:r>
    </w:p>
    <w:p w14:paraId="3E7874E1">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8.4．监理人使用施工控制网</w:t>
      </w:r>
    </w:p>
    <w:p w14:paraId="639F50D8">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本款补充：</w:t>
      </w:r>
    </w:p>
    <w:p w14:paraId="5AFF7356">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经监理人批准，其他相关承包人也可免费使用施工控制网。</w:t>
      </w:r>
    </w:p>
    <w:p w14:paraId="17B32B87">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9．施工安全、治安保卫和环境保护</w:t>
      </w:r>
    </w:p>
    <w:p w14:paraId="0D0917B1">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9.2．承包人的施工安全责任</w:t>
      </w:r>
    </w:p>
    <w:p w14:paraId="3762F038">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第9.2.1项细化为：</w:t>
      </w:r>
    </w:p>
    <w:p w14:paraId="7AF1E2AB">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承包人应按合同约定履行安全职责，严格执行国家、地方政府有关施工安全管理方面的法律、法规及规章制度，同时严格执行发包人制订的本项目安全生产管理方面的规章制度、安全检查程序及施工安全管理要求，以及监理人有关安全工作的指示。</w:t>
      </w:r>
    </w:p>
    <w:p w14:paraId="00A90157">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承包人应根据本工程的实际安全施工要求，编制施工安全技术措施，并在签订合同协议书后28天内，报监理人和发包人批准。该施工安全技术措施包括（但不限于）施工安全保障体系，安全生产责任制，安全生产管理规章制度，安全防护施工方案，施工现场临时用电方案，施工安全评估，安全预控及保证措施方案，紧急应变措施，安全标识、警示和围护方案等。对影响安全的重要工序和下列危险性较大的工程应编制专项施工方案，并附安全验算结果，经承包人项目总工签字并报监理人和发包人批准后实施，由专职安全生产管理人员进行现场监督。</w:t>
      </w:r>
    </w:p>
    <w:p w14:paraId="0F64F0D0">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本项目需要编制专项施工方案的工程包括但不限于以下内容：</w:t>
      </w:r>
    </w:p>
    <w:p w14:paraId="1DE2633B">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（1）不良地质条件下有潜在危险性的土方、石方开挖；</w:t>
      </w:r>
    </w:p>
    <w:p w14:paraId="7046DBBF">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（2）滑坡和高边坡处理；</w:t>
      </w:r>
    </w:p>
    <w:p w14:paraId="2BF4CF0B">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（3）桩基础、挡墙基础、深水基础及围堰工程；</w:t>
      </w:r>
    </w:p>
    <w:p w14:paraId="5D2BBAA3">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（4）桥梁工程中的梁、拱、柱等构件施工等；</w:t>
      </w:r>
    </w:p>
    <w:p w14:paraId="26A9B2D3">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（5）隧道工程中的不良地质隧道、高瓦斯隧道等；</w:t>
      </w:r>
    </w:p>
    <w:p w14:paraId="0549FA55">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（6）水上工程中的打桩船作业、施工船作业、外海孤岛作业、边通航边施工作业等；</w:t>
      </w:r>
    </w:p>
    <w:p w14:paraId="6365F615">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（7）水下工程中的水下焊接、混凝土浇筑、爆破工程等；</w:t>
      </w:r>
    </w:p>
    <w:p w14:paraId="04100985">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（8）爆破工程；</w:t>
      </w:r>
    </w:p>
    <w:p w14:paraId="23270A44">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（9）大型临时工程中的大型支架、模板、便桥的架设与拆除；桥梁、码头的加固与拆除；</w:t>
      </w:r>
    </w:p>
    <w:p w14:paraId="6B746638">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（10）其他危险性较大的工程。</w:t>
      </w:r>
    </w:p>
    <w:p w14:paraId="7B789FD1">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监理人和发包人在检查中发现有安全问题或有违反安全管理规章制度的情况时，可视为承包人违约，应按第22.1款的规定办理。</w:t>
      </w:r>
    </w:p>
    <w:p w14:paraId="08395F2F">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第9.2.5项细化为：</w:t>
      </w:r>
    </w:p>
    <w:p w14:paraId="603006DF">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除项目专用合同条款另有约定外，安全生产费用应为投标价（不含安全生产费及建筑工程一切险及第三者责任险的保险费）的1.5%（若发包人公布了最高投标限价时，按最高投标限价的1.5%计）。安全生产费用应用于施工安全防护用具及设施的采购和更新、安全施工措施的落实、安全生产条件的改善，不得挪作他用。如承包人在此基础上增加安全生产费用以满足项目施工需要，则承包人应在本项目工程量清单其他相关子目的单价或总额价中予以考虑，发包人不再另行支付。因采取合同未约定的特殊防护措施增加的费用，由监理人按第3.5款商定或确定。</w:t>
      </w:r>
    </w:p>
    <w:p w14:paraId="0656854E">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本款补充第9.2.8项～第9.2.11项：</w:t>
      </w:r>
    </w:p>
    <w:p w14:paraId="3032D081">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9.2.8承包人应充分关注和保障所有在现场工作的人员的安全，采取以下有效措施，使现场和本合同工程的实施保持有条不紊，以免使上述人员的安全受到威胁。</w:t>
      </w:r>
    </w:p>
    <w:p w14:paraId="0B999CB4">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（1）按《公路水运工程安全生产监督管理办法》规定的最低数量和资质条件配备专职安全生产管理人员；</w:t>
      </w:r>
    </w:p>
    <w:p w14:paraId="64FBAD91">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承包人的垂直运输机械作业人员、施工船舶作业人员、爆破作业人员、安装拆卸工、起重信号工、电工、焊工等国家规定的特种作业人员，必须按照国家规定经过专门的安全作业培训，并取得特种作业操作资格证书后，方可上岗作业；</w:t>
      </w:r>
    </w:p>
    <w:p w14:paraId="7E234F0E">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（3）所有施工机具设备和高空作业设备均应定期检查，并有安全员的签字记录；</w:t>
      </w:r>
    </w:p>
    <w:p w14:paraId="36AE2F8B">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（4）根据本合同各单位工程的施工特点，严格执行《公路水运工程安全生产监督管理办法》《公路工程施工安全技术规范》等有关规定。</w:t>
      </w:r>
    </w:p>
    <w:p w14:paraId="6D9F7BB4">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9.2.9为了保护本合同工程免遭损坏，或为了现场附近和过往群众的安全与方便，在确有必要的时候和地方，或当监理人或有关主管部门要求时，承包人应自费提供照明、警卫、护栅、警告标志等安全防护设施。</w:t>
      </w:r>
    </w:p>
    <w:p w14:paraId="3A9E837B">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9.2.10在通航水域施工时，承包人应与当地主管部门取得联系，设置必要的导航标志，及时发布航行通告，确保施工水域安全。</w:t>
      </w:r>
    </w:p>
    <w:p w14:paraId="0430E9FC">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9.2.11在整个施工过程中对承包人采取的施工安全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14:paraId="2D5D92BD">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9.4．环境保护</w:t>
      </w:r>
    </w:p>
    <w:p w14:paraId="7F4CF5CC">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本款补充第9.4.7项～第9.4.11项：</w:t>
      </w:r>
    </w:p>
    <w:p w14:paraId="5A29C593">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9.4.7承包人应切实执行技术规范中有关环境保护方面的条款和规定。</w:t>
      </w:r>
    </w:p>
    <w:p w14:paraId="521D94A7">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对于来自施工机械和运输车辆的施工噪声，为保护施工人员的健康，应遵守《中华人民共和国环境噪声污染防治法》并依据《工业企业噪声卫生标准》合理安排工作人员轮流操作筑路机械，减少接触高噪声的时间，或间歇安排高噪声的工作。对距噪声源较近的施工人员，除采取使用防护耳塞或头盔等有效措施外，还应当缩短其劳动时间。同时，要注意对机械的经常性保养，尽量使其噪声降低到最低水平。为保护施工现场附近居民的夜间休息，对居民区150m以内的施工现场，施工时间应加以控制。</w:t>
      </w:r>
    </w:p>
    <w:p w14:paraId="378157DD">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（2）对于公路施工中粉尘污染的主要污染源――灰土拌和、施工车辆和筑路机械运行及运输产生的扬尘，应采取有效措施减轻其对施工现场的大气污染，保护人民健康，如：</w:t>
      </w:r>
    </w:p>
    <w:p w14:paraId="4A579CC6">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a.拌和设备应有较好的密封，或有防尘设备。</w:t>
      </w:r>
    </w:p>
    <w:p w14:paraId="4B4CD2D6">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b.施工通道、沥青混凝土拌和站及灰土拌和站应经常进行洒水降尘。</w:t>
      </w:r>
    </w:p>
    <w:p w14:paraId="135AD6CC">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c.路面施工应注意保持水分，以免扬尘。</w:t>
      </w:r>
    </w:p>
    <w:p w14:paraId="440BEEAC">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d.隧道出渣和桥梁钻孔灌注桩施工时排出的泥浆要进行妥善处理，严禁向河流或农田排放。</w:t>
      </w:r>
    </w:p>
    <w:p w14:paraId="01F2E675">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（3）采取可靠措施保证原有交通的正常通行，维持沿线村镇的居民饮水、农田灌溉、生产生活用电及通信等管线的正常使用。</w:t>
      </w:r>
    </w:p>
    <w:p w14:paraId="4A53138B">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9.4.8在整个施工过程中对承包人采取的环境保护措施，发包人和监理人有权监督，并向承包人提出整改要求。如果由于承包人未能对其负责的上述事项采取各种必要的措施而导致或发生与此有关的人身伤亡、罚款、索赔、损失补偿、诉讼费用及其他一切责任应由承包人负责。</w:t>
      </w:r>
    </w:p>
    <w:p w14:paraId="6E7D98BE">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9.4.9在施工期间，承包人应随时保持现场整洁，施工设备和材料、工程设备应整齐妥善存放和储存，废料与垃圾及不再需要的临时设施应及时从现场清除、拆除并运走。</w:t>
      </w:r>
    </w:p>
    <w:p w14:paraId="41796F58">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9.4.10在施工期间，承包人应严格遵守《关于在公路建设中实行最严格的耕地保护制度的若干意见》的相关规定，规范用地、科学用地、合理用地和节约用地。承包人应合理利用所占耕地地表的耕作层，用于重新造地；合理设置取土坑和弃土场，取土坑和弃土场的施工防护要符合要求，防止水土流失。承包人应严格控制临时占地数量，施工便道、各种料场、预制场要根据工程进度统筹考虑，尽可能设置在公路用地范围内或利用荒坡、废弃地解决，不得占用农田。施工过程中要采取有效措施防止污染农田，项目完工后承包人应将临时占地自费恢复到临时占地使用前的状况。</w:t>
      </w:r>
    </w:p>
    <w:p w14:paraId="492B12C4">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9.4.11承包人应严格按照国家有关法规要求，做好施工过程中的生态保护和水土保持工作。施工中要尽可能减少对原地面的扰动，减少对地面草木的破坏，需要爆破作业的，应按规定进行控爆设计。雨季填筑路基应随挖、随运、随填、随压，要完善施工中的临时排水系统，加强施工便道的管理。取（弃）土场必须先挡后弃，严禁在指定的取（弃）土场以外的地方乱挖乱弃。</w:t>
      </w:r>
    </w:p>
    <w:p w14:paraId="3D3C6482">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10．进度计划</w:t>
      </w:r>
    </w:p>
    <w:p w14:paraId="7B032396">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10.1．合同进度计划</w:t>
      </w:r>
    </w:p>
    <w:p w14:paraId="2634D36B">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本款补充：</w:t>
      </w:r>
    </w:p>
    <w:p w14:paraId="0431B17B">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承包人编制施工方案说明的内容见项目专用合同条款。</w:t>
      </w:r>
    </w:p>
    <w:p w14:paraId="7E88E538">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承包人向监理人报送施工进度计划和施工方案说明的期限：签订合同协议书后28天之内。</w:t>
      </w:r>
    </w:p>
    <w:p w14:paraId="2C8DF086">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监理人应在14天内对承包人施工进度计划和施工方案说明予以批复或提出修改意见。</w:t>
      </w:r>
    </w:p>
    <w:p w14:paraId="1D3F6868">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合同进度计划应按照关键线路网络图和主要工作横道图两种形式分别编绘，并应包括每月预计完成的工作量和形象进度。</w:t>
      </w:r>
    </w:p>
    <w:p w14:paraId="2BB9B6EC">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10.2．合同进度计划的修订</w:t>
      </w:r>
    </w:p>
    <w:p w14:paraId="390B6E6A">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本款补充：</w:t>
      </w:r>
    </w:p>
    <w:p w14:paraId="30C31B49">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承包人提交合同进度计划修订申请报告，并附有关措施和相关资料的期限：实际进度发生滞后的当月25日前。</w:t>
      </w:r>
    </w:p>
    <w:p w14:paraId="61807FC5">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监理人批复修订合同进度计划的期限：收到修订合同进度计划后14天内。</w:t>
      </w:r>
    </w:p>
    <w:p w14:paraId="74BDAEE5">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本条补充第10.3款、第10.4款：</w:t>
      </w:r>
    </w:p>
    <w:p w14:paraId="14E58594">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10.3．年度施工计划</w:t>
      </w:r>
    </w:p>
    <w:p w14:paraId="1E91C2CE">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承包人应在每年11月底前，根据已同意的合同进度计划或其修订的计划，向监理人提交2份格式和内容符合监理人合理规定的下一年度的施工计划，以供审查。该计划应包括本年度估计完成的和下一年度预计完成的分项工程数量和工作量，以及为实施此计划将采取的措施。</w:t>
      </w:r>
    </w:p>
    <w:p w14:paraId="4E576D6D">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10.4．合同用款计划</w:t>
      </w:r>
    </w:p>
    <w:p w14:paraId="3CD0D5FD">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承包人应在签订本合同协议书后28天之内，按竞争性磋商文件中规定的格式，向监理人提交2份按合同规定承包人有权得到支付的详细的季度合同用款计划，以备监理人查阅。如果监理人提出要求，承包人还应按季度提交修订的合同用款计划。</w:t>
      </w:r>
    </w:p>
    <w:p w14:paraId="6D365FB3">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11．开工和交工</w:t>
      </w:r>
    </w:p>
    <w:p w14:paraId="1C843504">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11.1．开工</w:t>
      </w:r>
    </w:p>
    <w:p w14:paraId="07CD92CD">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第11.1.2项补充：</w:t>
      </w:r>
    </w:p>
    <w:p w14:paraId="7CF4DE07">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承包人应在分部工程开工前14天向监理人提交分部工程开工报审表，若承包人的开工准备、工作计划和质量控方法是可接受的且已获得批准，则经监理人书面同意，分部工程才能开工。</w:t>
      </w:r>
    </w:p>
    <w:p w14:paraId="0B957758">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11.3．发包人的工期延误</w:t>
      </w:r>
    </w:p>
    <w:p w14:paraId="32E8753C">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本款补充：</w:t>
      </w:r>
    </w:p>
    <w:p w14:paraId="47BB6CA8">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即使由于上述原因造成工期延误，如果受影响的工程并非处在工程施工进度网络计划的关键线路上，则承包人无权要求延长总工期。</w:t>
      </w:r>
    </w:p>
    <w:p w14:paraId="7F99FCF9">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11.4．异常恶劣的气候条件</w:t>
      </w:r>
    </w:p>
    <w:p w14:paraId="03421A41">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本款补充：</w:t>
      </w:r>
    </w:p>
    <w:p w14:paraId="7C6FA3BF">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异常气候是指项目所在地30年以上一遇的罕见气候现象（包括温度、降水、降雪、风等）。异常恶劣的气候条件在项目专用合同条款中作具体约定。</w:t>
      </w:r>
    </w:p>
    <w:p w14:paraId="6879D065">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11.5．承包人的工期延误</w:t>
      </w:r>
    </w:p>
    <w:p w14:paraId="45150B6F">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本款细化为：</w:t>
      </w:r>
    </w:p>
    <w:p w14:paraId="792FD50B">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承包人应严格执行监理人批准的合同进度计划，对工作量计划和形象进度计划分别控制。除第11.3款规定外，承包人的实际工程进度曲线应在合同进度管理曲线规定的安全区域之内。若承包人的实际工程进度曲线处在合同进度管理曲线规定的安全区域的下限之外时，则监理人有权认为本合同工程的进度过慢，并通知承包人应采取必要措施，以便加快工程进度，确保工程能在预定的工期内交工。承包人应采取措施加快进度，并承担加快进度所增加的费用。</w:t>
      </w:r>
    </w:p>
    <w:p w14:paraId="0BF74987">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如果承包人在接到监理人通知后的14天内，未能采取加快工程进度的措施，致使实际工程进度进一步滞后，或承包人虽采取了一些措施，仍无法按预计工期交工时，监理人应立即通知发包人。发包人在向承包人发出书面警告通知14天后，发包人可按第22.1款终止对承包人的雇用，也可将本合同工程中的一部分工作交由其他承包人或其他分包人完成。在不解除本合同规定的承包人责任和义务的同时，承包人应承担因此所增加的一切费用。</w:t>
      </w:r>
    </w:p>
    <w:p w14:paraId="0A0D7246">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3）由于承包人原因造成工期延误，承包人应支付逾期交工违约金。逾期交工违约金的计算方法在项目专用合同条款数据表中约定，时间自预定的交工日期起到交工验收证书中写明的实际交工日期止（扣除已批准的延长工期），按天计算。逾期交工违约金累计金额最高不超过项目专用合同条款数据表中写明的限额。发包人可以从应付或到期应付给承包人的任何款项中或采用其他方法扣除此违约金。</w:t>
      </w:r>
    </w:p>
    <w:p w14:paraId="47AC2655">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（4）承包人支付逾期交工违约金，不免除承包人完成工程及修补缺陷的义务。</w:t>
      </w:r>
    </w:p>
    <w:p w14:paraId="2E07CC7C">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5）如果在合同工程完工之前，已对合同工程内按时完工的单位工程签发了交工验收证书，则合同工程的逾期交工违约金，应按已签发交工验收证书的单位工程的价值占合同工程价值的比例予以减少，但本规定不应影响逾期交工违约金的规定限额。</w:t>
      </w:r>
    </w:p>
    <w:p w14:paraId="0EE9D2B5">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11.6．工期提前</w:t>
      </w:r>
    </w:p>
    <w:p w14:paraId="38162A56">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本款补充：</w:t>
      </w:r>
    </w:p>
    <w:p w14:paraId="4F973033">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发包人不得随意要求承包人提前交工，承包人也不得随意提出提前交工的建议。如遇特殊情况，确需将工期提前的，发包人和承包人必须采取有效措施，确保工程质量。</w:t>
      </w:r>
    </w:p>
    <w:p w14:paraId="71334370">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如果承包人提前交工，发包人支付奖金的计算方法在项目专用合同条款数据表中约定，时间自交工验收证书中写明的实际交工日期起至预定的交工日期止，按天计算。但奖金最高限额不超过项目专用合同条款数据表中写明的限额。</w:t>
      </w:r>
    </w:p>
    <w:p w14:paraId="3D59428E">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本条补充第11.7款：</w:t>
      </w:r>
    </w:p>
    <w:p w14:paraId="7C033DB2">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11.7．工作时间的限制</w:t>
      </w:r>
    </w:p>
    <w:p w14:paraId="03DC7BE2">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承包人在夜间或国家规定的节假日进行永久工程的施工，应向监理人报告，以便监理人履行监理职责和义务。</w:t>
      </w:r>
    </w:p>
    <w:p w14:paraId="0D758BEF">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但是，为了抢救生命或保护财产，或为了工程的安全、质量而不可避免地短暂作业，则不必事先向监理人报告。但承包人应在事后立即向监理人报告。</w:t>
      </w:r>
    </w:p>
    <w:p w14:paraId="34AC121E">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本款规定不适用于习惯上或施工本身要求实行连续生产的作业。</w:t>
      </w:r>
    </w:p>
    <w:p w14:paraId="57202549">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12．暂停施工</w:t>
      </w:r>
    </w:p>
    <w:p w14:paraId="5D7620FF">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12.1．承包人暂停施工的责任</w:t>
      </w:r>
    </w:p>
    <w:p w14:paraId="763CC59D">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本款第（5）项细化为：</w:t>
      </w:r>
    </w:p>
    <w:p w14:paraId="520EAAE4">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（5）现场气候条件导致的必要停工（第11.4款约定的异常恶劣的气候条件除外）；</w:t>
      </w:r>
    </w:p>
    <w:p w14:paraId="295430C1">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（6）项目专用合同条款可能约定的由承包人承担的其他暂停施工。</w:t>
      </w:r>
    </w:p>
    <w:p w14:paraId="00824A06">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13．工程质量</w:t>
      </w:r>
    </w:p>
    <w:p w14:paraId="176D4A76">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13.1．工程质量要求</w:t>
      </w:r>
    </w:p>
    <w:p w14:paraId="66C322CE">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第13.1.1项约定为：</w:t>
      </w:r>
    </w:p>
    <w:p w14:paraId="47F30D71">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工程质量验收按技术规范及《公路工程质量检验评定标准》执行。</w:t>
      </w:r>
    </w:p>
    <w:p w14:paraId="67360EC8">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本款补充第13.1.4项、第13.1.5项：</w:t>
      </w:r>
    </w:p>
    <w:p w14:paraId="1CAEAC35">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13.1.4发包人和承包人应严格遵守《关于严格落实公路工程质量责任制的若干意见》的相关规定，认真执行工程质量责任登记制度并按要求填写工程质量责任登记表。</w:t>
      </w:r>
    </w:p>
    <w:p w14:paraId="0DD958B0">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13.1.5本项目严格执行质量责任追究制度。质量事故处理实行“四不放过”原则：事故原因调查不清不放过；事故责任者没有受到教育不放过；没有防范措施不放过；相关责任人没受到处理不放过。</w:t>
      </w:r>
    </w:p>
    <w:p w14:paraId="0A891014">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13.2．承包人的质量管理</w:t>
      </w:r>
    </w:p>
    <w:p w14:paraId="1436B438">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第13.2.1项补充：</w:t>
      </w:r>
    </w:p>
    <w:p w14:paraId="1D67E1AD">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承包人提交工程质量保证措施文件的期限：签订合同协议书后28天之内。</w:t>
      </w:r>
    </w:p>
    <w:p w14:paraId="37BECB14">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本款补充第13.2.3项～第13.2.10项：</w:t>
      </w:r>
    </w:p>
    <w:p w14:paraId="529E7CD2">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13.2.3公路工程施行质量责任终身制。承包人应当书面明确相应的项目负责人和质量负责人。承包人的相关人员按照国家法律法规和有关规定在工程合理使用年限内承担相应的质量责任。</w:t>
      </w:r>
    </w:p>
    <w:p w14:paraId="13E7E664">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13.2.4承包人应当建立健全工程质量保证体系，制定质量管理制度，强化工程质量管理措施，完善工程质量目标保障机制；严格遵守国家有关法律、法规和规章，严格执行公路工程强制性技术标准、各类技术规范及规程，全面履行工程合同义务。</w:t>
      </w:r>
    </w:p>
    <w:p w14:paraId="1B395F21">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13.2.5承包人对工程施工质量负责，应当按合同约定设立现场质量管理机构、配备工程技术人员和质量管理人员，落实工程施工质量责任制。</w:t>
      </w:r>
    </w:p>
    <w:p w14:paraId="2F742243">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13.2.6承包人应当严格按照工程设计图纸、施工技术标准和合同约定施工，对原材料、混合料、构配件、工程实体、机电设备等进行检验；按规定施行班组自检、工序交接检、专职质检员检验的质量控制程序；对分项工程、分部工程和单位工程进行质量自评。检验或者自评不合格的，不得进入下道工序或者投入使用。</w:t>
      </w:r>
    </w:p>
    <w:p w14:paraId="50A2ABE6">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13.2.7承包人应当加强施工过程质量控制，并形成完整、可追溯的施工质量管理资料，主体工程的隐蔽部位施工还应当保留影像资料。对施工中出现的质量问题或者验收不合格的工程，应当负责返工处理；对在保修范围和保修期限内发生质量问题的工程，应当履行保修义务。</w:t>
      </w:r>
    </w:p>
    <w:p w14:paraId="0F66C9A9">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13.2.8承包人应当按照合同约定设立工地临时试验室，配齐检测和试验仪器、仪表，及时校正确保其精度；严格按照工程技术标准、检测规范和规程，在核定的试验检测参数范围内开展试验检测活动，并确保规范规定的检验、抽检频率。承包人应当对其设立的工地临时试验室所出具的试验检测数据和报告的真实性、客观性、准确性负责。</w:t>
      </w:r>
    </w:p>
    <w:p w14:paraId="29C7BA03">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13.2.9承包人应当依法规范分包行为，并对承担的工程质量负总责，分包单位对分包合同范围内的工程质量负责。</w:t>
      </w:r>
    </w:p>
    <w:p w14:paraId="4FDA5FA0">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13.2.10承包人驻工程现场机构应在现场驻地和重要的分部、分项工程施工现场设置明显的工程质量责任登记表公示牌。</w:t>
      </w:r>
    </w:p>
    <w:p w14:paraId="5804CEFA">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13.4．监理人的质量检查</w:t>
      </w:r>
    </w:p>
    <w:p w14:paraId="088082E7">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本款补充：</w:t>
      </w:r>
    </w:p>
    <w:p w14:paraId="129F9BEC">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监理人及其委派的检验人员，应能进入工程现场，以及材料或工程设备的制造、加工或制配的车间和场所，包括不属于承包人的车间或场所进行检查，承包人应为此提供便利和协助。</w:t>
      </w:r>
    </w:p>
    <w:p w14:paraId="43EFE93E">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监理人可以将材料或工程设备的检查和检验委托给一家独立的有质量检验认证资格的检验单位。该独立检验单位的检验结果应视为监理人完成的。监理人应将这种委托的通知书不少于7天前交给承包人。</w:t>
      </w:r>
    </w:p>
    <w:p w14:paraId="6A13DA00">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13.5．工程隐蔽部位覆盖前的检查</w:t>
      </w:r>
    </w:p>
    <w:p w14:paraId="3F282B0F">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第13.5.1项补充：</w:t>
      </w:r>
    </w:p>
    <w:p w14:paraId="5DC45C3E">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当监理人有指令时，承包人应对重要隐蔽工程进行拍摄或照相并应保证监理人有充分的机会对将要覆盖或掩蔽的工程进行检查和量测，特别是在基础以上的任一部分工程修筑之前，对该基础进行检查。</w:t>
      </w:r>
    </w:p>
    <w:p w14:paraId="3B0338D7">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13.6．清除不合格工程</w:t>
      </w:r>
    </w:p>
    <w:p w14:paraId="2D3B0CAF">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第13.6.1项细化为：</w:t>
      </w:r>
    </w:p>
    <w:p w14:paraId="00E4EBEB">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承包人使用不合格材料、工程设备，或采用不适当的施工工艺，或施工不当，造成工程不合格的，监理人可以随时发出指示，要求承包人立即采取措施进行替换、补救或拆除重建，直至达到合同要求的质量标准，由此增加的费用和（或）工期延误由承包人承担。</w:t>
      </w:r>
    </w:p>
    <w:p w14:paraId="1078572C">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（2）如果承包人未在规定时间内执行监理人的指示，发包人有权雇用他人执行，由此增加的费用和（或）工期延误由承包人承担。</w:t>
      </w:r>
    </w:p>
    <w:p w14:paraId="5339178F">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14．试验和检验</w:t>
      </w:r>
    </w:p>
    <w:p w14:paraId="38668134">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补充第14.4款：</w:t>
      </w:r>
    </w:p>
    <w:p w14:paraId="0797C182">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14.4．试验和检验费用</w:t>
      </w:r>
    </w:p>
    <w:p w14:paraId="6542F328">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（1）承包人应负责提供合同和技术规范规定的试验和检验所需的全部样品，并承担其费用。</w:t>
      </w:r>
    </w:p>
    <w:p w14:paraId="005184CE">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（2）在合同中明确规定的试验和检验，包括无须在工程量清单中单独列项和已在工程量清单中单独列项的试验和检验，其试验和检验的费用由承包人承担。</w:t>
      </w:r>
    </w:p>
    <w:p w14:paraId="4BFA7E02">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3）如果监理人所要求做的试验和检验为合同未规定的或是在该材料或工程设备的制造、加工、制配场地以外的场所进行的，则检验结束后，如表明操作工艺或材料、工程设备未能符合合同规定，其费用应由承包人承担，否则，其费用应由发包人承担。</w:t>
      </w:r>
    </w:p>
    <w:p w14:paraId="06BEAC1D">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15．变更</w:t>
      </w:r>
    </w:p>
    <w:p w14:paraId="21126AEB">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15.1．变更的范围和内容</w:t>
      </w:r>
    </w:p>
    <w:p w14:paraId="5C71FEA6">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本款第（1）项细化为：</w:t>
      </w:r>
    </w:p>
    <w:p w14:paraId="27246D3E">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（1）取消合同中任何一项工作，但被取消的工作不能转由发包人或其他人实施，由于承包人违约造成的情况除外；</w:t>
      </w:r>
    </w:p>
    <w:p w14:paraId="0A004899">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15.3．变更程序</w:t>
      </w:r>
    </w:p>
    <w:p w14:paraId="323DD4CF">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本款补充第15.3.4项：</w:t>
      </w:r>
    </w:p>
    <w:p w14:paraId="352A8DB3">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15.3.4设计变更程序应执行《公路工程设计变更管理办法》的相关规定。</w:t>
      </w:r>
    </w:p>
    <w:p w14:paraId="08642618">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15.4．变更的估价原则</w:t>
      </w:r>
    </w:p>
    <w:p w14:paraId="12E073BF">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本款细化为：</w:t>
      </w:r>
    </w:p>
    <w:p w14:paraId="2B84C932">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除项目专用合同条款另有约定外，因变更引起的价格调整按照本款约定处理。</w:t>
      </w:r>
    </w:p>
    <w:p w14:paraId="6D647EC4">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15.4.1如果取消某项工作，则该项工作的总额价不予支付。</w:t>
      </w:r>
    </w:p>
    <w:p w14:paraId="6CC46972">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15.4.2已标价工程量清单中有适用于变更工作的子目的，采用该子目的单价。</w:t>
      </w:r>
    </w:p>
    <w:p w14:paraId="494762CE">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15.4.3已标价工程量清单中无适用于变更工作的子目，但有类似子目的，可在合理范围内参照类似子目的单价，由监理人按第3.5款商定或确定变更工作的单价。</w:t>
      </w:r>
    </w:p>
    <w:p w14:paraId="6F5CE01B">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15.4.4已标价工程量清单中无适用或类似子目的单价，可在综合考虑承包人在投标时所提供的单价分析表的基础上，由监理人按第3.5款商定或确定变更工作的单价。</w:t>
      </w:r>
    </w:p>
    <w:p w14:paraId="76DCA526">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15.4.5如果本工程的变更指示是因承包人过错、承包人违反合同或承包人责任造成的，则这种违约引起的任何额外费用应由承包人承担。</w:t>
      </w:r>
    </w:p>
    <w:p w14:paraId="371FF5B2">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15.5．承包人的合理化建议</w:t>
      </w:r>
    </w:p>
    <w:p w14:paraId="14040832">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第15.5.2项约定为：</w:t>
      </w:r>
    </w:p>
    <w:p w14:paraId="314D97C3">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承包人提出的合理化建议缩短了工期，发包人按第11.6款的规定给予奖励。</w:t>
      </w:r>
    </w:p>
    <w:p w14:paraId="31F00425">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承包人提出的合理化建议降低了合同价格或者提高了工程经济效益的，发包人按项目专用合同条款数据表中规定的金额给予奖励。</w:t>
      </w:r>
    </w:p>
    <w:p w14:paraId="7B52F22C">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15.6．暂列金额</w:t>
      </w:r>
    </w:p>
    <w:p w14:paraId="0C87C910">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本款细化为：</w:t>
      </w:r>
    </w:p>
    <w:p w14:paraId="3692ECF6">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15.6.1暂列金额应由监理人报发包人批准后指令全部或部分地使用，或者根本不予动用。</w:t>
      </w:r>
    </w:p>
    <w:p w14:paraId="4D4FFFE8">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15.6.2对于经发包人批准的每一笔暂列金额，监理人有权向承包人发出实施工程或提供材料、工程设备或服务的指令。这些指令应由承包人完成，监理人应根据第15.4款约定的变更估价原则和第15.7款的规定，对合同价格进行相应调整。</w:t>
      </w:r>
    </w:p>
    <w:p w14:paraId="64867A43">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15.6.3当监理人提出要求时，承包人应提供有关暂列金额支出的所有报价单、发票、凭证和账单或收据，除非该工作是根据已标价工程量清单列明的单价或总额价进行的估价。</w:t>
      </w:r>
    </w:p>
    <w:p w14:paraId="6F2991FD">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16．价格调整</w:t>
      </w:r>
    </w:p>
    <w:p w14:paraId="24D9E183">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16.1．物价波动引起的价格调整</w:t>
      </w:r>
    </w:p>
    <w:p w14:paraId="55F8EABE">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本款约定为：</w:t>
      </w:r>
    </w:p>
    <w:p w14:paraId="67201AA8">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（1）除项目专用合同条款另有约定外，因物价波动引起的价格调整应按项目专用合同条款数据表的规定，按照第16.1.1项或第16.1.2项约定的原则处理；或者</w:t>
      </w:r>
    </w:p>
    <w:p w14:paraId="2DF7B881">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（2）在合同执行期间（包括工期拖延期间）由于人工、材料和设备价格的上涨而引起工程施工成本增加的风险由承包人自行承担，合同价格不会因此而调整。</w:t>
      </w:r>
    </w:p>
    <w:p w14:paraId="294D045C">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16.1.1采用价格指数调整价格差额</w:t>
      </w:r>
    </w:p>
    <w:p w14:paraId="4C51D205">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16.1.1.1价格调整公式</w:t>
      </w:r>
    </w:p>
    <w:p w14:paraId="71FB57EC">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价格调整公式后增加备注如下：</w:t>
      </w:r>
    </w:p>
    <w:p w14:paraId="3E7BC1B4">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 xml:space="preserve">  式中，A=1－（B1＋B2＋B3＋……＋Bn）。</w:t>
      </w:r>
    </w:p>
    <w:p w14:paraId="74A6E985">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本目最后一段文字细化为：</w:t>
      </w:r>
    </w:p>
    <w:p w14:paraId="1EF50E2C">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在采用价格调整公式进行调价时，还应遵守以下规定：</w:t>
      </w:r>
    </w:p>
    <w:p w14:paraId="5F4E2A93">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以上价格调整公式中的各可调因子、定值权重，以及基本价格指数及其来源由发包人在投标函附录价格指数和权重表中约定。价格指数应首先采用国家或省、自治区、直辖市价格部门或统计部门提供的价格指数，缺乏上述价格指数时，可采用上述部门提供的价格代替。</w:t>
      </w:r>
    </w:p>
    <w:p w14:paraId="2655C82F">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价格调整公式中的变值权重，由发包人根据项目实际情况测算确定范围，并在投标函附录价格指数和权重表中约定范围；承包人在投标时在此范围内填写各可调因子的权重，合同实施期间将按此权重进行调价。</w:t>
      </w:r>
    </w:p>
    <w:p w14:paraId="0027609A">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17．计量与支付</w:t>
      </w:r>
    </w:p>
    <w:p w14:paraId="305F9ED4">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17.1．计量</w:t>
      </w:r>
    </w:p>
    <w:p w14:paraId="76A9459B">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17.1.2计量方法</w:t>
      </w:r>
    </w:p>
    <w:p w14:paraId="14C6F36D">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本项约定为：</w:t>
      </w:r>
    </w:p>
    <w:p w14:paraId="1378E1E7">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工程的计量应以净值为准，除非项目专用合同条款另有约定。工程量清单中各个子目的具体计量方法按本合同文件工程量清单计量规则中的规定执行。</w:t>
      </w:r>
    </w:p>
    <w:p w14:paraId="3030777F">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17.1.4单价子目的计量</w:t>
      </w:r>
    </w:p>
    <w:p w14:paraId="573A9EBC">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本项补充：</w:t>
      </w:r>
    </w:p>
    <w:p w14:paraId="76142F5E">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（7）承包人未在已标价工程量清单中填入单价或总额价的工程子目，将被认为其已包含在本合同的其他子目的单价和总额价中，发包人将不另行支付。</w:t>
      </w:r>
    </w:p>
    <w:p w14:paraId="109D9F92">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17.1.5总价子目的计量</w:t>
      </w:r>
    </w:p>
    <w:p w14:paraId="786C3D5B">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本项补充：</w:t>
      </w:r>
    </w:p>
    <w:p w14:paraId="4F7EC163">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本项目工程量清单中要求承包人以“总额”方式报价的子目，各子目的支付原则和支付进度按项目专用合同条款的规定执行。</w:t>
      </w:r>
    </w:p>
    <w:p w14:paraId="0A253CA3">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17.2．预付款</w:t>
      </w:r>
    </w:p>
    <w:p w14:paraId="033DC65A">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17.2.1预付款</w:t>
      </w:r>
    </w:p>
    <w:p w14:paraId="386D0011">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本项约定为：</w:t>
      </w:r>
    </w:p>
    <w:p w14:paraId="590E2135">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预付款包括开工预付款和材料、设备预付款。具体额度和预付办法如下：</w:t>
      </w:r>
    </w:p>
    <w:p w14:paraId="0B5EE4F0">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（1）开工预付款的金额在项目专用合同条款数据表中约定。在承包人签订了合同协议书且承包人承诺的主要设备进场后，监理人应在当期进度付款证书中向承包人支付开工预付款。</w:t>
      </w:r>
    </w:p>
    <w:p w14:paraId="4DF222F0">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承包人不得将该预付款用于与本工程无关的支出，监理人有权监督承包人对该项费用的使用，如经查实承包人滥用开工预付款，发包人有权立即向银行索赔履约保证金，并解除合同。</w:t>
      </w:r>
    </w:p>
    <w:p w14:paraId="594A6789">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（2）材料、设备预付款按项目专用合同条款数据表中所列主要材料、设备单据费用（进口的材料、设备为到岸价，国内采购的为出厂价或销售价，地方材料为堆场价）的百分比支付。其预付条件为：</w:t>
      </w:r>
    </w:p>
    <w:p w14:paraId="48BDD071">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a.材料、设备符合规范要求并经监理人认可；</w:t>
      </w:r>
    </w:p>
    <w:p w14:paraId="1CD06CDF">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b.承包人已出具材料、设备费用凭证或支付单据；</w:t>
      </w:r>
    </w:p>
    <w:p w14:paraId="1A512229">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c.材料、设备已在现场交货，且存储良好，监理人认为材料、设备的存储方法符合要求。</w:t>
      </w:r>
    </w:p>
    <w:p w14:paraId="2E0D937A">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则监理人应将此项金额作为材料、设备预付款计入下一次的进度付款证书中。在预计交工前1个月，将不再支付材料、设备预付款。</w:t>
      </w:r>
    </w:p>
    <w:p w14:paraId="3EB926D0">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17.2.2预付款保函</w:t>
      </w:r>
    </w:p>
    <w:p w14:paraId="749A54A1">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本项细化为：</w:t>
      </w:r>
    </w:p>
    <w:p w14:paraId="65885FDC">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承包人无须向发包人提交预付款保函。发包人向承包人支付的预付款，应按照本合同第17.2.1项规定使用，承包人提交的履约保证金对预付款的正常使用承担保证责任。</w:t>
      </w:r>
    </w:p>
    <w:p w14:paraId="2B7F1262">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17.2.3预付款的扣回与还清</w:t>
      </w:r>
    </w:p>
    <w:p w14:paraId="5CC2084B">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本项约定为：</w:t>
      </w:r>
    </w:p>
    <w:p w14:paraId="56C4D231">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开工预付款在进度付款证书的累计金额未达到签约合同价的30%之前不予扣回，在达到签约合同价30%之后，开始按工程进度以固定比例（即每完成签约合同价的1%，扣回开工预付款的2%）分期从各月的进度付款证书中扣回，全部金额在进度付款证书的累计金额达到签约合同价的80%时扣完。</w:t>
      </w:r>
    </w:p>
    <w:p w14:paraId="51092DD5">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（2）当材料、设备已用于或安装在永久工程之中时，材料、设备预付款应从进度付款证书中扣回，扣回期不超过3个月。已经支付材料、设备预付款的材料、设备的所有权应属于发包人。</w:t>
      </w:r>
    </w:p>
    <w:p w14:paraId="6BCE1B72">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17.3．工程进度付款</w:t>
      </w:r>
    </w:p>
    <w:p w14:paraId="5C842505">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17.3.3进度付款证书和支付时间</w:t>
      </w:r>
    </w:p>
    <w:p w14:paraId="7E293B1C">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本项（1）目补充：</w:t>
      </w:r>
    </w:p>
    <w:p w14:paraId="6F7DD6D0">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如果该付款周期应结算的价款经扣留和扣回后的款额少于项目专用合同条款数据表中列明的进度付款证书的最低金额，则该付款周期监理人可不核证支付，上述款额将按付款周期结转，直至累计应支付的款额达到项目专用合同条款数据表中列明的进度付款证书的最低金额为止。</w:t>
      </w:r>
    </w:p>
    <w:p w14:paraId="65C1C493">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本项（2）目细化为：</w:t>
      </w:r>
    </w:p>
    <w:p w14:paraId="129F3269">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发包人应在监理人收到进度付款申请单且承包人提交了合格的增值税专用发票后的28天内，将进度应付款支付给承包人。</w:t>
      </w:r>
    </w:p>
    <w:p w14:paraId="64490154">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发包人不按期支付的，按项目专用合同条款数据表中约定的利率向承包人支付逾期付款违约金。违约金计算基数为发包人的全部未付款额，时间从应付而未付该款额之日算起（不计复利）。</w:t>
      </w:r>
    </w:p>
    <w:p w14:paraId="43EB688E">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本款补充第17.3.5项：</w:t>
      </w:r>
    </w:p>
    <w:p w14:paraId="23881088">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17.3.5农民工工资保证金</w:t>
      </w:r>
    </w:p>
    <w:p w14:paraId="3ADAEE5F">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（1）为确保施工过程中农民工工资实时、足额发放到位，承包人应按照项目专用合同条款约定的时间和金额缴存农民工工资保证金。</w:t>
      </w:r>
    </w:p>
    <w:p w14:paraId="4727E674">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（2）农民工工资保证金可采用银行保函或现金、支票形式。采用银行保函时，出具保函的银行须具有相应担保能力，且按照发包人批准的格式出具，所需费用由承包人承担。</w:t>
      </w:r>
    </w:p>
    <w:p w14:paraId="692740EE">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（3）农民工工资保证金的扣留条件、返还时间按照项目专用合同条款的约定执行。</w:t>
      </w:r>
    </w:p>
    <w:p w14:paraId="256B239F">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17.4．质量保证金</w:t>
      </w:r>
    </w:p>
    <w:p w14:paraId="5D3D0503">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第17.4.1项、第17.4.2项细化为：</w:t>
      </w:r>
    </w:p>
    <w:p w14:paraId="4ED291F9">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17.4.1交工验收证书签发后14天内，承包人应向发包人缴纳质量保证金。质量保证金可采用银行保函或现金、支票形式，金额应符合项目专用合同条款数据表的规定。采用银行保函时，出具保函的银行须具有相应担保能力，且按照发包人批准的格式出具，所需费用由承包人承担。</w:t>
      </w:r>
    </w:p>
    <w:p w14:paraId="7062D1BA">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质量保证金采用现金、支票形式提交的，发包人应在项目专用合同条款数据表中明确是否计付利息以及利息的计算方式。</w:t>
      </w:r>
    </w:p>
    <w:p w14:paraId="3AD4A449">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17.4.2在第1.1.4.5目约定的缺陷责任期满，且质量监督机构已按规定对工程质量检测鉴定合格，承包人向发包人申请到期应返还承包人剩余的质量保证金金额，发包人应在14天内会同承包人按照合同约定的内容核实承包人是否完成缺陷责任。如无异议，发包人应当在核实后将剩余保证金返还承包人。</w:t>
      </w:r>
    </w:p>
    <w:p w14:paraId="1B007C1E">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17.5．交工结算</w:t>
      </w:r>
    </w:p>
    <w:p w14:paraId="44A8D4B7">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17.5.1交工付款申请单</w:t>
      </w:r>
    </w:p>
    <w:p w14:paraId="27BF83A2">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本项（1）目约定为：</w:t>
      </w:r>
    </w:p>
    <w:p w14:paraId="334D54FD">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承包人向监理人提交交工付款申请单（包括相关证明材料）的份数在项目专用合同条款数据表中约定；期限：交工验收证书签发后42天内。</w:t>
      </w:r>
    </w:p>
    <w:p w14:paraId="6B72E2A9">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17.5.2交工付款证书及支付时间</w:t>
      </w:r>
    </w:p>
    <w:p w14:paraId="1274FEB2">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本项（2）目细化为：</w:t>
      </w:r>
    </w:p>
    <w:p w14:paraId="726B8AC0">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发包人应在监理人出具交工付款证书且承包人提交了合格的增值税专用发票后的14天内，将应支付款支付给承包人。发包人不按期支付的，按第17.3.3（2）目的约定，将逾期付款违约金支付给承包人。</w:t>
      </w:r>
    </w:p>
    <w:p w14:paraId="50E14CD6">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17.6．最终结清</w:t>
      </w:r>
    </w:p>
    <w:p w14:paraId="34358C8B">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17.6.1最终结清申请单</w:t>
      </w:r>
    </w:p>
    <w:p w14:paraId="236A292E">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本项（1）目约定为：</w:t>
      </w:r>
    </w:p>
    <w:p w14:paraId="4814AAEC">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承包人向监理人提交最终结清申请单（包括相关证明材料）的份数在项目专用合同条款数据表中约定；期限：缺陷责任期终止证书签发后28天内。</w:t>
      </w:r>
    </w:p>
    <w:p w14:paraId="0AC15033">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最终结清申请单中的总金额应认为是代表了根据合同规定应付给承包人的全部款项的最后结算。</w:t>
      </w:r>
    </w:p>
    <w:p w14:paraId="7E9ADD04">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17.6.2最终结清证书和支付时间</w:t>
      </w:r>
    </w:p>
    <w:p w14:paraId="65CBEF54">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本项（2）目细化为：</w:t>
      </w:r>
    </w:p>
    <w:p w14:paraId="7B8F8E6C">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（2）发包人应在监理人出具最终结清证书且承包人提交了合格的增值税专用发票后的14天内，将应支付款支付给承包人。发包人不按期支付的，按第17.3.3（2）目的约定，将逾期付款违约金支付给承包人。</w:t>
      </w:r>
    </w:p>
    <w:p w14:paraId="59640EA2">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18．交工验收</w:t>
      </w:r>
    </w:p>
    <w:p w14:paraId="2C7AB041">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18.2．交工验收申请报告</w:t>
      </w:r>
    </w:p>
    <w:p w14:paraId="6B7520B5">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本款第（2）项约定为：</w:t>
      </w:r>
    </w:p>
    <w:p w14:paraId="6CC935F7">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竣工资料的内容：承包人应按照《公路工程竣（交）工验收办法》和相关规定编制竣工资料。</w:t>
      </w:r>
    </w:p>
    <w:p w14:paraId="48BB4CF2">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竣工资料的份数在项目专用合同条款数据表中约定。</w:t>
      </w:r>
    </w:p>
    <w:p w14:paraId="259A5AE4">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18.3．验收</w:t>
      </w:r>
    </w:p>
    <w:p w14:paraId="3C88C7A7">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第18.3.2项补充：</w:t>
      </w:r>
    </w:p>
    <w:p w14:paraId="3A70B8CD">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交工验收由发包人主持，由发包人、监理人、质监、设计、施工、运营、管理养护等有关部门代表组成交工验收小组，对本项目的工程质量进行评定，并写出交工验收报告报交通运输主管部门备案。承包人应按发包人的要求提交竣工资料，完成交工验收准备工作。</w:t>
      </w:r>
    </w:p>
    <w:p w14:paraId="7E16E1E6">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第18.3.5项约定为：</w:t>
      </w:r>
    </w:p>
    <w:p w14:paraId="05A95661">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经验收合格工程的实际交工日期，以最终提交交工验收申请报告的日期为准，并在交工验收证书中写明。</w:t>
      </w:r>
    </w:p>
    <w:p w14:paraId="57F67641">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本款补充第18.3.7项：</w:t>
      </w:r>
    </w:p>
    <w:p w14:paraId="775F0BB3">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组织办理交工验收和签发交工验收证书的费用由发包人承担。但按照第18.3.4项规定达不到合格标准的交工验收费用由承包人承担。</w:t>
      </w:r>
    </w:p>
    <w:p w14:paraId="07BAA959">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本条补充第18.9款：</w:t>
      </w:r>
    </w:p>
    <w:p w14:paraId="52C9D59E">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18.9．竣工文件</w:t>
      </w:r>
    </w:p>
    <w:p w14:paraId="410FD3FD">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承包人应按照《公路工程竣（交）工验收办法》的相关规定，在缺陷责任期内为竣工验收补充竣工资料，并在签发缺陷责任期终止证书之前提交。</w:t>
      </w:r>
    </w:p>
    <w:p w14:paraId="75BEF1D3">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19．缺陷责任与保修责任</w:t>
      </w:r>
    </w:p>
    <w:p w14:paraId="4AB5CE52">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19.2．缺陷责任</w:t>
      </w:r>
    </w:p>
    <w:p w14:paraId="18DA5010">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第19.2.2项补充：</w:t>
      </w:r>
    </w:p>
    <w:p w14:paraId="755BDFCC">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在缺陷责任期内，承包人应尽快完成在交工验收证书中写明的未完成工作，并完成对本工程缺陷的修复或监理人指令的修补工作。</w:t>
      </w:r>
    </w:p>
    <w:p w14:paraId="69877D4E">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19.5．承包人的进入权</w:t>
      </w:r>
    </w:p>
    <w:p w14:paraId="5816DC2C">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本款补充：</w:t>
      </w:r>
    </w:p>
    <w:p w14:paraId="17035D10">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承包人在缺陷修复施工过程中，应服从管养单位的有关安全管理规定，由于承包人自身原因造成的人员伤亡、设备和材料的损毁及罚款等责任由承包人自负。</w:t>
      </w:r>
    </w:p>
    <w:p w14:paraId="45972BCC">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19.7．保修责任</w:t>
      </w:r>
    </w:p>
    <w:p w14:paraId="426C513B">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本款细化为：</w:t>
      </w:r>
    </w:p>
    <w:p w14:paraId="7FE31828">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保修期自实际交工日期起计算，具体期限在项目专用合同条款数据表中约定。保修期与缺陷责任期重叠的期间内，承包人的保修责任同缺陷责任。在缺陷责任期满后的保修期内，承包人可不在工地留有办事人员和机械设备，但必须随时与发包人保持联系，在保修期内承包人应对由于施工质量原因造成的损坏自费进行修复。</w:t>
      </w:r>
    </w:p>
    <w:p w14:paraId="685D8500">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（2）在全部工程交工验收前，已经发包人提前验收的单位工程，其保修期的起算日期相应提前。</w:t>
      </w:r>
    </w:p>
    <w:p w14:paraId="50BC6C88">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（3）工程保修期终止后28天内，监理人签发保修期终止证书。</w:t>
      </w:r>
    </w:p>
    <w:p w14:paraId="347A14B7">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（4）若承包人不履行保修义务和责任，则承包人应承担由于违约造成的法律后果，并由发包人将其违约行为上报省级交通运输主管部门，作为不良记录纳入公路建设市场信用信息管理系统。</w:t>
      </w:r>
    </w:p>
    <w:p w14:paraId="51B3AD3E">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20．保险</w:t>
      </w:r>
    </w:p>
    <w:p w14:paraId="4D0F03AB">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20.1．工程保险</w:t>
      </w:r>
    </w:p>
    <w:p w14:paraId="29B88E19">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本款约定为：</w:t>
      </w:r>
    </w:p>
    <w:p w14:paraId="5BF95A30">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建筑工程一切险的投保内容：为本合同工程的永久工程、临时工程和设备及已运至施工工地用于永久工程的材料和设备所投的保险。</w:t>
      </w:r>
    </w:p>
    <w:p w14:paraId="3D20465D">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保险金额：工程量清单第100章（不含建筑工程一切险及第三者责任险的保险费）至第700章的合计金额。</w:t>
      </w:r>
    </w:p>
    <w:p w14:paraId="2AE82BCA">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保险费率：在项目专用合同条款数据表中约定。</w:t>
      </w:r>
    </w:p>
    <w:p w14:paraId="32371A0F">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保险期限：开工日起直至本合同工程签发缺陷责任期终止证书止（即合同工期＋缺陷责任期）。</w:t>
      </w:r>
    </w:p>
    <w:p w14:paraId="6A03340B">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承包人应以发包人和承包人的共同名义投保建筑工程一切险。建筑工程一切险的保险费由承包人报价时列入工程量清单第100章内。发包人在接到保险单后，将按照保险单的费用直接向承包人支付。</w:t>
      </w:r>
    </w:p>
    <w:p w14:paraId="13DD5A46">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20.4．第三者责任险</w:t>
      </w:r>
    </w:p>
    <w:p w14:paraId="67B18F6E">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第20.4.2项补充：</w:t>
      </w:r>
    </w:p>
    <w:p w14:paraId="1CC8385A">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第三者责任险的保险费由承包人报价时列入工程量清单第100章内。发包人在接到保险单后，将按照保险单的费用直接向承包人支付。</w:t>
      </w:r>
    </w:p>
    <w:p w14:paraId="2EEC873F">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20.5．其他保险</w:t>
      </w:r>
    </w:p>
    <w:p w14:paraId="3D76F2B2">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本款约定为：</w:t>
      </w:r>
    </w:p>
    <w:p w14:paraId="1F422290">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承包人应为其施工设备等办理保险，其投保金额应足以现场重置。办理本款保险的一切费用均由承包人承担，并包括在工程量清单的单价及总额价中，发包人不单独支付。</w:t>
      </w:r>
    </w:p>
    <w:p w14:paraId="77E9E40F">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20.6．对各项保险的一般要求</w:t>
      </w:r>
    </w:p>
    <w:p w14:paraId="37CFBFE4">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20.6.1保险凭证</w:t>
      </w:r>
    </w:p>
    <w:p w14:paraId="68C27785">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本项约定为：</w:t>
      </w:r>
    </w:p>
    <w:p w14:paraId="398C7551">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承包人向发包人提交各项保险生效的证据和保险单副本的期限：开工后56天内。</w:t>
      </w:r>
    </w:p>
    <w:p w14:paraId="7C082AD4">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20.6.3持续保险</w:t>
      </w:r>
    </w:p>
    <w:p w14:paraId="514F1CFE">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本项补充：</w:t>
      </w:r>
    </w:p>
    <w:p w14:paraId="28A23986">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在整个合同期内，承包人应按合同条款规定保证足够的保险额。</w:t>
      </w:r>
    </w:p>
    <w:p w14:paraId="669DBA02">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20.6.4保险金不足的补偿</w:t>
      </w:r>
    </w:p>
    <w:p w14:paraId="69F304F7">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本项细化为：</w:t>
      </w:r>
    </w:p>
    <w:p w14:paraId="2786347D">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保险金不足以补偿损失的（包括免赔额和超过赔偿限额的部分），应由承包人和（或）发包人按合同约定负责补偿。</w:t>
      </w:r>
    </w:p>
    <w:p w14:paraId="3124D9A9">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20.6.5未按约定投保的补救</w:t>
      </w:r>
    </w:p>
    <w:p w14:paraId="6DE05E02">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本项（2）目细化为：</w:t>
      </w:r>
    </w:p>
    <w:p w14:paraId="3F53A083">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由于负有投保义务的一方当事人未按合同约定办理某项保险，或未按保险单规定的条件和期限及时向保险人报告事故情况，或未按要求的保险期限进行投保，或未按要求投保足够的保险金额，导致受益人未能或未能全部得到保险人的赔偿，原应从该项保险得到的保险金应由负有投保义务的一方当事人支付。</w:t>
      </w:r>
    </w:p>
    <w:p w14:paraId="4E54F9A8">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21．不可抗力</w:t>
      </w:r>
    </w:p>
    <w:p w14:paraId="02230A43">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21.1．不可抗力的确认</w:t>
      </w:r>
    </w:p>
    <w:p w14:paraId="24C82AF1">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第21.1.1项细化为：</w:t>
      </w:r>
    </w:p>
    <w:p w14:paraId="2A1E76E4">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不可抗力是指承包人和发包人在订立合同时不可预见，在工程施工过程中不可避免发生并不能克服的自然灾害和社会性突发事件。包括但不限于：</w:t>
      </w:r>
    </w:p>
    <w:p w14:paraId="42BDB6C8">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（1）地震、海啸、火山爆发、泥石流、暴雨（雪）、台风、龙卷风、水灾等自然灾害；</w:t>
      </w:r>
    </w:p>
    <w:p w14:paraId="56370DA9">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（2）战争、骚乱、暴动，但纯属承包人或其分包人派遣与雇用的人员由于本合同工程施工原因引起者除外；</w:t>
      </w:r>
    </w:p>
    <w:p w14:paraId="70E90DBA">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（3）核反应、辐射或放射性污染；</w:t>
      </w:r>
    </w:p>
    <w:p w14:paraId="2985F66B">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（4）空中飞行物体坠落或非发包人或承包人责任造成的爆炸、火灾；</w:t>
      </w:r>
    </w:p>
    <w:p w14:paraId="5E83B151">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（5）瘟疫；</w:t>
      </w:r>
    </w:p>
    <w:p w14:paraId="27A85A47">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（6）项目专用合同条款约定的其他情形。</w:t>
      </w:r>
    </w:p>
    <w:p w14:paraId="39E02DEB">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21.3．不可抗力后果及其处理</w:t>
      </w:r>
    </w:p>
    <w:p w14:paraId="63242B48">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21.3.4因不可抗力解除合同</w:t>
      </w:r>
    </w:p>
    <w:p w14:paraId="3E524D0E">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本项细化为：</w:t>
      </w:r>
    </w:p>
    <w:p w14:paraId="0DE216B8">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款商定或确定，但由于解除合同应赔偿的承包人损失不予考虑。</w:t>
      </w:r>
    </w:p>
    <w:p w14:paraId="31D5DBF3">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22．违约</w:t>
      </w:r>
    </w:p>
    <w:p w14:paraId="38341349">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22.1．承包人违约</w:t>
      </w:r>
    </w:p>
    <w:p w14:paraId="2ADDF19B">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22.1.1承包人违约的情形</w:t>
      </w:r>
    </w:p>
    <w:p w14:paraId="15493026">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本项（2）目细化为：</w:t>
      </w:r>
    </w:p>
    <w:p w14:paraId="2954C725">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（2）承包人违反第5.3款或第6.4款的约定，未经监理人批准，私自将已按合同约定进入施工场地的施工设备、临时设施、材料或工程设备撤离施工场地；</w:t>
      </w:r>
    </w:p>
    <w:p w14:paraId="04E1E2F0">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本项（7）目细化为：</w:t>
      </w:r>
    </w:p>
    <w:p w14:paraId="2E9EBCFB">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（7）承包人未能按期开工；</w:t>
      </w:r>
    </w:p>
    <w:p w14:paraId="4C3ED73C">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（8）承包人违反第4.6款或第6.3款的规定，未按承诺或未按监理人的要求及时配备称职的主要管理人员、技术骨干或关键施工设备；</w:t>
      </w:r>
    </w:p>
    <w:p w14:paraId="25F84370">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（9）经监理人和发包人检查，发现承包人有安全问题或有违反安全管理规章制度的情况；</w:t>
      </w:r>
    </w:p>
    <w:p w14:paraId="076A0FFE">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（10）承包人不按合同约定履行义务的其他情况。</w:t>
      </w:r>
    </w:p>
    <w:p w14:paraId="170C7DF6">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22.1.2对承包人违约的处理</w:t>
      </w:r>
    </w:p>
    <w:p w14:paraId="1DD462B7">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本项补充：</w:t>
      </w:r>
    </w:p>
    <w:p w14:paraId="303EEC2E">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4）承包人发生第22.1.1项约定的违约情况时，无论发包人是否解除合同，发包人均有权向承包人课以项目专用合同条款中规定的违约金，并由发包人将其违约行为上报省级交通运输主管部门，作为不良记录纳入公路建设市场信用信息管理系统。</w:t>
      </w:r>
    </w:p>
    <w:p w14:paraId="3FA40566">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22.2．发包人违约</w:t>
      </w:r>
    </w:p>
    <w:p w14:paraId="7217C7C3">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22.2.1发包人违约的情形</w:t>
      </w:r>
    </w:p>
    <w:p w14:paraId="5215FCAC">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本项（5）目细化为：</w:t>
      </w:r>
    </w:p>
    <w:p w14:paraId="2EC6DEF0">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（5）发包人无正当理由不按时返还履约保证金、质量保证金或农民工工资保证金的；</w:t>
      </w:r>
    </w:p>
    <w:p w14:paraId="552EA08B">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（6）发包人不履行合同约定其他义务的。</w:t>
      </w:r>
    </w:p>
    <w:p w14:paraId="6B59B93D">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22.2.2承包人有权暂停施工</w:t>
      </w:r>
    </w:p>
    <w:p w14:paraId="30B2ED82">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本项细化为：</w:t>
      </w:r>
    </w:p>
    <w:p w14:paraId="46B29ACC">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发包人发生除第22.2.1（4）、（5）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14:paraId="4D8892E7">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发包人发生第22.2.1（5）目的违约情况时，承包人可向发包人发出通知，要求发包人采取有效措施纠正违约行为。发包人收到承包人通知后的28天内仍不返还履约保证金、质量保证金或农民工工资保证金的，发包人应按项目专用合同条款的约定向承包人支付逾期返还保证金的违约金。</w:t>
      </w:r>
    </w:p>
    <w:p w14:paraId="66FB8DE6">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22.2.4解除合同后的付款</w:t>
      </w:r>
    </w:p>
    <w:p w14:paraId="60C6AD2B">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本项（2）目细化为：</w:t>
      </w:r>
    </w:p>
    <w:p w14:paraId="47158221">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（2）承包人为该工程施工订购并已付款的材料、工程设备和其他物品的金额。发包人付款后，该材料、工程设备和其他物品归发包人所有；</w:t>
      </w:r>
    </w:p>
    <w:p w14:paraId="352A1028">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23．索赔</w:t>
      </w:r>
    </w:p>
    <w:p w14:paraId="4792CF76">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23.1．承包人索赔的提出</w:t>
      </w:r>
    </w:p>
    <w:p w14:paraId="6F97ECE3">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本款第（4）项细化为：</w:t>
      </w:r>
    </w:p>
    <w:p w14:paraId="28124CD3">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（4）在索赔事件影响结束后的28天内，承包人应向监理人递交最终索赔通知书，说明最终要求索赔的追加付款金额和（或）延长的工期，并附必要的记录和证明材料。</w:t>
      </w:r>
    </w:p>
    <w:p w14:paraId="21A269B3">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23.2．承包人索赔处理程序</w:t>
      </w:r>
    </w:p>
    <w:p w14:paraId="342F4F22">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本款第（2）项细化为：</w:t>
      </w:r>
    </w:p>
    <w:p w14:paraId="69EAB522">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监理人应按第3.5款商定或确定追加的付款和（或）延长的工期，并在收到上述索赔通知书或有关索赔的进一步证明材料后的42天内，将索赔处理结果报发包人批准后答复承包人。如果承包人提出的索赔要求未能遵守第23.1（2）～（4）项的规定，则承包人只限于索赔由监理人按当时记录予以核实的那部分款额和（或）工期延长天数。</w:t>
      </w:r>
    </w:p>
    <w:p w14:paraId="09BF25EA">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24．争议的解决</w:t>
      </w:r>
    </w:p>
    <w:p w14:paraId="7F8899B6">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24.3．争议评审</w:t>
      </w:r>
    </w:p>
    <w:p w14:paraId="690897A4">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第24.3.1项补充：</w:t>
      </w:r>
    </w:p>
    <w:p w14:paraId="49E7499F">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争议评审组由3人或5人组成，专家的聘请方法可由发包人和承包人共同协商确定，亦可请政府主管部门推荐或通过合同争议调解机构聘请，并经双方认同。争议评审组成员应与合同双方均无利害关系。争议评审组的各项费用由发包人和承包人平均分担。</w:t>
      </w:r>
    </w:p>
    <w:p w14:paraId="0CC3FC89">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本条补充第24.4、第24.5款（适用于采用仲裁方式最终解决争议的项目）</w:t>
      </w:r>
    </w:p>
    <w:p w14:paraId="2BDF627A">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24.4．仲裁</w:t>
      </w:r>
    </w:p>
    <w:p w14:paraId="270DB91B">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（1）对于未能友好解决或未能通过争议评审解决的争议，发包人或承包人任一方均有权提交给第24.1款约定的仲裁委员会仲裁。</w:t>
      </w:r>
    </w:p>
    <w:p w14:paraId="30F0EB40">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仲裁可在交工之前或之后进行，但发包人、监理人和承包人各自的义务不得因在工程实施期间进行仲裁而有所改变。如果仲裁是在终止合同的情况下进行，则对合同工程应采取保护措施，措施费由败诉方承担。</w:t>
      </w:r>
    </w:p>
    <w:p w14:paraId="5A540558">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（3）仲裁裁决是终局性的并对发包人和承包人双方具有约束力。</w:t>
      </w:r>
    </w:p>
    <w:p w14:paraId="5C14F641">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（4）全部仲裁费用应由败诉方承担；或按仲裁委员会裁决的比例分担。</w:t>
      </w:r>
    </w:p>
    <w:p w14:paraId="19A94EA0">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24.5．仲裁的执行</w:t>
      </w:r>
    </w:p>
    <w:p w14:paraId="0DDF580F">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（1）任何一方不履行仲裁机构的裁决的，对方可以向有管辖权的人民法院申请执行。</w:t>
      </w:r>
    </w:p>
    <w:p w14:paraId="1DB70062">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任何一方提出证据证明裁决有《中华人民共和国仲裁法》第五十八条规定情形之一的，可以向仲裁委员会所在地的中级人民法院申请撤销裁决。人民法院认定执行该裁决违背社会公共利益的，裁定不予执行。仲裁裁决被人民法院裁定不予执行的，当事人可以根据双方达成的书面仲裁协议重新申请仲裁，也可以向人民法院起诉。</w:t>
      </w:r>
    </w:p>
    <w:p w14:paraId="054D5701">
      <w:pPr>
        <w:spacing w:line="460" w:lineRule="exact"/>
        <w:ind w:firstLine="480" w:firstLineChars="200"/>
        <w:jc w:val="left"/>
        <w:rPr>
          <w:rFonts w:hint="eastAsia" w:ascii="宋体" w:hAnsi="宋体" w:eastAsia="宋体" w:cs="Times New Roman"/>
          <w:color w:val="auto"/>
          <w:sz w:val="24"/>
          <w:highlight w:val="none"/>
        </w:rPr>
      </w:pPr>
    </w:p>
    <w:p w14:paraId="3E1EB839">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B．项目专用合同条款</w:t>
      </w:r>
    </w:p>
    <w:p w14:paraId="6DCD0822">
      <w:pPr>
        <w:spacing w:line="460" w:lineRule="exact"/>
        <w:ind w:firstLine="480" w:firstLineChars="200"/>
        <w:jc w:val="left"/>
        <w:rPr>
          <w:rFonts w:hint="eastAsia" w:ascii="宋体" w:hAnsi="宋体" w:eastAsia="宋体" w:cs="Times New Roman"/>
          <w:color w:val="auto"/>
          <w:sz w:val="24"/>
          <w:highlight w:val="none"/>
        </w:rPr>
      </w:pPr>
    </w:p>
    <w:p w14:paraId="62ADBE1B">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说明：</w:t>
      </w:r>
    </w:p>
    <w:p w14:paraId="06A4E7B8">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采购人在根据《公路工程标准施工竞争性磋商文件》编制项目竞争性磋商文件中的“项目专用合同条款”时，可根据招标项目的具体特点和实际需要，对“通用合同条款”及“公路工程专用合同条款”进行补充和细化，除“通用合同条款”明确“专用合同条款”可作出不同约定以及“公路工程专用合同条款”明确“项目专用合同条款”可作出不同约定外，补充和细化的内容不得与“通用合同条款”及“公路工程专用合同条款”强制性规定相抵触。同时，补充、细化或约定的内容，不得违反法律、行政法规的强制性规定和平等、自愿、公平和诚实信用原则。</w:t>
      </w:r>
    </w:p>
    <w:p w14:paraId="02245D09">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2.项目专用合同条款的编号应与通用合同条款和公路工程专用合同条款一致。</w:t>
      </w:r>
    </w:p>
    <w:p w14:paraId="284049F7">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3.项目专用合同条款可对下列内容进行补充和细化：</w:t>
      </w:r>
    </w:p>
    <w:p w14:paraId="2E3008F5">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1）“通用合同条款”中明确指出“专用合同条款”可对“通用合同条款”进行修改的内容（在“通用合同条款”中用“应按合同约定”“应按专用合同条款约定”“除合同另有约定外“”除专用合同条款另有约定外“”在专用合同条款中约定”等多种文字形式表达）；</w:t>
      </w:r>
    </w:p>
    <w:p w14:paraId="17AA9883">
      <w:pPr>
        <w:spacing w:line="460" w:lineRule="exact"/>
        <w:ind w:firstLine="480" w:firstLineChars="200"/>
        <w:jc w:val="left"/>
        <w:rPr>
          <w:rFonts w:hint="eastAsia" w:ascii="宋体" w:hAnsi="宋体" w:eastAsia="宋体" w:cs="Times New Roman"/>
          <w:color w:val="auto"/>
          <w:sz w:val="24"/>
          <w:highlight w:val="none"/>
        </w:rPr>
      </w:pPr>
      <w:r>
        <w:rPr>
          <w:rFonts w:hint="eastAsia" w:ascii="宋体" w:hAnsi="宋体" w:eastAsia="宋体" w:cs="Times New Roman"/>
          <w:color w:val="auto"/>
          <w:sz w:val="24"/>
          <w:highlight w:val="none"/>
        </w:rPr>
        <w:t>（2）“公路工程专用合同条款”中明确指出“项目专用合同条款”可对“公路工程专用合同条款”进行修改的内容（在“公路工程专用合同条款”中用“除项目专用合同条款另有约定外“”项目专用合同条款可能约定的”“项目专用合同条款约定的其他情形”等多种文字形式表达）。</w:t>
      </w:r>
    </w:p>
    <w:p w14:paraId="4D42D488">
      <w:pPr>
        <w:spacing w:line="460" w:lineRule="exact"/>
        <w:ind w:firstLine="480" w:firstLineChars="200"/>
        <w:jc w:val="left"/>
        <w:rPr>
          <w:rFonts w:hint="eastAsia" w:ascii="宋体" w:hAnsi="宋体"/>
          <w:b/>
          <w:color w:val="auto"/>
          <w:sz w:val="30"/>
          <w:szCs w:val="30"/>
          <w:highlight w:val="none"/>
        </w:rPr>
      </w:pPr>
      <w:r>
        <w:rPr>
          <w:rFonts w:hint="eastAsia" w:ascii="宋体" w:hAnsi="宋体" w:eastAsia="宋体" w:cs="Times New Roman"/>
          <w:color w:val="auto"/>
          <w:sz w:val="24"/>
          <w:highlight w:val="none"/>
        </w:rPr>
        <w:t>（3）其他需要补充、细化的内容。</w:t>
      </w:r>
    </w:p>
    <w:p w14:paraId="79EFF676">
      <w:pPr>
        <w:jc w:val="center"/>
        <w:outlineLvl w:val="1"/>
        <w:rPr>
          <w:rFonts w:hint="eastAsia" w:ascii="宋体" w:hAnsi="宋体"/>
          <w:b/>
          <w:color w:val="auto"/>
          <w:sz w:val="30"/>
          <w:szCs w:val="30"/>
          <w:highlight w:val="none"/>
        </w:rPr>
      </w:pPr>
    </w:p>
    <w:bookmarkEnd w:id="187"/>
    <w:bookmarkEnd w:id="188"/>
    <w:bookmarkEnd w:id="189"/>
    <w:bookmarkEnd w:id="190"/>
    <w:bookmarkEnd w:id="191"/>
    <w:bookmarkEnd w:id="192"/>
    <w:bookmarkEnd w:id="193"/>
    <w:p w14:paraId="5EA92963">
      <w:pPr>
        <w:jc w:val="center"/>
        <w:outlineLvl w:val="1"/>
        <w:rPr>
          <w:rFonts w:hint="eastAsia" w:ascii="宋体" w:hAnsi="宋体"/>
          <w:b/>
          <w:color w:val="auto"/>
          <w:sz w:val="30"/>
          <w:szCs w:val="30"/>
          <w:highlight w:val="none"/>
        </w:rPr>
      </w:pPr>
      <w:bookmarkStart w:id="194" w:name="_Toc105654866"/>
      <w:bookmarkEnd w:id="194"/>
      <w:bookmarkStart w:id="195" w:name="_Toc104558755"/>
      <w:bookmarkEnd w:id="195"/>
    </w:p>
    <w:p w14:paraId="019A3364">
      <w:pPr>
        <w:jc w:val="center"/>
        <w:outlineLvl w:val="1"/>
        <w:rPr>
          <w:rFonts w:hint="eastAsia" w:ascii="宋体" w:hAnsi="宋体"/>
          <w:b/>
          <w:color w:val="auto"/>
          <w:sz w:val="30"/>
          <w:szCs w:val="30"/>
          <w:highlight w:val="none"/>
        </w:rPr>
      </w:pPr>
    </w:p>
    <w:p w14:paraId="58033BA9">
      <w:pPr>
        <w:jc w:val="center"/>
        <w:outlineLvl w:val="1"/>
        <w:rPr>
          <w:rFonts w:hint="eastAsia" w:ascii="宋体" w:hAnsi="宋体"/>
          <w:b/>
          <w:color w:val="auto"/>
          <w:sz w:val="30"/>
          <w:szCs w:val="30"/>
          <w:highlight w:val="none"/>
        </w:rPr>
      </w:pPr>
    </w:p>
    <w:p w14:paraId="19DD3A43">
      <w:pPr>
        <w:jc w:val="center"/>
        <w:outlineLvl w:val="1"/>
        <w:rPr>
          <w:rFonts w:hint="eastAsia" w:ascii="宋体" w:hAnsi="宋体"/>
          <w:b/>
          <w:color w:val="auto"/>
          <w:sz w:val="30"/>
          <w:szCs w:val="30"/>
          <w:highlight w:val="none"/>
        </w:rPr>
      </w:pPr>
    </w:p>
    <w:p w14:paraId="6E4B9D50">
      <w:pPr>
        <w:jc w:val="center"/>
        <w:outlineLvl w:val="1"/>
        <w:rPr>
          <w:rFonts w:hint="eastAsia" w:ascii="宋体" w:hAnsi="宋体"/>
          <w:b/>
          <w:color w:val="auto"/>
          <w:sz w:val="30"/>
          <w:szCs w:val="30"/>
          <w:highlight w:val="none"/>
        </w:rPr>
      </w:pPr>
    </w:p>
    <w:p w14:paraId="2F60B3AF">
      <w:pPr>
        <w:jc w:val="center"/>
        <w:outlineLvl w:val="1"/>
        <w:rPr>
          <w:rFonts w:hint="eastAsia" w:ascii="宋体" w:hAnsi="宋体"/>
          <w:b/>
          <w:color w:val="auto"/>
          <w:sz w:val="30"/>
          <w:szCs w:val="30"/>
          <w:highlight w:val="none"/>
        </w:rPr>
      </w:pPr>
    </w:p>
    <w:p w14:paraId="683530BF">
      <w:pPr>
        <w:jc w:val="center"/>
        <w:outlineLvl w:val="1"/>
        <w:rPr>
          <w:rFonts w:hint="eastAsia" w:ascii="宋体" w:hAnsi="宋体"/>
          <w:b/>
          <w:color w:val="auto"/>
          <w:sz w:val="30"/>
          <w:szCs w:val="30"/>
          <w:highlight w:val="none"/>
        </w:rPr>
      </w:pPr>
    </w:p>
    <w:p w14:paraId="09ACDB10">
      <w:pPr>
        <w:jc w:val="center"/>
        <w:outlineLvl w:val="1"/>
        <w:rPr>
          <w:rFonts w:hint="eastAsia" w:ascii="宋体" w:hAnsi="宋体"/>
          <w:b/>
          <w:color w:val="auto"/>
          <w:sz w:val="30"/>
          <w:szCs w:val="30"/>
          <w:highlight w:val="none"/>
        </w:rPr>
      </w:pPr>
    </w:p>
    <w:p w14:paraId="641C8B6E">
      <w:pPr>
        <w:jc w:val="center"/>
        <w:outlineLvl w:val="1"/>
        <w:rPr>
          <w:rFonts w:hint="eastAsia" w:ascii="宋体" w:hAnsi="宋体"/>
          <w:b/>
          <w:color w:val="auto"/>
          <w:sz w:val="30"/>
          <w:szCs w:val="30"/>
          <w:highlight w:val="none"/>
        </w:rPr>
      </w:pPr>
    </w:p>
    <w:p w14:paraId="7065AD38">
      <w:pPr>
        <w:jc w:val="center"/>
        <w:outlineLvl w:val="1"/>
        <w:rPr>
          <w:rFonts w:hint="eastAsia" w:ascii="宋体" w:hAnsi="宋体"/>
          <w:b/>
          <w:color w:val="auto"/>
          <w:sz w:val="30"/>
          <w:szCs w:val="30"/>
          <w:highlight w:val="none"/>
        </w:rPr>
      </w:pPr>
    </w:p>
    <w:p w14:paraId="5D7AC15C">
      <w:pPr>
        <w:jc w:val="center"/>
        <w:outlineLvl w:val="1"/>
        <w:rPr>
          <w:rFonts w:hint="eastAsia" w:ascii="宋体" w:hAnsi="宋体"/>
          <w:b/>
          <w:color w:val="auto"/>
          <w:sz w:val="30"/>
          <w:szCs w:val="30"/>
          <w:highlight w:val="none"/>
        </w:rPr>
      </w:pPr>
    </w:p>
    <w:p w14:paraId="40EC576C">
      <w:pPr>
        <w:jc w:val="center"/>
        <w:outlineLvl w:val="1"/>
        <w:rPr>
          <w:rFonts w:hint="eastAsia" w:ascii="宋体" w:hAnsi="宋体"/>
          <w:b/>
          <w:color w:val="auto"/>
          <w:sz w:val="30"/>
          <w:szCs w:val="30"/>
          <w:highlight w:val="none"/>
        </w:rPr>
      </w:pPr>
    </w:p>
    <w:p w14:paraId="47C6FA1A">
      <w:pPr>
        <w:pStyle w:val="62"/>
        <w:spacing w:line="360" w:lineRule="auto"/>
        <w:ind w:firstLine="480"/>
        <w:rPr>
          <w:rFonts w:hint="eastAsia" w:ascii="宋体" w:hAnsi="宋体"/>
          <w:b/>
          <w:color w:val="auto"/>
          <w:sz w:val="30"/>
          <w:szCs w:val="30"/>
          <w:highlight w:val="none"/>
        </w:rPr>
      </w:pPr>
      <w:r>
        <w:rPr>
          <w:rFonts w:hint="eastAsia" w:ascii="宋体" w:hAnsi="宋体"/>
          <w:b/>
          <w:color w:val="auto"/>
          <w:sz w:val="30"/>
          <w:szCs w:val="30"/>
          <w:highlight w:val="none"/>
        </w:rPr>
        <w:t>项目专用合同条款数据表</w:t>
      </w:r>
    </w:p>
    <w:p w14:paraId="1545CFA0">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说明：本数据表是项目专用合同条款中适用于本项目的信息和数据的归纳与提示，是项目专用合同条款的组成部分。第九章“</w:t>
      </w:r>
      <w:r>
        <w:rPr>
          <w:rFonts w:hint="eastAsia" w:hAnsi="宋体" w:cs="Times New Roman"/>
          <w:color w:val="auto"/>
          <w:kern w:val="2"/>
          <w:sz w:val="24"/>
          <w:szCs w:val="24"/>
          <w:highlight w:val="none"/>
          <w:lang w:val="en-US" w:eastAsia="zh-CN" w:bidi="ar-SA"/>
        </w:rPr>
        <w:t>响应文件</w:t>
      </w:r>
      <w:r>
        <w:rPr>
          <w:rFonts w:hint="eastAsia" w:ascii="宋体" w:hAnsi="宋体" w:eastAsia="宋体" w:cs="Times New Roman"/>
          <w:color w:val="auto"/>
          <w:kern w:val="2"/>
          <w:sz w:val="24"/>
          <w:szCs w:val="24"/>
          <w:highlight w:val="none"/>
          <w:lang w:val="en-US" w:eastAsia="zh-CN" w:bidi="ar-SA"/>
        </w:rPr>
        <w:t>格式”的投标函附录中的数据（供供应商确认）与本表所列有重复。编写竞争性磋商文件的单位应仔细校核，不使数据出现差错或不一致。</w:t>
      </w:r>
    </w:p>
    <w:p w14:paraId="4E3FBD56">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序号</w:t>
      </w:r>
      <w:r>
        <w:rPr>
          <w:rFonts w:hint="eastAsia" w:ascii="宋体" w:hAnsi="宋体" w:eastAsia="宋体" w:cs="Times New Roman"/>
          <w:color w:val="auto"/>
          <w:kern w:val="2"/>
          <w:sz w:val="24"/>
          <w:szCs w:val="24"/>
          <w:highlight w:val="none"/>
          <w:lang w:val="en-US" w:eastAsia="zh-CN" w:bidi="ar-SA"/>
        </w:rPr>
        <w:tab/>
      </w:r>
      <w:r>
        <w:rPr>
          <w:rFonts w:hint="eastAsia" w:ascii="宋体" w:hAnsi="宋体" w:eastAsia="宋体" w:cs="Times New Roman"/>
          <w:color w:val="auto"/>
          <w:kern w:val="2"/>
          <w:sz w:val="24"/>
          <w:szCs w:val="24"/>
          <w:highlight w:val="none"/>
          <w:lang w:val="en-US" w:eastAsia="zh-CN" w:bidi="ar-SA"/>
        </w:rPr>
        <w:t>条目号</w:t>
      </w:r>
      <w:r>
        <w:rPr>
          <w:rFonts w:hint="eastAsia" w:ascii="宋体" w:hAnsi="宋体" w:eastAsia="宋体" w:cs="Times New Roman"/>
          <w:color w:val="auto"/>
          <w:kern w:val="2"/>
          <w:sz w:val="24"/>
          <w:szCs w:val="24"/>
          <w:highlight w:val="none"/>
          <w:lang w:val="en-US" w:eastAsia="zh-CN" w:bidi="ar-SA"/>
        </w:rPr>
        <w:tab/>
      </w:r>
      <w:r>
        <w:rPr>
          <w:rFonts w:hint="eastAsia" w:ascii="宋体" w:hAnsi="宋体" w:eastAsia="宋体" w:cs="Times New Roman"/>
          <w:color w:val="auto"/>
          <w:kern w:val="2"/>
          <w:sz w:val="24"/>
          <w:szCs w:val="24"/>
          <w:highlight w:val="none"/>
          <w:lang w:val="en-US" w:eastAsia="zh-CN" w:bidi="ar-SA"/>
        </w:rPr>
        <w:t>信息或数据</w:t>
      </w:r>
    </w:p>
    <w:p w14:paraId="5602A91E">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1</w:t>
      </w:r>
      <w:r>
        <w:rPr>
          <w:rFonts w:hint="eastAsia" w:ascii="宋体" w:hAnsi="宋体" w:eastAsia="宋体" w:cs="Times New Roman"/>
          <w:color w:val="auto"/>
          <w:kern w:val="2"/>
          <w:sz w:val="24"/>
          <w:szCs w:val="24"/>
          <w:highlight w:val="none"/>
          <w:lang w:val="en-US" w:eastAsia="zh-CN" w:bidi="ar-SA"/>
        </w:rPr>
        <w:tab/>
      </w:r>
      <w:r>
        <w:rPr>
          <w:rFonts w:hint="eastAsia" w:ascii="宋体" w:hAnsi="宋体" w:eastAsia="宋体" w:cs="Times New Roman"/>
          <w:color w:val="auto"/>
          <w:kern w:val="2"/>
          <w:sz w:val="24"/>
          <w:szCs w:val="24"/>
          <w:highlight w:val="none"/>
          <w:lang w:val="en-US" w:eastAsia="zh-CN" w:bidi="ar-SA"/>
        </w:rPr>
        <w:t>1.1.2.2</w:t>
      </w:r>
      <w:r>
        <w:rPr>
          <w:rFonts w:hint="eastAsia" w:ascii="宋体" w:hAnsi="宋体" w:eastAsia="宋体" w:cs="Times New Roman"/>
          <w:color w:val="auto"/>
          <w:kern w:val="2"/>
          <w:sz w:val="24"/>
          <w:szCs w:val="24"/>
          <w:highlight w:val="none"/>
          <w:lang w:val="en-US" w:eastAsia="zh-CN" w:bidi="ar-SA"/>
        </w:rPr>
        <w:tab/>
      </w:r>
      <w:r>
        <w:rPr>
          <w:rFonts w:hint="eastAsia" w:ascii="宋体" w:hAnsi="宋体" w:eastAsia="宋体" w:cs="Times New Roman"/>
          <w:color w:val="auto"/>
          <w:kern w:val="2"/>
          <w:sz w:val="24"/>
          <w:szCs w:val="24"/>
          <w:highlight w:val="none"/>
          <w:lang w:val="en-US" w:eastAsia="zh-CN" w:bidi="ar-SA"/>
        </w:rPr>
        <w:t>发包人：三门峡市湖滨区交通运输局</w:t>
      </w:r>
    </w:p>
    <w:p w14:paraId="380EAD75">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地  址：    邮政编码：472000</w:t>
      </w:r>
    </w:p>
    <w:p w14:paraId="6713D25D">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2</w:t>
      </w:r>
      <w:r>
        <w:rPr>
          <w:rFonts w:hint="eastAsia" w:ascii="宋体" w:hAnsi="宋体" w:eastAsia="宋体" w:cs="Times New Roman"/>
          <w:color w:val="auto"/>
          <w:kern w:val="2"/>
          <w:sz w:val="24"/>
          <w:szCs w:val="24"/>
          <w:highlight w:val="none"/>
          <w:lang w:val="en-US" w:eastAsia="zh-CN" w:bidi="ar-SA"/>
        </w:rPr>
        <w:tab/>
      </w:r>
      <w:r>
        <w:rPr>
          <w:rFonts w:hint="eastAsia" w:ascii="宋体" w:hAnsi="宋体" w:eastAsia="宋体" w:cs="Times New Roman"/>
          <w:color w:val="auto"/>
          <w:kern w:val="2"/>
          <w:sz w:val="24"/>
          <w:szCs w:val="24"/>
          <w:highlight w:val="none"/>
          <w:lang w:val="en-US" w:eastAsia="zh-CN" w:bidi="ar-SA"/>
        </w:rPr>
        <w:t>1.1.2.6</w:t>
      </w:r>
      <w:r>
        <w:rPr>
          <w:rFonts w:hint="eastAsia" w:ascii="宋体" w:hAnsi="宋体" w:eastAsia="宋体" w:cs="Times New Roman"/>
          <w:color w:val="auto"/>
          <w:kern w:val="2"/>
          <w:sz w:val="24"/>
          <w:szCs w:val="24"/>
          <w:highlight w:val="none"/>
          <w:lang w:val="en-US" w:eastAsia="zh-CN" w:bidi="ar-SA"/>
        </w:rPr>
        <w:tab/>
      </w:r>
      <w:r>
        <w:rPr>
          <w:rFonts w:hint="eastAsia" w:ascii="宋体" w:hAnsi="宋体" w:eastAsia="宋体" w:cs="Times New Roman"/>
          <w:color w:val="auto"/>
          <w:kern w:val="2"/>
          <w:sz w:val="24"/>
          <w:szCs w:val="24"/>
          <w:highlight w:val="none"/>
          <w:lang w:val="en-US" w:eastAsia="zh-CN" w:bidi="ar-SA"/>
        </w:rPr>
        <w:t>监理人：</w:t>
      </w:r>
    </w:p>
    <w:p w14:paraId="18E07C2B">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地  址：邮政编码：</w:t>
      </w:r>
    </w:p>
    <w:p w14:paraId="3B43FCDB">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3</w:t>
      </w:r>
      <w:r>
        <w:rPr>
          <w:rFonts w:hint="eastAsia" w:ascii="宋体" w:hAnsi="宋体" w:eastAsia="宋体" w:cs="Times New Roman"/>
          <w:color w:val="auto"/>
          <w:kern w:val="2"/>
          <w:sz w:val="24"/>
          <w:szCs w:val="24"/>
          <w:highlight w:val="none"/>
          <w:lang w:val="en-US" w:eastAsia="zh-CN" w:bidi="ar-SA"/>
        </w:rPr>
        <w:tab/>
      </w:r>
      <w:r>
        <w:rPr>
          <w:rFonts w:hint="eastAsia" w:ascii="宋体" w:hAnsi="宋体" w:eastAsia="宋体" w:cs="Times New Roman"/>
          <w:color w:val="auto"/>
          <w:kern w:val="2"/>
          <w:sz w:val="24"/>
          <w:szCs w:val="24"/>
          <w:highlight w:val="none"/>
          <w:lang w:val="en-US" w:eastAsia="zh-CN" w:bidi="ar-SA"/>
        </w:rPr>
        <w:t>1.1.4.5</w:t>
      </w:r>
      <w:r>
        <w:rPr>
          <w:rFonts w:hint="eastAsia" w:ascii="宋体" w:hAnsi="宋体" w:eastAsia="宋体" w:cs="Times New Roman"/>
          <w:color w:val="auto"/>
          <w:kern w:val="2"/>
          <w:sz w:val="24"/>
          <w:szCs w:val="24"/>
          <w:highlight w:val="none"/>
          <w:lang w:val="en-US" w:eastAsia="zh-CN" w:bidi="ar-SA"/>
        </w:rPr>
        <w:tab/>
      </w:r>
      <w:r>
        <w:rPr>
          <w:rFonts w:hint="eastAsia" w:ascii="宋体" w:hAnsi="宋体" w:eastAsia="宋体" w:cs="Times New Roman"/>
          <w:color w:val="auto"/>
          <w:kern w:val="2"/>
          <w:sz w:val="24"/>
          <w:szCs w:val="24"/>
          <w:highlight w:val="none"/>
          <w:lang w:val="en-US" w:eastAsia="zh-CN" w:bidi="ar-SA"/>
        </w:rPr>
        <w:t>缺陷责任期：自实际交工日期起计算 24个月</w:t>
      </w:r>
    </w:p>
    <w:p w14:paraId="6E716AF1">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4</w:t>
      </w:r>
      <w:r>
        <w:rPr>
          <w:rFonts w:hint="eastAsia" w:ascii="宋体" w:hAnsi="宋体" w:eastAsia="宋体" w:cs="Times New Roman"/>
          <w:color w:val="auto"/>
          <w:kern w:val="2"/>
          <w:sz w:val="24"/>
          <w:szCs w:val="24"/>
          <w:highlight w:val="none"/>
          <w:lang w:val="en-US" w:eastAsia="zh-CN" w:bidi="ar-SA"/>
        </w:rPr>
        <w:tab/>
      </w:r>
      <w:r>
        <w:rPr>
          <w:rFonts w:hint="eastAsia" w:ascii="宋体" w:hAnsi="宋体" w:eastAsia="宋体" w:cs="Times New Roman"/>
          <w:color w:val="auto"/>
          <w:kern w:val="2"/>
          <w:sz w:val="24"/>
          <w:szCs w:val="24"/>
          <w:highlight w:val="none"/>
          <w:lang w:val="en-US" w:eastAsia="zh-CN" w:bidi="ar-SA"/>
        </w:rPr>
        <w:t>1.6.3</w:t>
      </w:r>
      <w:r>
        <w:rPr>
          <w:rFonts w:hint="eastAsia" w:ascii="宋体" w:hAnsi="宋体" w:eastAsia="宋体" w:cs="Times New Roman"/>
          <w:color w:val="auto"/>
          <w:kern w:val="2"/>
          <w:sz w:val="24"/>
          <w:szCs w:val="24"/>
          <w:highlight w:val="none"/>
          <w:lang w:val="en-US" w:eastAsia="zh-CN" w:bidi="ar-SA"/>
        </w:rPr>
        <w:tab/>
      </w:r>
      <w:r>
        <w:rPr>
          <w:rFonts w:hint="eastAsia" w:ascii="宋体" w:hAnsi="宋体" w:eastAsia="宋体" w:cs="Times New Roman"/>
          <w:color w:val="auto"/>
          <w:kern w:val="2"/>
          <w:sz w:val="24"/>
          <w:szCs w:val="24"/>
          <w:highlight w:val="none"/>
          <w:lang w:val="en-US" w:eastAsia="zh-CN" w:bidi="ar-SA"/>
        </w:rPr>
        <w:t>图纸需要修改和补充的，应由监理人取得发包人同意后，在该工程或工程相应部位施工前  3  天签发图纸修改图给承包人</w:t>
      </w:r>
    </w:p>
    <w:p w14:paraId="7E0299EF">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5</w:t>
      </w:r>
      <w:r>
        <w:rPr>
          <w:rFonts w:hint="eastAsia" w:ascii="宋体" w:hAnsi="宋体" w:eastAsia="宋体" w:cs="Times New Roman"/>
          <w:color w:val="auto"/>
          <w:kern w:val="2"/>
          <w:sz w:val="24"/>
          <w:szCs w:val="24"/>
          <w:highlight w:val="none"/>
          <w:lang w:val="en-US" w:eastAsia="zh-CN" w:bidi="ar-SA"/>
        </w:rPr>
        <w:tab/>
      </w:r>
      <w:r>
        <w:rPr>
          <w:rFonts w:hint="eastAsia" w:ascii="宋体" w:hAnsi="宋体" w:eastAsia="宋体" w:cs="Times New Roman"/>
          <w:color w:val="auto"/>
          <w:kern w:val="2"/>
          <w:sz w:val="24"/>
          <w:szCs w:val="24"/>
          <w:highlight w:val="none"/>
          <w:lang w:val="en-US" w:eastAsia="zh-CN" w:bidi="ar-SA"/>
        </w:rPr>
        <w:t>3.1.1</w:t>
      </w:r>
      <w:r>
        <w:rPr>
          <w:rFonts w:hint="eastAsia" w:ascii="宋体" w:hAnsi="宋体" w:eastAsia="宋体" w:cs="Times New Roman"/>
          <w:color w:val="auto"/>
          <w:kern w:val="2"/>
          <w:sz w:val="24"/>
          <w:szCs w:val="24"/>
          <w:highlight w:val="none"/>
          <w:lang w:val="en-US" w:eastAsia="zh-CN" w:bidi="ar-SA"/>
        </w:rPr>
        <w:tab/>
      </w:r>
      <w:r>
        <w:rPr>
          <w:rFonts w:hint="eastAsia" w:ascii="宋体" w:hAnsi="宋体" w:eastAsia="宋体" w:cs="Times New Roman"/>
          <w:color w:val="auto"/>
          <w:kern w:val="2"/>
          <w:sz w:val="24"/>
          <w:szCs w:val="24"/>
          <w:highlight w:val="none"/>
          <w:lang w:val="en-US" w:eastAsia="zh-CN" w:bidi="ar-SA"/>
        </w:rPr>
        <w:t>所有的变更必须得到业主的审核及批准</w:t>
      </w:r>
    </w:p>
    <w:p w14:paraId="581B43F6">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6</w:t>
      </w:r>
      <w:r>
        <w:rPr>
          <w:rFonts w:hint="eastAsia" w:ascii="宋体" w:hAnsi="宋体" w:eastAsia="宋体" w:cs="Times New Roman"/>
          <w:color w:val="auto"/>
          <w:kern w:val="2"/>
          <w:sz w:val="24"/>
          <w:szCs w:val="24"/>
          <w:highlight w:val="none"/>
          <w:lang w:val="en-US" w:eastAsia="zh-CN" w:bidi="ar-SA"/>
        </w:rPr>
        <w:tab/>
      </w:r>
      <w:r>
        <w:rPr>
          <w:rFonts w:hint="eastAsia" w:ascii="宋体" w:hAnsi="宋体" w:eastAsia="宋体" w:cs="Times New Roman"/>
          <w:color w:val="auto"/>
          <w:kern w:val="2"/>
          <w:sz w:val="24"/>
          <w:szCs w:val="24"/>
          <w:highlight w:val="none"/>
          <w:lang w:val="en-US" w:eastAsia="zh-CN" w:bidi="ar-SA"/>
        </w:rPr>
        <w:t>5.2.1</w:t>
      </w:r>
      <w:r>
        <w:rPr>
          <w:rFonts w:hint="eastAsia" w:ascii="宋体" w:hAnsi="宋体" w:eastAsia="宋体" w:cs="Times New Roman"/>
          <w:color w:val="auto"/>
          <w:kern w:val="2"/>
          <w:sz w:val="24"/>
          <w:szCs w:val="24"/>
          <w:highlight w:val="none"/>
          <w:lang w:val="en-US" w:eastAsia="zh-CN" w:bidi="ar-SA"/>
        </w:rPr>
        <w:tab/>
      </w:r>
      <w:r>
        <w:rPr>
          <w:rFonts w:hint="eastAsia" w:ascii="宋体" w:hAnsi="宋体" w:eastAsia="宋体" w:cs="Times New Roman"/>
          <w:color w:val="auto"/>
          <w:kern w:val="2"/>
          <w:sz w:val="24"/>
          <w:szCs w:val="24"/>
          <w:highlight w:val="none"/>
          <w:lang w:val="en-US" w:eastAsia="zh-CN" w:bidi="ar-SA"/>
        </w:rPr>
        <w:t>发包人是否提供材料或工程设备：/</w:t>
      </w:r>
    </w:p>
    <w:p w14:paraId="55747A8D">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 xml:space="preserve">如发包人负责提供部分材料或工程设备，相关规定如下：  /  </w:t>
      </w:r>
    </w:p>
    <w:p w14:paraId="2FE4CD8F">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7</w:t>
      </w:r>
      <w:r>
        <w:rPr>
          <w:rFonts w:hint="eastAsia" w:ascii="宋体" w:hAnsi="宋体" w:eastAsia="宋体" w:cs="Times New Roman"/>
          <w:color w:val="auto"/>
          <w:kern w:val="2"/>
          <w:sz w:val="24"/>
          <w:szCs w:val="24"/>
          <w:highlight w:val="none"/>
          <w:lang w:val="en-US" w:eastAsia="zh-CN" w:bidi="ar-SA"/>
        </w:rPr>
        <w:tab/>
      </w:r>
      <w:r>
        <w:rPr>
          <w:rFonts w:hint="eastAsia" w:ascii="宋体" w:hAnsi="宋体" w:eastAsia="宋体" w:cs="Times New Roman"/>
          <w:color w:val="auto"/>
          <w:kern w:val="2"/>
          <w:sz w:val="24"/>
          <w:szCs w:val="24"/>
          <w:highlight w:val="none"/>
          <w:lang w:val="en-US" w:eastAsia="zh-CN" w:bidi="ar-SA"/>
        </w:rPr>
        <w:t>6.2</w:t>
      </w:r>
      <w:r>
        <w:rPr>
          <w:rFonts w:hint="eastAsia" w:ascii="宋体" w:hAnsi="宋体" w:eastAsia="宋体" w:cs="Times New Roman"/>
          <w:color w:val="auto"/>
          <w:kern w:val="2"/>
          <w:sz w:val="24"/>
          <w:szCs w:val="24"/>
          <w:highlight w:val="none"/>
          <w:lang w:val="en-US" w:eastAsia="zh-CN" w:bidi="ar-SA"/>
        </w:rPr>
        <w:tab/>
      </w:r>
      <w:r>
        <w:rPr>
          <w:rFonts w:hint="eastAsia" w:ascii="宋体" w:hAnsi="宋体" w:eastAsia="宋体" w:cs="Times New Roman"/>
          <w:color w:val="auto"/>
          <w:kern w:val="2"/>
          <w:sz w:val="24"/>
          <w:szCs w:val="24"/>
          <w:highlight w:val="none"/>
          <w:lang w:val="en-US" w:eastAsia="zh-CN" w:bidi="ar-SA"/>
        </w:rPr>
        <w:t>发包人是否提供施工设备和临时设施：否</w:t>
      </w:r>
    </w:p>
    <w:p w14:paraId="415F77AD">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 xml:space="preserve">如发包人负责提供部分施工设备和临时设施，相关规定如下：  /  </w:t>
      </w:r>
    </w:p>
    <w:p w14:paraId="7BD9BDDE">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8</w:t>
      </w:r>
      <w:r>
        <w:rPr>
          <w:rFonts w:hint="eastAsia" w:ascii="宋体" w:hAnsi="宋体" w:eastAsia="宋体" w:cs="Times New Roman"/>
          <w:color w:val="auto"/>
          <w:kern w:val="2"/>
          <w:sz w:val="24"/>
          <w:szCs w:val="24"/>
          <w:highlight w:val="none"/>
          <w:lang w:val="en-US" w:eastAsia="zh-CN" w:bidi="ar-SA"/>
        </w:rPr>
        <w:tab/>
      </w:r>
      <w:r>
        <w:rPr>
          <w:rFonts w:hint="eastAsia" w:ascii="宋体" w:hAnsi="宋体" w:eastAsia="宋体" w:cs="Times New Roman"/>
          <w:color w:val="auto"/>
          <w:kern w:val="2"/>
          <w:sz w:val="24"/>
          <w:szCs w:val="24"/>
          <w:highlight w:val="none"/>
          <w:lang w:val="en-US" w:eastAsia="zh-CN" w:bidi="ar-SA"/>
        </w:rPr>
        <w:t>8.1.1</w:t>
      </w:r>
      <w:r>
        <w:rPr>
          <w:rFonts w:hint="eastAsia" w:ascii="宋体" w:hAnsi="宋体" w:eastAsia="宋体" w:cs="Times New Roman"/>
          <w:color w:val="auto"/>
          <w:kern w:val="2"/>
          <w:sz w:val="24"/>
          <w:szCs w:val="24"/>
          <w:highlight w:val="none"/>
          <w:lang w:val="en-US" w:eastAsia="zh-CN" w:bidi="ar-SA"/>
        </w:rPr>
        <w:tab/>
      </w:r>
      <w:r>
        <w:rPr>
          <w:rFonts w:hint="eastAsia" w:ascii="宋体" w:hAnsi="宋体" w:eastAsia="宋体" w:cs="Times New Roman"/>
          <w:color w:val="auto"/>
          <w:kern w:val="2"/>
          <w:sz w:val="24"/>
          <w:szCs w:val="24"/>
          <w:highlight w:val="none"/>
          <w:lang w:val="en-US" w:eastAsia="zh-CN" w:bidi="ar-SA"/>
        </w:rPr>
        <w:t xml:space="preserve">发包人提供测量基准点、基准线和水准点及其书面资料的期限：  7天  </w:t>
      </w:r>
    </w:p>
    <w:p w14:paraId="436F9267">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 xml:space="preserve">承包人将施工控制网资料报送监理人审批的期限：  合同签订后，开工令发出之日前。  </w:t>
      </w:r>
    </w:p>
    <w:p w14:paraId="628350B2">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9</w:t>
      </w:r>
      <w:r>
        <w:rPr>
          <w:rFonts w:hint="eastAsia" w:ascii="宋体" w:hAnsi="宋体" w:eastAsia="宋体" w:cs="Times New Roman"/>
          <w:color w:val="auto"/>
          <w:kern w:val="2"/>
          <w:sz w:val="24"/>
          <w:szCs w:val="24"/>
          <w:highlight w:val="none"/>
          <w:lang w:val="en-US" w:eastAsia="zh-CN" w:bidi="ar-SA"/>
        </w:rPr>
        <w:tab/>
      </w:r>
      <w:r>
        <w:rPr>
          <w:rFonts w:hint="eastAsia" w:ascii="宋体" w:hAnsi="宋体" w:eastAsia="宋体" w:cs="Times New Roman"/>
          <w:color w:val="auto"/>
          <w:kern w:val="2"/>
          <w:sz w:val="24"/>
          <w:szCs w:val="24"/>
          <w:highlight w:val="none"/>
          <w:lang w:val="en-US" w:eastAsia="zh-CN" w:bidi="ar-SA"/>
        </w:rPr>
        <w:t>11.5（3）</w:t>
      </w:r>
      <w:r>
        <w:rPr>
          <w:rFonts w:hint="eastAsia" w:ascii="宋体" w:hAnsi="宋体" w:eastAsia="宋体" w:cs="Times New Roman"/>
          <w:color w:val="auto"/>
          <w:kern w:val="2"/>
          <w:sz w:val="24"/>
          <w:szCs w:val="24"/>
          <w:highlight w:val="none"/>
          <w:lang w:val="en-US" w:eastAsia="zh-CN" w:bidi="ar-SA"/>
        </w:rPr>
        <w:tab/>
      </w:r>
      <w:r>
        <w:rPr>
          <w:rFonts w:hint="eastAsia" w:ascii="宋体" w:hAnsi="宋体" w:eastAsia="宋体" w:cs="Times New Roman"/>
          <w:color w:val="auto"/>
          <w:kern w:val="2"/>
          <w:sz w:val="24"/>
          <w:szCs w:val="24"/>
          <w:highlight w:val="none"/>
          <w:lang w:val="en-US" w:eastAsia="zh-CN" w:bidi="ar-SA"/>
        </w:rPr>
        <w:t>逾期交工违约金：5000元/天</w:t>
      </w:r>
    </w:p>
    <w:p w14:paraId="0A6D992B">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10</w:t>
      </w:r>
      <w:r>
        <w:rPr>
          <w:rFonts w:hint="eastAsia" w:ascii="宋体" w:hAnsi="宋体" w:eastAsia="宋体" w:cs="Times New Roman"/>
          <w:color w:val="auto"/>
          <w:kern w:val="2"/>
          <w:sz w:val="24"/>
          <w:szCs w:val="24"/>
          <w:highlight w:val="none"/>
          <w:lang w:val="en-US" w:eastAsia="zh-CN" w:bidi="ar-SA"/>
        </w:rPr>
        <w:tab/>
      </w:r>
      <w:r>
        <w:rPr>
          <w:rFonts w:hint="eastAsia" w:ascii="宋体" w:hAnsi="宋体" w:eastAsia="宋体" w:cs="Times New Roman"/>
          <w:color w:val="auto"/>
          <w:kern w:val="2"/>
          <w:sz w:val="24"/>
          <w:szCs w:val="24"/>
          <w:highlight w:val="none"/>
          <w:lang w:val="en-US" w:eastAsia="zh-CN" w:bidi="ar-SA"/>
        </w:rPr>
        <w:t>11.5（3）</w:t>
      </w:r>
      <w:r>
        <w:rPr>
          <w:rFonts w:hint="eastAsia" w:ascii="宋体" w:hAnsi="宋体" w:eastAsia="宋体" w:cs="Times New Roman"/>
          <w:color w:val="auto"/>
          <w:kern w:val="2"/>
          <w:sz w:val="24"/>
          <w:szCs w:val="24"/>
          <w:highlight w:val="none"/>
          <w:lang w:val="en-US" w:eastAsia="zh-CN" w:bidi="ar-SA"/>
        </w:rPr>
        <w:tab/>
      </w:r>
      <w:r>
        <w:rPr>
          <w:rFonts w:hint="eastAsia" w:ascii="宋体" w:hAnsi="宋体" w:eastAsia="宋体" w:cs="Times New Roman"/>
          <w:color w:val="auto"/>
          <w:kern w:val="2"/>
          <w:sz w:val="24"/>
          <w:szCs w:val="24"/>
          <w:highlight w:val="none"/>
          <w:lang w:val="en-US" w:eastAsia="zh-CN" w:bidi="ar-SA"/>
        </w:rPr>
        <w:t>逾期交工违约金限额：  10  %签约合同价</w:t>
      </w:r>
    </w:p>
    <w:p w14:paraId="341DE707">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11</w:t>
      </w:r>
      <w:r>
        <w:rPr>
          <w:rFonts w:hint="eastAsia" w:ascii="宋体" w:hAnsi="宋体" w:eastAsia="宋体" w:cs="Times New Roman"/>
          <w:color w:val="auto"/>
          <w:kern w:val="2"/>
          <w:sz w:val="24"/>
          <w:szCs w:val="24"/>
          <w:highlight w:val="none"/>
          <w:lang w:val="en-US" w:eastAsia="zh-CN" w:bidi="ar-SA"/>
        </w:rPr>
        <w:tab/>
      </w:r>
      <w:r>
        <w:rPr>
          <w:rFonts w:hint="eastAsia" w:ascii="宋体" w:hAnsi="宋体" w:eastAsia="宋体" w:cs="Times New Roman"/>
          <w:color w:val="auto"/>
          <w:kern w:val="2"/>
          <w:sz w:val="24"/>
          <w:szCs w:val="24"/>
          <w:highlight w:val="none"/>
          <w:lang w:val="en-US" w:eastAsia="zh-CN" w:bidi="ar-SA"/>
        </w:rPr>
        <w:t>11.6</w:t>
      </w:r>
      <w:r>
        <w:rPr>
          <w:rFonts w:hint="eastAsia" w:ascii="宋体" w:hAnsi="宋体" w:eastAsia="宋体" w:cs="Times New Roman"/>
          <w:color w:val="auto"/>
          <w:kern w:val="2"/>
          <w:sz w:val="24"/>
          <w:szCs w:val="24"/>
          <w:highlight w:val="none"/>
          <w:lang w:val="en-US" w:eastAsia="zh-CN" w:bidi="ar-SA"/>
        </w:rPr>
        <w:tab/>
      </w:r>
      <w:r>
        <w:rPr>
          <w:rFonts w:hint="eastAsia" w:ascii="宋体" w:hAnsi="宋体" w:eastAsia="宋体" w:cs="Times New Roman"/>
          <w:color w:val="auto"/>
          <w:kern w:val="2"/>
          <w:sz w:val="24"/>
          <w:szCs w:val="24"/>
          <w:highlight w:val="none"/>
          <w:lang w:val="en-US" w:eastAsia="zh-CN" w:bidi="ar-SA"/>
        </w:rPr>
        <w:t>提前交工的奖金：/元/天</w:t>
      </w:r>
    </w:p>
    <w:p w14:paraId="63EA7E58">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12</w:t>
      </w:r>
      <w:r>
        <w:rPr>
          <w:rFonts w:hint="eastAsia" w:ascii="宋体" w:hAnsi="宋体" w:eastAsia="宋体" w:cs="Times New Roman"/>
          <w:color w:val="auto"/>
          <w:kern w:val="2"/>
          <w:sz w:val="24"/>
          <w:szCs w:val="24"/>
          <w:highlight w:val="none"/>
          <w:lang w:val="en-US" w:eastAsia="zh-CN" w:bidi="ar-SA"/>
        </w:rPr>
        <w:tab/>
      </w:r>
      <w:r>
        <w:rPr>
          <w:rFonts w:hint="eastAsia" w:ascii="宋体" w:hAnsi="宋体" w:eastAsia="宋体" w:cs="Times New Roman"/>
          <w:color w:val="auto"/>
          <w:kern w:val="2"/>
          <w:sz w:val="24"/>
          <w:szCs w:val="24"/>
          <w:highlight w:val="none"/>
          <w:lang w:val="en-US" w:eastAsia="zh-CN" w:bidi="ar-SA"/>
        </w:rPr>
        <w:t>11.6</w:t>
      </w:r>
      <w:r>
        <w:rPr>
          <w:rFonts w:hint="eastAsia" w:ascii="宋体" w:hAnsi="宋体" w:eastAsia="宋体" w:cs="Times New Roman"/>
          <w:color w:val="auto"/>
          <w:kern w:val="2"/>
          <w:sz w:val="24"/>
          <w:szCs w:val="24"/>
          <w:highlight w:val="none"/>
          <w:lang w:val="en-US" w:eastAsia="zh-CN" w:bidi="ar-SA"/>
        </w:rPr>
        <w:tab/>
      </w:r>
      <w:r>
        <w:rPr>
          <w:rFonts w:hint="eastAsia" w:ascii="宋体" w:hAnsi="宋体" w:eastAsia="宋体" w:cs="Times New Roman"/>
          <w:color w:val="auto"/>
          <w:kern w:val="2"/>
          <w:sz w:val="24"/>
          <w:szCs w:val="24"/>
          <w:highlight w:val="none"/>
          <w:lang w:val="en-US" w:eastAsia="zh-CN" w:bidi="ar-SA"/>
        </w:rPr>
        <w:t>提前交工的奖金限额：不适用</w:t>
      </w:r>
    </w:p>
    <w:p w14:paraId="4AF85E43">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13</w:t>
      </w:r>
      <w:r>
        <w:rPr>
          <w:rFonts w:hint="eastAsia" w:ascii="宋体" w:hAnsi="宋体" w:eastAsia="宋体" w:cs="Times New Roman"/>
          <w:color w:val="auto"/>
          <w:kern w:val="2"/>
          <w:sz w:val="24"/>
          <w:szCs w:val="24"/>
          <w:highlight w:val="none"/>
          <w:lang w:val="en-US" w:eastAsia="zh-CN" w:bidi="ar-SA"/>
        </w:rPr>
        <w:tab/>
      </w:r>
      <w:r>
        <w:rPr>
          <w:rFonts w:hint="eastAsia" w:ascii="宋体" w:hAnsi="宋体" w:eastAsia="宋体" w:cs="Times New Roman"/>
          <w:color w:val="auto"/>
          <w:kern w:val="2"/>
          <w:sz w:val="24"/>
          <w:szCs w:val="24"/>
          <w:highlight w:val="none"/>
          <w:lang w:val="en-US" w:eastAsia="zh-CN" w:bidi="ar-SA"/>
        </w:rPr>
        <w:t>15.5.2</w:t>
      </w:r>
      <w:r>
        <w:rPr>
          <w:rFonts w:hint="eastAsia" w:ascii="宋体" w:hAnsi="宋体" w:eastAsia="宋体" w:cs="Times New Roman"/>
          <w:color w:val="auto"/>
          <w:kern w:val="2"/>
          <w:sz w:val="24"/>
          <w:szCs w:val="24"/>
          <w:highlight w:val="none"/>
          <w:lang w:val="en-US" w:eastAsia="zh-CN" w:bidi="ar-SA"/>
        </w:rPr>
        <w:tab/>
      </w:r>
      <w:r>
        <w:rPr>
          <w:rFonts w:hint="eastAsia" w:ascii="宋体" w:hAnsi="宋体" w:eastAsia="宋体" w:cs="Times New Roman"/>
          <w:color w:val="auto"/>
          <w:kern w:val="2"/>
          <w:sz w:val="24"/>
          <w:szCs w:val="24"/>
          <w:highlight w:val="none"/>
          <w:lang w:val="en-US" w:eastAsia="zh-CN" w:bidi="ar-SA"/>
        </w:rPr>
        <w:t>承包人提出的合理化建议降低了合同价格或者提高了工程经济效益的，发包人按所节约成本的 0 %或增加收益的  0  %给予奖励（本项目不适用）</w:t>
      </w:r>
    </w:p>
    <w:p w14:paraId="6D17B51F">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14</w:t>
      </w:r>
      <w:r>
        <w:rPr>
          <w:rFonts w:hint="eastAsia" w:ascii="宋体" w:hAnsi="宋体" w:eastAsia="宋体" w:cs="Times New Roman"/>
          <w:color w:val="auto"/>
          <w:kern w:val="2"/>
          <w:sz w:val="24"/>
          <w:szCs w:val="24"/>
          <w:highlight w:val="none"/>
          <w:lang w:val="en-US" w:eastAsia="zh-CN" w:bidi="ar-SA"/>
        </w:rPr>
        <w:tab/>
      </w:r>
      <w:r>
        <w:rPr>
          <w:rFonts w:hint="eastAsia" w:ascii="宋体" w:hAnsi="宋体" w:eastAsia="宋体" w:cs="Times New Roman"/>
          <w:color w:val="auto"/>
          <w:kern w:val="2"/>
          <w:sz w:val="24"/>
          <w:szCs w:val="24"/>
          <w:highlight w:val="none"/>
          <w:lang w:val="en-US" w:eastAsia="zh-CN" w:bidi="ar-SA"/>
        </w:rPr>
        <w:t>16.1</w:t>
      </w:r>
      <w:r>
        <w:rPr>
          <w:rFonts w:hint="eastAsia" w:ascii="宋体" w:hAnsi="宋体" w:eastAsia="宋体" w:cs="Times New Roman"/>
          <w:color w:val="auto"/>
          <w:kern w:val="2"/>
          <w:sz w:val="24"/>
          <w:szCs w:val="24"/>
          <w:highlight w:val="none"/>
          <w:lang w:val="en-US" w:eastAsia="zh-CN" w:bidi="ar-SA"/>
        </w:rPr>
        <w:tab/>
      </w:r>
      <w:r>
        <w:rPr>
          <w:rFonts w:hint="eastAsia" w:ascii="宋体" w:hAnsi="宋体" w:eastAsia="宋体" w:cs="Times New Roman"/>
          <w:color w:val="auto"/>
          <w:kern w:val="2"/>
          <w:sz w:val="24"/>
          <w:szCs w:val="24"/>
          <w:highlight w:val="none"/>
          <w:lang w:val="en-US" w:eastAsia="zh-CN" w:bidi="ar-SA"/>
        </w:rPr>
        <w:t>合同期内不调价</w:t>
      </w:r>
    </w:p>
    <w:p w14:paraId="6DAF1E27">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15</w:t>
      </w:r>
      <w:r>
        <w:rPr>
          <w:rFonts w:hint="eastAsia" w:ascii="宋体" w:hAnsi="宋体" w:eastAsia="宋体" w:cs="Times New Roman"/>
          <w:color w:val="auto"/>
          <w:kern w:val="2"/>
          <w:sz w:val="24"/>
          <w:szCs w:val="24"/>
          <w:highlight w:val="none"/>
          <w:lang w:val="en-US" w:eastAsia="zh-CN" w:bidi="ar-SA"/>
        </w:rPr>
        <w:tab/>
      </w:r>
      <w:r>
        <w:rPr>
          <w:rFonts w:hint="eastAsia" w:ascii="宋体" w:hAnsi="宋体" w:eastAsia="宋体" w:cs="Times New Roman"/>
          <w:color w:val="auto"/>
          <w:kern w:val="2"/>
          <w:sz w:val="24"/>
          <w:szCs w:val="24"/>
          <w:highlight w:val="none"/>
          <w:lang w:val="en-US" w:eastAsia="zh-CN" w:bidi="ar-SA"/>
        </w:rPr>
        <w:t>17.2.1（1）</w:t>
      </w:r>
      <w:r>
        <w:rPr>
          <w:rFonts w:hint="eastAsia" w:ascii="宋体" w:hAnsi="宋体" w:eastAsia="宋体" w:cs="Times New Roman"/>
          <w:color w:val="auto"/>
          <w:kern w:val="2"/>
          <w:sz w:val="24"/>
          <w:szCs w:val="24"/>
          <w:highlight w:val="none"/>
          <w:lang w:val="en-US" w:eastAsia="zh-CN" w:bidi="ar-SA"/>
        </w:rPr>
        <w:tab/>
      </w:r>
      <w:r>
        <w:rPr>
          <w:rFonts w:hint="eastAsia" w:ascii="宋体" w:hAnsi="宋体" w:eastAsia="宋体" w:cs="Times New Roman"/>
          <w:color w:val="auto"/>
          <w:kern w:val="2"/>
          <w:sz w:val="24"/>
          <w:szCs w:val="24"/>
          <w:highlight w:val="none"/>
          <w:lang w:val="en-US" w:eastAsia="zh-CN" w:bidi="ar-SA"/>
        </w:rPr>
        <w:t>开工预付款金额：/</w:t>
      </w:r>
    </w:p>
    <w:p w14:paraId="00285658">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16</w:t>
      </w:r>
      <w:r>
        <w:rPr>
          <w:rFonts w:hint="eastAsia" w:ascii="宋体" w:hAnsi="宋体" w:eastAsia="宋体" w:cs="Times New Roman"/>
          <w:color w:val="auto"/>
          <w:kern w:val="2"/>
          <w:sz w:val="24"/>
          <w:szCs w:val="24"/>
          <w:highlight w:val="none"/>
          <w:lang w:val="en-US" w:eastAsia="zh-CN" w:bidi="ar-SA"/>
        </w:rPr>
        <w:tab/>
      </w:r>
      <w:r>
        <w:rPr>
          <w:rFonts w:hint="eastAsia" w:ascii="宋体" w:hAnsi="宋体" w:eastAsia="宋体" w:cs="Times New Roman"/>
          <w:color w:val="auto"/>
          <w:kern w:val="2"/>
          <w:sz w:val="24"/>
          <w:szCs w:val="24"/>
          <w:highlight w:val="none"/>
          <w:lang w:val="en-US" w:eastAsia="zh-CN" w:bidi="ar-SA"/>
        </w:rPr>
        <w:t>17.2.1（2）</w:t>
      </w:r>
      <w:r>
        <w:rPr>
          <w:rFonts w:hint="eastAsia" w:ascii="宋体" w:hAnsi="宋体" w:eastAsia="宋体" w:cs="Times New Roman"/>
          <w:color w:val="auto"/>
          <w:kern w:val="2"/>
          <w:sz w:val="24"/>
          <w:szCs w:val="24"/>
          <w:highlight w:val="none"/>
          <w:lang w:val="en-US" w:eastAsia="zh-CN" w:bidi="ar-SA"/>
        </w:rPr>
        <w:tab/>
      </w:r>
      <w:r>
        <w:rPr>
          <w:rFonts w:hint="eastAsia" w:ascii="宋体" w:hAnsi="宋体" w:eastAsia="宋体" w:cs="Times New Roman"/>
          <w:color w:val="auto"/>
          <w:kern w:val="2"/>
          <w:sz w:val="24"/>
          <w:szCs w:val="24"/>
          <w:highlight w:val="none"/>
          <w:lang w:val="en-US" w:eastAsia="zh-CN" w:bidi="ar-SA"/>
        </w:rPr>
        <w:t>材料、设备预付款比例：/</w:t>
      </w:r>
    </w:p>
    <w:p w14:paraId="02A78FC4">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17</w:t>
      </w:r>
      <w:r>
        <w:rPr>
          <w:rFonts w:hint="eastAsia" w:ascii="宋体" w:hAnsi="宋体" w:eastAsia="宋体" w:cs="Times New Roman"/>
          <w:color w:val="auto"/>
          <w:kern w:val="2"/>
          <w:sz w:val="24"/>
          <w:szCs w:val="24"/>
          <w:highlight w:val="none"/>
          <w:lang w:val="en-US" w:eastAsia="zh-CN" w:bidi="ar-SA"/>
        </w:rPr>
        <w:tab/>
      </w:r>
      <w:r>
        <w:rPr>
          <w:rFonts w:hint="eastAsia" w:ascii="宋体" w:hAnsi="宋体" w:eastAsia="宋体" w:cs="Times New Roman"/>
          <w:color w:val="auto"/>
          <w:kern w:val="2"/>
          <w:sz w:val="24"/>
          <w:szCs w:val="24"/>
          <w:highlight w:val="none"/>
          <w:lang w:val="en-US" w:eastAsia="zh-CN" w:bidi="ar-SA"/>
        </w:rPr>
        <w:t>17.3.2</w:t>
      </w:r>
      <w:r>
        <w:rPr>
          <w:rFonts w:hint="eastAsia" w:ascii="宋体" w:hAnsi="宋体" w:eastAsia="宋体" w:cs="Times New Roman"/>
          <w:color w:val="auto"/>
          <w:kern w:val="2"/>
          <w:sz w:val="24"/>
          <w:szCs w:val="24"/>
          <w:highlight w:val="none"/>
          <w:lang w:val="en-US" w:eastAsia="zh-CN" w:bidi="ar-SA"/>
        </w:rPr>
        <w:tab/>
      </w:r>
      <w:r>
        <w:rPr>
          <w:rFonts w:hint="eastAsia" w:ascii="宋体" w:hAnsi="宋体" w:eastAsia="宋体" w:cs="Times New Roman"/>
          <w:color w:val="auto"/>
          <w:kern w:val="2"/>
          <w:sz w:val="24"/>
          <w:szCs w:val="24"/>
          <w:highlight w:val="none"/>
          <w:lang w:val="en-US" w:eastAsia="zh-CN" w:bidi="ar-SA"/>
        </w:rPr>
        <w:t>承包人在每个付款周期末向监理人提交进度付款申请单的份数：  6  份</w:t>
      </w:r>
    </w:p>
    <w:p w14:paraId="7E7D9449">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18</w:t>
      </w:r>
      <w:r>
        <w:rPr>
          <w:rFonts w:hint="eastAsia" w:ascii="宋体" w:hAnsi="宋体" w:eastAsia="宋体" w:cs="Times New Roman"/>
          <w:color w:val="auto"/>
          <w:kern w:val="2"/>
          <w:sz w:val="24"/>
          <w:szCs w:val="24"/>
          <w:highlight w:val="none"/>
          <w:lang w:val="en-US" w:eastAsia="zh-CN" w:bidi="ar-SA"/>
        </w:rPr>
        <w:tab/>
      </w:r>
      <w:r>
        <w:rPr>
          <w:rFonts w:hint="eastAsia" w:ascii="宋体" w:hAnsi="宋体" w:eastAsia="宋体" w:cs="Times New Roman"/>
          <w:color w:val="auto"/>
          <w:kern w:val="2"/>
          <w:sz w:val="24"/>
          <w:szCs w:val="24"/>
          <w:highlight w:val="none"/>
          <w:lang w:val="en-US" w:eastAsia="zh-CN" w:bidi="ar-SA"/>
        </w:rPr>
        <w:t>17.3.3（1）</w:t>
      </w:r>
      <w:r>
        <w:rPr>
          <w:rFonts w:hint="eastAsia" w:ascii="宋体" w:hAnsi="宋体" w:eastAsia="宋体" w:cs="Times New Roman"/>
          <w:color w:val="auto"/>
          <w:kern w:val="2"/>
          <w:sz w:val="24"/>
          <w:szCs w:val="24"/>
          <w:highlight w:val="none"/>
          <w:lang w:val="en-US" w:eastAsia="zh-CN" w:bidi="ar-SA"/>
        </w:rPr>
        <w:tab/>
      </w:r>
      <w:r>
        <w:rPr>
          <w:rFonts w:hint="eastAsia" w:ascii="宋体" w:hAnsi="宋体" w:eastAsia="宋体" w:cs="Times New Roman"/>
          <w:color w:val="auto"/>
          <w:kern w:val="2"/>
          <w:sz w:val="24"/>
          <w:szCs w:val="24"/>
          <w:highlight w:val="none"/>
          <w:lang w:val="en-US" w:eastAsia="zh-CN" w:bidi="ar-SA"/>
        </w:rPr>
        <w:t>进度付款证书最低限额：/</w:t>
      </w:r>
    </w:p>
    <w:p w14:paraId="200407A9">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19</w:t>
      </w:r>
      <w:r>
        <w:rPr>
          <w:rFonts w:hint="eastAsia" w:ascii="宋体" w:hAnsi="宋体" w:eastAsia="宋体" w:cs="Times New Roman"/>
          <w:color w:val="auto"/>
          <w:kern w:val="2"/>
          <w:sz w:val="24"/>
          <w:szCs w:val="24"/>
          <w:highlight w:val="none"/>
          <w:lang w:val="en-US" w:eastAsia="zh-CN" w:bidi="ar-SA"/>
        </w:rPr>
        <w:tab/>
      </w:r>
      <w:r>
        <w:rPr>
          <w:rFonts w:hint="eastAsia" w:ascii="宋体" w:hAnsi="宋体" w:eastAsia="宋体" w:cs="Times New Roman"/>
          <w:color w:val="auto"/>
          <w:kern w:val="2"/>
          <w:sz w:val="24"/>
          <w:szCs w:val="24"/>
          <w:highlight w:val="none"/>
          <w:lang w:val="en-US" w:eastAsia="zh-CN" w:bidi="ar-SA"/>
        </w:rPr>
        <w:t>17.3.3（2）</w:t>
      </w:r>
      <w:r>
        <w:rPr>
          <w:rFonts w:hint="eastAsia" w:ascii="宋体" w:hAnsi="宋体" w:eastAsia="宋体" w:cs="Times New Roman"/>
          <w:color w:val="auto"/>
          <w:kern w:val="2"/>
          <w:sz w:val="24"/>
          <w:szCs w:val="24"/>
          <w:highlight w:val="none"/>
          <w:lang w:val="en-US" w:eastAsia="zh-CN" w:bidi="ar-SA"/>
        </w:rPr>
        <w:tab/>
      </w:r>
      <w:r>
        <w:rPr>
          <w:rFonts w:hint="eastAsia" w:ascii="宋体" w:hAnsi="宋体" w:eastAsia="宋体" w:cs="Times New Roman"/>
          <w:color w:val="auto"/>
          <w:kern w:val="2"/>
          <w:sz w:val="24"/>
          <w:szCs w:val="24"/>
          <w:highlight w:val="none"/>
          <w:lang w:val="en-US" w:eastAsia="zh-CN" w:bidi="ar-SA"/>
        </w:rPr>
        <w:t>逾期付款违约金的利率：不适用</w:t>
      </w:r>
    </w:p>
    <w:p w14:paraId="7C0FE2BC">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20</w:t>
      </w:r>
      <w:r>
        <w:rPr>
          <w:rFonts w:hint="eastAsia" w:ascii="宋体" w:hAnsi="宋体" w:eastAsia="宋体" w:cs="Times New Roman"/>
          <w:color w:val="auto"/>
          <w:kern w:val="2"/>
          <w:sz w:val="24"/>
          <w:szCs w:val="24"/>
          <w:highlight w:val="none"/>
          <w:lang w:val="en-US" w:eastAsia="zh-CN" w:bidi="ar-SA"/>
        </w:rPr>
        <w:tab/>
      </w:r>
      <w:r>
        <w:rPr>
          <w:rFonts w:hint="eastAsia" w:ascii="宋体" w:hAnsi="宋体" w:eastAsia="宋体" w:cs="Times New Roman"/>
          <w:color w:val="auto"/>
          <w:kern w:val="2"/>
          <w:sz w:val="24"/>
          <w:szCs w:val="24"/>
          <w:highlight w:val="none"/>
          <w:lang w:val="en-US" w:eastAsia="zh-CN" w:bidi="ar-SA"/>
        </w:rPr>
        <w:t>17.3.5</w:t>
      </w:r>
      <w:r>
        <w:rPr>
          <w:rFonts w:hint="eastAsia" w:ascii="宋体" w:hAnsi="宋体" w:eastAsia="宋体" w:cs="Times New Roman"/>
          <w:color w:val="auto"/>
          <w:kern w:val="2"/>
          <w:sz w:val="24"/>
          <w:szCs w:val="24"/>
          <w:highlight w:val="none"/>
          <w:lang w:val="en-US" w:eastAsia="zh-CN" w:bidi="ar-SA"/>
        </w:rPr>
        <w:tab/>
      </w:r>
      <w:r>
        <w:rPr>
          <w:rFonts w:hint="eastAsia" w:ascii="宋体" w:hAnsi="宋体" w:eastAsia="宋体" w:cs="Times New Roman"/>
          <w:color w:val="auto"/>
          <w:kern w:val="2"/>
          <w:sz w:val="24"/>
          <w:szCs w:val="24"/>
          <w:highlight w:val="none"/>
          <w:lang w:val="en-US" w:eastAsia="zh-CN" w:bidi="ar-SA"/>
        </w:rPr>
        <w:t>农民工工资保证金工程合同价款的2%；</w:t>
      </w:r>
    </w:p>
    <w:p w14:paraId="08CDF856">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缴纳形式：现金或保函</w:t>
      </w:r>
    </w:p>
    <w:p w14:paraId="255CA085">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21</w:t>
      </w:r>
      <w:r>
        <w:rPr>
          <w:rFonts w:hint="eastAsia" w:ascii="宋体" w:hAnsi="宋体" w:eastAsia="宋体" w:cs="Times New Roman"/>
          <w:color w:val="auto"/>
          <w:kern w:val="2"/>
          <w:sz w:val="24"/>
          <w:szCs w:val="24"/>
          <w:highlight w:val="none"/>
          <w:lang w:val="en-US" w:eastAsia="zh-CN" w:bidi="ar-SA"/>
        </w:rPr>
        <w:tab/>
      </w:r>
      <w:r>
        <w:rPr>
          <w:rFonts w:hint="eastAsia" w:ascii="宋体" w:hAnsi="宋体" w:eastAsia="宋体" w:cs="Times New Roman"/>
          <w:color w:val="auto"/>
          <w:kern w:val="2"/>
          <w:sz w:val="24"/>
          <w:szCs w:val="24"/>
          <w:highlight w:val="none"/>
          <w:lang w:val="en-US" w:eastAsia="zh-CN" w:bidi="ar-SA"/>
        </w:rPr>
        <w:t>17.4.1</w:t>
      </w:r>
      <w:r>
        <w:rPr>
          <w:rFonts w:hint="eastAsia" w:ascii="宋体" w:hAnsi="宋体" w:eastAsia="宋体" w:cs="Times New Roman"/>
          <w:color w:val="auto"/>
          <w:kern w:val="2"/>
          <w:sz w:val="24"/>
          <w:szCs w:val="24"/>
          <w:highlight w:val="none"/>
          <w:lang w:val="en-US" w:eastAsia="zh-CN" w:bidi="ar-SA"/>
        </w:rPr>
        <w:tab/>
      </w:r>
      <w:r>
        <w:rPr>
          <w:rFonts w:hint="eastAsia" w:ascii="宋体" w:hAnsi="宋体" w:eastAsia="宋体" w:cs="Times New Roman"/>
          <w:color w:val="auto"/>
          <w:kern w:val="2"/>
          <w:sz w:val="24"/>
          <w:szCs w:val="24"/>
          <w:highlight w:val="none"/>
          <w:lang w:val="en-US" w:eastAsia="zh-CN" w:bidi="ar-SA"/>
        </w:rPr>
        <w:t>质量保证金金额：%</w:t>
      </w:r>
    </w:p>
    <w:p w14:paraId="0DF11EE5">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质量保证金是否计付利息：否</w:t>
      </w:r>
    </w:p>
    <w:p w14:paraId="242223C0">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22</w:t>
      </w:r>
      <w:r>
        <w:rPr>
          <w:rFonts w:hint="eastAsia" w:ascii="宋体" w:hAnsi="宋体" w:eastAsia="宋体" w:cs="Times New Roman"/>
          <w:color w:val="auto"/>
          <w:kern w:val="2"/>
          <w:sz w:val="24"/>
          <w:szCs w:val="24"/>
          <w:highlight w:val="none"/>
          <w:lang w:val="en-US" w:eastAsia="zh-CN" w:bidi="ar-SA"/>
        </w:rPr>
        <w:tab/>
      </w:r>
      <w:r>
        <w:rPr>
          <w:rFonts w:hint="eastAsia" w:ascii="宋体" w:hAnsi="宋体" w:eastAsia="宋体" w:cs="Times New Roman"/>
          <w:color w:val="auto"/>
          <w:kern w:val="2"/>
          <w:sz w:val="24"/>
          <w:szCs w:val="24"/>
          <w:highlight w:val="none"/>
          <w:lang w:val="en-US" w:eastAsia="zh-CN" w:bidi="ar-SA"/>
        </w:rPr>
        <w:t>17.5.1（1）</w:t>
      </w:r>
      <w:r>
        <w:rPr>
          <w:rFonts w:hint="eastAsia" w:ascii="宋体" w:hAnsi="宋体" w:eastAsia="宋体" w:cs="Times New Roman"/>
          <w:color w:val="auto"/>
          <w:kern w:val="2"/>
          <w:sz w:val="24"/>
          <w:szCs w:val="24"/>
          <w:highlight w:val="none"/>
          <w:lang w:val="en-US" w:eastAsia="zh-CN" w:bidi="ar-SA"/>
        </w:rPr>
        <w:tab/>
      </w:r>
      <w:r>
        <w:rPr>
          <w:rFonts w:hint="eastAsia" w:ascii="宋体" w:hAnsi="宋体" w:eastAsia="宋体" w:cs="Times New Roman"/>
          <w:color w:val="auto"/>
          <w:kern w:val="2"/>
          <w:sz w:val="24"/>
          <w:szCs w:val="24"/>
          <w:highlight w:val="none"/>
          <w:lang w:val="en-US" w:eastAsia="zh-CN" w:bidi="ar-SA"/>
        </w:rPr>
        <w:t>承包人向监理人提交交工付款申请单（包括相关证明材料）的份数：  6  份</w:t>
      </w:r>
    </w:p>
    <w:p w14:paraId="122B7FB2">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23</w:t>
      </w:r>
      <w:r>
        <w:rPr>
          <w:rFonts w:hint="eastAsia" w:ascii="宋体" w:hAnsi="宋体" w:eastAsia="宋体" w:cs="Times New Roman"/>
          <w:color w:val="auto"/>
          <w:kern w:val="2"/>
          <w:sz w:val="24"/>
          <w:szCs w:val="24"/>
          <w:highlight w:val="none"/>
          <w:lang w:val="en-US" w:eastAsia="zh-CN" w:bidi="ar-SA"/>
        </w:rPr>
        <w:tab/>
      </w:r>
      <w:r>
        <w:rPr>
          <w:rFonts w:hint="eastAsia" w:ascii="宋体" w:hAnsi="宋体" w:eastAsia="宋体" w:cs="Times New Roman"/>
          <w:color w:val="auto"/>
          <w:kern w:val="2"/>
          <w:sz w:val="24"/>
          <w:szCs w:val="24"/>
          <w:highlight w:val="none"/>
          <w:lang w:val="en-US" w:eastAsia="zh-CN" w:bidi="ar-SA"/>
        </w:rPr>
        <w:t>17.6.1（1）</w:t>
      </w:r>
      <w:r>
        <w:rPr>
          <w:rFonts w:hint="eastAsia" w:ascii="宋体" w:hAnsi="宋体" w:eastAsia="宋体" w:cs="Times New Roman"/>
          <w:color w:val="auto"/>
          <w:kern w:val="2"/>
          <w:sz w:val="24"/>
          <w:szCs w:val="24"/>
          <w:highlight w:val="none"/>
          <w:lang w:val="en-US" w:eastAsia="zh-CN" w:bidi="ar-SA"/>
        </w:rPr>
        <w:tab/>
      </w:r>
      <w:r>
        <w:rPr>
          <w:rFonts w:hint="eastAsia" w:ascii="宋体" w:hAnsi="宋体" w:eastAsia="宋体" w:cs="Times New Roman"/>
          <w:color w:val="auto"/>
          <w:kern w:val="2"/>
          <w:sz w:val="24"/>
          <w:szCs w:val="24"/>
          <w:highlight w:val="none"/>
          <w:lang w:val="en-US" w:eastAsia="zh-CN" w:bidi="ar-SA"/>
        </w:rPr>
        <w:t>承包人向监理人提交最终结清申请单（包括相关证明材料）的份数：  6  份</w:t>
      </w:r>
    </w:p>
    <w:p w14:paraId="06718A47">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24</w:t>
      </w:r>
      <w:r>
        <w:rPr>
          <w:rFonts w:hint="eastAsia" w:ascii="宋体" w:hAnsi="宋体" w:eastAsia="宋体" w:cs="Times New Roman"/>
          <w:color w:val="auto"/>
          <w:kern w:val="2"/>
          <w:sz w:val="24"/>
          <w:szCs w:val="24"/>
          <w:highlight w:val="none"/>
          <w:lang w:val="en-US" w:eastAsia="zh-CN" w:bidi="ar-SA"/>
        </w:rPr>
        <w:tab/>
      </w:r>
      <w:r>
        <w:rPr>
          <w:rFonts w:hint="eastAsia" w:ascii="宋体" w:hAnsi="宋体" w:eastAsia="宋体" w:cs="Times New Roman"/>
          <w:color w:val="auto"/>
          <w:kern w:val="2"/>
          <w:sz w:val="24"/>
          <w:szCs w:val="24"/>
          <w:highlight w:val="none"/>
          <w:lang w:val="en-US" w:eastAsia="zh-CN" w:bidi="ar-SA"/>
        </w:rPr>
        <w:t>18.2（2）</w:t>
      </w:r>
      <w:r>
        <w:rPr>
          <w:rFonts w:hint="eastAsia" w:ascii="宋体" w:hAnsi="宋体" w:eastAsia="宋体" w:cs="Times New Roman"/>
          <w:color w:val="auto"/>
          <w:kern w:val="2"/>
          <w:sz w:val="24"/>
          <w:szCs w:val="24"/>
          <w:highlight w:val="none"/>
          <w:lang w:val="en-US" w:eastAsia="zh-CN" w:bidi="ar-SA"/>
        </w:rPr>
        <w:tab/>
      </w:r>
      <w:r>
        <w:rPr>
          <w:rFonts w:hint="eastAsia" w:ascii="宋体" w:hAnsi="宋体" w:eastAsia="宋体" w:cs="Times New Roman"/>
          <w:color w:val="auto"/>
          <w:kern w:val="2"/>
          <w:sz w:val="24"/>
          <w:szCs w:val="24"/>
          <w:highlight w:val="none"/>
          <w:lang w:val="en-US" w:eastAsia="zh-CN" w:bidi="ar-SA"/>
        </w:rPr>
        <w:t>竣工资料的份数：3份</w:t>
      </w:r>
    </w:p>
    <w:p w14:paraId="4CAF69D1">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25</w:t>
      </w:r>
      <w:r>
        <w:rPr>
          <w:rFonts w:hint="eastAsia" w:ascii="宋体" w:hAnsi="宋体" w:eastAsia="宋体" w:cs="Times New Roman"/>
          <w:color w:val="auto"/>
          <w:kern w:val="2"/>
          <w:sz w:val="24"/>
          <w:szCs w:val="24"/>
          <w:highlight w:val="none"/>
          <w:lang w:val="en-US" w:eastAsia="zh-CN" w:bidi="ar-SA"/>
        </w:rPr>
        <w:tab/>
      </w:r>
      <w:r>
        <w:rPr>
          <w:rFonts w:hint="eastAsia" w:ascii="宋体" w:hAnsi="宋体" w:eastAsia="宋体" w:cs="Times New Roman"/>
          <w:color w:val="auto"/>
          <w:kern w:val="2"/>
          <w:sz w:val="24"/>
          <w:szCs w:val="24"/>
          <w:highlight w:val="none"/>
          <w:lang w:val="en-US" w:eastAsia="zh-CN" w:bidi="ar-SA"/>
        </w:rPr>
        <w:t>18.5.1</w:t>
      </w:r>
      <w:r>
        <w:rPr>
          <w:rFonts w:hint="eastAsia" w:ascii="宋体" w:hAnsi="宋体" w:eastAsia="宋体" w:cs="Times New Roman"/>
          <w:color w:val="auto"/>
          <w:kern w:val="2"/>
          <w:sz w:val="24"/>
          <w:szCs w:val="24"/>
          <w:highlight w:val="none"/>
          <w:lang w:val="en-US" w:eastAsia="zh-CN" w:bidi="ar-SA"/>
        </w:rPr>
        <w:tab/>
      </w:r>
      <w:r>
        <w:rPr>
          <w:rFonts w:hint="eastAsia" w:ascii="宋体" w:hAnsi="宋体" w:eastAsia="宋体" w:cs="Times New Roman"/>
          <w:color w:val="auto"/>
          <w:kern w:val="2"/>
          <w:sz w:val="24"/>
          <w:szCs w:val="24"/>
          <w:highlight w:val="none"/>
          <w:lang w:val="en-US" w:eastAsia="zh-CN" w:bidi="ar-SA"/>
        </w:rPr>
        <w:t>单位工程或工程设备是否需投入施工期运行：否</w:t>
      </w:r>
    </w:p>
    <w:p w14:paraId="09913A3A">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 xml:space="preserve">如单位工程或工程设备需要进行施工期运行，需要施工期运行的单位工程或工程设备规定如下：  /  </w:t>
      </w:r>
    </w:p>
    <w:p w14:paraId="02DCEC2B">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26</w:t>
      </w:r>
      <w:r>
        <w:rPr>
          <w:rFonts w:hint="eastAsia" w:ascii="宋体" w:hAnsi="宋体" w:eastAsia="宋体" w:cs="Times New Roman"/>
          <w:color w:val="auto"/>
          <w:kern w:val="2"/>
          <w:sz w:val="24"/>
          <w:szCs w:val="24"/>
          <w:highlight w:val="none"/>
          <w:lang w:val="en-US" w:eastAsia="zh-CN" w:bidi="ar-SA"/>
        </w:rPr>
        <w:tab/>
      </w:r>
      <w:r>
        <w:rPr>
          <w:rFonts w:hint="eastAsia" w:ascii="宋体" w:hAnsi="宋体" w:eastAsia="宋体" w:cs="Times New Roman"/>
          <w:color w:val="auto"/>
          <w:kern w:val="2"/>
          <w:sz w:val="24"/>
          <w:szCs w:val="24"/>
          <w:highlight w:val="none"/>
          <w:lang w:val="en-US" w:eastAsia="zh-CN" w:bidi="ar-SA"/>
        </w:rPr>
        <w:t>18.6.1</w:t>
      </w:r>
      <w:r>
        <w:rPr>
          <w:rFonts w:hint="eastAsia" w:ascii="宋体" w:hAnsi="宋体" w:eastAsia="宋体" w:cs="Times New Roman"/>
          <w:color w:val="auto"/>
          <w:kern w:val="2"/>
          <w:sz w:val="24"/>
          <w:szCs w:val="24"/>
          <w:highlight w:val="none"/>
          <w:lang w:val="en-US" w:eastAsia="zh-CN" w:bidi="ar-SA"/>
        </w:rPr>
        <w:tab/>
      </w:r>
      <w:r>
        <w:rPr>
          <w:rFonts w:hint="eastAsia" w:ascii="宋体" w:hAnsi="宋体" w:eastAsia="宋体" w:cs="Times New Roman"/>
          <w:color w:val="auto"/>
          <w:kern w:val="2"/>
          <w:sz w:val="24"/>
          <w:szCs w:val="24"/>
          <w:highlight w:val="none"/>
          <w:lang w:val="en-US" w:eastAsia="zh-CN" w:bidi="ar-SA"/>
        </w:rPr>
        <w:t>本工程及工程设备是否进行试运行：否</w:t>
      </w:r>
    </w:p>
    <w:p w14:paraId="65006C3C">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 xml:space="preserve">如本工程及工程设备需要进行试运行，试运行的具体规定如下：  /  </w:t>
      </w:r>
    </w:p>
    <w:p w14:paraId="13F18D5C">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27</w:t>
      </w:r>
      <w:r>
        <w:rPr>
          <w:rFonts w:hint="eastAsia" w:ascii="宋体" w:hAnsi="宋体" w:eastAsia="宋体" w:cs="Times New Roman"/>
          <w:color w:val="auto"/>
          <w:kern w:val="2"/>
          <w:sz w:val="24"/>
          <w:szCs w:val="24"/>
          <w:highlight w:val="none"/>
          <w:lang w:val="en-US" w:eastAsia="zh-CN" w:bidi="ar-SA"/>
        </w:rPr>
        <w:tab/>
      </w:r>
      <w:r>
        <w:rPr>
          <w:rFonts w:hint="eastAsia" w:ascii="宋体" w:hAnsi="宋体" w:eastAsia="宋体" w:cs="Times New Roman"/>
          <w:color w:val="auto"/>
          <w:kern w:val="2"/>
          <w:sz w:val="24"/>
          <w:szCs w:val="24"/>
          <w:highlight w:val="none"/>
          <w:lang w:val="en-US" w:eastAsia="zh-CN" w:bidi="ar-SA"/>
        </w:rPr>
        <w:t>19.7（1）</w:t>
      </w:r>
      <w:r>
        <w:rPr>
          <w:rFonts w:hint="eastAsia" w:ascii="宋体" w:hAnsi="宋体" w:eastAsia="宋体" w:cs="Times New Roman"/>
          <w:color w:val="auto"/>
          <w:kern w:val="2"/>
          <w:sz w:val="24"/>
          <w:szCs w:val="24"/>
          <w:highlight w:val="none"/>
          <w:lang w:val="en-US" w:eastAsia="zh-CN" w:bidi="ar-SA"/>
        </w:rPr>
        <w:tab/>
      </w:r>
      <w:r>
        <w:rPr>
          <w:rFonts w:hint="eastAsia" w:ascii="宋体" w:hAnsi="宋体" w:eastAsia="宋体" w:cs="Times New Roman"/>
          <w:color w:val="auto"/>
          <w:kern w:val="2"/>
          <w:sz w:val="24"/>
          <w:szCs w:val="24"/>
          <w:highlight w:val="none"/>
          <w:lang w:val="en-US" w:eastAsia="zh-CN" w:bidi="ar-SA"/>
        </w:rPr>
        <w:t>保修期：2年</w:t>
      </w:r>
    </w:p>
    <w:p w14:paraId="4C50DA90">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28</w:t>
      </w:r>
      <w:r>
        <w:rPr>
          <w:rFonts w:hint="eastAsia" w:ascii="宋体" w:hAnsi="宋体" w:eastAsia="宋体" w:cs="Times New Roman"/>
          <w:color w:val="auto"/>
          <w:kern w:val="2"/>
          <w:sz w:val="24"/>
          <w:szCs w:val="24"/>
          <w:highlight w:val="none"/>
          <w:lang w:val="en-US" w:eastAsia="zh-CN" w:bidi="ar-SA"/>
        </w:rPr>
        <w:tab/>
      </w:r>
      <w:r>
        <w:rPr>
          <w:rFonts w:hint="eastAsia" w:ascii="宋体" w:hAnsi="宋体" w:eastAsia="宋体" w:cs="Times New Roman"/>
          <w:color w:val="auto"/>
          <w:kern w:val="2"/>
          <w:sz w:val="24"/>
          <w:szCs w:val="24"/>
          <w:highlight w:val="none"/>
          <w:lang w:val="en-US" w:eastAsia="zh-CN" w:bidi="ar-SA"/>
        </w:rPr>
        <w:t>20.1</w:t>
      </w:r>
      <w:r>
        <w:rPr>
          <w:rFonts w:hint="eastAsia" w:ascii="宋体" w:hAnsi="宋体" w:eastAsia="宋体" w:cs="Times New Roman"/>
          <w:color w:val="auto"/>
          <w:kern w:val="2"/>
          <w:sz w:val="24"/>
          <w:szCs w:val="24"/>
          <w:highlight w:val="none"/>
          <w:lang w:val="en-US" w:eastAsia="zh-CN" w:bidi="ar-SA"/>
        </w:rPr>
        <w:tab/>
      </w:r>
      <w:r>
        <w:rPr>
          <w:rFonts w:hint="eastAsia" w:ascii="宋体" w:hAnsi="宋体" w:eastAsia="宋体" w:cs="Times New Roman"/>
          <w:color w:val="auto"/>
          <w:kern w:val="2"/>
          <w:sz w:val="24"/>
          <w:szCs w:val="24"/>
          <w:highlight w:val="none"/>
          <w:lang w:val="en-US" w:eastAsia="zh-CN" w:bidi="ar-SA"/>
        </w:rPr>
        <w:t>建筑工程一切险的保险费率：‰</w:t>
      </w:r>
    </w:p>
    <w:p w14:paraId="159D6706">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29</w:t>
      </w:r>
      <w:r>
        <w:rPr>
          <w:rFonts w:hint="eastAsia" w:ascii="宋体" w:hAnsi="宋体" w:eastAsia="宋体" w:cs="Times New Roman"/>
          <w:color w:val="auto"/>
          <w:kern w:val="2"/>
          <w:sz w:val="24"/>
          <w:szCs w:val="24"/>
          <w:highlight w:val="none"/>
          <w:lang w:val="en-US" w:eastAsia="zh-CN" w:bidi="ar-SA"/>
        </w:rPr>
        <w:tab/>
      </w:r>
      <w:r>
        <w:rPr>
          <w:rFonts w:hint="eastAsia" w:ascii="宋体" w:hAnsi="宋体" w:eastAsia="宋体" w:cs="Times New Roman"/>
          <w:color w:val="auto"/>
          <w:kern w:val="2"/>
          <w:sz w:val="24"/>
          <w:szCs w:val="24"/>
          <w:highlight w:val="none"/>
          <w:lang w:val="en-US" w:eastAsia="zh-CN" w:bidi="ar-SA"/>
        </w:rPr>
        <w:t>20.4.2</w:t>
      </w:r>
      <w:r>
        <w:rPr>
          <w:rFonts w:hint="eastAsia" w:ascii="宋体" w:hAnsi="宋体" w:eastAsia="宋体" w:cs="Times New Roman"/>
          <w:color w:val="auto"/>
          <w:kern w:val="2"/>
          <w:sz w:val="24"/>
          <w:szCs w:val="24"/>
          <w:highlight w:val="none"/>
          <w:lang w:val="en-US" w:eastAsia="zh-CN" w:bidi="ar-SA"/>
        </w:rPr>
        <w:tab/>
      </w:r>
      <w:r>
        <w:rPr>
          <w:rFonts w:hint="eastAsia" w:ascii="宋体" w:hAnsi="宋体" w:eastAsia="宋体" w:cs="Times New Roman"/>
          <w:color w:val="auto"/>
          <w:kern w:val="2"/>
          <w:sz w:val="24"/>
          <w:szCs w:val="24"/>
          <w:highlight w:val="none"/>
          <w:lang w:val="en-US" w:eastAsia="zh-CN" w:bidi="ar-SA"/>
        </w:rPr>
        <w:t>第三者责任险的最低投保金额：万元，事故次数不限（不计免赔额）</w:t>
      </w:r>
    </w:p>
    <w:p w14:paraId="02596C4A">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保险费率：‰</w:t>
      </w:r>
    </w:p>
    <w:p w14:paraId="0D3564CE">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30</w:t>
      </w:r>
      <w:r>
        <w:rPr>
          <w:rFonts w:hint="eastAsia" w:ascii="宋体" w:hAnsi="宋体" w:eastAsia="宋体" w:cs="Times New Roman"/>
          <w:color w:val="auto"/>
          <w:kern w:val="2"/>
          <w:sz w:val="24"/>
          <w:szCs w:val="24"/>
          <w:highlight w:val="none"/>
          <w:lang w:val="en-US" w:eastAsia="zh-CN" w:bidi="ar-SA"/>
        </w:rPr>
        <w:tab/>
      </w:r>
      <w:r>
        <w:rPr>
          <w:rFonts w:hint="eastAsia" w:ascii="宋体" w:hAnsi="宋体" w:eastAsia="宋体" w:cs="Times New Roman"/>
          <w:color w:val="auto"/>
          <w:kern w:val="2"/>
          <w:sz w:val="24"/>
          <w:szCs w:val="24"/>
          <w:highlight w:val="none"/>
          <w:lang w:val="en-US" w:eastAsia="zh-CN" w:bidi="ar-SA"/>
        </w:rPr>
        <w:t>24.1</w:t>
      </w:r>
      <w:r>
        <w:rPr>
          <w:rFonts w:hint="eastAsia" w:ascii="宋体" w:hAnsi="宋体" w:eastAsia="宋体" w:cs="Times New Roman"/>
          <w:color w:val="auto"/>
          <w:kern w:val="2"/>
          <w:sz w:val="24"/>
          <w:szCs w:val="24"/>
          <w:highlight w:val="none"/>
          <w:lang w:val="en-US" w:eastAsia="zh-CN" w:bidi="ar-SA"/>
        </w:rPr>
        <w:tab/>
      </w:r>
      <w:r>
        <w:rPr>
          <w:rFonts w:hint="eastAsia" w:ascii="宋体" w:hAnsi="宋体" w:eastAsia="宋体" w:cs="Times New Roman"/>
          <w:color w:val="auto"/>
          <w:kern w:val="2"/>
          <w:sz w:val="24"/>
          <w:szCs w:val="24"/>
          <w:highlight w:val="none"/>
          <w:lang w:val="en-US" w:eastAsia="zh-CN" w:bidi="ar-SA"/>
        </w:rPr>
        <w:t>争议的最终解决方式：诉讼</w:t>
      </w:r>
    </w:p>
    <w:p w14:paraId="397E4A20">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向工程所在地人民法院起诉讼</w:t>
      </w:r>
    </w:p>
    <w:p w14:paraId="6FC18A03">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p>
    <w:p w14:paraId="51581AF1">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项目专用合同条款</w:t>
      </w:r>
    </w:p>
    <w:p w14:paraId="582241BD">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p>
    <w:p w14:paraId="56AB80C4">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1.1.1合同</w:t>
      </w:r>
    </w:p>
    <w:p w14:paraId="583D6D95">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增加1.1.1.10条</w:t>
      </w:r>
    </w:p>
    <w:p w14:paraId="48BC159E">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发包人下发的管理文件：发包人为使项目达到合同约定的质量、造价、进度、安全、保通、文明等一系列目标，在项目实施期间制定的相关管理、实施办法、方案等文件。</w:t>
      </w:r>
    </w:p>
    <w:p w14:paraId="3AE5DF0D">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1.4合同文件的优先顺序：</w:t>
      </w:r>
    </w:p>
    <w:p w14:paraId="4E387035">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在本款1.4(12)后增加:(13)施工组织设计；（14）项目经理委任书；(15) 农民工工资支付承诺书；（16）发包人下发的管理文件。将原1.4（13）子款修正为1.4(17)子款：“构成本合同组成部分的任何其他文件。”</w:t>
      </w:r>
    </w:p>
    <w:p w14:paraId="17B4DA0C">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1.7.2来往函件送达的期限： 3天内</w:t>
      </w:r>
    </w:p>
    <w:p w14:paraId="55C8985B">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4.1.2依法纳税：国家及地方法律、法规规定应缴纳的一切税费</w:t>
      </w:r>
    </w:p>
    <w:p w14:paraId="6AF6DF64">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4.1.8为他人提供方便</w:t>
      </w:r>
    </w:p>
    <w:p w14:paraId="28F5A017">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承包人为他人提供条件的内容：</w:t>
      </w:r>
    </w:p>
    <w:p w14:paraId="1CFB8C4C">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1、工程用地红线以外临时用地等有关问题由施工单位与当地群众协调，协调过程中所发生的费用由承包商承担；</w:t>
      </w:r>
    </w:p>
    <w:p w14:paraId="5CDC85D2">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2、承包商应与地方政府、各部门及当地群众搞好关系，自觉遵守村规民约、法律、法规；</w:t>
      </w:r>
    </w:p>
    <w:p w14:paraId="6B1E20EA">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3、因施工过程中造成道路、房屋以及其他沿线设施的损坏，由承包商负责赔偿；</w:t>
      </w:r>
    </w:p>
    <w:p w14:paraId="44072DF3">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4、有经验的承包商，应当能够预见在施工过程中，因意外造成的停工停产以及其它原因所产生的相应费用，其费用包含在报价中。</w:t>
      </w:r>
    </w:p>
    <w:p w14:paraId="4DD1D48F">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承包人为他人提供条件可能发生费用的处理方法：由此产生的一切费用由承包人自行负责，应综合考虑到报价中，不再单独计量</w:t>
      </w:r>
    </w:p>
    <w:p w14:paraId="1E8ACC99">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4.1.10其他义务</w:t>
      </w:r>
    </w:p>
    <w:p w14:paraId="32BD5294">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明确第（5）条款：积极配合好与本项目相关的审计和稽查工作。</w:t>
      </w:r>
    </w:p>
    <w:p w14:paraId="554F9373">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4.2履约担保：现金或银行保函，供应商采用现金形式提交的，应从基本账户一次性汇入指定账户；采用银行保函形式的，出具履约担保的银行级别：具有开保函资格和所需额度的信誉良好的国内地市级以上（含地市级）的全国性商业银行分行或支行。</w:t>
      </w:r>
    </w:p>
    <w:p w14:paraId="1DB28013">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4.6.3本款细化为：承包人安排在施工场地的主要管理人员和技术骨干应与</w:t>
      </w:r>
      <w:r>
        <w:rPr>
          <w:rFonts w:hint="eastAsia" w:hAnsi="宋体" w:cs="Times New Roman"/>
          <w:color w:val="auto"/>
          <w:kern w:val="2"/>
          <w:sz w:val="24"/>
          <w:szCs w:val="24"/>
          <w:highlight w:val="none"/>
          <w:lang w:val="en-US" w:eastAsia="zh-CN" w:bidi="ar-SA"/>
        </w:rPr>
        <w:t>响应文件</w:t>
      </w:r>
      <w:r>
        <w:rPr>
          <w:rFonts w:hint="eastAsia" w:ascii="宋体" w:hAnsi="宋体" w:eastAsia="宋体" w:cs="Times New Roman"/>
          <w:color w:val="auto"/>
          <w:kern w:val="2"/>
          <w:sz w:val="24"/>
          <w:szCs w:val="24"/>
          <w:highlight w:val="none"/>
          <w:lang w:val="en-US" w:eastAsia="zh-CN" w:bidi="ar-SA"/>
        </w:rPr>
        <w:t>所承诺的名单一致，并保持相对稳定，原则上不充许更换，如确需要更换人员，更换比例不得超出</w:t>
      </w:r>
      <w:r>
        <w:rPr>
          <w:rFonts w:hint="eastAsia" w:hAnsi="宋体" w:cs="Times New Roman"/>
          <w:color w:val="auto"/>
          <w:kern w:val="2"/>
          <w:sz w:val="24"/>
          <w:szCs w:val="24"/>
          <w:highlight w:val="none"/>
          <w:lang w:val="en-US" w:eastAsia="zh-CN" w:bidi="ar-SA"/>
        </w:rPr>
        <w:t>响应文件</w:t>
      </w:r>
      <w:r>
        <w:rPr>
          <w:rFonts w:hint="eastAsia" w:ascii="宋体" w:hAnsi="宋体" w:eastAsia="宋体" w:cs="Times New Roman"/>
          <w:color w:val="auto"/>
          <w:kern w:val="2"/>
          <w:sz w:val="24"/>
          <w:szCs w:val="24"/>
          <w:highlight w:val="none"/>
          <w:lang w:val="en-US" w:eastAsia="zh-CN" w:bidi="ar-SA"/>
        </w:rPr>
        <w:t>人员承诺书中人员总数的30%。合同签订时进场人员（拟投入关键人员承诺书所列人员）如需更换，更换人员须经监理、发包人审查同意后方可更换，同时给予处罚，承包人的主要人员（项目经理、项目副经理、项目总工程师、试验负责人、质检工程师）每更换一人次处罚10万元；合同中的其他人员（拟投入关键人员承诺书所列人员）每更换一人次处罚5万元。承包人的主要人员（项目经理、项目副经理、项目总工程师、试验负责人、质检工程师）一旦擅自更换，发包人对承包人处罚20万元/每人次；合同中的其他人员（拟投入关键人员承诺书所列人员）一旦擅自更换，发包人对承包人处罚10万元/每人次；同时要求承包人按合同承诺人员到位，并按照发包人下发的履约评价实施细则扣分。未经监理人批准，上述人员不应无故不到位或被替换；若确实无法到位或需替换，需经监理人审核并报发包人批准后，用同等资质和经历的人员替换。</w:t>
      </w:r>
    </w:p>
    <w:p w14:paraId="2785A373">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合同签订时进场人员（拟投入关键人员承诺书所列人员）的资格证书原件交由发包人保管，直至工程交工验收。</w:t>
      </w:r>
    </w:p>
    <w:p w14:paraId="1B68B462">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4.11.1不利物质条件的范围：指承包人在施工场地遇到的不可预见的自然物质条件、非自然的物质障碍和污染物，包括地下和水文条件，但不包括气候条件。</w:t>
      </w:r>
    </w:p>
    <w:p w14:paraId="50E1B5EB">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8.1.1发包人向承包人提供测量准点、基准线和水准点及其书面资料的时间：</w:t>
      </w:r>
    </w:p>
    <w:p w14:paraId="3279127A">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合同签订后，开工令发出之日前。承包人向监理人报送施工控制网资料的时间：合同签订后，开工令发出之日前。</w:t>
      </w:r>
    </w:p>
    <w:p w14:paraId="27F7A26E">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9.2承包人的施工安全责任：按公路工程标准施工竞争性磋商文件（2018版）公路工程专用合同条款执行。</w:t>
      </w:r>
    </w:p>
    <w:p w14:paraId="6552CC78">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10.1合同进度计划</w:t>
      </w:r>
    </w:p>
    <w:p w14:paraId="0C66F92A">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承包人编制施工方案的内容：</w:t>
      </w:r>
    </w:p>
    <w:p w14:paraId="42D4DEFE">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1、施工组织设计的文字说明。</w:t>
      </w:r>
    </w:p>
    <w:p w14:paraId="0EFE835F">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1）设备、人员动员周期和设备、人员、材料运到施工现场的方法；</w:t>
      </w:r>
    </w:p>
    <w:p w14:paraId="520B7EB4">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2）施工便道修建方案；</w:t>
      </w:r>
    </w:p>
    <w:p w14:paraId="6FC37D9B">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3)主要工程项目的施工方案、施工方法；各分项工程的施工顺序；重点（关键）和难点工程的施工方案、方法及其措施；</w:t>
      </w:r>
    </w:p>
    <w:p w14:paraId="0F2A4B9B">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4）工期进度安排：应编制施工总体计划表（横道图及网络图形式），详细说明整个工程开、竣工日期及分阶段计划安排；保证工期的措施。</w:t>
      </w:r>
    </w:p>
    <w:p w14:paraId="51288AD6">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5）确保质量的措施：质保体系的建立；质量目标的制定；明确各分部、分项工程的质量控制重点，并提出对可能出现的质量问题的事前、事中、事后控制的处理措施；消除质量通病的方法和措施；</w:t>
      </w:r>
    </w:p>
    <w:p w14:paraId="3621FA9A">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6）冬季和雨季的施工安排；</w:t>
      </w:r>
    </w:p>
    <w:p w14:paraId="5AB7F2B2">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7）安全生产、文明施工及环保措施；</w:t>
      </w:r>
    </w:p>
    <w:p w14:paraId="3EEA03DD">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8）与其它在建工程施工单位之间的配合、协调；</w:t>
      </w:r>
    </w:p>
    <w:p w14:paraId="546C07F7">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9）其它应说明的事项。</w:t>
      </w:r>
    </w:p>
    <w:p w14:paraId="765A69B5">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2、分项工程进度率计划</w:t>
      </w:r>
    </w:p>
    <w:p w14:paraId="66AE21BC">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3、工程管理曲线</w:t>
      </w:r>
    </w:p>
    <w:p w14:paraId="5B8F7D82">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4、施工总平面布置</w:t>
      </w:r>
    </w:p>
    <w:p w14:paraId="08992BAE">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5、主要分项工程施工工艺框图</w:t>
      </w:r>
    </w:p>
    <w:p w14:paraId="33955897">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6、分项工程生产率和施工周期表</w:t>
      </w:r>
    </w:p>
    <w:p w14:paraId="7F85E5D9">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7、施工总体计划表</w:t>
      </w:r>
    </w:p>
    <w:p w14:paraId="1F516540">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11.4异常恶劣的气候条件：本合同工程指发生烈度为七度以上地震、龙卷风、超过百年一遇洪水位等引起的延误情况。</w:t>
      </w:r>
    </w:p>
    <w:p w14:paraId="4FEF30DD">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11.5承包人的工期延误：工期延误违约金：人民币5000 元/天，限额为合同价的10%</w:t>
      </w:r>
    </w:p>
    <w:p w14:paraId="1656C34C">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11.6工期提前：提前交工的奖金：（不适用）</w:t>
      </w:r>
    </w:p>
    <w:p w14:paraId="57F584E2">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12.1承包人暂停施工的责任：影响分项工程进度计划的按照11.5项处罚。</w:t>
      </w:r>
    </w:p>
    <w:p w14:paraId="719351F5">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13. 工程质量</w:t>
      </w:r>
    </w:p>
    <w:p w14:paraId="54485362">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13.1.1后增加：</w:t>
      </w:r>
    </w:p>
    <w:p w14:paraId="20C736C1">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在工程实施全过程中，所引用的标准或规范如果有修改或新颁，应由发包人决定是否用新标准或新规范，承包人应在监理工程师的监督下按发包人的决定执行。采用新标准或新规范所增加的费用应作为承包人的风险，由承包人在投标报价中充分考虑由此增加的施工费用，由此发生的一切费用视为已计入合同价格中，不得就此要求发包人给予额外费用补贴。</w:t>
      </w:r>
    </w:p>
    <w:p w14:paraId="46A573E8">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13.1.2质保体系要求</w:t>
      </w:r>
    </w:p>
    <w:p w14:paraId="2DF4D677">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承包人要建立完善的质量保证体系：</w:t>
      </w:r>
    </w:p>
    <w:p w14:paraId="294A0C94">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1、承包人要提供项目施工质量目标管理机制和质量监督管理体系。</w:t>
      </w:r>
    </w:p>
    <w:p w14:paraId="068DB014">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2、要求执行工序质量检验认可制度，上道工序未经检验合格不得进行下道工序施工，质量检验不合格和资料不全不予签证。监理工程师对施工全过程进行全面检查、监控和管理，严格执行监理程序，对每一道工序的质量具有否决权。</w:t>
      </w:r>
    </w:p>
    <w:p w14:paraId="5F408E33">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3、要求项目部建立项目经理部领导下的总工程师工程质量负责制，配备质检工程师、试验员、质检员、现场质量管理员，负责本标段的工程质量管理和试验检测工作。同时建立现场管理员工作制度和奖惩制度，确保现场质量管理工作与施工同步，消灭质量管理上的空白。</w:t>
      </w:r>
    </w:p>
    <w:p w14:paraId="564C1752">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13.1.3工程质量创优管理办法：</w:t>
      </w:r>
    </w:p>
    <w:p w14:paraId="46896989">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1、总体目标：</w:t>
      </w:r>
    </w:p>
    <w:p w14:paraId="4679DBF1">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努力打造精品工程，确保全部工程达到国家、行业现行的工程质量验收标准。</w:t>
      </w:r>
    </w:p>
    <w:p w14:paraId="6BBFB2A9">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2、创优理念：</w:t>
      </w:r>
    </w:p>
    <w:p w14:paraId="1BDD7EA8">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设计方面：注重精细设计，提倡作品设计，体现新颖、和谐，并与周围景观的自然融合；过程管理：体现“严”、 “细”，新技术、新材料、新工艺深入应用；产品体现“精”、 “优”。</w:t>
      </w:r>
    </w:p>
    <w:p w14:paraId="5310B8D4">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3、具体要求：</w:t>
      </w:r>
    </w:p>
    <w:p w14:paraId="3B04B6F5">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对分项工程通过实验段及现场实物首件实施达到标准要求的进行成品认可，在以后的类似分项工程施工的工程质量均不得低于该首件工程的标准。</w:t>
      </w:r>
    </w:p>
    <w:p w14:paraId="4A4FA2D7">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采取封样制度。对原材料与成品封样，成品封样与首件认可相结合。</w:t>
      </w:r>
    </w:p>
    <w:p w14:paraId="6DF54F85">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各参建单位成立以项目经理为组长的创优工作领导小组，按照项目公司的要求，结合各自实际，细化创优管理办法，组织开展创优的管理工作。</w:t>
      </w:r>
    </w:p>
    <w:p w14:paraId="5E6E00E2">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严格落实质量责任制；根据交通部《公路工程落实质量责任制的意见》精细管理的要求，从岗位责任入手，从建设业主、监理到施工单位主要管理人员层层签订质量目标责任书，并给各个参建者建立档案，使人人有责任、人人有压力。按照单位、分部、分项工程，进行层层分解，细到每一道工序。做到每一个细小环节有人管、有人盯，有小部位的“细”达到整体工程的“优”。</w:t>
      </w:r>
    </w:p>
    <w:p w14:paraId="38222CA5">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精细施工与文明施工常态化：对施工中产生的废弃料不得乱弃乱放，应按要求运往指定地点进行处理存放，剩余废料不得堆放在红线范围内；对易于造成环境污染的施工材料，在运输、存放及使用过程中，应采取有效措施，使之不污染或污染降到最小程度；有防尘、防噪及不扰民措施，避免因出现尘土、噪声、振动等原因引起地方纠纷。</w:t>
      </w:r>
    </w:p>
    <w:p w14:paraId="46FEBAD3">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本条后增加13.7条</w:t>
      </w:r>
    </w:p>
    <w:p w14:paraId="242E8CBB">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13.7 质量抽检</w:t>
      </w:r>
    </w:p>
    <w:p w14:paraId="0B8E67FC">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发包人或发包人委托的检测单位分别代表政府和发包人，有权对各承包人的施工质量随时进行抽检，并通过监理人对工程实施否决，承包人应积极予以配合，并免费提供试验用的仪器、材料、试样等。</w:t>
      </w:r>
    </w:p>
    <w:p w14:paraId="339FA815">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15.4变更的估价原则：</w:t>
      </w:r>
    </w:p>
    <w:p w14:paraId="431CF021">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15.4.1如果取消某项工作，则该项工作的总额价不予支付；</w:t>
      </w:r>
    </w:p>
    <w:p w14:paraId="6179A17F">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15.4.2已标价工程量清单中有适用于变更工作的子目的，采用该子目的单价。</w:t>
      </w:r>
    </w:p>
    <w:p w14:paraId="3E78E867">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15.4.3已标价工程量清单中无适用于变更工作的子目，但有类似子目的，可在合理范围内参照类似子目的单价，由监理人按第3.5款商定或确定变更工作的单价。</w:t>
      </w:r>
    </w:p>
    <w:p w14:paraId="4E91FE1B">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15.4.4已标价工程量清单中无适用或类似子目的单价，可在综合考虑承包人在投标时所提供的单价分析表和单价组成表的基础上，由监理人按第3.5款商定或确定变更工作的单价。</w:t>
      </w:r>
    </w:p>
    <w:p w14:paraId="32ED00C8">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15.4.5如果本工程的变更指示是因承包人过错、承包人违反合同或承包人责任造成的，则这种违约引起的任何额外费用应由承包人承担。</w:t>
      </w:r>
    </w:p>
    <w:p w14:paraId="3F404888">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16价格调整：合同期内不调价。</w:t>
      </w:r>
    </w:p>
    <w:p w14:paraId="0CD71EA8">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17.1.6路面养护期计量方法：</w:t>
      </w:r>
      <w:r>
        <w:rPr>
          <w:rFonts w:hint="eastAsia" w:ascii="宋体" w:hAnsi="宋体" w:eastAsia="宋体" w:cs="Times New Roman"/>
          <w:color w:val="auto"/>
          <w:kern w:val="2"/>
          <w:sz w:val="24"/>
          <w:szCs w:val="24"/>
          <w:highlight w:val="none"/>
          <w:lang w:val="en-US" w:eastAsia="zh-CN" w:bidi="ar-SA"/>
        </w:rPr>
        <w:tab/>
      </w:r>
      <w:r>
        <w:rPr>
          <w:rFonts w:hint="eastAsia" w:ascii="宋体" w:hAnsi="宋体" w:eastAsia="宋体" w:cs="Times New Roman"/>
          <w:color w:val="auto"/>
          <w:kern w:val="2"/>
          <w:sz w:val="24"/>
          <w:szCs w:val="24"/>
          <w:highlight w:val="none"/>
          <w:lang w:val="en-US" w:eastAsia="zh-CN" w:bidi="ar-SA"/>
        </w:rPr>
        <w:t>（本项目不适用）</w:t>
      </w:r>
      <w:r>
        <w:rPr>
          <w:rFonts w:hint="eastAsia" w:ascii="宋体" w:hAnsi="宋体" w:eastAsia="宋体" w:cs="Times New Roman"/>
          <w:color w:val="auto"/>
          <w:kern w:val="2"/>
          <w:sz w:val="24"/>
          <w:szCs w:val="24"/>
          <w:highlight w:val="none"/>
          <w:lang w:val="en-US" w:eastAsia="zh-CN" w:bidi="ar-SA"/>
        </w:rPr>
        <w:tab/>
      </w:r>
    </w:p>
    <w:p w14:paraId="52BBAB58">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17.3．3进度付款证书和支付时间：</w:t>
      </w:r>
    </w:p>
    <w:p w14:paraId="6CEC6573">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进度付款涉及政府投资资金的,按照以下规定办理：按照国库集中支付等国家相关规定办理。</w:t>
      </w:r>
    </w:p>
    <w:p w14:paraId="50838CAE">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18.9竣工文件</w:t>
      </w:r>
      <w:r>
        <w:rPr>
          <w:rFonts w:hint="eastAsia" w:ascii="宋体" w:hAnsi="宋体" w:eastAsia="宋体" w:cs="Times New Roman"/>
          <w:color w:val="auto"/>
          <w:kern w:val="2"/>
          <w:sz w:val="24"/>
          <w:szCs w:val="24"/>
          <w:highlight w:val="none"/>
          <w:lang w:val="en-US" w:eastAsia="zh-CN" w:bidi="ar-SA"/>
        </w:rPr>
        <w:tab/>
      </w:r>
    </w:p>
    <w:p w14:paraId="03FFA223">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本款修改为：</w:t>
      </w:r>
    </w:p>
    <w:p w14:paraId="740FECF2">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承包人应按照交通部《公路工程竣工验收办法》和河南省交通运输厅豫交办[2011]39号文关于下发《河南省公路建设项目文件材料立卷归档整理规范》的通知的有关规定：公路工程建设项目档案的验收应与工程验收的初步验收和竣工验收同步进行，交工时对档案进行初验，竣工验收前三个月进行验收归档。竣工资料档案验收时，如果档案管理部门认为不满足有关档案管理的要求时，承包人必须根据发包人或监理人的要求及时进行补充和完善，所发生的费用由承包人承担。</w:t>
      </w:r>
    </w:p>
    <w:p w14:paraId="58BCE090">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22.1.1承包人违约的情形</w:t>
      </w:r>
    </w:p>
    <w:p w14:paraId="50CE02E7">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本项（9）目修改为：</w:t>
      </w:r>
    </w:p>
    <w:p w14:paraId="6D5E3A94">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（9）承包人违反第9.2款的约定，未按专项施工方案施工，或违反国家、本项目相关安全管理规章制度，或没有有效保障现场工作人员安全的措施等情况。</w:t>
      </w:r>
    </w:p>
    <w:p w14:paraId="159B98C1">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（10）承包人不按合同约定履行义务的其他情况</w:t>
      </w:r>
    </w:p>
    <w:p w14:paraId="08051CE1">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22.1.2对承包人违约的处理：处以项目不超过合同价5%的违约金</w:t>
      </w:r>
    </w:p>
    <w:p w14:paraId="4FC2328B">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将本款最后自然段增加违约金规定：</w:t>
      </w:r>
    </w:p>
    <w:p w14:paraId="06EA31D8">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1）项目经理、总工等主要负责人员没有按时进场，或进场后，未经批准又离开工地，发包人将按10000元/人·天扣除违约金。其他工地主要人员没有按时进场，或进场后，未经批准又离开工地，发包人将按2000元/人·天扣除违约金。</w:t>
      </w:r>
    </w:p>
    <w:p w14:paraId="525A2CA7">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(2)承包人承诺的主要机械及试验、测量设备不能按时进场，每迟到1天，发包人将按照设备的台班费（以承包人投标书中单价分析为准）的三倍扣除违约金，直到设备进场为止。</w:t>
      </w:r>
    </w:p>
    <w:p w14:paraId="4BCA33EA">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(3)承包人承诺的主要机械进场后，未经批准又离开工地，发包人将按10000元/台天扣除违约金。直到设备返场为止。</w:t>
      </w:r>
    </w:p>
    <w:p w14:paraId="59BAFFBF">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(4)承包人未履行施工安全责任，在发包人、监理人要求期限内未响应改正的，发包人有权根据情节严重程度对承包人处以10万元以内罚款每次。</w:t>
      </w:r>
    </w:p>
    <w:p w14:paraId="08A8BE37">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以上违约金罚款不免除承包人违约的其他责任。</w:t>
      </w:r>
    </w:p>
    <w:p w14:paraId="69E0B75B">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增加25、26、27、28、29、30、31、32、33、34、35、36条</w:t>
      </w:r>
    </w:p>
    <w:p w14:paraId="3153B716">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25、安全生产费用</w:t>
      </w:r>
    </w:p>
    <w:p w14:paraId="0D26505A">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25.1安全生产费由发包人控制使用和支付。工程实施期间发包人将根据承包人在安全生产方面的投入、安全生产管理水平、有无发生安全事故以及发包人平时对承包人安全生产方面的考核、考评情况来决定对安全生产费的支付。该项费用视上述情况在合同执行期间分次支付，至合同履行完毕可以部分支付、全部支付、也可以完全不支付。</w:t>
      </w:r>
    </w:p>
    <w:p w14:paraId="63A73611">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25.2 在整个合同执行期间，如未达到承诺的安全目标，安全生产费将不予支付，已经支付应予扣回。</w:t>
      </w:r>
    </w:p>
    <w:p w14:paraId="2A25460F">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26、项目审计、稽查和检查等的配合</w:t>
      </w:r>
    </w:p>
    <w:p w14:paraId="3B118074">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（1）与本项目相关的审计和稽查，承包人应高度重视并委派专人积极予以配合工作，对审计和稽查的有关意见承包人应无条件执行并及时整改。</w:t>
      </w:r>
    </w:p>
    <w:p w14:paraId="5E38E45F">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（2）有关单位对本项目的各种检查和视察等活动，承包人和监理人有义务予以积极配合开展各项工作。</w:t>
      </w:r>
    </w:p>
    <w:p w14:paraId="4DC98CA1">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（3）本项目有关的各类统计报表和汇报材料及后评估报告，承包人和监理人有义务予以积极配合发包人做好编制工作并提供相应的资料。</w:t>
      </w:r>
    </w:p>
    <w:p w14:paraId="5C06FD72">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4）承包人和监理人应按发包人和有关文件要求，建立相应的计量、支付和变更台帐，同时承包人和监理人应积极配合发包人建立相应的台帐，三方各自的台帐应相应保持一致并保持其持续有效，直至工程决算完成。</w:t>
      </w:r>
    </w:p>
    <w:p w14:paraId="5CFDF759">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5）承包人应按发包人要求将主要材料的供货合同等资料提供给发包人和监理人备案。取材的料场和货源应保持相对固定，承包人及其供货人应接受发包人和监理人的监督检查，如有变更应及时通知发包人或监理人并报送相应有关资料。监理人征得发包人同意后有权要求承包人更换不符合要求的材料，承包人必须接受。</w:t>
      </w:r>
    </w:p>
    <w:p w14:paraId="6A3E71B4">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27、防止和避免电力、电讯线路非正常中断</w:t>
      </w:r>
    </w:p>
    <w:p w14:paraId="32E9E22B">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根据《公路行业标准专用合同条款》第2.3.2项规定，承包人在为了临时出入和施工交通方便而修建的临时道路的过程中，应征得有关电力、电讯等部门同意，防止和避免由于承包人或其任何分包人的疏忽不正当的施工方法和手段而造成电力、电讯线路及地下电缆的非正常中断。否则，由于承包人或其任何分包人的过失而造成的电力、电讯线路及地下电缆的非正常中断而引起的一切索赔、诉讼、损害赔偿、指控费及其它开支，应由承包人自负。</w:t>
      </w:r>
    </w:p>
    <w:p w14:paraId="1CC80276">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28、摄影</w:t>
      </w:r>
    </w:p>
    <w:p w14:paraId="5511BBD8">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有关工地、工程的任何部分或工程的任何事项的照片，其版权归发包人所有，在没有发包人书面许可的情况下，不得发表或发行。发包人的许可不免除承包商遵守任何法律规定的有关照片拍摄、出版所应承担的责任。</w:t>
      </w:r>
    </w:p>
    <w:p w14:paraId="04A9E83F">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29、广告</w:t>
      </w:r>
    </w:p>
    <w:p w14:paraId="715A848F">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承包人不应在施工场地或施工机械、车辆上张贴商业性广告。需要在现场张贴布告时，应经监理人批准。</w:t>
      </w:r>
    </w:p>
    <w:p w14:paraId="29050CEF">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未经监理人书面许可，除发包人组织的有关视察外，不允许任何人到工地视察。</w:t>
      </w:r>
    </w:p>
    <w:p w14:paraId="72559215">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30 、标准化施工要求</w:t>
      </w:r>
    </w:p>
    <w:p w14:paraId="3C948721">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30.1驻地建设应满足《河南省普通干线公路建设标准化管理指南》（试行）中有关规定的要求。</w:t>
      </w:r>
    </w:p>
    <w:p w14:paraId="19893FC6">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30.2工地试验室建设应按照《河南省公路工程工地临时试验室管理办法实施细则（试行）》要求，遵循科学、客观、严谨、公正的原则，独立开展试验检测活动，为工程建设提供真实、准确的试验检测数据和报告。</w:t>
      </w:r>
    </w:p>
    <w:p w14:paraId="2FEC1FC2">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工地试验室建设选址、布局、房屋、门牌、指路牌、消防安全措施等设置与驻地建设要求相同。</w:t>
      </w:r>
    </w:p>
    <w:p w14:paraId="6E96278E">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30.3水泥混凝土及水泥稳定土拌合站</w:t>
      </w:r>
    </w:p>
    <w:p w14:paraId="28FAD5CB">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1）拌和站选址</w:t>
      </w:r>
    </w:p>
    <w:p w14:paraId="1ACAC9EF">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拌和站选址除应符合基本要求外，还应根据本合同段的主要构造物分布、运输条件、通电和通水条件等特点综合选址，尽量靠近主体工程施工部位，做到运输便利、经济合理；并远离生活区、居民区。</w:t>
      </w:r>
    </w:p>
    <w:p w14:paraId="42819603">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2）场地建设</w:t>
      </w:r>
    </w:p>
    <w:p w14:paraId="0D872EBF">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2.1）拌和站应根据工程实际情况集中布置，宜采用封闭式管理，四周设置围墙，入口设置彩门和值班室。</w:t>
      </w:r>
    </w:p>
    <w:p w14:paraId="0CFB9024">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2.2）拌和站建设应合理划分为生活区、拌和作业区、材料计量区、材料库及运输车辆停放区、试验区、集料堆放区，内设排水系统。</w:t>
      </w:r>
    </w:p>
    <w:p w14:paraId="211748B1">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2.3）拌和站场地面积、搅拌机组配置及产能应满足生产、施工需求和工程进度要求。</w:t>
      </w:r>
    </w:p>
    <w:p w14:paraId="7954A8C4">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3）拌和站内道路、场地应做硬化处理，场区排水应按照中间高四周低的原则，预设不小于1.5%排水坡度，四周宜设砖砌排水沟，站区做到雨天不积水、不泥泞，晴天不扬尘。</w:t>
      </w:r>
    </w:p>
    <w:p w14:paraId="4BFF970F">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4）拌和站各罐体宜联接成整体，且必须安装避雷设施及防倾倒设施。</w:t>
      </w:r>
    </w:p>
    <w:p w14:paraId="2698C2DA">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5）原材料堆放应符合下列要求：</w:t>
      </w:r>
    </w:p>
    <w:p w14:paraId="08D049E5">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5.1) 原材料堆放应靠近拌和设备的使用地点，料仓口留一定余地，确保运输车辆装、卸料方便。</w:t>
      </w:r>
    </w:p>
    <w:p w14:paraId="02F0C2D6">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5.2）凡用于各工程的砂石料应按级配要求，不同粒径、不同品种分场存放，并设立1m×1m标准样品池，墙厚采用12cm的砖砌结构。存料场应搭设防雨棚，棚顶宜采用彩钢板或蓬布。每区在醒目位置设置材料标识牌。</w:t>
      </w:r>
    </w:p>
    <w:p w14:paraId="345EBE00">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5.3）水泥混凝土、路面面层储料场应用混凝土进行硬化处理，路面基层储料可用水稳材料进行硬化处理。料场底高于外部地面，修筑成向外横坡（不小于2%），并在料场口设置排水沟，防止料场积水。</w:t>
      </w:r>
    </w:p>
    <w:p w14:paraId="48F20EC1">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6）所有拌和机的集料仓应搭设防雨棚。高度应满足机械设备操作空间（一般不宜小于7m），并满足受力、防雨、防雪等要求。</w:t>
      </w:r>
    </w:p>
    <w:p w14:paraId="35543818">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7）拌和站的标识标牌</w:t>
      </w:r>
    </w:p>
    <w:p w14:paraId="62403701">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拌和站大门位置必须绘制详细的现场布置图，站内设置明显的标识牌。</w:t>
      </w:r>
    </w:p>
    <w:p w14:paraId="37D0D3F1">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8）其他要求</w:t>
      </w:r>
    </w:p>
    <w:p w14:paraId="4261FF51">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8.1）作业平台、储料仓、集料仓、水泥罐等涉及人身安全的部位均应设置安全防护装置。</w:t>
      </w:r>
    </w:p>
    <w:p w14:paraId="37C1DB78">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8.2）专人定期进行拌和站的清理和打扫，保持拌和站内卫生。每次拌和作业完成后，及时清洗机具，清理现场，做到场地整洁。</w:t>
      </w:r>
    </w:p>
    <w:p w14:paraId="4484EDC4">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8.3）临近居民区施工产生的噪音，应符合现行的《建筑施工场界环境噪声排放标准》的规定。</w:t>
      </w:r>
    </w:p>
    <w:p w14:paraId="2EAF8B87">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8.4）砂石料场底部、上料台、上料输送带下部废料应经常性清理并保持清洁，严禁装载机铲料时铲底。地面应定期洒水，对粉尘源进行覆盖遮挡。</w:t>
      </w:r>
    </w:p>
    <w:p w14:paraId="1D7CF070">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8.5）水泥、粉煤灰等材料进料时，应保证材料罐顶的密封性能，预留通气孔应设有降尘措施。</w:t>
      </w:r>
    </w:p>
    <w:p w14:paraId="1881E29E">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30.4其他关于施工单位标准化管理未尽事宜按照河南省交通运输厅公路管理局发布的《河南省普通干线公路建设标准化管理指南》（试行）执行。</w:t>
      </w:r>
    </w:p>
    <w:p w14:paraId="443F3D59">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30.5承包商进场后，按照《河南省普通干线公路建设标准化管理指南》的要求进行驻地建设，经项目业主验收合格后，方可进行第一次计量。</w:t>
      </w:r>
    </w:p>
    <w:p w14:paraId="061AF806">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30.6按照《河南省交通运输厅关于印发河南省交通运输行业公路扬尘污染防治暂行办法的通知》的要求，做好工地现场公路扬尘污染防治。</w:t>
      </w:r>
    </w:p>
    <w:p w14:paraId="35078E99">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31、杜绝拖欠工程款和农民工工资</w:t>
      </w:r>
    </w:p>
    <w:p w14:paraId="290A3729">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本项目严格执行《河南省人民政府关于解决建设领域拖欠工程款和农民工工资问题的通知》（豫政[2004]27号）和河南省交通运输厅《关于建立防止河南省交通建设领域拖欠工程款和农民工工资长效管理机制的通知》（豫交工[2007]26号）等文件精神，发包人将按照省厅要求在“工程质量保证金中提取20%存入发包人开设的农民工工作预储账户，专款专用作为农民工工资保障金。”另外，并要求供应商承诺，对于已经认定施工单位拖欠的工程款和农民工工资，项目公司（发包人）可动用质量保证金予以支付。农民工工资保障金的来源和使用按照和河南省交通厅《关于建立防止河南省交通建设领域拖欠工程款和农民工工资长效管理机制的通知》（豫交工[2007]26号）文件要求：“在质量保证金中提取20%”；如发生拖欠行为，“由建设单位（发包人）对拖欠情况进行公示，并根据公示情况和支付凭证，动用这部分资金进行支付，不足部分在合同价款中扣除。凡发生动用农民工工资保证金支付的，在下次工程计量支付时要扣双倍金额补充进保障金账户，并保留进一步追究责任的权利，如批评、上报、媒体曝光等”（参见豫交工[2005]126号文件）。若无拖欠农民工工资的问题，农民工工资保障金与质量保证金一并退还。</w:t>
      </w:r>
    </w:p>
    <w:p w14:paraId="51285DD5">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32、材料准入制度</w:t>
      </w:r>
    </w:p>
    <w:p w14:paraId="5D255254">
      <w:pPr>
        <w:pStyle w:val="62"/>
        <w:spacing w:line="360" w:lineRule="auto"/>
        <w:ind w:firstLine="480"/>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为规范本项目沥青材料使用，防止劣质沥青材料进入，确保工程质量，在本项目的施工过程中将实行沥青材料准入制度，具体实施方案另行制定。</w:t>
      </w:r>
    </w:p>
    <w:p w14:paraId="43C5E47C">
      <w:pPr>
        <w:pStyle w:val="62"/>
        <w:spacing w:line="360" w:lineRule="auto"/>
        <w:ind w:firstLine="480"/>
        <w:rPr>
          <w:rFonts w:hint="eastAsia"/>
          <w:color w:val="auto"/>
          <w:highlight w:val="none"/>
        </w:rPr>
      </w:pPr>
      <w:r>
        <w:rPr>
          <w:rFonts w:hint="eastAsia" w:ascii="宋体" w:hAnsi="宋体" w:eastAsia="宋体" w:cs="Times New Roman"/>
          <w:color w:val="auto"/>
          <w:kern w:val="2"/>
          <w:sz w:val="24"/>
          <w:szCs w:val="24"/>
          <w:highlight w:val="none"/>
          <w:lang w:val="en-US" w:eastAsia="zh-CN" w:bidi="ar-SA"/>
        </w:rPr>
        <w:t>33、施工过程中，对于施工质量差、进度严重滞后的施工单位，发包人可以将其驱逐出场，或者强行分割其承包工程。</w:t>
      </w:r>
    </w:p>
    <w:p w14:paraId="0D679D1C">
      <w:pPr>
        <w:jc w:val="both"/>
        <w:rPr>
          <w:rFonts w:hint="eastAsia"/>
          <w:b/>
          <w:bCs/>
          <w:color w:val="auto"/>
          <w:sz w:val="28"/>
          <w:szCs w:val="36"/>
          <w:highlight w:val="none"/>
        </w:rPr>
      </w:pPr>
    </w:p>
    <w:p w14:paraId="51ADD681">
      <w:pPr>
        <w:jc w:val="both"/>
        <w:rPr>
          <w:rFonts w:hint="eastAsia"/>
          <w:b/>
          <w:bCs/>
          <w:color w:val="auto"/>
          <w:sz w:val="28"/>
          <w:szCs w:val="36"/>
          <w:highlight w:val="none"/>
        </w:rPr>
      </w:pPr>
    </w:p>
    <w:p w14:paraId="0DDDB4D5">
      <w:pPr>
        <w:jc w:val="both"/>
        <w:rPr>
          <w:rFonts w:hint="eastAsia"/>
          <w:b/>
          <w:bCs/>
          <w:color w:val="auto"/>
          <w:sz w:val="28"/>
          <w:szCs w:val="36"/>
          <w:highlight w:val="none"/>
        </w:rPr>
      </w:pPr>
    </w:p>
    <w:p w14:paraId="4DDB7B27">
      <w:pPr>
        <w:jc w:val="both"/>
        <w:rPr>
          <w:b/>
          <w:bCs/>
          <w:color w:val="auto"/>
          <w:sz w:val="28"/>
          <w:szCs w:val="36"/>
          <w:highlight w:val="none"/>
        </w:rPr>
      </w:pPr>
      <w:r>
        <w:rPr>
          <w:rFonts w:hint="eastAsia"/>
          <w:b/>
          <w:bCs/>
          <w:color w:val="auto"/>
          <w:sz w:val="28"/>
          <w:szCs w:val="36"/>
          <w:highlight w:val="none"/>
        </w:rPr>
        <w:t>第三节  合同附件格式</w:t>
      </w:r>
      <w:bookmarkStart w:id="196" w:name="_Toc514414390"/>
      <w:bookmarkStart w:id="197" w:name="_Toc4789"/>
    </w:p>
    <w:p w14:paraId="1625CFDA">
      <w:pPr>
        <w:rPr>
          <w:color w:val="auto"/>
          <w:highlight w:val="none"/>
        </w:rPr>
      </w:pPr>
      <w:r>
        <w:rPr>
          <w:rFonts w:hint="eastAsia"/>
          <w:b/>
          <w:bCs/>
          <w:color w:val="auto"/>
          <w:sz w:val="28"/>
          <w:szCs w:val="36"/>
          <w:highlight w:val="none"/>
        </w:rPr>
        <w:t>附件一  合同协议书</w:t>
      </w:r>
      <w:bookmarkEnd w:id="196"/>
      <w:bookmarkEnd w:id="197"/>
    </w:p>
    <w:p w14:paraId="159695B6">
      <w:pPr>
        <w:jc w:val="center"/>
        <w:rPr>
          <w:color w:val="auto"/>
          <w:highlight w:val="none"/>
        </w:rPr>
      </w:pPr>
      <w:r>
        <w:rPr>
          <w:rFonts w:hint="eastAsia"/>
          <w:color w:val="auto"/>
          <w:sz w:val="32"/>
          <w:szCs w:val="32"/>
          <w:highlight w:val="none"/>
        </w:rPr>
        <w:t>合同协议书</w:t>
      </w:r>
    </w:p>
    <w:p w14:paraId="6A98C4A5">
      <w:pPr>
        <w:ind w:firstLine="480" w:firstLineChars="200"/>
        <w:rPr>
          <w:color w:val="auto"/>
          <w:sz w:val="24"/>
          <w:szCs w:val="32"/>
          <w:highlight w:val="none"/>
        </w:rPr>
      </w:pPr>
      <w:r>
        <w:rPr>
          <w:rFonts w:hint="eastAsia"/>
          <w:color w:val="auto"/>
          <w:sz w:val="24"/>
          <w:szCs w:val="32"/>
          <w:highlight w:val="none"/>
        </w:rPr>
        <w:t>（发包人名称，以下简称</w:t>
      </w:r>
      <w:r>
        <w:rPr>
          <w:color w:val="auto"/>
          <w:sz w:val="24"/>
          <w:szCs w:val="32"/>
          <w:highlight w:val="none"/>
        </w:rPr>
        <w:t>“</w:t>
      </w:r>
      <w:r>
        <w:rPr>
          <w:rFonts w:hint="eastAsia"/>
          <w:color w:val="auto"/>
          <w:sz w:val="24"/>
          <w:szCs w:val="32"/>
          <w:highlight w:val="none"/>
        </w:rPr>
        <w:t>发包人</w:t>
      </w:r>
      <w:r>
        <w:rPr>
          <w:color w:val="auto"/>
          <w:sz w:val="24"/>
          <w:szCs w:val="32"/>
          <w:highlight w:val="none"/>
        </w:rPr>
        <w:t>”</w:t>
      </w:r>
      <w:r>
        <w:rPr>
          <w:rFonts w:hint="eastAsia"/>
          <w:color w:val="auto"/>
          <w:sz w:val="24"/>
          <w:szCs w:val="32"/>
          <w:highlight w:val="none"/>
        </w:rPr>
        <w:t>）为实施（项目名称），已接受（承包人名称，以下简称</w:t>
      </w:r>
      <w:r>
        <w:rPr>
          <w:color w:val="auto"/>
          <w:sz w:val="24"/>
          <w:szCs w:val="32"/>
          <w:highlight w:val="none"/>
        </w:rPr>
        <w:t>“</w:t>
      </w:r>
      <w:r>
        <w:rPr>
          <w:rFonts w:hint="eastAsia"/>
          <w:color w:val="auto"/>
          <w:sz w:val="24"/>
          <w:szCs w:val="32"/>
          <w:highlight w:val="none"/>
        </w:rPr>
        <w:t>承包人</w:t>
      </w:r>
      <w:r>
        <w:rPr>
          <w:color w:val="auto"/>
          <w:sz w:val="24"/>
          <w:szCs w:val="32"/>
          <w:highlight w:val="none"/>
        </w:rPr>
        <w:t>”</w:t>
      </w:r>
      <w:r>
        <w:rPr>
          <w:rFonts w:hint="eastAsia"/>
          <w:color w:val="auto"/>
          <w:sz w:val="24"/>
          <w:szCs w:val="32"/>
          <w:highlight w:val="none"/>
        </w:rPr>
        <w:t>）对该项目标段施工的投标。发包人和承包人共同达成如下协议。</w:t>
      </w:r>
    </w:p>
    <w:p w14:paraId="37C43FF6">
      <w:pPr>
        <w:ind w:firstLine="480" w:firstLineChars="200"/>
        <w:rPr>
          <w:color w:val="auto"/>
          <w:sz w:val="24"/>
          <w:szCs w:val="32"/>
          <w:highlight w:val="none"/>
        </w:rPr>
      </w:pPr>
      <w:r>
        <w:rPr>
          <w:color w:val="auto"/>
          <w:sz w:val="24"/>
          <w:szCs w:val="32"/>
          <w:highlight w:val="none"/>
        </w:rPr>
        <w:t>1.</w:t>
      </w:r>
      <w:r>
        <w:rPr>
          <w:rFonts w:hint="eastAsia"/>
          <w:color w:val="auto"/>
          <w:sz w:val="24"/>
          <w:szCs w:val="32"/>
          <w:highlight w:val="none"/>
        </w:rPr>
        <w:t>第标段由</w:t>
      </w:r>
      <w:r>
        <w:rPr>
          <w:color w:val="auto"/>
          <w:sz w:val="24"/>
          <w:szCs w:val="32"/>
          <w:highlight w:val="none"/>
        </w:rPr>
        <w:t>K</w:t>
      </w:r>
      <w:r>
        <w:rPr>
          <w:rFonts w:hint="eastAsia"/>
          <w:color w:val="auto"/>
          <w:sz w:val="24"/>
          <w:szCs w:val="32"/>
          <w:highlight w:val="none"/>
        </w:rPr>
        <w:t>＋至</w:t>
      </w:r>
      <w:r>
        <w:rPr>
          <w:color w:val="auto"/>
          <w:sz w:val="24"/>
          <w:szCs w:val="32"/>
          <w:highlight w:val="none"/>
        </w:rPr>
        <w:t>K</w:t>
      </w:r>
      <w:r>
        <w:rPr>
          <w:rFonts w:hint="eastAsia"/>
          <w:color w:val="auto"/>
          <w:sz w:val="24"/>
          <w:szCs w:val="32"/>
          <w:highlight w:val="none"/>
        </w:rPr>
        <w:t>＋，长约</w:t>
      </w:r>
      <w:r>
        <w:rPr>
          <w:color w:val="auto"/>
          <w:sz w:val="24"/>
          <w:szCs w:val="32"/>
          <w:highlight w:val="none"/>
        </w:rPr>
        <w:t>km</w:t>
      </w:r>
      <w:r>
        <w:rPr>
          <w:rFonts w:hint="eastAsia"/>
          <w:color w:val="auto"/>
          <w:sz w:val="24"/>
          <w:szCs w:val="32"/>
          <w:highlight w:val="none"/>
        </w:rPr>
        <w:t>，公路等级为，设计速度为，路面，有立交处；特大桥座，计长</w:t>
      </w:r>
      <w:r>
        <w:rPr>
          <w:color w:val="auto"/>
          <w:sz w:val="24"/>
          <w:szCs w:val="32"/>
          <w:highlight w:val="none"/>
        </w:rPr>
        <w:t>m</w:t>
      </w:r>
      <w:r>
        <w:rPr>
          <w:rFonts w:hint="eastAsia"/>
          <w:color w:val="auto"/>
          <w:sz w:val="24"/>
          <w:szCs w:val="32"/>
          <w:highlight w:val="none"/>
        </w:rPr>
        <w:t>；大中桥座，计长</w:t>
      </w:r>
      <w:r>
        <w:rPr>
          <w:color w:val="auto"/>
          <w:sz w:val="24"/>
          <w:szCs w:val="32"/>
          <w:highlight w:val="none"/>
        </w:rPr>
        <w:t>m</w:t>
      </w:r>
      <w:r>
        <w:rPr>
          <w:rFonts w:hint="eastAsia"/>
          <w:color w:val="auto"/>
          <w:sz w:val="24"/>
          <w:szCs w:val="32"/>
          <w:highlight w:val="none"/>
        </w:rPr>
        <w:t>；隧道座，计长</w:t>
      </w:r>
      <w:r>
        <w:rPr>
          <w:color w:val="auto"/>
          <w:sz w:val="24"/>
          <w:szCs w:val="32"/>
          <w:highlight w:val="none"/>
        </w:rPr>
        <w:t>m</w:t>
      </w:r>
      <w:r>
        <w:rPr>
          <w:rFonts w:hint="eastAsia"/>
          <w:color w:val="auto"/>
          <w:sz w:val="24"/>
          <w:szCs w:val="32"/>
          <w:highlight w:val="none"/>
        </w:rPr>
        <w:t>以及其他构造物工程等。</w:t>
      </w:r>
    </w:p>
    <w:p w14:paraId="77F8EDBA">
      <w:pPr>
        <w:ind w:firstLine="480" w:firstLineChars="200"/>
        <w:rPr>
          <w:color w:val="auto"/>
          <w:sz w:val="24"/>
          <w:szCs w:val="32"/>
          <w:highlight w:val="none"/>
        </w:rPr>
      </w:pPr>
      <w:r>
        <w:rPr>
          <w:color w:val="auto"/>
          <w:sz w:val="24"/>
          <w:szCs w:val="32"/>
          <w:highlight w:val="none"/>
        </w:rPr>
        <w:t>2.</w:t>
      </w:r>
      <w:r>
        <w:rPr>
          <w:rFonts w:hint="eastAsia"/>
          <w:color w:val="auto"/>
          <w:sz w:val="24"/>
          <w:szCs w:val="32"/>
          <w:highlight w:val="none"/>
        </w:rPr>
        <w:t>下列文件应视为构成合同文件的组成部分：</w:t>
      </w:r>
    </w:p>
    <w:p w14:paraId="174DC7CF">
      <w:pPr>
        <w:ind w:firstLine="480" w:firstLineChars="200"/>
        <w:rPr>
          <w:color w:val="auto"/>
          <w:sz w:val="24"/>
          <w:szCs w:val="32"/>
          <w:highlight w:val="none"/>
        </w:rPr>
      </w:pPr>
      <w:r>
        <w:rPr>
          <w:rFonts w:hint="eastAsia"/>
          <w:color w:val="auto"/>
          <w:sz w:val="24"/>
          <w:szCs w:val="32"/>
          <w:highlight w:val="none"/>
        </w:rPr>
        <w:t>（</w:t>
      </w:r>
      <w:r>
        <w:rPr>
          <w:color w:val="auto"/>
          <w:sz w:val="24"/>
          <w:szCs w:val="32"/>
          <w:highlight w:val="none"/>
        </w:rPr>
        <w:t>1</w:t>
      </w:r>
      <w:r>
        <w:rPr>
          <w:rFonts w:hint="eastAsia"/>
          <w:color w:val="auto"/>
          <w:sz w:val="24"/>
          <w:szCs w:val="32"/>
          <w:highlight w:val="none"/>
        </w:rPr>
        <w:t>）本协议书及各种合同附件（含评标期间和合同谈判过程中的澄清文件和补充资料）；</w:t>
      </w:r>
    </w:p>
    <w:p w14:paraId="09C58016">
      <w:pPr>
        <w:ind w:firstLine="480" w:firstLineChars="200"/>
        <w:rPr>
          <w:color w:val="auto"/>
          <w:sz w:val="24"/>
          <w:szCs w:val="32"/>
          <w:highlight w:val="none"/>
        </w:rPr>
      </w:pPr>
      <w:r>
        <w:rPr>
          <w:rFonts w:hint="eastAsia"/>
          <w:color w:val="auto"/>
          <w:sz w:val="24"/>
          <w:szCs w:val="32"/>
          <w:highlight w:val="none"/>
        </w:rPr>
        <w:t>（</w:t>
      </w:r>
      <w:r>
        <w:rPr>
          <w:color w:val="auto"/>
          <w:sz w:val="24"/>
          <w:szCs w:val="32"/>
          <w:highlight w:val="none"/>
        </w:rPr>
        <w:t>2</w:t>
      </w:r>
      <w:r>
        <w:rPr>
          <w:rFonts w:hint="eastAsia"/>
          <w:color w:val="auto"/>
          <w:sz w:val="24"/>
          <w:szCs w:val="32"/>
          <w:highlight w:val="none"/>
        </w:rPr>
        <w:t>）中标通知书；</w:t>
      </w:r>
    </w:p>
    <w:p w14:paraId="3B3DDA2E">
      <w:pPr>
        <w:ind w:firstLine="480" w:firstLineChars="200"/>
        <w:rPr>
          <w:color w:val="auto"/>
          <w:sz w:val="24"/>
          <w:szCs w:val="32"/>
          <w:highlight w:val="none"/>
        </w:rPr>
      </w:pPr>
      <w:r>
        <w:rPr>
          <w:rFonts w:hint="eastAsia"/>
          <w:color w:val="auto"/>
          <w:sz w:val="24"/>
          <w:szCs w:val="32"/>
          <w:highlight w:val="none"/>
        </w:rPr>
        <w:t>（</w:t>
      </w:r>
      <w:r>
        <w:rPr>
          <w:color w:val="auto"/>
          <w:sz w:val="24"/>
          <w:szCs w:val="32"/>
          <w:highlight w:val="none"/>
        </w:rPr>
        <w:t>3</w:t>
      </w:r>
      <w:r>
        <w:rPr>
          <w:rFonts w:hint="eastAsia"/>
          <w:color w:val="auto"/>
          <w:sz w:val="24"/>
          <w:szCs w:val="32"/>
          <w:highlight w:val="none"/>
        </w:rPr>
        <w:t>）投标函及投标函附录；</w:t>
      </w:r>
    </w:p>
    <w:p w14:paraId="2F14D4D7">
      <w:pPr>
        <w:ind w:firstLine="480" w:firstLineChars="200"/>
        <w:rPr>
          <w:color w:val="auto"/>
          <w:sz w:val="24"/>
          <w:szCs w:val="32"/>
          <w:highlight w:val="none"/>
        </w:rPr>
      </w:pPr>
      <w:r>
        <w:rPr>
          <w:rFonts w:hint="eastAsia"/>
          <w:color w:val="auto"/>
          <w:sz w:val="24"/>
          <w:szCs w:val="32"/>
          <w:highlight w:val="none"/>
        </w:rPr>
        <w:t>（</w:t>
      </w:r>
      <w:r>
        <w:rPr>
          <w:color w:val="auto"/>
          <w:sz w:val="24"/>
          <w:szCs w:val="32"/>
          <w:highlight w:val="none"/>
        </w:rPr>
        <w:t>4</w:t>
      </w:r>
      <w:r>
        <w:rPr>
          <w:rFonts w:hint="eastAsia"/>
          <w:color w:val="auto"/>
          <w:sz w:val="24"/>
          <w:szCs w:val="32"/>
          <w:highlight w:val="none"/>
        </w:rPr>
        <w:t>）项目专用合同条款；</w:t>
      </w:r>
    </w:p>
    <w:p w14:paraId="0215BE69">
      <w:pPr>
        <w:ind w:firstLine="480" w:firstLineChars="200"/>
        <w:rPr>
          <w:color w:val="auto"/>
          <w:sz w:val="24"/>
          <w:szCs w:val="32"/>
          <w:highlight w:val="none"/>
        </w:rPr>
      </w:pPr>
      <w:r>
        <w:rPr>
          <w:rFonts w:hint="eastAsia"/>
          <w:color w:val="auto"/>
          <w:sz w:val="24"/>
          <w:szCs w:val="32"/>
          <w:highlight w:val="none"/>
        </w:rPr>
        <w:t>（</w:t>
      </w:r>
      <w:r>
        <w:rPr>
          <w:color w:val="auto"/>
          <w:sz w:val="24"/>
          <w:szCs w:val="32"/>
          <w:highlight w:val="none"/>
        </w:rPr>
        <w:t>5</w:t>
      </w:r>
      <w:r>
        <w:rPr>
          <w:rFonts w:hint="eastAsia"/>
          <w:color w:val="auto"/>
          <w:sz w:val="24"/>
          <w:szCs w:val="32"/>
          <w:highlight w:val="none"/>
        </w:rPr>
        <w:t>）公路工程专用合同条款；</w:t>
      </w:r>
    </w:p>
    <w:p w14:paraId="6CCD2164">
      <w:pPr>
        <w:ind w:firstLine="480" w:firstLineChars="200"/>
        <w:rPr>
          <w:color w:val="auto"/>
          <w:sz w:val="24"/>
          <w:szCs w:val="32"/>
          <w:highlight w:val="none"/>
        </w:rPr>
      </w:pPr>
      <w:r>
        <w:rPr>
          <w:rFonts w:hint="eastAsia"/>
          <w:color w:val="auto"/>
          <w:sz w:val="24"/>
          <w:szCs w:val="32"/>
          <w:highlight w:val="none"/>
        </w:rPr>
        <w:t>（</w:t>
      </w:r>
      <w:r>
        <w:rPr>
          <w:color w:val="auto"/>
          <w:sz w:val="24"/>
          <w:szCs w:val="32"/>
          <w:highlight w:val="none"/>
        </w:rPr>
        <w:t>6</w:t>
      </w:r>
      <w:r>
        <w:rPr>
          <w:rFonts w:hint="eastAsia"/>
          <w:color w:val="auto"/>
          <w:sz w:val="24"/>
          <w:szCs w:val="32"/>
          <w:highlight w:val="none"/>
        </w:rPr>
        <w:t>）通用合同条款；</w:t>
      </w:r>
    </w:p>
    <w:p w14:paraId="720BA1E1">
      <w:pPr>
        <w:ind w:firstLine="480" w:firstLineChars="200"/>
        <w:rPr>
          <w:color w:val="auto"/>
          <w:sz w:val="24"/>
          <w:szCs w:val="32"/>
          <w:highlight w:val="none"/>
        </w:rPr>
      </w:pPr>
      <w:r>
        <w:rPr>
          <w:rFonts w:hint="eastAsia"/>
          <w:color w:val="auto"/>
          <w:sz w:val="24"/>
          <w:szCs w:val="32"/>
          <w:highlight w:val="none"/>
        </w:rPr>
        <w:t>（</w:t>
      </w:r>
      <w:r>
        <w:rPr>
          <w:color w:val="auto"/>
          <w:sz w:val="24"/>
          <w:szCs w:val="32"/>
          <w:highlight w:val="none"/>
        </w:rPr>
        <w:t>7</w:t>
      </w:r>
      <w:r>
        <w:rPr>
          <w:rFonts w:hint="eastAsia"/>
          <w:color w:val="auto"/>
          <w:sz w:val="24"/>
          <w:szCs w:val="32"/>
          <w:highlight w:val="none"/>
        </w:rPr>
        <w:t>）工程量清单计量规则；</w:t>
      </w:r>
    </w:p>
    <w:p w14:paraId="6F9E7837">
      <w:pPr>
        <w:ind w:firstLine="480" w:firstLineChars="200"/>
        <w:rPr>
          <w:color w:val="auto"/>
          <w:sz w:val="24"/>
          <w:szCs w:val="32"/>
          <w:highlight w:val="none"/>
        </w:rPr>
      </w:pPr>
      <w:r>
        <w:rPr>
          <w:rFonts w:hint="eastAsia"/>
          <w:color w:val="auto"/>
          <w:sz w:val="24"/>
          <w:szCs w:val="32"/>
          <w:highlight w:val="none"/>
        </w:rPr>
        <w:t>（</w:t>
      </w:r>
      <w:r>
        <w:rPr>
          <w:color w:val="auto"/>
          <w:sz w:val="24"/>
          <w:szCs w:val="32"/>
          <w:highlight w:val="none"/>
        </w:rPr>
        <w:t>8</w:t>
      </w:r>
      <w:r>
        <w:rPr>
          <w:rFonts w:hint="eastAsia"/>
          <w:color w:val="auto"/>
          <w:sz w:val="24"/>
          <w:szCs w:val="32"/>
          <w:highlight w:val="none"/>
        </w:rPr>
        <w:t>）技术规范；</w:t>
      </w:r>
    </w:p>
    <w:p w14:paraId="5BDDC2DD">
      <w:pPr>
        <w:ind w:firstLine="480" w:firstLineChars="200"/>
        <w:rPr>
          <w:color w:val="auto"/>
          <w:sz w:val="24"/>
          <w:szCs w:val="32"/>
          <w:highlight w:val="none"/>
        </w:rPr>
      </w:pPr>
      <w:r>
        <w:rPr>
          <w:rFonts w:hint="eastAsia"/>
          <w:color w:val="auto"/>
          <w:sz w:val="24"/>
          <w:szCs w:val="32"/>
          <w:highlight w:val="none"/>
        </w:rPr>
        <w:t>（</w:t>
      </w:r>
      <w:r>
        <w:rPr>
          <w:color w:val="auto"/>
          <w:sz w:val="24"/>
          <w:szCs w:val="32"/>
          <w:highlight w:val="none"/>
        </w:rPr>
        <w:t>9</w:t>
      </w:r>
      <w:r>
        <w:rPr>
          <w:rFonts w:hint="eastAsia"/>
          <w:color w:val="auto"/>
          <w:sz w:val="24"/>
          <w:szCs w:val="32"/>
          <w:highlight w:val="none"/>
        </w:rPr>
        <w:t>）图纸；</w:t>
      </w:r>
    </w:p>
    <w:p w14:paraId="6A34B43F">
      <w:pPr>
        <w:ind w:firstLine="480" w:firstLineChars="200"/>
        <w:rPr>
          <w:color w:val="auto"/>
          <w:sz w:val="24"/>
          <w:szCs w:val="32"/>
          <w:highlight w:val="none"/>
        </w:rPr>
      </w:pPr>
      <w:r>
        <w:rPr>
          <w:rFonts w:hint="eastAsia"/>
          <w:color w:val="auto"/>
          <w:sz w:val="24"/>
          <w:szCs w:val="32"/>
          <w:highlight w:val="none"/>
        </w:rPr>
        <w:t>（</w:t>
      </w:r>
      <w:r>
        <w:rPr>
          <w:color w:val="auto"/>
          <w:sz w:val="24"/>
          <w:szCs w:val="32"/>
          <w:highlight w:val="none"/>
        </w:rPr>
        <w:t>10</w:t>
      </w:r>
      <w:r>
        <w:rPr>
          <w:rFonts w:hint="eastAsia"/>
          <w:color w:val="auto"/>
          <w:sz w:val="24"/>
          <w:szCs w:val="32"/>
          <w:highlight w:val="none"/>
        </w:rPr>
        <w:t>）已标价工程量清单；</w:t>
      </w:r>
    </w:p>
    <w:p w14:paraId="3A0A3CEE">
      <w:pPr>
        <w:ind w:firstLine="480" w:firstLineChars="200"/>
        <w:rPr>
          <w:color w:val="auto"/>
          <w:sz w:val="24"/>
          <w:szCs w:val="32"/>
          <w:highlight w:val="none"/>
        </w:rPr>
      </w:pPr>
      <w:r>
        <w:rPr>
          <w:rFonts w:hint="eastAsia"/>
          <w:color w:val="auto"/>
          <w:sz w:val="24"/>
          <w:szCs w:val="32"/>
          <w:highlight w:val="none"/>
        </w:rPr>
        <w:t>（</w:t>
      </w:r>
      <w:r>
        <w:rPr>
          <w:color w:val="auto"/>
          <w:sz w:val="24"/>
          <w:szCs w:val="32"/>
          <w:highlight w:val="none"/>
        </w:rPr>
        <w:t>11</w:t>
      </w:r>
      <w:r>
        <w:rPr>
          <w:rFonts w:hint="eastAsia"/>
          <w:color w:val="auto"/>
          <w:sz w:val="24"/>
          <w:szCs w:val="32"/>
          <w:highlight w:val="none"/>
        </w:rPr>
        <w:t>）承包人有关人员、设备投入的承诺及</w:t>
      </w:r>
      <w:r>
        <w:rPr>
          <w:rFonts w:hint="eastAsia"/>
          <w:color w:val="auto"/>
          <w:sz w:val="24"/>
          <w:szCs w:val="32"/>
          <w:highlight w:val="none"/>
          <w:lang w:eastAsia="zh-CN"/>
        </w:rPr>
        <w:t>响应文件</w:t>
      </w:r>
      <w:r>
        <w:rPr>
          <w:rFonts w:hint="eastAsia"/>
          <w:color w:val="auto"/>
          <w:sz w:val="24"/>
          <w:szCs w:val="32"/>
          <w:highlight w:val="none"/>
        </w:rPr>
        <w:t>中的施工组织设计；</w:t>
      </w:r>
    </w:p>
    <w:p w14:paraId="75D602CD">
      <w:pPr>
        <w:ind w:firstLine="480" w:firstLineChars="200"/>
        <w:rPr>
          <w:color w:val="auto"/>
          <w:sz w:val="24"/>
          <w:szCs w:val="32"/>
          <w:highlight w:val="none"/>
        </w:rPr>
      </w:pPr>
      <w:r>
        <w:rPr>
          <w:rFonts w:hint="eastAsia"/>
          <w:color w:val="auto"/>
          <w:sz w:val="24"/>
          <w:szCs w:val="32"/>
          <w:highlight w:val="none"/>
        </w:rPr>
        <w:t>（</w:t>
      </w:r>
      <w:r>
        <w:rPr>
          <w:color w:val="auto"/>
          <w:sz w:val="24"/>
          <w:szCs w:val="32"/>
          <w:highlight w:val="none"/>
        </w:rPr>
        <w:t>12</w:t>
      </w:r>
      <w:r>
        <w:rPr>
          <w:rFonts w:hint="eastAsia"/>
          <w:color w:val="auto"/>
          <w:sz w:val="24"/>
          <w:szCs w:val="32"/>
          <w:highlight w:val="none"/>
        </w:rPr>
        <w:t>）其他合同文件。</w:t>
      </w:r>
    </w:p>
    <w:p w14:paraId="7EDB3BE3">
      <w:pPr>
        <w:ind w:firstLine="480" w:firstLineChars="200"/>
        <w:rPr>
          <w:color w:val="auto"/>
          <w:sz w:val="24"/>
          <w:szCs w:val="32"/>
          <w:highlight w:val="none"/>
        </w:rPr>
      </w:pPr>
      <w:r>
        <w:rPr>
          <w:rFonts w:hint="eastAsia"/>
          <w:color w:val="auto"/>
          <w:sz w:val="24"/>
          <w:szCs w:val="32"/>
          <w:highlight w:val="none"/>
        </w:rPr>
        <w:t>上述合同文件互相补充和解释。如果合同文件之间存在矛盾或不一致之处，以上述文件的排列顺序在先者为准。</w:t>
      </w:r>
    </w:p>
    <w:p w14:paraId="7214141E">
      <w:pPr>
        <w:ind w:firstLine="480" w:firstLineChars="200"/>
        <w:rPr>
          <w:color w:val="auto"/>
          <w:sz w:val="24"/>
          <w:szCs w:val="32"/>
          <w:highlight w:val="none"/>
        </w:rPr>
      </w:pPr>
      <w:r>
        <w:rPr>
          <w:color w:val="auto"/>
          <w:sz w:val="24"/>
          <w:szCs w:val="32"/>
          <w:highlight w:val="none"/>
        </w:rPr>
        <w:t>3.</w:t>
      </w:r>
      <w:r>
        <w:rPr>
          <w:rFonts w:hint="eastAsia"/>
          <w:color w:val="auto"/>
          <w:sz w:val="24"/>
          <w:szCs w:val="32"/>
          <w:highlight w:val="none"/>
        </w:rPr>
        <w:t>根据工程量清单所列的预计数量和单价或总额价计算的签约合同价：人民币（大写）元（</w:t>
      </w:r>
      <w:r>
        <w:rPr>
          <w:color w:val="auto"/>
          <w:sz w:val="24"/>
          <w:szCs w:val="32"/>
          <w:highlight w:val="none"/>
        </w:rPr>
        <w:t>¥</w:t>
      </w:r>
      <w:r>
        <w:rPr>
          <w:rFonts w:hint="eastAsia"/>
          <w:color w:val="auto"/>
          <w:sz w:val="24"/>
          <w:szCs w:val="32"/>
          <w:highlight w:val="none"/>
        </w:rPr>
        <w:t>）。</w:t>
      </w:r>
    </w:p>
    <w:p w14:paraId="280BC5C2">
      <w:pPr>
        <w:ind w:firstLine="480" w:firstLineChars="200"/>
        <w:rPr>
          <w:color w:val="auto"/>
          <w:sz w:val="24"/>
          <w:szCs w:val="32"/>
          <w:highlight w:val="none"/>
        </w:rPr>
      </w:pPr>
      <w:r>
        <w:rPr>
          <w:color w:val="auto"/>
          <w:sz w:val="24"/>
          <w:szCs w:val="32"/>
          <w:highlight w:val="none"/>
        </w:rPr>
        <w:t>4.</w:t>
      </w:r>
      <w:r>
        <w:rPr>
          <w:rFonts w:hint="eastAsia"/>
          <w:color w:val="auto"/>
          <w:sz w:val="24"/>
          <w:szCs w:val="32"/>
          <w:highlight w:val="none"/>
        </w:rPr>
        <w:t>承包人项目经理：。承包人项目总工：。</w:t>
      </w:r>
    </w:p>
    <w:p w14:paraId="150FEB0F">
      <w:pPr>
        <w:ind w:firstLine="480" w:firstLineChars="200"/>
        <w:rPr>
          <w:color w:val="auto"/>
          <w:sz w:val="24"/>
          <w:szCs w:val="32"/>
          <w:highlight w:val="none"/>
        </w:rPr>
      </w:pPr>
      <w:r>
        <w:rPr>
          <w:color w:val="auto"/>
          <w:sz w:val="24"/>
          <w:szCs w:val="32"/>
          <w:highlight w:val="none"/>
        </w:rPr>
        <w:t>5.</w:t>
      </w:r>
      <w:r>
        <w:rPr>
          <w:rFonts w:hint="eastAsia"/>
          <w:color w:val="auto"/>
          <w:sz w:val="24"/>
          <w:szCs w:val="32"/>
          <w:highlight w:val="none"/>
        </w:rPr>
        <w:t>工程质量符合标准。工程安全目标：。</w:t>
      </w:r>
    </w:p>
    <w:p w14:paraId="6E76408D">
      <w:pPr>
        <w:ind w:firstLine="480" w:firstLineChars="200"/>
        <w:rPr>
          <w:color w:val="auto"/>
          <w:sz w:val="24"/>
          <w:szCs w:val="32"/>
          <w:highlight w:val="none"/>
        </w:rPr>
      </w:pPr>
      <w:r>
        <w:rPr>
          <w:color w:val="auto"/>
          <w:sz w:val="24"/>
          <w:szCs w:val="32"/>
          <w:highlight w:val="none"/>
        </w:rPr>
        <w:t>6.</w:t>
      </w:r>
      <w:r>
        <w:rPr>
          <w:rFonts w:hint="eastAsia"/>
          <w:color w:val="auto"/>
          <w:sz w:val="24"/>
          <w:szCs w:val="32"/>
          <w:highlight w:val="none"/>
        </w:rPr>
        <w:t>承包人承诺按合同约定承担工程的实施、完成及缺陷修复。</w:t>
      </w:r>
    </w:p>
    <w:p w14:paraId="44201F35">
      <w:pPr>
        <w:ind w:firstLine="480" w:firstLineChars="200"/>
        <w:rPr>
          <w:color w:val="auto"/>
          <w:sz w:val="24"/>
          <w:szCs w:val="32"/>
          <w:highlight w:val="none"/>
        </w:rPr>
      </w:pPr>
      <w:r>
        <w:rPr>
          <w:color w:val="auto"/>
          <w:sz w:val="24"/>
          <w:szCs w:val="32"/>
          <w:highlight w:val="none"/>
        </w:rPr>
        <w:t>7.</w:t>
      </w:r>
      <w:r>
        <w:rPr>
          <w:rFonts w:hint="eastAsia"/>
          <w:color w:val="auto"/>
          <w:sz w:val="24"/>
          <w:szCs w:val="32"/>
          <w:highlight w:val="none"/>
        </w:rPr>
        <w:t>发包人承诺按合同约定的条件、时间和方式向承包人支付合同价款。</w:t>
      </w:r>
    </w:p>
    <w:p w14:paraId="718C8DD0">
      <w:pPr>
        <w:ind w:firstLine="480" w:firstLineChars="200"/>
        <w:rPr>
          <w:color w:val="auto"/>
          <w:sz w:val="24"/>
          <w:szCs w:val="32"/>
          <w:highlight w:val="none"/>
        </w:rPr>
      </w:pPr>
      <w:r>
        <w:rPr>
          <w:color w:val="auto"/>
          <w:sz w:val="24"/>
          <w:szCs w:val="32"/>
          <w:highlight w:val="none"/>
        </w:rPr>
        <w:t>8.</w:t>
      </w:r>
      <w:r>
        <w:rPr>
          <w:rFonts w:hint="eastAsia"/>
          <w:color w:val="auto"/>
          <w:sz w:val="24"/>
          <w:szCs w:val="32"/>
          <w:highlight w:val="none"/>
        </w:rPr>
        <w:t>承包人应按照监理人指示开工，工期为日历天。</w:t>
      </w:r>
    </w:p>
    <w:p w14:paraId="4E26B909">
      <w:pPr>
        <w:ind w:firstLine="480" w:firstLineChars="200"/>
        <w:rPr>
          <w:color w:val="auto"/>
          <w:sz w:val="24"/>
          <w:szCs w:val="32"/>
          <w:highlight w:val="none"/>
        </w:rPr>
      </w:pPr>
      <w:r>
        <w:rPr>
          <w:color w:val="auto"/>
          <w:sz w:val="24"/>
          <w:szCs w:val="32"/>
          <w:highlight w:val="none"/>
        </w:rPr>
        <w:t>9.</w:t>
      </w:r>
      <w:r>
        <w:rPr>
          <w:rFonts w:hint="eastAsia"/>
          <w:color w:val="auto"/>
          <w:sz w:val="24"/>
          <w:szCs w:val="32"/>
          <w:highlight w:val="none"/>
        </w:rPr>
        <w:t>本协议书在承包人提供履约保证金后，由双方法定代表人或其委托代理人签署并加盖单位章后生效。全部工程完工后经交工验收合格、缺陷责任期满签发缺陷责任终止证书后失效。</w:t>
      </w:r>
    </w:p>
    <w:p w14:paraId="3209A3E4">
      <w:pPr>
        <w:ind w:firstLine="480" w:firstLineChars="200"/>
        <w:rPr>
          <w:color w:val="auto"/>
          <w:sz w:val="24"/>
          <w:szCs w:val="32"/>
          <w:highlight w:val="none"/>
        </w:rPr>
      </w:pPr>
      <w:r>
        <w:rPr>
          <w:color w:val="auto"/>
          <w:sz w:val="24"/>
          <w:szCs w:val="32"/>
          <w:highlight w:val="none"/>
        </w:rPr>
        <w:t>10.</w:t>
      </w:r>
      <w:r>
        <w:rPr>
          <w:rFonts w:hint="eastAsia"/>
          <w:color w:val="auto"/>
          <w:sz w:val="24"/>
          <w:szCs w:val="32"/>
          <w:highlight w:val="none"/>
        </w:rPr>
        <w:t>本协议书正本二份、副本份，合同双方各执正本一份，副本份，当正本与副本的内容不一致时，以正本为准。</w:t>
      </w:r>
    </w:p>
    <w:p w14:paraId="219C220B">
      <w:pPr>
        <w:ind w:firstLine="480" w:firstLineChars="200"/>
        <w:rPr>
          <w:color w:val="auto"/>
          <w:sz w:val="24"/>
          <w:szCs w:val="32"/>
          <w:highlight w:val="none"/>
        </w:rPr>
      </w:pPr>
      <w:r>
        <w:rPr>
          <w:color w:val="auto"/>
          <w:sz w:val="24"/>
          <w:szCs w:val="32"/>
          <w:highlight w:val="none"/>
        </w:rPr>
        <w:t>11.</w:t>
      </w:r>
      <w:r>
        <w:rPr>
          <w:rFonts w:hint="eastAsia"/>
          <w:color w:val="auto"/>
          <w:sz w:val="24"/>
          <w:szCs w:val="32"/>
          <w:highlight w:val="none"/>
        </w:rPr>
        <w:t>合同未尽事宜，双方另行签订补充协议。补充协议是合同的组成部分。</w:t>
      </w:r>
    </w:p>
    <w:p w14:paraId="0D7FAF20">
      <w:pPr>
        <w:ind w:firstLine="480" w:firstLineChars="200"/>
        <w:rPr>
          <w:color w:val="auto"/>
          <w:sz w:val="24"/>
          <w:szCs w:val="32"/>
          <w:highlight w:val="none"/>
        </w:rPr>
      </w:pPr>
    </w:p>
    <w:p w14:paraId="57A3D244">
      <w:pPr>
        <w:ind w:firstLine="480" w:firstLineChars="200"/>
        <w:rPr>
          <w:color w:val="auto"/>
          <w:sz w:val="24"/>
          <w:szCs w:val="32"/>
          <w:highlight w:val="none"/>
        </w:rPr>
      </w:pPr>
      <w:r>
        <w:rPr>
          <w:rFonts w:hint="eastAsia"/>
          <w:color w:val="auto"/>
          <w:sz w:val="24"/>
          <w:szCs w:val="32"/>
          <w:highlight w:val="none"/>
        </w:rPr>
        <w:t>发包人：（盖单位章）                 承包人：（盖单位章）</w:t>
      </w:r>
    </w:p>
    <w:p w14:paraId="43EF7A30">
      <w:pPr>
        <w:ind w:firstLine="480" w:firstLineChars="200"/>
        <w:rPr>
          <w:color w:val="auto"/>
          <w:sz w:val="24"/>
          <w:szCs w:val="32"/>
          <w:highlight w:val="none"/>
        </w:rPr>
      </w:pPr>
      <w:r>
        <w:rPr>
          <w:rFonts w:hint="eastAsia"/>
          <w:color w:val="auto"/>
          <w:sz w:val="24"/>
          <w:szCs w:val="32"/>
          <w:highlight w:val="none"/>
        </w:rPr>
        <w:t>法定代表人或其委托代理人：（签字）法定代表人或其委托代理人：（签字）</w:t>
      </w:r>
    </w:p>
    <w:p w14:paraId="02838641">
      <w:pPr>
        <w:ind w:firstLine="480" w:firstLineChars="200"/>
        <w:rPr>
          <w:rFonts w:hint="eastAsia"/>
          <w:b/>
          <w:bCs/>
          <w:color w:val="auto"/>
          <w:sz w:val="28"/>
          <w:szCs w:val="36"/>
          <w:highlight w:val="none"/>
        </w:rPr>
      </w:pPr>
      <w:r>
        <w:rPr>
          <w:rFonts w:hint="eastAsia"/>
          <w:color w:val="auto"/>
          <w:sz w:val="24"/>
          <w:szCs w:val="32"/>
          <w:highlight w:val="none"/>
        </w:rPr>
        <w:t>年    月    日                          年    月    日</w:t>
      </w:r>
      <w:bookmarkStart w:id="198" w:name="_Toc514414393"/>
      <w:bookmarkStart w:id="199" w:name="_Toc19964"/>
    </w:p>
    <w:bookmarkEnd w:id="198"/>
    <w:bookmarkEnd w:id="199"/>
    <w:p w14:paraId="09E5875B">
      <w:pPr>
        <w:pStyle w:val="62"/>
        <w:spacing w:line="360" w:lineRule="auto"/>
        <w:rPr>
          <w:rFonts w:hint="eastAsia"/>
          <w:color w:val="auto"/>
          <w:highlight w:val="none"/>
        </w:rPr>
      </w:pPr>
    </w:p>
    <w:p w14:paraId="635ACBE7">
      <w:pPr>
        <w:pStyle w:val="26"/>
        <w:tabs>
          <w:tab w:val="clear" w:pos="420"/>
        </w:tabs>
        <w:ind w:firstLine="2891" w:firstLineChars="900"/>
        <w:jc w:val="both"/>
        <w:rPr>
          <w:rFonts w:hint="eastAsia" w:ascii="宋体" w:hAnsi="宋体" w:eastAsia="宋体"/>
          <w:color w:val="auto"/>
          <w:sz w:val="32"/>
          <w:szCs w:val="28"/>
          <w:highlight w:val="none"/>
          <w:lang w:val="en-US" w:eastAsia="zh-CN"/>
        </w:rPr>
      </w:pPr>
      <w:bookmarkStart w:id="200" w:name="_Toc290999297"/>
      <w:bookmarkStart w:id="201" w:name="_Toc251933386"/>
      <w:r>
        <w:rPr>
          <w:rFonts w:hint="eastAsia" w:ascii="宋体" w:hAnsi="宋体" w:eastAsia="宋体"/>
          <w:color w:val="auto"/>
          <w:sz w:val="32"/>
          <w:szCs w:val="28"/>
          <w:highlight w:val="none"/>
        </w:rPr>
        <w:t>第五章 工程量清单</w:t>
      </w:r>
      <w:r>
        <w:rPr>
          <w:rFonts w:hint="eastAsia" w:ascii="宋体" w:hAnsi="宋体" w:eastAsia="宋体"/>
          <w:color w:val="auto"/>
          <w:sz w:val="32"/>
          <w:szCs w:val="28"/>
          <w:highlight w:val="none"/>
          <w:lang w:val="en-US" w:eastAsia="zh-CN"/>
        </w:rPr>
        <w:t xml:space="preserve"> </w:t>
      </w:r>
    </w:p>
    <w:p w14:paraId="4A42BE4C">
      <w:pPr>
        <w:pStyle w:val="26"/>
        <w:tabs>
          <w:tab w:val="clear" w:pos="420"/>
        </w:tabs>
        <w:jc w:val="center"/>
        <w:rPr>
          <w:rFonts w:hint="eastAsia" w:ascii="楷体_GB2312" w:hAnsi="Calibri"/>
          <w:color w:val="auto"/>
          <w:kern w:val="44"/>
          <w:sz w:val="36"/>
          <w:highlight w:val="none"/>
          <w:lang w:val="en-US" w:eastAsia="zh-CN"/>
        </w:rPr>
      </w:pPr>
    </w:p>
    <w:p w14:paraId="191957C6">
      <w:pPr>
        <w:pStyle w:val="26"/>
        <w:tabs>
          <w:tab w:val="clear" w:pos="420"/>
        </w:tabs>
        <w:jc w:val="center"/>
        <w:rPr>
          <w:rFonts w:hint="eastAsia" w:ascii="楷体_GB2312" w:hAnsi="Calibri"/>
          <w:color w:val="auto"/>
          <w:kern w:val="44"/>
          <w:sz w:val="36"/>
          <w:highlight w:val="none"/>
          <w:lang w:val="en-US" w:eastAsia="zh-CN"/>
        </w:rPr>
      </w:pPr>
    </w:p>
    <w:bookmarkEnd w:id="200"/>
    <w:bookmarkEnd w:id="201"/>
    <w:p w14:paraId="41466A2C">
      <w:pPr>
        <w:pStyle w:val="26"/>
        <w:tabs>
          <w:tab w:val="clear" w:pos="420"/>
        </w:tabs>
        <w:jc w:val="center"/>
        <w:rPr>
          <w:rFonts w:hint="eastAsia" w:ascii="宋体" w:hAnsi="宋体" w:eastAsia="宋体"/>
          <w:b w:val="0"/>
          <w:bCs/>
          <w:color w:val="auto"/>
          <w:kern w:val="44"/>
          <w:sz w:val="28"/>
          <w:szCs w:val="20"/>
          <w:highlight w:val="none"/>
          <w:lang w:val="en-US" w:eastAsia="zh-CN"/>
        </w:rPr>
      </w:pPr>
      <w:bookmarkStart w:id="202" w:name="_Toc105654869"/>
      <w:bookmarkEnd w:id="202"/>
      <w:bookmarkStart w:id="203" w:name="_Toc8424"/>
      <w:bookmarkEnd w:id="203"/>
      <w:r>
        <w:rPr>
          <w:rFonts w:hint="eastAsia" w:ascii="宋体" w:hAnsi="宋体" w:eastAsia="宋体"/>
          <w:b w:val="0"/>
          <w:bCs/>
          <w:color w:val="auto"/>
          <w:kern w:val="44"/>
          <w:sz w:val="28"/>
          <w:szCs w:val="20"/>
          <w:highlight w:val="none"/>
          <w:lang w:val="en-US" w:eastAsia="zh-CN"/>
        </w:rPr>
        <w:t>另附</w:t>
      </w:r>
      <w:r>
        <w:rPr>
          <w:rFonts w:hint="eastAsia" w:ascii="楷体_GB2312" w:hAnsi="Calibri"/>
          <w:color w:val="auto"/>
          <w:kern w:val="44"/>
          <w:sz w:val="36"/>
          <w:highlight w:val="none"/>
        </w:rPr>
        <w:br w:type="page"/>
      </w:r>
      <w:r>
        <w:rPr>
          <w:rFonts w:hint="eastAsia" w:ascii="宋体" w:hAnsi="宋体" w:eastAsia="宋体"/>
          <w:color w:val="auto"/>
          <w:sz w:val="32"/>
          <w:szCs w:val="28"/>
          <w:highlight w:val="none"/>
        </w:rPr>
        <w:t>第六章 图 纸</w:t>
      </w:r>
    </w:p>
    <w:p w14:paraId="6C11A7C3">
      <w:pPr>
        <w:snapToGrid w:val="0"/>
        <w:spacing w:line="360" w:lineRule="auto"/>
        <w:jc w:val="center"/>
        <w:rPr>
          <w:rFonts w:hint="eastAsia"/>
          <w:b/>
          <w:color w:val="auto"/>
          <w:sz w:val="24"/>
          <w:highlight w:val="none"/>
        </w:rPr>
      </w:pPr>
    </w:p>
    <w:p w14:paraId="043AFB14">
      <w:pPr>
        <w:autoSpaceDN w:val="0"/>
        <w:spacing w:line="420" w:lineRule="exact"/>
        <w:jc w:val="center"/>
        <w:rPr>
          <w:rFonts w:hint="eastAsia"/>
          <w:b/>
          <w:color w:val="auto"/>
          <w:sz w:val="24"/>
          <w:highlight w:val="none"/>
          <w:lang w:val="en-US" w:eastAsia="zh-CN"/>
        </w:rPr>
      </w:pPr>
    </w:p>
    <w:p w14:paraId="4EB3D5E9">
      <w:pPr>
        <w:autoSpaceDN w:val="0"/>
        <w:spacing w:line="420" w:lineRule="exact"/>
        <w:jc w:val="center"/>
        <w:rPr>
          <w:rFonts w:hint="eastAsia"/>
          <w:b w:val="0"/>
          <w:bCs/>
          <w:color w:val="auto"/>
          <w:sz w:val="28"/>
          <w:szCs w:val="28"/>
          <w:highlight w:val="none"/>
          <w:lang w:val="en-US" w:eastAsia="zh-CN"/>
        </w:rPr>
      </w:pPr>
      <w:bookmarkStart w:id="204" w:name="_Toc29218"/>
      <w:bookmarkStart w:id="205" w:name="_Toc105654871"/>
      <w:bookmarkStart w:id="206" w:name="_Toc522273579"/>
      <w:r>
        <w:rPr>
          <w:rFonts w:hint="eastAsia"/>
          <w:b w:val="0"/>
          <w:bCs/>
          <w:color w:val="auto"/>
          <w:sz w:val="28"/>
          <w:szCs w:val="28"/>
          <w:highlight w:val="none"/>
          <w:lang w:val="en-US" w:eastAsia="zh-CN"/>
        </w:rPr>
        <w:t>另附</w:t>
      </w:r>
      <w:r>
        <w:rPr>
          <w:rFonts w:ascii="楷体_GB2312" w:hAnsi="Calibri"/>
          <w:b w:val="0"/>
          <w:bCs/>
          <w:color w:val="auto"/>
          <w:kern w:val="0"/>
          <w:sz w:val="36"/>
          <w:szCs w:val="28"/>
          <w:highlight w:val="none"/>
        </w:rPr>
        <w:t xml:space="preserve"> </w:t>
      </w:r>
    </w:p>
    <w:p w14:paraId="47DE4183">
      <w:pPr>
        <w:autoSpaceDN w:val="0"/>
        <w:spacing w:line="420" w:lineRule="exact"/>
        <w:jc w:val="center"/>
        <w:rPr>
          <w:rFonts w:ascii="楷体_GB2312" w:hAnsi="Calibri"/>
          <w:b w:val="0"/>
          <w:bCs/>
          <w:color w:val="auto"/>
          <w:kern w:val="0"/>
          <w:sz w:val="36"/>
          <w:szCs w:val="28"/>
          <w:highlight w:val="none"/>
        </w:rPr>
      </w:pPr>
    </w:p>
    <w:p w14:paraId="5799CD59">
      <w:pPr>
        <w:autoSpaceDN w:val="0"/>
        <w:spacing w:line="420" w:lineRule="exact"/>
        <w:jc w:val="center"/>
        <w:rPr>
          <w:rFonts w:ascii="楷体_GB2312" w:hAnsi="Calibri"/>
          <w:b w:val="0"/>
          <w:bCs/>
          <w:color w:val="auto"/>
          <w:kern w:val="0"/>
          <w:sz w:val="36"/>
          <w:szCs w:val="28"/>
          <w:highlight w:val="none"/>
        </w:rPr>
      </w:pPr>
    </w:p>
    <w:p w14:paraId="6129840D">
      <w:pPr>
        <w:autoSpaceDN w:val="0"/>
        <w:spacing w:line="420" w:lineRule="exact"/>
        <w:jc w:val="center"/>
        <w:rPr>
          <w:rFonts w:ascii="楷体_GB2312" w:hAnsi="Calibri"/>
          <w:b w:val="0"/>
          <w:bCs/>
          <w:color w:val="auto"/>
          <w:kern w:val="0"/>
          <w:sz w:val="36"/>
          <w:szCs w:val="28"/>
          <w:highlight w:val="none"/>
        </w:rPr>
      </w:pPr>
    </w:p>
    <w:p w14:paraId="7A0A1F56">
      <w:pPr>
        <w:autoSpaceDN w:val="0"/>
        <w:spacing w:line="420" w:lineRule="exact"/>
        <w:jc w:val="center"/>
        <w:rPr>
          <w:rFonts w:ascii="楷体_GB2312" w:hAnsi="Calibri"/>
          <w:b w:val="0"/>
          <w:bCs/>
          <w:color w:val="auto"/>
          <w:kern w:val="0"/>
          <w:sz w:val="36"/>
          <w:szCs w:val="28"/>
          <w:highlight w:val="none"/>
        </w:rPr>
      </w:pPr>
    </w:p>
    <w:p w14:paraId="4DF52D2F">
      <w:pPr>
        <w:autoSpaceDN w:val="0"/>
        <w:spacing w:line="420" w:lineRule="exact"/>
        <w:jc w:val="center"/>
        <w:rPr>
          <w:rFonts w:ascii="楷体_GB2312" w:hAnsi="Calibri"/>
          <w:b w:val="0"/>
          <w:bCs/>
          <w:color w:val="auto"/>
          <w:kern w:val="0"/>
          <w:sz w:val="36"/>
          <w:szCs w:val="28"/>
          <w:highlight w:val="none"/>
        </w:rPr>
      </w:pPr>
    </w:p>
    <w:p w14:paraId="59FCA6D2">
      <w:pPr>
        <w:autoSpaceDN w:val="0"/>
        <w:spacing w:line="420" w:lineRule="exact"/>
        <w:jc w:val="center"/>
        <w:rPr>
          <w:rFonts w:ascii="楷体_GB2312" w:hAnsi="Calibri"/>
          <w:b w:val="0"/>
          <w:bCs/>
          <w:color w:val="auto"/>
          <w:kern w:val="0"/>
          <w:sz w:val="36"/>
          <w:szCs w:val="28"/>
          <w:highlight w:val="none"/>
        </w:rPr>
      </w:pPr>
    </w:p>
    <w:p w14:paraId="64712955">
      <w:pPr>
        <w:autoSpaceDN w:val="0"/>
        <w:spacing w:line="420" w:lineRule="exact"/>
        <w:jc w:val="center"/>
        <w:rPr>
          <w:rFonts w:ascii="楷体_GB2312" w:hAnsi="Calibri"/>
          <w:b w:val="0"/>
          <w:bCs/>
          <w:color w:val="auto"/>
          <w:kern w:val="0"/>
          <w:sz w:val="36"/>
          <w:szCs w:val="28"/>
          <w:highlight w:val="none"/>
        </w:rPr>
      </w:pPr>
    </w:p>
    <w:p w14:paraId="70E25251">
      <w:pPr>
        <w:autoSpaceDN w:val="0"/>
        <w:spacing w:line="420" w:lineRule="exact"/>
        <w:jc w:val="center"/>
        <w:rPr>
          <w:rFonts w:ascii="楷体_GB2312" w:hAnsi="Calibri"/>
          <w:b w:val="0"/>
          <w:bCs/>
          <w:color w:val="auto"/>
          <w:kern w:val="0"/>
          <w:sz w:val="36"/>
          <w:szCs w:val="28"/>
          <w:highlight w:val="none"/>
        </w:rPr>
      </w:pPr>
    </w:p>
    <w:p w14:paraId="01944555">
      <w:pPr>
        <w:autoSpaceDN w:val="0"/>
        <w:spacing w:line="420" w:lineRule="exact"/>
        <w:jc w:val="center"/>
        <w:rPr>
          <w:rFonts w:ascii="楷体_GB2312" w:hAnsi="Calibri"/>
          <w:b w:val="0"/>
          <w:bCs/>
          <w:color w:val="auto"/>
          <w:kern w:val="0"/>
          <w:sz w:val="36"/>
          <w:szCs w:val="28"/>
          <w:highlight w:val="none"/>
        </w:rPr>
      </w:pPr>
    </w:p>
    <w:p w14:paraId="2FCBE276">
      <w:pPr>
        <w:autoSpaceDN w:val="0"/>
        <w:spacing w:line="420" w:lineRule="exact"/>
        <w:jc w:val="center"/>
        <w:rPr>
          <w:rFonts w:ascii="楷体_GB2312" w:hAnsi="Calibri"/>
          <w:b w:val="0"/>
          <w:bCs/>
          <w:color w:val="auto"/>
          <w:kern w:val="0"/>
          <w:sz w:val="36"/>
          <w:szCs w:val="28"/>
          <w:highlight w:val="none"/>
        </w:rPr>
      </w:pPr>
    </w:p>
    <w:p w14:paraId="3A1A5260">
      <w:pPr>
        <w:autoSpaceDN w:val="0"/>
        <w:spacing w:line="420" w:lineRule="exact"/>
        <w:jc w:val="center"/>
        <w:rPr>
          <w:rFonts w:ascii="楷体_GB2312" w:hAnsi="Calibri"/>
          <w:b w:val="0"/>
          <w:bCs/>
          <w:color w:val="auto"/>
          <w:kern w:val="0"/>
          <w:sz w:val="36"/>
          <w:szCs w:val="28"/>
          <w:highlight w:val="none"/>
        </w:rPr>
      </w:pPr>
    </w:p>
    <w:p w14:paraId="14FAE822">
      <w:pPr>
        <w:autoSpaceDN w:val="0"/>
        <w:spacing w:line="420" w:lineRule="exact"/>
        <w:jc w:val="center"/>
        <w:rPr>
          <w:rFonts w:ascii="楷体_GB2312" w:hAnsi="Calibri"/>
          <w:b w:val="0"/>
          <w:bCs/>
          <w:color w:val="auto"/>
          <w:kern w:val="0"/>
          <w:sz w:val="36"/>
          <w:szCs w:val="28"/>
          <w:highlight w:val="none"/>
        </w:rPr>
      </w:pPr>
    </w:p>
    <w:p w14:paraId="4A034F8C">
      <w:pPr>
        <w:autoSpaceDN w:val="0"/>
        <w:spacing w:line="420" w:lineRule="exact"/>
        <w:jc w:val="center"/>
        <w:rPr>
          <w:rFonts w:ascii="楷体_GB2312" w:hAnsi="Calibri"/>
          <w:b w:val="0"/>
          <w:bCs/>
          <w:color w:val="auto"/>
          <w:kern w:val="0"/>
          <w:sz w:val="36"/>
          <w:szCs w:val="28"/>
          <w:highlight w:val="none"/>
        </w:rPr>
      </w:pPr>
    </w:p>
    <w:p w14:paraId="581AAEA2">
      <w:pPr>
        <w:autoSpaceDN w:val="0"/>
        <w:spacing w:line="420" w:lineRule="exact"/>
        <w:jc w:val="center"/>
        <w:rPr>
          <w:rFonts w:ascii="楷体_GB2312" w:hAnsi="Calibri"/>
          <w:b w:val="0"/>
          <w:bCs/>
          <w:color w:val="auto"/>
          <w:kern w:val="0"/>
          <w:sz w:val="36"/>
          <w:szCs w:val="28"/>
          <w:highlight w:val="none"/>
        </w:rPr>
      </w:pPr>
    </w:p>
    <w:p w14:paraId="6FF824DC">
      <w:pPr>
        <w:autoSpaceDN w:val="0"/>
        <w:spacing w:line="420" w:lineRule="exact"/>
        <w:jc w:val="center"/>
        <w:rPr>
          <w:rFonts w:ascii="楷体_GB2312" w:hAnsi="Calibri"/>
          <w:b w:val="0"/>
          <w:bCs/>
          <w:color w:val="auto"/>
          <w:kern w:val="0"/>
          <w:sz w:val="36"/>
          <w:szCs w:val="28"/>
          <w:highlight w:val="none"/>
        </w:rPr>
      </w:pPr>
    </w:p>
    <w:p w14:paraId="1909115C">
      <w:pPr>
        <w:autoSpaceDN w:val="0"/>
        <w:spacing w:line="420" w:lineRule="exact"/>
        <w:jc w:val="center"/>
        <w:rPr>
          <w:rFonts w:ascii="楷体_GB2312" w:hAnsi="Calibri"/>
          <w:b w:val="0"/>
          <w:bCs/>
          <w:color w:val="auto"/>
          <w:kern w:val="0"/>
          <w:sz w:val="36"/>
          <w:szCs w:val="28"/>
          <w:highlight w:val="none"/>
        </w:rPr>
      </w:pPr>
    </w:p>
    <w:p w14:paraId="6DE22935">
      <w:pPr>
        <w:autoSpaceDN w:val="0"/>
        <w:spacing w:line="420" w:lineRule="exact"/>
        <w:jc w:val="center"/>
        <w:rPr>
          <w:rFonts w:ascii="楷体_GB2312" w:hAnsi="Calibri"/>
          <w:b w:val="0"/>
          <w:bCs/>
          <w:color w:val="auto"/>
          <w:kern w:val="0"/>
          <w:sz w:val="36"/>
          <w:szCs w:val="28"/>
          <w:highlight w:val="none"/>
        </w:rPr>
      </w:pPr>
    </w:p>
    <w:p w14:paraId="4A641DCC">
      <w:pPr>
        <w:autoSpaceDN w:val="0"/>
        <w:spacing w:line="420" w:lineRule="exact"/>
        <w:jc w:val="center"/>
        <w:rPr>
          <w:rFonts w:ascii="楷体_GB2312" w:hAnsi="Calibri"/>
          <w:b w:val="0"/>
          <w:bCs/>
          <w:color w:val="auto"/>
          <w:kern w:val="0"/>
          <w:sz w:val="36"/>
          <w:szCs w:val="28"/>
          <w:highlight w:val="none"/>
        </w:rPr>
      </w:pPr>
    </w:p>
    <w:p w14:paraId="24A0060B">
      <w:pPr>
        <w:autoSpaceDN w:val="0"/>
        <w:spacing w:line="420" w:lineRule="exact"/>
        <w:jc w:val="center"/>
        <w:rPr>
          <w:rFonts w:ascii="楷体_GB2312" w:hAnsi="Calibri"/>
          <w:b w:val="0"/>
          <w:bCs/>
          <w:color w:val="auto"/>
          <w:kern w:val="0"/>
          <w:sz w:val="36"/>
          <w:szCs w:val="28"/>
          <w:highlight w:val="none"/>
        </w:rPr>
      </w:pPr>
    </w:p>
    <w:p w14:paraId="61F7BE2D">
      <w:pPr>
        <w:autoSpaceDN w:val="0"/>
        <w:spacing w:line="420" w:lineRule="exact"/>
        <w:jc w:val="center"/>
        <w:rPr>
          <w:rFonts w:ascii="楷体_GB2312" w:hAnsi="Calibri"/>
          <w:b w:val="0"/>
          <w:bCs/>
          <w:color w:val="auto"/>
          <w:kern w:val="0"/>
          <w:sz w:val="36"/>
          <w:szCs w:val="28"/>
          <w:highlight w:val="none"/>
        </w:rPr>
      </w:pPr>
    </w:p>
    <w:p w14:paraId="4EDB5F7B">
      <w:pPr>
        <w:autoSpaceDN w:val="0"/>
        <w:spacing w:line="420" w:lineRule="exact"/>
        <w:jc w:val="center"/>
        <w:rPr>
          <w:rFonts w:ascii="楷体_GB2312" w:hAnsi="Calibri"/>
          <w:b w:val="0"/>
          <w:bCs/>
          <w:color w:val="auto"/>
          <w:kern w:val="0"/>
          <w:sz w:val="36"/>
          <w:szCs w:val="28"/>
          <w:highlight w:val="none"/>
        </w:rPr>
      </w:pPr>
    </w:p>
    <w:p w14:paraId="0F8A57A6">
      <w:pPr>
        <w:autoSpaceDN w:val="0"/>
        <w:spacing w:line="420" w:lineRule="exact"/>
        <w:jc w:val="center"/>
        <w:rPr>
          <w:rFonts w:ascii="楷体_GB2312" w:hAnsi="Calibri"/>
          <w:b w:val="0"/>
          <w:bCs/>
          <w:color w:val="auto"/>
          <w:kern w:val="0"/>
          <w:sz w:val="36"/>
          <w:szCs w:val="28"/>
          <w:highlight w:val="none"/>
        </w:rPr>
      </w:pPr>
    </w:p>
    <w:p w14:paraId="0F8D93D4">
      <w:pPr>
        <w:autoSpaceDN w:val="0"/>
        <w:spacing w:line="420" w:lineRule="exact"/>
        <w:jc w:val="center"/>
        <w:rPr>
          <w:rFonts w:ascii="楷体_GB2312" w:hAnsi="Calibri"/>
          <w:b w:val="0"/>
          <w:bCs/>
          <w:color w:val="auto"/>
          <w:kern w:val="0"/>
          <w:sz w:val="36"/>
          <w:szCs w:val="28"/>
          <w:highlight w:val="none"/>
        </w:rPr>
      </w:pPr>
    </w:p>
    <w:p w14:paraId="7F8D4DB4">
      <w:pPr>
        <w:autoSpaceDN w:val="0"/>
        <w:spacing w:line="420" w:lineRule="exact"/>
        <w:jc w:val="center"/>
        <w:rPr>
          <w:rFonts w:ascii="楷体_GB2312" w:hAnsi="Calibri"/>
          <w:b w:val="0"/>
          <w:bCs/>
          <w:color w:val="auto"/>
          <w:kern w:val="0"/>
          <w:sz w:val="36"/>
          <w:szCs w:val="28"/>
          <w:highlight w:val="none"/>
        </w:rPr>
      </w:pPr>
    </w:p>
    <w:p w14:paraId="77E357B7">
      <w:pPr>
        <w:autoSpaceDN w:val="0"/>
        <w:spacing w:line="420" w:lineRule="exact"/>
        <w:jc w:val="center"/>
        <w:rPr>
          <w:rFonts w:ascii="楷体_GB2312" w:hAnsi="Calibri"/>
          <w:b w:val="0"/>
          <w:bCs/>
          <w:color w:val="auto"/>
          <w:kern w:val="0"/>
          <w:sz w:val="36"/>
          <w:szCs w:val="28"/>
          <w:highlight w:val="none"/>
        </w:rPr>
      </w:pPr>
    </w:p>
    <w:p w14:paraId="6684BF76">
      <w:pPr>
        <w:autoSpaceDN w:val="0"/>
        <w:spacing w:line="420" w:lineRule="exact"/>
        <w:jc w:val="center"/>
        <w:rPr>
          <w:rFonts w:ascii="楷体_GB2312" w:hAnsi="Calibri"/>
          <w:b w:val="0"/>
          <w:bCs/>
          <w:color w:val="auto"/>
          <w:kern w:val="0"/>
          <w:sz w:val="36"/>
          <w:szCs w:val="28"/>
          <w:highlight w:val="none"/>
        </w:rPr>
      </w:pPr>
    </w:p>
    <w:p w14:paraId="3A119B87">
      <w:pPr>
        <w:autoSpaceDN w:val="0"/>
        <w:spacing w:line="420" w:lineRule="exact"/>
        <w:jc w:val="both"/>
        <w:rPr>
          <w:rFonts w:ascii="楷体_GB2312" w:hAnsi="Calibri"/>
          <w:b w:val="0"/>
          <w:bCs/>
          <w:color w:val="auto"/>
          <w:kern w:val="0"/>
          <w:sz w:val="36"/>
          <w:szCs w:val="28"/>
          <w:highlight w:val="none"/>
        </w:rPr>
      </w:pPr>
    </w:p>
    <w:bookmarkEnd w:id="177"/>
    <w:bookmarkEnd w:id="204"/>
    <w:bookmarkEnd w:id="205"/>
    <w:bookmarkEnd w:id="206"/>
    <w:p w14:paraId="512144E1">
      <w:pPr>
        <w:autoSpaceDN w:val="0"/>
        <w:spacing w:line="420" w:lineRule="exact"/>
        <w:jc w:val="center"/>
        <w:rPr>
          <w:rFonts w:hint="eastAsia" w:ascii="宋体" w:hAnsi="宋体" w:eastAsia="宋体"/>
          <w:b/>
          <w:bCs/>
          <w:color w:val="auto"/>
          <w:sz w:val="32"/>
          <w:szCs w:val="28"/>
          <w:highlight w:val="none"/>
        </w:rPr>
      </w:pPr>
      <w:r>
        <w:rPr>
          <w:rFonts w:hint="eastAsia" w:ascii="宋体" w:hAnsi="宋体" w:eastAsia="宋体"/>
          <w:b/>
          <w:bCs/>
          <w:color w:val="auto"/>
          <w:sz w:val="32"/>
          <w:szCs w:val="28"/>
          <w:highlight w:val="none"/>
        </w:rPr>
        <w:t>第</w:t>
      </w:r>
      <w:r>
        <w:rPr>
          <w:rFonts w:hint="eastAsia" w:ascii="宋体" w:hAnsi="宋体" w:eastAsia="宋体"/>
          <w:b/>
          <w:bCs/>
          <w:color w:val="auto"/>
          <w:sz w:val="32"/>
          <w:szCs w:val="28"/>
          <w:highlight w:val="none"/>
          <w:lang w:val="en-US" w:eastAsia="zh-CN"/>
        </w:rPr>
        <w:t>七</w:t>
      </w:r>
      <w:r>
        <w:rPr>
          <w:rFonts w:hint="eastAsia" w:ascii="宋体" w:hAnsi="宋体" w:eastAsia="宋体"/>
          <w:b/>
          <w:bCs/>
          <w:color w:val="auto"/>
          <w:sz w:val="32"/>
          <w:szCs w:val="28"/>
          <w:highlight w:val="none"/>
        </w:rPr>
        <w:t xml:space="preserve">章  </w:t>
      </w:r>
      <w:r>
        <w:rPr>
          <w:rFonts w:hint="eastAsia" w:ascii="宋体" w:hAnsi="宋体"/>
          <w:b/>
          <w:bCs/>
          <w:color w:val="auto"/>
          <w:sz w:val="32"/>
          <w:szCs w:val="28"/>
          <w:highlight w:val="none"/>
          <w:lang w:eastAsia="zh-CN"/>
        </w:rPr>
        <w:t>响应文件</w:t>
      </w:r>
      <w:r>
        <w:rPr>
          <w:rFonts w:hint="eastAsia" w:ascii="宋体" w:hAnsi="宋体" w:eastAsia="宋体"/>
          <w:b/>
          <w:bCs/>
          <w:color w:val="auto"/>
          <w:sz w:val="32"/>
          <w:szCs w:val="28"/>
          <w:highlight w:val="none"/>
        </w:rPr>
        <w:t>格式</w:t>
      </w:r>
    </w:p>
    <w:p w14:paraId="09D921D7">
      <w:pPr>
        <w:autoSpaceDE w:val="0"/>
        <w:autoSpaceDN w:val="0"/>
        <w:spacing w:line="360" w:lineRule="auto"/>
        <w:jc w:val="center"/>
        <w:rPr>
          <w:rFonts w:hint="eastAsia" w:ascii="宋体" w:hAnsi="宋体"/>
          <w:color w:val="auto"/>
          <w:sz w:val="30"/>
          <w:szCs w:val="30"/>
          <w:highlight w:val="none"/>
          <w:u w:val="single"/>
        </w:rPr>
      </w:pPr>
    </w:p>
    <w:p w14:paraId="473AFB63">
      <w:pPr>
        <w:autoSpaceDE w:val="0"/>
        <w:autoSpaceDN w:val="0"/>
        <w:spacing w:line="360" w:lineRule="auto"/>
        <w:jc w:val="center"/>
        <w:rPr>
          <w:rFonts w:hint="eastAsia" w:ascii="宋体" w:hAnsi="宋体"/>
          <w:color w:val="auto"/>
          <w:sz w:val="30"/>
          <w:szCs w:val="30"/>
          <w:highlight w:val="none"/>
          <w:u w:val="single"/>
        </w:rPr>
      </w:pPr>
    </w:p>
    <w:p w14:paraId="5386AE56">
      <w:pPr>
        <w:autoSpaceDE w:val="0"/>
        <w:autoSpaceDN w:val="0"/>
        <w:spacing w:line="360" w:lineRule="auto"/>
        <w:jc w:val="center"/>
        <w:outlineLvl w:val="0"/>
        <w:rPr>
          <w:rFonts w:hint="eastAsia" w:ascii="宋体" w:hAnsi="宋体" w:eastAsia="宋体"/>
          <w:color w:val="auto"/>
          <w:sz w:val="30"/>
          <w:szCs w:val="30"/>
          <w:highlight w:val="none"/>
          <w:u w:val="single"/>
          <w:lang w:eastAsia="zh-CN"/>
        </w:rPr>
      </w:pPr>
      <w:bookmarkStart w:id="207" w:name="_Toc4436"/>
      <w:bookmarkEnd w:id="207"/>
      <w:bookmarkStart w:id="208" w:name="_Toc104558761"/>
      <w:bookmarkEnd w:id="208"/>
      <w:bookmarkStart w:id="209" w:name="_Toc105654872"/>
      <w:bookmarkEnd w:id="209"/>
      <w:bookmarkStart w:id="210" w:name="_Toc27817"/>
      <w:bookmarkEnd w:id="210"/>
      <w:r>
        <w:rPr>
          <w:rFonts w:hint="eastAsia" w:ascii="宋体" w:hAnsi="宋体"/>
          <w:color w:val="auto"/>
          <w:sz w:val="30"/>
          <w:szCs w:val="30"/>
          <w:highlight w:val="none"/>
          <w:u w:val="single"/>
        </w:rPr>
        <w:t>（项目名称）</w:t>
      </w:r>
    </w:p>
    <w:p w14:paraId="41071E0F">
      <w:pPr>
        <w:autoSpaceDE w:val="0"/>
        <w:autoSpaceDN w:val="0"/>
        <w:spacing w:line="360" w:lineRule="auto"/>
        <w:ind w:firstLine="1200" w:firstLineChars="400"/>
        <w:rPr>
          <w:rFonts w:hint="eastAsia" w:ascii="宋体" w:hAnsi="宋体"/>
          <w:color w:val="auto"/>
          <w:sz w:val="30"/>
          <w:szCs w:val="30"/>
          <w:highlight w:val="none"/>
          <w:u w:val="single"/>
        </w:rPr>
      </w:pPr>
    </w:p>
    <w:p w14:paraId="5342C0FF">
      <w:pPr>
        <w:autoSpaceDE w:val="0"/>
        <w:autoSpaceDN w:val="0"/>
        <w:spacing w:line="360" w:lineRule="auto"/>
        <w:jc w:val="center"/>
        <w:outlineLvl w:val="0"/>
        <w:rPr>
          <w:rFonts w:hint="eastAsia" w:ascii="宋体" w:hAnsi="宋体"/>
          <w:b/>
          <w:color w:val="auto"/>
          <w:sz w:val="48"/>
          <w:szCs w:val="48"/>
          <w:highlight w:val="none"/>
        </w:rPr>
      </w:pPr>
      <w:bookmarkStart w:id="211" w:name="_Toc6310"/>
      <w:bookmarkEnd w:id="211"/>
      <w:bookmarkStart w:id="212" w:name="_Toc104558762"/>
      <w:bookmarkEnd w:id="212"/>
      <w:bookmarkStart w:id="213" w:name="_Toc105654873"/>
      <w:bookmarkEnd w:id="213"/>
      <w:bookmarkStart w:id="214" w:name="_Toc19662"/>
      <w:bookmarkEnd w:id="214"/>
      <w:r>
        <w:rPr>
          <w:rFonts w:hint="eastAsia" w:ascii="宋体" w:hAnsi="宋体"/>
          <w:b/>
          <w:color w:val="auto"/>
          <w:sz w:val="48"/>
          <w:szCs w:val="48"/>
          <w:highlight w:val="none"/>
          <w:lang w:val="en-US" w:eastAsia="zh-CN"/>
        </w:rPr>
        <w:t>响 应</w:t>
      </w:r>
      <w:r>
        <w:rPr>
          <w:rFonts w:hint="eastAsia" w:ascii="宋体" w:hAnsi="宋体"/>
          <w:b/>
          <w:color w:val="auto"/>
          <w:sz w:val="48"/>
          <w:szCs w:val="48"/>
          <w:highlight w:val="none"/>
        </w:rPr>
        <w:t xml:space="preserve"> 文 件</w:t>
      </w:r>
    </w:p>
    <w:p w14:paraId="22709F99">
      <w:pPr>
        <w:autoSpaceDE w:val="0"/>
        <w:autoSpaceDN w:val="0"/>
        <w:spacing w:line="360" w:lineRule="auto"/>
        <w:jc w:val="center"/>
        <w:rPr>
          <w:rFonts w:hint="eastAsia" w:ascii="宋体" w:hAnsi="宋体"/>
          <w:b/>
          <w:color w:val="auto"/>
          <w:sz w:val="24"/>
          <w:highlight w:val="none"/>
        </w:rPr>
      </w:pPr>
    </w:p>
    <w:p w14:paraId="4A9312E8">
      <w:pPr>
        <w:autoSpaceDE w:val="0"/>
        <w:autoSpaceDN w:val="0"/>
        <w:spacing w:line="360" w:lineRule="auto"/>
        <w:jc w:val="center"/>
        <w:outlineLvl w:val="0"/>
        <w:rPr>
          <w:rFonts w:hint="eastAsia" w:ascii="宋体" w:hAnsi="宋体"/>
          <w:b/>
          <w:color w:val="auto"/>
          <w:sz w:val="24"/>
          <w:highlight w:val="none"/>
        </w:rPr>
      </w:pPr>
      <w:bookmarkStart w:id="215" w:name="_Toc3651"/>
      <w:bookmarkEnd w:id="215"/>
      <w:bookmarkStart w:id="216" w:name="_Toc104558763"/>
      <w:bookmarkEnd w:id="216"/>
      <w:bookmarkStart w:id="217" w:name="_Toc29601"/>
      <w:bookmarkEnd w:id="217"/>
      <w:bookmarkStart w:id="218" w:name="_Toc105654874"/>
      <w:bookmarkEnd w:id="218"/>
      <w:r>
        <w:rPr>
          <w:rFonts w:hint="eastAsia" w:ascii="宋体" w:hAnsi="宋体"/>
          <w:b/>
          <w:color w:val="auto"/>
          <w:sz w:val="24"/>
          <w:highlight w:val="none"/>
        </w:rPr>
        <w:t>（项目编号）</w:t>
      </w:r>
    </w:p>
    <w:p w14:paraId="27DCE4F3">
      <w:pPr>
        <w:autoSpaceDE w:val="0"/>
        <w:autoSpaceDN w:val="0"/>
        <w:spacing w:line="360" w:lineRule="auto"/>
        <w:rPr>
          <w:rFonts w:hint="eastAsia" w:ascii="宋体" w:hAnsi="宋体"/>
          <w:color w:val="auto"/>
          <w:sz w:val="24"/>
          <w:highlight w:val="none"/>
        </w:rPr>
      </w:pPr>
    </w:p>
    <w:p w14:paraId="01100AAC">
      <w:pPr>
        <w:autoSpaceDE w:val="0"/>
        <w:autoSpaceDN w:val="0"/>
        <w:spacing w:line="360" w:lineRule="auto"/>
        <w:rPr>
          <w:rFonts w:hint="eastAsia" w:ascii="宋体" w:hAnsi="宋体"/>
          <w:color w:val="auto"/>
          <w:sz w:val="30"/>
          <w:szCs w:val="30"/>
          <w:highlight w:val="none"/>
        </w:rPr>
      </w:pPr>
    </w:p>
    <w:p w14:paraId="29ADB665">
      <w:pPr>
        <w:autoSpaceDE w:val="0"/>
        <w:autoSpaceDN w:val="0"/>
        <w:spacing w:line="360" w:lineRule="auto"/>
        <w:rPr>
          <w:rFonts w:hint="eastAsia" w:ascii="宋体" w:hAnsi="宋体"/>
          <w:color w:val="auto"/>
          <w:sz w:val="30"/>
          <w:szCs w:val="30"/>
          <w:highlight w:val="none"/>
        </w:rPr>
      </w:pPr>
    </w:p>
    <w:p w14:paraId="60D07298">
      <w:pPr>
        <w:autoSpaceDE w:val="0"/>
        <w:autoSpaceDN w:val="0"/>
        <w:spacing w:line="360" w:lineRule="auto"/>
        <w:rPr>
          <w:rFonts w:hint="eastAsia" w:ascii="宋体" w:hAnsi="宋体"/>
          <w:color w:val="auto"/>
          <w:sz w:val="30"/>
          <w:szCs w:val="30"/>
          <w:highlight w:val="none"/>
        </w:rPr>
      </w:pPr>
    </w:p>
    <w:p w14:paraId="18FDFC45">
      <w:pPr>
        <w:autoSpaceDE w:val="0"/>
        <w:autoSpaceDN w:val="0"/>
        <w:spacing w:line="360" w:lineRule="auto"/>
        <w:ind w:firstLine="1842" w:firstLineChars="614"/>
        <w:rPr>
          <w:rFonts w:hint="eastAsia" w:ascii="宋体" w:hAnsi="宋体"/>
          <w:color w:val="auto"/>
          <w:sz w:val="30"/>
          <w:szCs w:val="30"/>
          <w:highlight w:val="none"/>
        </w:rPr>
      </w:pPr>
    </w:p>
    <w:p w14:paraId="5AC2E751">
      <w:pPr>
        <w:autoSpaceDE w:val="0"/>
        <w:autoSpaceDN w:val="0"/>
        <w:spacing w:line="360" w:lineRule="auto"/>
        <w:ind w:firstLine="1842" w:firstLineChars="614"/>
        <w:rPr>
          <w:rFonts w:hint="eastAsia" w:ascii="宋体" w:hAnsi="宋体"/>
          <w:color w:val="auto"/>
          <w:sz w:val="30"/>
          <w:szCs w:val="30"/>
          <w:highlight w:val="none"/>
        </w:rPr>
      </w:pPr>
      <w:bookmarkStart w:id="219" w:name="_Toc17571_WPSOffice_Level1"/>
    </w:p>
    <w:p w14:paraId="628E175B">
      <w:pPr>
        <w:autoSpaceDE w:val="0"/>
        <w:autoSpaceDN w:val="0"/>
        <w:spacing w:line="360" w:lineRule="auto"/>
        <w:rPr>
          <w:rFonts w:hint="eastAsia" w:ascii="宋体" w:hAnsi="宋体"/>
          <w:color w:val="auto"/>
          <w:sz w:val="30"/>
          <w:szCs w:val="30"/>
          <w:highlight w:val="none"/>
        </w:rPr>
      </w:pPr>
    </w:p>
    <w:p w14:paraId="007DF373">
      <w:pPr>
        <w:autoSpaceDE w:val="0"/>
        <w:autoSpaceDN w:val="0"/>
        <w:spacing w:line="360" w:lineRule="auto"/>
        <w:ind w:firstLine="1842" w:firstLineChars="614"/>
        <w:rPr>
          <w:rFonts w:hint="eastAsia" w:ascii="宋体" w:hAnsi="宋体"/>
          <w:color w:val="auto"/>
          <w:sz w:val="30"/>
          <w:szCs w:val="30"/>
          <w:highlight w:val="none"/>
        </w:rPr>
      </w:pPr>
    </w:p>
    <w:p w14:paraId="7443C599">
      <w:pPr>
        <w:autoSpaceDE w:val="0"/>
        <w:autoSpaceDN w:val="0"/>
        <w:spacing w:line="360" w:lineRule="auto"/>
        <w:ind w:firstLine="1842" w:firstLineChars="614"/>
        <w:rPr>
          <w:rFonts w:hint="eastAsia" w:ascii="宋体" w:hAnsi="宋体"/>
          <w:color w:val="auto"/>
          <w:sz w:val="30"/>
          <w:szCs w:val="30"/>
          <w:highlight w:val="none"/>
        </w:rPr>
      </w:pPr>
    </w:p>
    <w:bookmarkEnd w:id="219"/>
    <w:p w14:paraId="62A5CB6B">
      <w:pPr>
        <w:autoSpaceDE w:val="0"/>
        <w:autoSpaceDN w:val="0"/>
        <w:spacing w:line="360" w:lineRule="auto"/>
        <w:ind w:firstLine="1842" w:firstLineChars="614"/>
        <w:rPr>
          <w:rFonts w:hint="eastAsia" w:ascii="宋体" w:hAnsi="宋体"/>
          <w:color w:val="auto"/>
          <w:sz w:val="30"/>
          <w:szCs w:val="30"/>
          <w:highlight w:val="none"/>
        </w:rPr>
      </w:pPr>
      <w:r>
        <w:rPr>
          <w:rFonts w:hint="eastAsia" w:ascii="宋体" w:hAnsi="宋体"/>
          <w:color w:val="auto"/>
          <w:sz w:val="30"/>
          <w:szCs w:val="30"/>
          <w:highlight w:val="none"/>
          <w:lang w:eastAsia="zh-CN"/>
        </w:rPr>
        <w:t>供应商</w:t>
      </w:r>
      <w:r>
        <w:rPr>
          <w:rFonts w:hint="eastAsia" w:ascii="宋体" w:hAnsi="宋体"/>
          <w:color w:val="auto"/>
          <w:sz w:val="30"/>
          <w:szCs w:val="30"/>
          <w:highlight w:val="none"/>
        </w:rPr>
        <w:t>：（公章签章）</w:t>
      </w:r>
    </w:p>
    <w:p w14:paraId="7C64B935">
      <w:pPr>
        <w:autoSpaceDE w:val="0"/>
        <w:autoSpaceDN w:val="0"/>
        <w:spacing w:line="360" w:lineRule="auto"/>
        <w:ind w:firstLine="1842" w:firstLineChars="614"/>
        <w:rPr>
          <w:rFonts w:hint="eastAsia" w:ascii="宋体" w:hAnsi="宋体"/>
          <w:color w:val="auto"/>
          <w:sz w:val="30"/>
          <w:szCs w:val="30"/>
          <w:highlight w:val="none"/>
        </w:rPr>
      </w:pPr>
      <w:bookmarkStart w:id="220" w:name="_Toc14380_WPSOffice_Level1"/>
      <w:bookmarkEnd w:id="220"/>
      <w:r>
        <w:rPr>
          <w:rFonts w:hint="eastAsia" w:ascii="宋体" w:hAnsi="宋体"/>
          <w:color w:val="auto"/>
          <w:sz w:val="30"/>
          <w:szCs w:val="30"/>
          <w:highlight w:val="none"/>
        </w:rPr>
        <w:t>法定代表人或其委托代理人：（电子签章）</w:t>
      </w:r>
    </w:p>
    <w:p w14:paraId="6428EACF">
      <w:pPr>
        <w:autoSpaceDE w:val="0"/>
        <w:autoSpaceDN w:val="0"/>
        <w:spacing w:line="360" w:lineRule="auto"/>
        <w:ind w:firstLine="1842" w:firstLineChars="614"/>
        <w:rPr>
          <w:rFonts w:hint="eastAsia" w:ascii="宋体" w:hAnsi="宋体"/>
          <w:color w:val="auto"/>
          <w:sz w:val="30"/>
          <w:szCs w:val="30"/>
          <w:highlight w:val="none"/>
        </w:rPr>
      </w:pPr>
      <w:bookmarkStart w:id="221" w:name="_Toc21318_WPSOffice_Level1"/>
      <w:bookmarkEnd w:id="221"/>
      <w:r>
        <w:rPr>
          <w:rFonts w:hint="eastAsia" w:ascii="宋体" w:hAnsi="宋体"/>
          <w:color w:val="auto"/>
          <w:sz w:val="30"/>
          <w:szCs w:val="30"/>
          <w:highlight w:val="none"/>
        </w:rPr>
        <w:t>年月日</w:t>
      </w:r>
    </w:p>
    <w:p w14:paraId="659D7E88">
      <w:pPr>
        <w:pStyle w:val="95"/>
        <w:rPr>
          <w:rFonts w:hint="eastAsia" w:ascii="宋体" w:hAnsi="宋体"/>
          <w:b/>
          <w:color w:val="auto"/>
          <w:sz w:val="30"/>
          <w:szCs w:val="30"/>
          <w:highlight w:val="none"/>
        </w:rPr>
      </w:pPr>
    </w:p>
    <w:p w14:paraId="3FC77270">
      <w:pPr>
        <w:pStyle w:val="95"/>
        <w:rPr>
          <w:rFonts w:hint="eastAsia" w:ascii="宋体" w:hAnsi="宋体"/>
          <w:b/>
          <w:color w:val="auto"/>
          <w:sz w:val="30"/>
          <w:szCs w:val="30"/>
          <w:highlight w:val="none"/>
        </w:rPr>
      </w:pPr>
    </w:p>
    <w:p w14:paraId="008E18B0">
      <w:pPr>
        <w:jc w:val="center"/>
        <w:outlineLvl w:val="0"/>
        <w:rPr>
          <w:rFonts w:hint="eastAsia" w:ascii="宋体" w:hAnsi="宋体"/>
          <w:b/>
          <w:color w:val="auto"/>
          <w:sz w:val="32"/>
          <w:highlight w:val="none"/>
        </w:rPr>
      </w:pPr>
      <w:bookmarkStart w:id="222" w:name="_Toc14500"/>
      <w:bookmarkEnd w:id="222"/>
      <w:bookmarkStart w:id="223" w:name="_Toc104558764"/>
      <w:bookmarkEnd w:id="223"/>
      <w:bookmarkStart w:id="224" w:name="_Toc105654875"/>
      <w:bookmarkEnd w:id="224"/>
      <w:bookmarkStart w:id="225" w:name="_Toc17945"/>
      <w:bookmarkEnd w:id="225"/>
      <w:r>
        <w:rPr>
          <w:rFonts w:hint="eastAsia" w:ascii="宋体" w:hAnsi="宋体"/>
          <w:b/>
          <w:color w:val="auto"/>
          <w:sz w:val="32"/>
          <w:highlight w:val="none"/>
        </w:rPr>
        <w:t>目   录</w:t>
      </w:r>
    </w:p>
    <w:p w14:paraId="3690BC60">
      <w:pPr>
        <w:jc w:val="center"/>
        <w:rPr>
          <w:rFonts w:hint="eastAsia"/>
          <w:b/>
          <w:bCs/>
          <w:color w:val="auto"/>
          <w:highlight w:val="none"/>
        </w:rPr>
      </w:pPr>
      <w:bookmarkStart w:id="226" w:name="_Toc375041320"/>
      <w:bookmarkEnd w:id="226"/>
      <w:r>
        <w:rPr>
          <w:rFonts w:hint="eastAsia"/>
          <w:b/>
          <w:bCs/>
          <w:color w:val="auto"/>
          <w:highlight w:val="none"/>
        </w:rPr>
        <w:t>（自拟）</w:t>
      </w:r>
    </w:p>
    <w:p w14:paraId="5CE5DC28">
      <w:pPr>
        <w:rPr>
          <w:rFonts w:hint="eastAsia" w:ascii="宋体" w:hAnsi="宋体"/>
          <w:color w:val="auto"/>
          <w:sz w:val="24"/>
          <w:highlight w:val="none"/>
        </w:rPr>
      </w:pPr>
    </w:p>
    <w:p w14:paraId="627CFB1E">
      <w:pPr>
        <w:rPr>
          <w:rFonts w:hint="eastAsia" w:ascii="宋体" w:hAnsi="宋体"/>
          <w:color w:val="auto"/>
          <w:sz w:val="24"/>
          <w:highlight w:val="none"/>
        </w:rPr>
      </w:pPr>
    </w:p>
    <w:p w14:paraId="2F433C61">
      <w:pPr>
        <w:rPr>
          <w:rFonts w:hint="eastAsia" w:ascii="宋体" w:hAnsi="宋体"/>
          <w:color w:val="auto"/>
          <w:sz w:val="24"/>
          <w:highlight w:val="none"/>
        </w:rPr>
      </w:pPr>
    </w:p>
    <w:p w14:paraId="309EA258">
      <w:pPr>
        <w:rPr>
          <w:rFonts w:hint="eastAsia" w:ascii="宋体" w:hAnsi="宋体"/>
          <w:color w:val="auto"/>
          <w:sz w:val="24"/>
          <w:highlight w:val="none"/>
        </w:rPr>
      </w:pPr>
    </w:p>
    <w:p w14:paraId="152CAC2B">
      <w:pPr>
        <w:rPr>
          <w:rFonts w:hint="eastAsia" w:ascii="宋体" w:hAnsi="宋体"/>
          <w:color w:val="auto"/>
          <w:sz w:val="24"/>
          <w:highlight w:val="none"/>
        </w:rPr>
      </w:pPr>
    </w:p>
    <w:p w14:paraId="0B9BE19F">
      <w:pPr>
        <w:rPr>
          <w:rFonts w:hint="eastAsia" w:ascii="宋体" w:hAnsi="宋体"/>
          <w:color w:val="auto"/>
          <w:sz w:val="24"/>
          <w:highlight w:val="none"/>
        </w:rPr>
      </w:pPr>
    </w:p>
    <w:p w14:paraId="006DB2E3">
      <w:pPr>
        <w:rPr>
          <w:rFonts w:hint="eastAsia" w:ascii="宋体" w:hAnsi="宋体"/>
          <w:color w:val="auto"/>
          <w:sz w:val="24"/>
          <w:highlight w:val="none"/>
        </w:rPr>
      </w:pPr>
    </w:p>
    <w:p w14:paraId="5916F9ED">
      <w:pPr>
        <w:rPr>
          <w:rFonts w:hint="eastAsia" w:ascii="宋体" w:hAnsi="宋体"/>
          <w:color w:val="auto"/>
          <w:sz w:val="24"/>
          <w:highlight w:val="none"/>
        </w:rPr>
      </w:pPr>
    </w:p>
    <w:p w14:paraId="172D442A">
      <w:pPr>
        <w:rPr>
          <w:rFonts w:hint="eastAsia" w:ascii="宋体" w:hAnsi="宋体"/>
          <w:color w:val="auto"/>
          <w:sz w:val="24"/>
          <w:highlight w:val="none"/>
        </w:rPr>
      </w:pPr>
    </w:p>
    <w:p w14:paraId="34759FA1">
      <w:pPr>
        <w:rPr>
          <w:rFonts w:hint="eastAsia" w:ascii="宋体" w:hAnsi="宋体"/>
          <w:color w:val="auto"/>
          <w:sz w:val="24"/>
          <w:highlight w:val="none"/>
        </w:rPr>
      </w:pPr>
    </w:p>
    <w:p w14:paraId="68BFE934">
      <w:pPr>
        <w:rPr>
          <w:rFonts w:hint="eastAsia" w:ascii="宋体" w:hAnsi="宋体"/>
          <w:color w:val="auto"/>
          <w:sz w:val="24"/>
          <w:highlight w:val="none"/>
        </w:rPr>
      </w:pPr>
    </w:p>
    <w:p w14:paraId="11538803">
      <w:pPr>
        <w:rPr>
          <w:rFonts w:hint="eastAsia" w:ascii="宋体" w:hAnsi="宋体"/>
          <w:color w:val="auto"/>
          <w:sz w:val="24"/>
          <w:highlight w:val="none"/>
        </w:rPr>
      </w:pPr>
    </w:p>
    <w:p w14:paraId="4ADE3EBE">
      <w:pPr>
        <w:ind w:left="720"/>
        <w:jc w:val="center"/>
        <w:outlineLvl w:val="0"/>
        <w:rPr>
          <w:rFonts w:hint="eastAsia" w:ascii="宋体" w:hAnsi="宋体"/>
          <w:color w:val="auto"/>
          <w:sz w:val="24"/>
          <w:highlight w:val="none"/>
        </w:rPr>
      </w:pPr>
      <w:bookmarkStart w:id="227" w:name="_Toc27963"/>
      <w:bookmarkEnd w:id="227"/>
      <w:bookmarkStart w:id="228" w:name="_Toc105654876"/>
      <w:bookmarkEnd w:id="228"/>
      <w:bookmarkStart w:id="229" w:name="_Toc21105"/>
      <w:bookmarkEnd w:id="229"/>
      <w:bookmarkStart w:id="230" w:name="_Toc19254"/>
      <w:bookmarkEnd w:id="230"/>
      <w:bookmarkStart w:id="231" w:name="_Toc489602190"/>
      <w:bookmarkEnd w:id="231"/>
      <w:bookmarkStart w:id="232" w:name="_Toc463691047"/>
      <w:bookmarkEnd w:id="232"/>
      <w:bookmarkStart w:id="233" w:name="_Toc13269"/>
      <w:bookmarkEnd w:id="233"/>
      <w:bookmarkStart w:id="234" w:name="_Toc104558765"/>
      <w:bookmarkEnd w:id="234"/>
      <w:bookmarkStart w:id="235" w:name="_Toc9578"/>
      <w:bookmarkEnd w:id="235"/>
      <w:bookmarkStart w:id="236" w:name="_Toc9843"/>
      <w:bookmarkEnd w:id="236"/>
      <w:bookmarkStart w:id="237" w:name="_Toc17500"/>
      <w:bookmarkEnd w:id="237"/>
      <w:r>
        <w:rPr>
          <w:rFonts w:hint="eastAsia" w:ascii="宋体" w:hAnsi="宋体"/>
          <w:color w:val="auto"/>
          <w:sz w:val="24"/>
          <w:highlight w:val="none"/>
        </w:rPr>
        <w:br w:type="page"/>
      </w:r>
      <w:r>
        <w:rPr>
          <w:rFonts w:hint="eastAsia" w:ascii="宋体" w:hAnsi="宋体"/>
          <w:color w:val="auto"/>
          <w:sz w:val="24"/>
          <w:highlight w:val="none"/>
        </w:rPr>
        <w:t>一、</w:t>
      </w:r>
      <w:r>
        <w:rPr>
          <w:rFonts w:hint="eastAsia" w:ascii="宋体" w:hAnsi="宋体"/>
          <w:b/>
          <w:color w:val="auto"/>
          <w:sz w:val="24"/>
          <w:highlight w:val="none"/>
          <w:lang w:val="en-US" w:eastAsia="zh-CN"/>
        </w:rPr>
        <w:t>磋商</w:t>
      </w:r>
      <w:r>
        <w:rPr>
          <w:rFonts w:hint="eastAsia" w:ascii="宋体" w:hAnsi="宋体"/>
          <w:b/>
          <w:color w:val="auto"/>
          <w:sz w:val="24"/>
          <w:highlight w:val="none"/>
        </w:rPr>
        <w:t>函及</w:t>
      </w:r>
      <w:r>
        <w:rPr>
          <w:rFonts w:hint="eastAsia" w:ascii="宋体" w:hAnsi="宋体"/>
          <w:b/>
          <w:color w:val="auto"/>
          <w:sz w:val="24"/>
          <w:highlight w:val="none"/>
          <w:lang w:val="en-US" w:eastAsia="zh-CN"/>
        </w:rPr>
        <w:t>磋商</w:t>
      </w:r>
      <w:r>
        <w:rPr>
          <w:rFonts w:hint="eastAsia" w:ascii="宋体" w:hAnsi="宋体"/>
          <w:b/>
          <w:color w:val="auto"/>
          <w:sz w:val="24"/>
          <w:highlight w:val="none"/>
        </w:rPr>
        <w:t>函附录</w:t>
      </w:r>
    </w:p>
    <w:p w14:paraId="6A29D447">
      <w:pPr>
        <w:spacing w:line="560" w:lineRule="exact"/>
        <w:jc w:val="center"/>
        <w:outlineLvl w:val="2"/>
        <w:rPr>
          <w:rFonts w:hint="eastAsia" w:ascii="宋体" w:hAnsi="宋体"/>
          <w:b/>
          <w:color w:val="auto"/>
          <w:sz w:val="24"/>
          <w:highlight w:val="none"/>
        </w:rPr>
      </w:pPr>
      <w:bookmarkStart w:id="238" w:name="_Toc9658"/>
      <w:bookmarkEnd w:id="238"/>
      <w:bookmarkStart w:id="239" w:name="_Toc104558766"/>
      <w:bookmarkEnd w:id="239"/>
      <w:bookmarkStart w:id="240" w:name="_Toc11251"/>
      <w:bookmarkEnd w:id="240"/>
      <w:bookmarkStart w:id="241" w:name="_Toc19725"/>
      <w:bookmarkEnd w:id="241"/>
      <w:bookmarkStart w:id="242" w:name="_Toc463691048"/>
      <w:bookmarkEnd w:id="242"/>
      <w:bookmarkStart w:id="243" w:name="_Toc2523"/>
      <w:bookmarkEnd w:id="243"/>
      <w:bookmarkStart w:id="244" w:name="_Toc2381"/>
      <w:bookmarkEnd w:id="244"/>
      <w:bookmarkStart w:id="245" w:name="_Toc105654877"/>
      <w:bookmarkEnd w:id="245"/>
      <w:bookmarkStart w:id="246" w:name="_Toc489602191"/>
      <w:bookmarkEnd w:id="246"/>
      <w:r>
        <w:rPr>
          <w:rFonts w:hint="eastAsia" w:ascii="宋体" w:hAnsi="宋体"/>
          <w:b/>
          <w:color w:val="auto"/>
          <w:sz w:val="24"/>
          <w:highlight w:val="none"/>
        </w:rPr>
        <w:t>（一）</w:t>
      </w:r>
      <w:r>
        <w:rPr>
          <w:rFonts w:hint="eastAsia" w:ascii="宋体" w:hAnsi="宋体"/>
          <w:b/>
          <w:color w:val="auto"/>
          <w:sz w:val="24"/>
          <w:highlight w:val="none"/>
          <w:lang w:val="en-US" w:eastAsia="zh-CN"/>
        </w:rPr>
        <w:t>磋商</w:t>
      </w:r>
      <w:r>
        <w:rPr>
          <w:rFonts w:hint="eastAsia" w:ascii="宋体" w:hAnsi="宋体"/>
          <w:b/>
          <w:color w:val="auto"/>
          <w:sz w:val="24"/>
          <w:highlight w:val="none"/>
        </w:rPr>
        <w:t>函</w:t>
      </w:r>
    </w:p>
    <w:p w14:paraId="252C6589">
      <w:pPr>
        <w:spacing w:line="560" w:lineRule="exact"/>
        <w:rPr>
          <w:rFonts w:hint="eastAsia" w:ascii="宋体" w:hAnsi="宋体"/>
          <w:color w:val="auto"/>
          <w:sz w:val="24"/>
          <w:highlight w:val="none"/>
          <w:u w:val="single"/>
        </w:rPr>
      </w:pPr>
      <w:r>
        <w:rPr>
          <w:rFonts w:hint="eastAsia" w:ascii="宋体" w:hAnsi="宋体"/>
          <w:color w:val="auto"/>
          <w:sz w:val="24"/>
          <w:highlight w:val="none"/>
          <w:u w:val="single"/>
        </w:rPr>
        <w:t xml:space="preserve">                  </w:t>
      </w:r>
      <w:r>
        <w:rPr>
          <w:rFonts w:hint="eastAsia" w:ascii="宋体" w:hAnsi="宋体"/>
          <w:color w:val="auto"/>
          <w:sz w:val="24"/>
          <w:highlight w:val="none"/>
        </w:rPr>
        <w:t>（</w:t>
      </w:r>
      <w:r>
        <w:rPr>
          <w:rFonts w:hint="eastAsia" w:ascii="宋体" w:hAnsi="宋体"/>
          <w:color w:val="auto"/>
          <w:sz w:val="24"/>
          <w:highlight w:val="none"/>
          <w:lang w:eastAsia="zh-CN"/>
        </w:rPr>
        <w:t>采购人</w:t>
      </w:r>
      <w:r>
        <w:rPr>
          <w:rFonts w:hint="eastAsia" w:ascii="宋体" w:hAnsi="宋体"/>
          <w:color w:val="auto"/>
          <w:sz w:val="24"/>
          <w:highlight w:val="none"/>
        </w:rPr>
        <w:t>名称）：</w:t>
      </w:r>
    </w:p>
    <w:p w14:paraId="6AC04287">
      <w:pPr>
        <w:spacing w:line="560" w:lineRule="exact"/>
        <w:ind w:firstLine="480" w:firstLineChars="200"/>
        <w:rPr>
          <w:rFonts w:hint="eastAsia" w:ascii="宋体" w:hAnsi="宋体"/>
          <w:color w:val="auto"/>
          <w:sz w:val="24"/>
          <w:highlight w:val="none"/>
        </w:rPr>
      </w:pPr>
      <w:r>
        <w:rPr>
          <w:rFonts w:hint="eastAsia" w:ascii="宋体" w:hAnsi="宋体"/>
          <w:color w:val="auto"/>
          <w:sz w:val="24"/>
          <w:highlight w:val="none"/>
        </w:rPr>
        <w:t>1.我方已仔细研究了</w:t>
      </w:r>
      <w:r>
        <w:rPr>
          <w:rFonts w:hint="eastAsia" w:ascii="宋体" w:hAnsi="宋体"/>
          <w:color w:val="auto"/>
          <w:sz w:val="24"/>
          <w:highlight w:val="none"/>
          <w:u w:val="single"/>
        </w:rPr>
        <w:t xml:space="preserve">                 </w:t>
      </w:r>
      <w:r>
        <w:rPr>
          <w:rFonts w:hint="eastAsia" w:ascii="宋体" w:hAnsi="宋体"/>
          <w:color w:val="auto"/>
          <w:sz w:val="24"/>
          <w:highlight w:val="none"/>
        </w:rPr>
        <w:t>（项目名称）</w:t>
      </w:r>
      <w:r>
        <w:rPr>
          <w:rFonts w:hint="eastAsia" w:ascii="宋体" w:hAnsi="宋体"/>
          <w:color w:val="auto"/>
          <w:sz w:val="24"/>
          <w:highlight w:val="none"/>
          <w:lang w:eastAsia="zh-CN"/>
        </w:rPr>
        <w:t>磋商文件</w:t>
      </w:r>
      <w:r>
        <w:rPr>
          <w:rFonts w:hint="eastAsia" w:ascii="宋体" w:hAnsi="宋体"/>
          <w:color w:val="auto"/>
          <w:sz w:val="24"/>
          <w:highlight w:val="none"/>
        </w:rPr>
        <w:t>的全部内容，愿意以人民币（大写）:</w:t>
      </w:r>
      <w:r>
        <w:rPr>
          <w:rFonts w:hint="eastAsia" w:ascii="宋体" w:hAnsi="宋体"/>
          <w:color w:val="auto"/>
          <w:sz w:val="24"/>
          <w:highlight w:val="none"/>
          <w:u w:val="single"/>
        </w:rPr>
        <w:t xml:space="preserve">         元  </w:t>
      </w:r>
      <w:r>
        <w:rPr>
          <w:rFonts w:hint="eastAsia" w:ascii="宋体" w:hAnsi="宋体"/>
          <w:color w:val="auto"/>
          <w:sz w:val="24"/>
          <w:highlight w:val="none"/>
        </w:rPr>
        <w:t>（小写:</w:t>
      </w:r>
      <w:r>
        <w:rPr>
          <w:rFonts w:hint="eastAsia" w:ascii="宋体" w:hAnsi="宋体"/>
          <w:color w:val="auto"/>
          <w:sz w:val="24"/>
          <w:highlight w:val="none"/>
          <w:u w:val="single"/>
        </w:rPr>
        <w:t xml:space="preserve">       </w:t>
      </w:r>
      <w:r>
        <w:rPr>
          <w:rFonts w:hint="eastAsia" w:ascii="宋体" w:hAnsi="宋体"/>
          <w:color w:val="auto"/>
          <w:sz w:val="24"/>
          <w:highlight w:val="none"/>
        </w:rPr>
        <w:t>元）的</w:t>
      </w:r>
      <w:r>
        <w:rPr>
          <w:rFonts w:hint="eastAsia" w:ascii="宋体" w:hAnsi="宋体"/>
          <w:color w:val="auto"/>
          <w:sz w:val="24"/>
          <w:highlight w:val="none"/>
          <w:lang w:val="en-US" w:eastAsia="zh-CN"/>
        </w:rPr>
        <w:t>响应</w:t>
      </w:r>
      <w:r>
        <w:rPr>
          <w:rFonts w:hint="eastAsia" w:ascii="宋体" w:hAnsi="宋体"/>
          <w:color w:val="auto"/>
          <w:sz w:val="24"/>
          <w:highlight w:val="none"/>
        </w:rPr>
        <w:t>报价，</w:t>
      </w:r>
      <w:r>
        <w:rPr>
          <w:rFonts w:hint="eastAsia" w:ascii="宋体" w:hAnsi="宋体"/>
          <w:color w:val="auto"/>
          <w:sz w:val="24"/>
          <w:highlight w:val="none"/>
          <w:lang w:val="en-US" w:eastAsia="zh-CN"/>
        </w:rPr>
        <w:t>计划</w:t>
      </w:r>
      <w:r>
        <w:rPr>
          <w:rFonts w:hint="eastAsia" w:ascii="宋体" w:hAnsi="宋体"/>
          <w:color w:val="auto"/>
          <w:sz w:val="24"/>
          <w:highlight w:val="none"/>
        </w:rPr>
        <w:t>工期</w:t>
      </w:r>
      <w:r>
        <w:rPr>
          <w:rFonts w:hint="eastAsia" w:ascii="宋体" w:hAnsi="宋体"/>
          <w:color w:val="auto"/>
          <w:sz w:val="24"/>
          <w:highlight w:val="none"/>
          <w:u w:val="single"/>
        </w:rPr>
        <w:t xml:space="preserve">    </w:t>
      </w:r>
      <w:r>
        <w:rPr>
          <w:rFonts w:hint="eastAsia" w:ascii="宋体" w:hAnsi="宋体"/>
          <w:color w:val="auto"/>
          <w:sz w:val="24"/>
          <w:highlight w:val="none"/>
        </w:rPr>
        <w:t>日历天，按合同约定实施和完成承包工程，修补工程中的任何缺陷，工程质量达到</w:t>
      </w:r>
      <w:r>
        <w:rPr>
          <w:rFonts w:hint="eastAsia" w:ascii="宋体" w:hAnsi="宋体"/>
          <w:color w:val="auto"/>
          <w:sz w:val="24"/>
          <w:highlight w:val="none"/>
          <w:u w:val="single"/>
        </w:rPr>
        <w:t xml:space="preserve">         </w:t>
      </w:r>
      <w:r>
        <w:rPr>
          <w:rFonts w:hint="eastAsia" w:ascii="宋体" w:hAnsi="宋体"/>
          <w:color w:val="auto"/>
          <w:sz w:val="24"/>
          <w:highlight w:val="none"/>
        </w:rPr>
        <w:t>。</w:t>
      </w:r>
    </w:p>
    <w:p w14:paraId="2B50992F">
      <w:pPr>
        <w:spacing w:line="560" w:lineRule="exact"/>
        <w:ind w:firstLine="480" w:firstLineChars="200"/>
        <w:rPr>
          <w:rFonts w:hint="eastAsia" w:ascii="宋体" w:hAnsi="宋体"/>
          <w:color w:val="auto"/>
          <w:sz w:val="24"/>
          <w:highlight w:val="none"/>
        </w:rPr>
      </w:pPr>
      <w:r>
        <w:rPr>
          <w:rFonts w:hint="eastAsia" w:ascii="宋体" w:hAnsi="宋体"/>
          <w:color w:val="auto"/>
          <w:sz w:val="24"/>
          <w:highlight w:val="none"/>
        </w:rPr>
        <w:t>2.我方承诺在</w:t>
      </w:r>
      <w:r>
        <w:rPr>
          <w:rFonts w:hint="eastAsia" w:ascii="宋体" w:hAnsi="宋体"/>
          <w:color w:val="auto"/>
          <w:sz w:val="24"/>
          <w:highlight w:val="none"/>
          <w:lang w:eastAsia="zh-CN"/>
        </w:rPr>
        <w:t>磋商有效期</w:t>
      </w:r>
      <w:r>
        <w:rPr>
          <w:rFonts w:hint="eastAsia" w:ascii="宋体" w:hAnsi="宋体"/>
          <w:color w:val="auto"/>
          <w:sz w:val="24"/>
          <w:highlight w:val="none"/>
        </w:rPr>
        <w:t>内不修改、撤销</w:t>
      </w:r>
      <w:r>
        <w:rPr>
          <w:rFonts w:hint="eastAsia" w:ascii="宋体" w:hAnsi="宋体"/>
          <w:color w:val="auto"/>
          <w:sz w:val="24"/>
          <w:highlight w:val="none"/>
          <w:lang w:eastAsia="zh-CN"/>
        </w:rPr>
        <w:t>响应文件</w:t>
      </w:r>
      <w:r>
        <w:rPr>
          <w:rFonts w:hint="eastAsia" w:ascii="宋体" w:hAnsi="宋体"/>
          <w:color w:val="auto"/>
          <w:sz w:val="24"/>
          <w:highlight w:val="none"/>
        </w:rPr>
        <w:t>。</w:t>
      </w:r>
    </w:p>
    <w:p w14:paraId="5BC1C536">
      <w:pPr>
        <w:spacing w:line="560" w:lineRule="exact"/>
        <w:ind w:firstLine="480" w:firstLineChars="200"/>
        <w:rPr>
          <w:rFonts w:hint="eastAsia" w:ascii="宋体" w:hAnsi="宋体"/>
          <w:color w:val="auto"/>
          <w:sz w:val="24"/>
          <w:highlight w:val="none"/>
          <w:lang w:val="en-US" w:eastAsia="zh-CN"/>
        </w:rPr>
      </w:pPr>
      <w:r>
        <w:rPr>
          <w:rFonts w:hint="eastAsia" w:ascii="宋体" w:hAnsi="宋体"/>
          <w:color w:val="auto"/>
          <w:sz w:val="24"/>
          <w:highlight w:val="none"/>
          <w:lang w:val="en-US" w:eastAsia="zh-CN"/>
        </w:rPr>
        <w:t>3</w:t>
      </w:r>
      <w:r>
        <w:rPr>
          <w:rFonts w:hint="eastAsia" w:ascii="宋体" w:hAnsi="宋体"/>
          <w:color w:val="auto"/>
          <w:sz w:val="24"/>
          <w:highlight w:val="none"/>
        </w:rPr>
        <w:t>.如我方中标：</w:t>
      </w:r>
    </w:p>
    <w:p w14:paraId="193FEEDF">
      <w:pPr>
        <w:spacing w:line="560" w:lineRule="exact"/>
        <w:ind w:firstLine="480" w:firstLineChars="200"/>
        <w:rPr>
          <w:rFonts w:hint="eastAsia" w:ascii="宋体" w:hAnsi="宋体"/>
          <w:color w:val="auto"/>
          <w:sz w:val="24"/>
          <w:highlight w:val="none"/>
        </w:rPr>
      </w:pPr>
      <w:r>
        <w:rPr>
          <w:rFonts w:hint="eastAsia" w:ascii="宋体" w:hAnsi="宋体"/>
          <w:color w:val="auto"/>
          <w:sz w:val="24"/>
          <w:highlight w:val="none"/>
        </w:rPr>
        <w:t>（1）我方承诺在收到通知后7日内领取中标通知书，并在中标通知书规定的期限内与你方签订合同，逾期可视为放弃中标。</w:t>
      </w:r>
    </w:p>
    <w:p w14:paraId="5F83B4F7">
      <w:pPr>
        <w:spacing w:line="560" w:lineRule="exact"/>
        <w:ind w:firstLine="480" w:firstLineChars="200"/>
        <w:rPr>
          <w:rFonts w:hint="eastAsia" w:ascii="宋体" w:hAnsi="宋体"/>
          <w:color w:val="auto"/>
          <w:sz w:val="24"/>
          <w:highlight w:val="none"/>
        </w:rPr>
      </w:pPr>
      <w:r>
        <w:rPr>
          <w:rFonts w:hint="eastAsia" w:ascii="宋体" w:hAnsi="宋体"/>
          <w:color w:val="auto"/>
          <w:sz w:val="24"/>
          <w:highlight w:val="none"/>
        </w:rPr>
        <w:t>（2）随同本投标函递交的投标函附录属于合同文件的组成部分。</w:t>
      </w:r>
    </w:p>
    <w:p w14:paraId="74F6FCB0">
      <w:pPr>
        <w:spacing w:line="560" w:lineRule="exact"/>
        <w:ind w:firstLine="480" w:firstLineChars="200"/>
        <w:rPr>
          <w:rFonts w:hint="eastAsia" w:ascii="宋体" w:hAnsi="宋体"/>
          <w:color w:val="auto"/>
          <w:sz w:val="24"/>
          <w:highlight w:val="none"/>
        </w:rPr>
      </w:pPr>
      <w:r>
        <w:rPr>
          <w:rFonts w:hint="eastAsia" w:ascii="宋体" w:hAnsi="宋体"/>
          <w:color w:val="auto"/>
          <w:sz w:val="24"/>
          <w:highlight w:val="none"/>
        </w:rPr>
        <w:t>（3）我方承诺按照</w:t>
      </w:r>
      <w:r>
        <w:rPr>
          <w:rFonts w:hint="eastAsia" w:ascii="宋体" w:hAnsi="宋体"/>
          <w:color w:val="auto"/>
          <w:sz w:val="24"/>
          <w:highlight w:val="none"/>
          <w:lang w:eastAsia="zh-CN"/>
        </w:rPr>
        <w:t>磋商文件</w:t>
      </w:r>
      <w:r>
        <w:rPr>
          <w:rFonts w:hint="eastAsia" w:ascii="宋体" w:hAnsi="宋体"/>
          <w:color w:val="auto"/>
          <w:sz w:val="24"/>
          <w:highlight w:val="none"/>
        </w:rPr>
        <w:t>规定向你方递交履约担保。</w:t>
      </w:r>
    </w:p>
    <w:p w14:paraId="77F9A64E">
      <w:pPr>
        <w:spacing w:line="560" w:lineRule="exact"/>
        <w:ind w:firstLine="480" w:firstLineChars="200"/>
        <w:rPr>
          <w:rFonts w:hint="eastAsia" w:ascii="宋体" w:hAnsi="宋体"/>
          <w:color w:val="auto"/>
          <w:sz w:val="24"/>
          <w:highlight w:val="none"/>
        </w:rPr>
      </w:pPr>
      <w:r>
        <w:rPr>
          <w:rFonts w:hint="eastAsia" w:ascii="宋体" w:hAnsi="宋体"/>
          <w:color w:val="auto"/>
          <w:sz w:val="24"/>
          <w:highlight w:val="none"/>
        </w:rPr>
        <w:t>（4）我方承诺在合同约定的期限内完成并移交全部合同工程。</w:t>
      </w:r>
    </w:p>
    <w:p w14:paraId="0A2D5C40">
      <w:pPr>
        <w:spacing w:line="560" w:lineRule="exact"/>
        <w:ind w:firstLine="480" w:firstLineChars="200"/>
        <w:rPr>
          <w:rFonts w:hint="eastAsia" w:ascii="宋体" w:hAnsi="宋体"/>
          <w:color w:val="auto"/>
          <w:sz w:val="24"/>
          <w:highlight w:val="none"/>
        </w:rPr>
      </w:pPr>
      <w:r>
        <w:rPr>
          <w:rFonts w:hint="eastAsia" w:ascii="宋体" w:hAnsi="宋体"/>
          <w:color w:val="auto"/>
          <w:sz w:val="24"/>
          <w:highlight w:val="none"/>
        </w:rPr>
        <w:t>（5）我方承诺满足合同专用条款中补充条款的内容。</w:t>
      </w:r>
    </w:p>
    <w:p w14:paraId="43C9C449">
      <w:pPr>
        <w:spacing w:line="560" w:lineRule="exact"/>
        <w:ind w:firstLine="480" w:firstLineChars="200"/>
        <w:rPr>
          <w:rFonts w:hint="eastAsia" w:ascii="宋体" w:hAnsi="宋体"/>
          <w:color w:val="auto"/>
          <w:sz w:val="24"/>
          <w:highlight w:val="none"/>
        </w:rPr>
      </w:pPr>
      <w:r>
        <w:rPr>
          <w:rFonts w:hint="eastAsia" w:ascii="宋体" w:hAnsi="宋体"/>
          <w:color w:val="auto"/>
          <w:sz w:val="24"/>
          <w:highlight w:val="none"/>
        </w:rPr>
        <w:t>（6）我方承诺并理解</w:t>
      </w:r>
      <w:r>
        <w:rPr>
          <w:rFonts w:hint="eastAsia" w:ascii="宋体" w:hAnsi="宋体"/>
          <w:color w:val="auto"/>
          <w:sz w:val="24"/>
          <w:highlight w:val="none"/>
          <w:lang w:eastAsia="zh-CN"/>
        </w:rPr>
        <w:t>采购人</w:t>
      </w:r>
      <w:r>
        <w:rPr>
          <w:rFonts w:hint="eastAsia" w:ascii="宋体" w:hAnsi="宋体"/>
          <w:color w:val="auto"/>
          <w:sz w:val="24"/>
          <w:highlight w:val="none"/>
        </w:rPr>
        <w:t>不以最低投标价为中标价的唯一选择。</w:t>
      </w:r>
    </w:p>
    <w:p w14:paraId="455960EA">
      <w:pPr>
        <w:spacing w:line="560" w:lineRule="exact"/>
        <w:ind w:firstLine="480" w:firstLineChars="200"/>
        <w:rPr>
          <w:rFonts w:hint="eastAsia" w:ascii="宋体" w:hAnsi="宋体"/>
          <w:color w:val="auto"/>
          <w:sz w:val="24"/>
          <w:highlight w:val="none"/>
        </w:rPr>
      </w:pPr>
      <w:r>
        <w:rPr>
          <w:rFonts w:hint="eastAsia" w:ascii="宋体" w:hAnsi="宋体"/>
          <w:color w:val="auto"/>
          <w:sz w:val="24"/>
          <w:highlight w:val="none"/>
        </w:rPr>
        <w:t>5．我方在此声明，所递交的</w:t>
      </w:r>
      <w:r>
        <w:rPr>
          <w:rFonts w:hint="eastAsia" w:ascii="宋体" w:hAnsi="宋体"/>
          <w:color w:val="auto"/>
          <w:sz w:val="24"/>
          <w:highlight w:val="none"/>
          <w:lang w:eastAsia="zh-CN"/>
        </w:rPr>
        <w:t>响应文件</w:t>
      </w:r>
      <w:r>
        <w:rPr>
          <w:rFonts w:hint="eastAsia" w:ascii="宋体" w:hAnsi="宋体"/>
          <w:color w:val="auto"/>
          <w:sz w:val="24"/>
          <w:highlight w:val="none"/>
        </w:rPr>
        <w:t>及有关资料内容完整、真实和准确。</w:t>
      </w:r>
    </w:p>
    <w:p w14:paraId="08998926">
      <w:pPr>
        <w:spacing w:line="560" w:lineRule="exact"/>
        <w:ind w:firstLine="480" w:firstLineChars="200"/>
        <w:rPr>
          <w:rFonts w:hint="eastAsia" w:ascii="宋体" w:hAnsi="宋体"/>
          <w:color w:val="auto"/>
          <w:sz w:val="24"/>
          <w:highlight w:val="none"/>
        </w:rPr>
      </w:pPr>
      <w:r>
        <w:rPr>
          <w:rFonts w:hint="eastAsia" w:ascii="宋体" w:hAnsi="宋体"/>
          <w:color w:val="auto"/>
          <w:sz w:val="24"/>
          <w:highlight w:val="none"/>
        </w:rPr>
        <w:t xml:space="preserve">6. </w:t>
      </w:r>
      <w:r>
        <w:rPr>
          <w:rFonts w:hint="eastAsia" w:ascii="宋体" w:hAnsi="宋体"/>
          <w:color w:val="auto"/>
          <w:sz w:val="24"/>
          <w:highlight w:val="none"/>
          <w:u w:val="single"/>
        </w:rPr>
        <w:t xml:space="preserve">                               </w:t>
      </w:r>
      <w:r>
        <w:rPr>
          <w:rFonts w:hint="eastAsia" w:ascii="宋体" w:hAnsi="宋体"/>
          <w:color w:val="auto"/>
          <w:sz w:val="24"/>
          <w:highlight w:val="none"/>
        </w:rPr>
        <w:t>（其他补充说明）。</w:t>
      </w:r>
    </w:p>
    <w:p w14:paraId="0824B40F">
      <w:pPr>
        <w:spacing w:line="560" w:lineRule="exact"/>
        <w:ind w:firstLine="3360" w:firstLineChars="1400"/>
        <w:rPr>
          <w:rFonts w:hint="eastAsia" w:ascii="宋体" w:hAnsi="宋体"/>
          <w:color w:val="auto"/>
          <w:sz w:val="24"/>
          <w:highlight w:val="none"/>
        </w:rPr>
      </w:pPr>
    </w:p>
    <w:p w14:paraId="62785F75">
      <w:pPr>
        <w:spacing w:line="560" w:lineRule="exact"/>
        <w:ind w:firstLine="3360" w:firstLineChars="1400"/>
        <w:rPr>
          <w:rFonts w:hint="eastAsia" w:ascii="宋体" w:hAnsi="宋体"/>
          <w:color w:val="auto"/>
          <w:sz w:val="24"/>
          <w:highlight w:val="none"/>
        </w:rPr>
      </w:pPr>
      <w:r>
        <w:rPr>
          <w:rFonts w:hint="eastAsia" w:ascii="宋体" w:hAnsi="宋体"/>
          <w:color w:val="auto"/>
          <w:sz w:val="24"/>
          <w:highlight w:val="none"/>
          <w:lang w:val="en-US" w:eastAsia="zh-CN"/>
        </w:rPr>
        <w:t>响应</w:t>
      </w:r>
      <w:r>
        <w:rPr>
          <w:rFonts w:hint="eastAsia" w:ascii="宋体" w:hAnsi="宋体"/>
          <w:color w:val="auto"/>
          <w:sz w:val="24"/>
          <w:highlight w:val="none"/>
        </w:rPr>
        <w:t>人：</w:t>
      </w:r>
      <w:r>
        <w:rPr>
          <w:rFonts w:hint="eastAsia" w:ascii="宋体" w:hAnsi="宋体"/>
          <w:color w:val="auto"/>
          <w:sz w:val="24"/>
          <w:highlight w:val="none"/>
          <w:u w:val="single"/>
        </w:rPr>
        <w:t xml:space="preserve">                      </w:t>
      </w:r>
      <w:r>
        <w:rPr>
          <w:rFonts w:hint="eastAsia" w:ascii="宋体" w:hAnsi="宋体"/>
          <w:color w:val="auto"/>
          <w:sz w:val="24"/>
          <w:highlight w:val="none"/>
        </w:rPr>
        <w:t>（公章签章）</w:t>
      </w:r>
    </w:p>
    <w:p w14:paraId="12568A2F">
      <w:pPr>
        <w:spacing w:line="560" w:lineRule="exact"/>
        <w:ind w:right="560" w:firstLine="1920" w:firstLineChars="800"/>
        <w:jc w:val="left"/>
        <w:rPr>
          <w:rFonts w:hint="eastAsia" w:ascii="宋体" w:hAnsi="宋体"/>
          <w:color w:val="auto"/>
          <w:sz w:val="24"/>
          <w:highlight w:val="none"/>
        </w:rPr>
      </w:pPr>
      <w:r>
        <w:rPr>
          <w:rFonts w:hint="eastAsia" w:ascii="宋体" w:hAnsi="宋体"/>
          <w:color w:val="auto"/>
          <w:sz w:val="24"/>
          <w:highlight w:val="none"/>
        </w:rPr>
        <w:t>法定代表人或其委托代理人：</w:t>
      </w:r>
      <w:r>
        <w:rPr>
          <w:rFonts w:hint="eastAsia" w:ascii="宋体" w:hAnsi="宋体"/>
          <w:color w:val="auto"/>
          <w:sz w:val="24"/>
          <w:highlight w:val="none"/>
          <w:u w:val="single"/>
        </w:rPr>
        <w:t xml:space="preserve">              </w:t>
      </w:r>
      <w:r>
        <w:rPr>
          <w:rFonts w:hint="eastAsia" w:ascii="宋体" w:hAnsi="宋体"/>
          <w:color w:val="auto"/>
          <w:sz w:val="24"/>
          <w:highlight w:val="none"/>
        </w:rPr>
        <w:t>（电子签章）</w:t>
      </w:r>
    </w:p>
    <w:p w14:paraId="49E3A452">
      <w:pPr>
        <w:spacing w:line="560" w:lineRule="exact"/>
        <w:ind w:right="560" w:firstLine="4200" w:firstLineChars="1750"/>
        <w:rPr>
          <w:rFonts w:hint="eastAsia" w:ascii="宋体" w:hAnsi="宋体"/>
          <w:color w:val="auto"/>
          <w:sz w:val="24"/>
          <w:highlight w:val="none"/>
          <w:u w:val="single"/>
        </w:rPr>
      </w:pP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6557C213">
      <w:pPr>
        <w:spacing w:line="360" w:lineRule="auto"/>
        <w:ind w:firstLine="480" w:firstLineChars="200"/>
        <w:jc w:val="center"/>
        <w:rPr>
          <w:rFonts w:hint="eastAsia" w:ascii="宋体" w:hAnsi="宋体"/>
          <w:color w:val="auto"/>
          <w:sz w:val="24"/>
          <w:highlight w:val="none"/>
        </w:rPr>
      </w:pPr>
      <w:r>
        <w:rPr>
          <w:rFonts w:hint="eastAsia" w:ascii="宋体" w:hAnsi="宋体"/>
          <w:color w:val="auto"/>
          <w:sz w:val="24"/>
          <w:highlight w:val="none"/>
        </w:rPr>
        <w:br w:type="page"/>
      </w:r>
      <w:r>
        <w:rPr>
          <w:rFonts w:hint="eastAsia" w:ascii="宋体" w:hAnsi="宋体"/>
          <w:b/>
          <w:color w:val="auto"/>
          <w:sz w:val="24"/>
          <w:highlight w:val="none"/>
        </w:rPr>
        <w:t>（二）</w:t>
      </w:r>
      <w:r>
        <w:rPr>
          <w:rFonts w:hint="eastAsia" w:ascii="宋体" w:hAnsi="宋体"/>
          <w:b/>
          <w:color w:val="auto"/>
          <w:sz w:val="24"/>
          <w:highlight w:val="none"/>
          <w:lang w:val="en-US" w:eastAsia="zh-CN"/>
        </w:rPr>
        <w:t>磋商</w:t>
      </w:r>
      <w:r>
        <w:rPr>
          <w:rFonts w:hint="eastAsia" w:ascii="宋体" w:hAnsi="宋体"/>
          <w:b/>
          <w:color w:val="auto"/>
          <w:sz w:val="24"/>
          <w:highlight w:val="none"/>
        </w:rPr>
        <w:t>函附录</w:t>
      </w:r>
    </w:p>
    <w:tbl>
      <w:tblPr>
        <w:tblStyle w:val="12"/>
        <w:tblW w:w="8672" w:type="dxa"/>
        <w:jc w:val="center"/>
        <w:tblLayout w:type="fixed"/>
        <w:tblCellMar>
          <w:top w:w="0" w:type="dxa"/>
          <w:left w:w="108" w:type="dxa"/>
          <w:bottom w:w="0" w:type="dxa"/>
          <w:right w:w="108" w:type="dxa"/>
        </w:tblCellMar>
      </w:tblPr>
      <w:tblGrid>
        <w:gridCol w:w="1689"/>
        <w:gridCol w:w="2421"/>
        <w:gridCol w:w="1913"/>
        <w:gridCol w:w="2649"/>
      </w:tblGrid>
      <w:tr w14:paraId="5DBC1C60">
        <w:tblPrEx>
          <w:tblCellMar>
            <w:top w:w="0" w:type="dxa"/>
            <w:left w:w="108" w:type="dxa"/>
            <w:bottom w:w="0" w:type="dxa"/>
            <w:right w:w="108" w:type="dxa"/>
          </w:tblCellMar>
        </w:tblPrEx>
        <w:trPr>
          <w:cantSplit/>
          <w:trHeight w:val="759" w:hRule="atLeast"/>
          <w:jc w:val="center"/>
        </w:trPr>
        <w:tc>
          <w:tcPr>
            <w:tcW w:w="1689" w:type="dxa"/>
            <w:tcBorders>
              <w:top w:val="single" w:color="000000" w:sz="4" w:space="0"/>
              <w:left w:val="single" w:color="000000" w:sz="4" w:space="0"/>
              <w:bottom w:val="single" w:color="000000" w:sz="4" w:space="0"/>
              <w:right w:val="nil"/>
            </w:tcBorders>
            <w:vAlign w:val="center"/>
          </w:tcPr>
          <w:p w14:paraId="5FCE986F">
            <w:pPr>
              <w:spacing w:line="360" w:lineRule="auto"/>
              <w:jc w:val="center"/>
              <w:rPr>
                <w:rFonts w:hint="eastAsia" w:ascii="宋体" w:hAnsi="宋体"/>
                <w:color w:val="auto"/>
                <w:highlight w:val="none"/>
              </w:rPr>
            </w:pPr>
            <w:r>
              <w:rPr>
                <w:rFonts w:hint="eastAsia" w:ascii="宋体" w:hAnsi="宋体"/>
                <w:color w:val="auto"/>
                <w:highlight w:val="none"/>
              </w:rPr>
              <w:t>项目名称</w:t>
            </w:r>
          </w:p>
        </w:tc>
        <w:tc>
          <w:tcPr>
            <w:tcW w:w="6983" w:type="dxa"/>
            <w:gridSpan w:val="3"/>
            <w:tcBorders>
              <w:top w:val="single" w:color="000000" w:sz="4" w:space="0"/>
              <w:left w:val="single" w:color="000000" w:sz="4" w:space="0"/>
              <w:bottom w:val="single" w:color="000000" w:sz="4" w:space="0"/>
              <w:right w:val="single" w:color="000000" w:sz="4" w:space="0"/>
            </w:tcBorders>
            <w:vAlign w:val="center"/>
          </w:tcPr>
          <w:p w14:paraId="76B45635">
            <w:pPr>
              <w:spacing w:line="360" w:lineRule="auto"/>
              <w:jc w:val="center"/>
              <w:rPr>
                <w:rFonts w:ascii="宋体" w:hAnsi="宋体"/>
                <w:color w:val="auto"/>
                <w:highlight w:val="none"/>
              </w:rPr>
            </w:pPr>
          </w:p>
        </w:tc>
      </w:tr>
      <w:tr w14:paraId="292CEDAD">
        <w:tblPrEx>
          <w:tblCellMar>
            <w:top w:w="0" w:type="dxa"/>
            <w:left w:w="108" w:type="dxa"/>
            <w:bottom w:w="0" w:type="dxa"/>
            <w:right w:w="108" w:type="dxa"/>
          </w:tblCellMar>
        </w:tblPrEx>
        <w:trPr>
          <w:cantSplit/>
          <w:trHeight w:val="804" w:hRule="atLeast"/>
          <w:jc w:val="center"/>
        </w:trPr>
        <w:tc>
          <w:tcPr>
            <w:tcW w:w="1689" w:type="dxa"/>
            <w:tcBorders>
              <w:top w:val="single" w:color="000000" w:sz="4" w:space="0"/>
              <w:left w:val="single" w:color="000000" w:sz="4" w:space="0"/>
              <w:bottom w:val="single" w:color="000000" w:sz="4" w:space="0"/>
              <w:right w:val="nil"/>
            </w:tcBorders>
            <w:vAlign w:val="center"/>
          </w:tcPr>
          <w:p w14:paraId="3F221C1F">
            <w:pPr>
              <w:spacing w:line="360" w:lineRule="auto"/>
              <w:jc w:val="center"/>
              <w:rPr>
                <w:rFonts w:hint="eastAsia" w:ascii="宋体" w:hAnsi="宋体" w:eastAsia="宋体"/>
                <w:color w:val="auto"/>
                <w:highlight w:val="none"/>
                <w:lang w:eastAsia="zh-CN"/>
              </w:rPr>
            </w:pPr>
            <w:r>
              <w:rPr>
                <w:rFonts w:hint="eastAsia" w:ascii="宋体" w:hAnsi="宋体"/>
                <w:color w:val="auto"/>
                <w:highlight w:val="none"/>
                <w:lang w:eastAsia="zh-CN"/>
              </w:rPr>
              <w:t>供应商</w:t>
            </w:r>
          </w:p>
        </w:tc>
        <w:tc>
          <w:tcPr>
            <w:tcW w:w="6983" w:type="dxa"/>
            <w:gridSpan w:val="3"/>
            <w:tcBorders>
              <w:top w:val="single" w:color="000000" w:sz="4" w:space="0"/>
              <w:left w:val="single" w:color="000000" w:sz="4" w:space="0"/>
              <w:bottom w:val="single" w:color="000000" w:sz="4" w:space="0"/>
              <w:right w:val="single" w:color="000000" w:sz="4" w:space="0"/>
            </w:tcBorders>
            <w:vAlign w:val="center"/>
          </w:tcPr>
          <w:p w14:paraId="6A83B924">
            <w:pPr>
              <w:spacing w:line="360" w:lineRule="auto"/>
              <w:jc w:val="center"/>
              <w:rPr>
                <w:rFonts w:ascii="宋体" w:hAnsi="宋体"/>
                <w:color w:val="auto"/>
                <w:highlight w:val="none"/>
              </w:rPr>
            </w:pPr>
          </w:p>
        </w:tc>
      </w:tr>
      <w:tr w14:paraId="1ACE4A6B">
        <w:tblPrEx>
          <w:tblCellMar>
            <w:top w:w="0" w:type="dxa"/>
            <w:left w:w="108" w:type="dxa"/>
            <w:bottom w:w="0" w:type="dxa"/>
            <w:right w:w="108" w:type="dxa"/>
          </w:tblCellMar>
        </w:tblPrEx>
        <w:trPr>
          <w:cantSplit/>
          <w:trHeight w:val="702" w:hRule="atLeast"/>
          <w:jc w:val="center"/>
        </w:trPr>
        <w:tc>
          <w:tcPr>
            <w:tcW w:w="1689" w:type="dxa"/>
            <w:tcBorders>
              <w:top w:val="single" w:color="000000" w:sz="4" w:space="0"/>
              <w:left w:val="single" w:color="000000" w:sz="4" w:space="0"/>
              <w:bottom w:val="single" w:color="000000" w:sz="4" w:space="0"/>
              <w:right w:val="nil"/>
            </w:tcBorders>
            <w:vAlign w:val="center"/>
          </w:tcPr>
          <w:p w14:paraId="2B1E6D45">
            <w:pPr>
              <w:spacing w:line="360" w:lineRule="auto"/>
              <w:jc w:val="center"/>
              <w:rPr>
                <w:rFonts w:hint="eastAsia" w:ascii="宋体" w:hAnsi="宋体"/>
                <w:color w:val="auto"/>
                <w:highlight w:val="none"/>
              </w:rPr>
            </w:pPr>
            <w:r>
              <w:rPr>
                <w:rFonts w:hint="eastAsia" w:ascii="宋体" w:hAnsi="宋体"/>
                <w:color w:val="auto"/>
                <w:highlight w:val="none"/>
              </w:rPr>
              <w:t>项目经理</w:t>
            </w:r>
          </w:p>
        </w:tc>
        <w:tc>
          <w:tcPr>
            <w:tcW w:w="2421" w:type="dxa"/>
            <w:tcBorders>
              <w:top w:val="single" w:color="000000" w:sz="4" w:space="0"/>
              <w:left w:val="single" w:color="000000" w:sz="4" w:space="0"/>
              <w:bottom w:val="single" w:color="000000" w:sz="4" w:space="0"/>
              <w:right w:val="nil"/>
            </w:tcBorders>
            <w:vAlign w:val="center"/>
          </w:tcPr>
          <w:p w14:paraId="0B9314BA">
            <w:pPr>
              <w:spacing w:line="360" w:lineRule="auto"/>
              <w:jc w:val="center"/>
              <w:rPr>
                <w:rFonts w:ascii="宋体" w:hAnsi="宋体"/>
                <w:color w:val="auto"/>
                <w:highlight w:val="none"/>
              </w:rPr>
            </w:pPr>
          </w:p>
        </w:tc>
        <w:tc>
          <w:tcPr>
            <w:tcW w:w="1913" w:type="dxa"/>
            <w:tcBorders>
              <w:top w:val="single" w:color="000000" w:sz="4" w:space="0"/>
              <w:left w:val="single" w:color="000000" w:sz="4" w:space="0"/>
              <w:bottom w:val="single" w:color="000000" w:sz="4" w:space="0"/>
              <w:right w:val="nil"/>
            </w:tcBorders>
            <w:vAlign w:val="center"/>
          </w:tcPr>
          <w:p w14:paraId="113C5F3A">
            <w:pPr>
              <w:spacing w:line="360" w:lineRule="auto"/>
              <w:ind w:firstLine="210"/>
              <w:jc w:val="center"/>
              <w:rPr>
                <w:rFonts w:hint="eastAsia" w:ascii="宋体" w:hAnsi="宋体"/>
                <w:color w:val="auto"/>
                <w:highlight w:val="none"/>
              </w:rPr>
            </w:pPr>
            <w:r>
              <w:rPr>
                <w:rFonts w:hint="eastAsia" w:ascii="宋体" w:hAnsi="宋体"/>
                <w:color w:val="auto"/>
                <w:highlight w:val="none"/>
              </w:rPr>
              <w:t>注册编号</w:t>
            </w:r>
          </w:p>
        </w:tc>
        <w:tc>
          <w:tcPr>
            <w:tcW w:w="2649" w:type="dxa"/>
            <w:tcBorders>
              <w:top w:val="single" w:color="000000" w:sz="4" w:space="0"/>
              <w:left w:val="single" w:color="000000" w:sz="4" w:space="0"/>
              <w:bottom w:val="single" w:color="000000" w:sz="4" w:space="0"/>
              <w:right w:val="single" w:color="000000" w:sz="4" w:space="0"/>
            </w:tcBorders>
            <w:vAlign w:val="center"/>
          </w:tcPr>
          <w:p w14:paraId="57B9A465">
            <w:pPr>
              <w:spacing w:line="360" w:lineRule="auto"/>
              <w:jc w:val="center"/>
              <w:rPr>
                <w:rFonts w:ascii="宋体" w:hAnsi="宋体"/>
                <w:color w:val="auto"/>
                <w:highlight w:val="none"/>
              </w:rPr>
            </w:pPr>
          </w:p>
        </w:tc>
      </w:tr>
      <w:tr w14:paraId="453A7512">
        <w:tblPrEx>
          <w:tblCellMar>
            <w:top w:w="0" w:type="dxa"/>
            <w:left w:w="108" w:type="dxa"/>
            <w:bottom w:w="0" w:type="dxa"/>
            <w:right w:w="108" w:type="dxa"/>
          </w:tblCellMar>
        </w:tblPrEx>
        <w:trPr>
          <w:cantSplit/>
          <w:trHeight w:val="702" w:hRule="atLeast"/>
          <w:jc w:val="center"/>
        </w:trPr>
        <w:tc>
          <w:tcPr>
            <w:tcW w:w="4110" w:type="dxa"/>
            <w:gridSpan w:val="2"/>
            <w:tcBorders>
              <w:top w:val="single" w:color="000000" w:sz="4" w:space="0"/>
              <w:left w:val="single" w:color="000000" w:sz="4" w:space="0"/>
              <w:bottom w:val="single" w:color="000000" w:sz="4" w:space="0"/>
              <w:right w:val="nil"/>
            </w:tcBorders>
            <w:vAlign w:val="center"/>
          </w:tcPr>
          <w:p w14:paraId="03F07EAA">
            <w:pPr>
              <w:spacing w:line="360" w:lineRule="auto"/>
              <w:jc w:val="center"/>
              <w:rPr>
                <w:rFonts w:hint="eastAsia" w:ascii="宋体" w:hAnsi="宋体"/>
                <w:color w:val="auto"/>
                <w:highlight w:val="none"/>
              </w:rPr>
            </w:pPr>
            <w:r>
              <w:rPr>
                <w:rFonts w:hint="eastAsia" w:ascii="宋体" w:hAnsi="宋体"/>
                <w:color w:val="auto"/>
                <w:highlight w:val="none"/>
                <w:lang w:val="en-US" w:eastAsia="zh-CN"/>
              </w:rPr>
              <w:t>响应</w:t>
            </w:r>
            <w:r>
              <w:rPr>
                <w:rFonts w:hint="eastAsia" w:ascii="宋体" w:hAnsi="宋体"/>
                <w:color w:val="auto"/>
                <w:highlight w:val="none"/>
              </w:rPr>
              <w:t>总报价</w:t>
            </w:r>
          </w:p>
        </w:tc>
        <w:tc>
          <w:tcPr>
            <w:tcW w:w="4562" w:type="dxa"/>
            <w:gridSpan w:val="2"/>
            <w:tcBorders>
              <w:top w:val="single" w:color="000000" w:sz="4" w:space="0"/>
              <w:left w:val="single" w:color="000000" w:sz="4" w:space="0"/>
              <w:bottom w:val="single" w:color="000000" w:sz="4" w:space="0"/>
              <w:right w:val="single" w:color="000000" w:sz="4" w:space="0"/>
            </w:tcBorders>
            <w:vAlign w:val="center"/>
          </w:tcPr>
          <w:p w14:paraId="341822BB">
            <w:pPr>
              <w:spacing w:line="360" w:lineRule="auto"/>
              <w:jc w:val="center"/>
              <w:rPr>
                <w:rFonts w:hint="eastAsia" w:ascii="宋体" w:hAnsi="宋体"/>
                <w:color w:val="auto"/>
                <w:highlight w:val="none"/>
              </w:rPr>
            </w:pPr>
            <w:r>
              <w:rPr>
                <w:rFonts w:hint="eastAsia" w:ascii="宋体" w:hAnsi="宋体"/>
                <w:color w:val="auto"/>
                <w:highlight w:val="none"/>
              </w:rPr>
              <w:t>大写：          ；小写：元</w:t>
            </w:r>
          </w:p>
        </w:tc>
      </w:tr>
      <w:tr w14:paraId="01AA97BB">
        <w:tblPrEx>
          <w:tblCellMar>
            <w:top w:w="0" w:type="dxa"/>
            <w:left w:w="108" w:type="dxa"/>
            <w:bottom w:w="0" w:type="dxa"/>
            <w:right w:w="108" w:type="dxa"/>
          </w:tblCellMar>
        </w:tblPrEx>
        <w:trPr>
          <w:cantSplit/>
          <w:trHeight w:val="702" w:hRule="atLeast"/>
          <w:jc w:val="center"/>
        </w:trPr>
        <w:tc>
          <w:tcPr>
            <w:tcW w:w="4110" w:type="dxa"/>
            <w:gridSpan w:val="2"/>
            <w:tcBorders>
              <w:top w:val="single" w:color="000000" w:sz="4" w:space="0"/>
              <w:left w:val="single" w:color="000000" w:sz="4" w:space="0"/>
              <w:bottom w:val="single" w:color="000000" w:sz="4" w:space="0"/>
              <w:right w:val="nil"/>
            </w:tcBorders>
            <w:vAlign w:val="center"/>
          </w:tcPr>
          <w:p w14:paraId="37B364A0">
            <w:pPr>
              <w:spacing w:line="360" w:lineRule="auto"/>
              <w:jc w:val="center"/>
              <w:rPr>
                <w:rFonts w:hint="eastAsia" w:ascii="宋体" w:hAnsi="宋体"/>
                <w:color w:val="auto"/>
                <w:highlight w:val="none"/>
              </w:rPr>
            </w:pPr>
            <w:r>
              <w:rPr>
                <w:rFonts w:hint="eastAsia" w:ascii="宋体" w:hAnsi="宋体"/>
                <w:color w:val="auto"/>
                <w:highlight w:val="none"/>
              </w:rPr>
              <w:t>质量要求</w:t>
            </w:r>
          </w:p>
        </w:tc>
        <w:tc>
          <w:tcPr>
            <w:tcW w:w="4562" w:type="dxa"/>
            <w:gridSpan w:val="2"/>
            <w:tcBorders>
              <w:top w:val="single" w:color="000000" w:sz="4" w:space="0"/>
              <w:left w:val="single" w:color="000000" w:sz="4" w:space="0"/>
              <w:bottom w:val="single" w:color="000000" w:sz="4" w:space="0"/>
              <w:right w:val="single" w:color="000000" w:sz="4" w:space="0"/>
            </w:tcBorders>
            <w:vAlign w:val="center"/>
          </w:tcPr>
          <w:p w14:paraId="770C7D29">
            <w:pPr>
              <w:spacing w:line="360" w:lineRule="auto"/>
              <w:jc w:val="center"/>
              <w:rPr>
                <w:rFonts w:ascii="宋体" w:hAnsi="宋体"/>
                <w:color w:val="auto"/>
                <w:highlight w:val="none"/>
              </w:rPr>
            </w:pPr>
          </w:p>
        </w:tc>
      </w:tr>
      <w:tr w14:paraId="35469FA7">
        <w:tblPrEx>
          <w:tblCellMar>
            <w:top w:w="0" w:type="dxa"/>
            <w:left w:w="108" w:type="dxa"/>
            <w:bottom w:w="0" w:type="dxa"/>
            <w:right w:w="108" w:type="dxa"/>
          </w:tblCellMar>
        </w:tblPrEx>
        <w:trPr>
          <w:cantSplit/>
          <w:trHeight w:val="740" w:hRule="atLeast"/>
          <w:jc w:val="center"/>
        </w:trPr>
        <w:tc>
          <w:tcPr>
            <w:tcW w:w="4110" w:type="dxa"/>
            <w:gridSpan w:val="2"/>
            <w:tcBorders>
              <w:top w:val="single" w:color="000000" w:sz="4" w:space="0"/>
              <w:left w:val="single" w:color="000000" w:sz="4" w:space="0"/>
              <w:bottom w:val="single" w:color="000000" w:sz="4" w:space="0"/>
              <w:right w:val="nil"/>
            </w:tcBorders>
            <w:vAlign w:val="center"/>
          </w:tcPr>
          <w:p w14:paraId="492A9C28">
            <w:pPr>
              <w:spacing w:line="360" w:lineRule="auto"/>
              <w:jc w:val="center"/>
              <w:rPr>
                <w:rFonts w:hint="eastAsia" w:ascii="宋体" w:hAnsi="宋体"/>
                <w:color w:val="auto"/>
                <w:highlight w:val="none"/>
              </w:rPr>
            </w:pPr>
            <w:r>
              <w:rPr>
                <w:rFonts w:hint="eastAsia" w:ascii="宋体" w:hAnsi="宋体"/>
                <w:color w:val="auto"/>
                <w:highlight w:val="none"/>
              </w:rPr>
              <w:t>计划工期</w:t>
            </w:r>
          </w:p>
        </w:tc>
        <w:tc>
          <w:tcPr>
            <w:tcW w:w="4562" w:type="dxa"/>
            <w:gridSpan w:val="2"/>
            <w:tcBorders>
              <w:top w:val="single" w:color="000000" w:sz="4" w:space="0"/>
              <w:left w:val="single" w:color="000000" w:sz="4" w:space="0"/>
              <w:bottom w:val="single" w:color="000000" w:sz="4" w:space="0"/>
              <w:right w:val="single" w:color="000000" w:sz="4" w:space="0"/>
            </w:tcBorders>
            <w:vAlign w:val="center"/>
          </w:tcPr>
          <w:p w14:paraId="77881628">
            <w:pPr>
              <w:spacing w:line="360" w:lineRule="auto"/>
              <w:ind w:right="334"/>
              <w:jc w:val="center"/>
              <w:rPr>
                <w:rFonts w:ascii="宋体" w:hAnsi="宋体"/>
                <w:color w:val="auto"/>
                <w:highlight w:val="none"/>
              </w:rPr>
            </w:pPr>
          </w:p>
        </w:tc>
      </w:tr>
      <w:tr w14:paraId="08FEC668">
        <w:tblPrEx>
          <w:tblCellMar>
            <w:top w:w="0" w:type="dxa"/>
            <w:left w:w="108" w:type="dxa"/>
            <w:bottom w:w="0" w:type="dxa"/>
            <w:right w:w="108" w:type="dxa"/>
          </w:tblCellMar>
        </w:tblPrEx>
        <w:trPr>
          <w:cantSplit/>
          <w:trHeight w:val="753" w:hRule="atLeast"/>
          <w:jc w:val="center"/>
        </w:trPr>
        <w:tc>
          <w:tcPr>
            <w:tcW w:w="4110" w:type="dxa"/>
            <w:gridSpan w:val="2"/>
            <w:tcBorders>
              <w:top w:val="single" w:color="000000" w:sz="4" w:space="0"/>
              <w:left w:val="single" w:color="000000" w:sz="4" w:space="0"/>
              <w:bottom w:val="single" w:color="000000" w:sz="4" w:space="0"/>
              <w:right w:val="nil"/>
            </w:tcBorders>
            <w:vAlign w:val="center"/>
          </w:tcPr>
          <w:p w14:paraId="3EA26BE5">
            <w:pPr>
              <w:spacing w:line="360" w:lineRule="auto"/>
              <w:jc w:val="center"/>
              <w:rPr>
                <w:rFonts w:hint="eastAsia" w:ascii="宋体" w:hAnsi="宋体" w:eastAsia="宋体"/>
                <w:color w:val="auto"/>
                <w:highlight w:val="none"/>
                <w:lang w:eastAsia="zh-CN"/>
              </w:rPr>
            </w:pPr>
            <w:r>
              <w:rPr>
                <w:rFonts w:hint="eastAsia" w:ascii="宋体" w:hAnsi="宋体"/>
                <w:color w:val="auto"/>
                <w:highlight w:val="none"/>
                <w:lang w:eastAsia="zh-CN"/>
              </w:rPr>
              <w:t>磋商有效期</w:t>
            </w:r>
          </w:p>
        </w:tc>
        <w:tc>
          <w:tcPr>
            <w:tcW w:w="4562" w:type="dxa"/>
            <w:gridSpan w:val="2"/>
            <w:tcBorders>
              <w:top w:val="single" w:color="000000" w:sz="4" w:space="0"/>
              <w:left w:val="single" w:color="000000" w:sz="4" w:space="0"/>
              <w:bottom w:val="single" w:color="000000" w:sz="4" w:space="0"/>
              <w:right w:val="single" w:color="000000" w:sz="4" w:space="0"/>
            </w:tcBorders>
            <w:vAlign w:val="center"/>
          </w:tcPr>
          <w:p w14:paraId="5B010DB7">
            <w:pPr>
              <w:spacing w:line="360" w:lineRule="auto"/>
              <w:ind w:right="334"/>
              <w:jc w:val="center"/>
              <w:rPr>
                <w:rFonts w:ascii="宋体" w:hAnsi="宋体"/>
                <w:color w:val="auto"/>
                <w:highlight w:val="none"/>
              </w:rPr>
            </w:pPr>
          </w:p>
        </w:tc>
      </w:tr>
      <w:tr w14:paraId="0CFF07E9">
        <w:tblPrEx>
          <w:tblCellMar>
            <w:top w:w="0" w:type="dxa"/>
            <w:left w:w="108" w:type="dxa"/>
            <w:bottom w:w="0" w:type="dxa"/>
            <w:right w:w="108" w:type="dxa"/>
          </w:tblCellMar>
        </w:tblPrEx>
        <w:trPr>
          <w:cantSplit/>
          <w:trHeight w:val="779" w:hRule="atLeast"/>
          <w:jc w:val="center"/>
        </w:trPr>
        <w:tc>
          <w:tcPr>
            <w:tcW w:w="4110" w:type="dxa"/>
            <w:gridSpan w:val="2"/>
            <w:tcBorders>
              <w:top w:val="single" w:color="000000" w:sz="4" w:space="0"/>
              <w:left w:val="single" w:color="000000" w:sz="4" w:space="0"/>
              <w:bottom w:val="single" w:color="000000" w:sz="4" w:space="0"/>
              <w:right w:val="nil"/>
            </w:tcBorders>
            <w:vAlign w:val="center"/>
          </w:tcPr>
          <w:p w14:paraId="6E05E260">
            <w:pPr>
              <w:spacing w:line="360" w:lineRule="auto"/>
              <w:jc w:val="center"/>
              <w:rPr>
                <w:rFonts w:hint="eastAsia" w:ascii="宋体" w:hAnsi="宋体" w:eastAsia="宋体"/>
                <w:color w:val="auto"/>
                <w:highlight w:val="none"/>
                <w:lang w:eastAsia="zh-CN"/>
              </w:rPr>
            </w:pPr>
            <w:r>
              <w:rPr>
                <w:rFonts w:hint="eastAsia" w:ascii="宋体" w:hAnsi="宋体"/>
                <w:color w:val="auto"/>
                <w:highlight w:val="none"/>
                <w:lang w:eastAsia="zh-CN"/>
              </w:rPr>
              <w:t>磋商范围</w:t>
            </w:r>
          </w:p>
        </w:tc>
        <w:tc>
          <w:tcPr>
            <w:tcW w:w="4562" w:type="dxa"/>
            <w:gridSpan w:val="2"/>
            <w:tcBorders>
              <w:top w:val="single" w:color="000000" w:sz="4" w:space="0"/>
              <w:left w:val="single" w:color="000000" w:sz="4" w:space="0"/>
              <w:bottom w:val="single" w:color="000000" w:sz="4" w:space="0"/>
              <w:right w:val="single" w:color="000000" w:sz="4" w:space="0"/>
            </w:tcBorders>
            <w:vAlign w:val="center"/>
          </w:tcPr>
          <w:p w14:paraId="4A88C543">
            <w:pPr>
              <w:spacing w:line="360" w:lineRule="auto"/>
              <w:jc w:val="center"/>
              <w:rPr>
                <w:rFonts w:ascii="宋体" w:hAnsi="宋体"/>
                <w:color w:val="auto"/>
                <w:highlight w:val="none"/>
              </w:rPr>
            </w:pPr>
          </w:p>
        </w:tc>
      </w:tr>
      <w:tr w14:paraId="38017395">
        <w:tblPrEx>
          <w:tblCellMar>
            <w:top w:w="0" w:type="dxa"/>
            <w:left w:w="108" w:type="dxa"/>
            <w:bottom w:w="0" w:type="dxa"/>
            <w:right w:w="108" w:type="dxa"/>
          </w:tblCellMar>
        </w:tblPrEx>
        <w:trPr>
          <w:cantSplit/>
          <w:trHeight w:val="1837" w:hRule="atLeast"/>
          <w:jc w:val="center"/>
        </w:trPr>
        <w:tc>
          <w:tcPr>
            <w:tcW w:w="4110" w:type="dxa"/>
            <w:gridSpan w:val="2"/>
            <w:tcBorders>
              <w:top w:val="single" w:color="000000" w:sz="4" w:space="0"/>
              <w:left w:val="single" w:color="000000" w:sz="4" w:space="0"/>
              <w:bottom w:val="single" w:color="000000" w:sz="4" w:space="0"/>
              <w:right w:val="nil"/>
            </w:tcBorders>
            <w:vAlign w:val="center"/>
          </w:tcPr>
          <w:p w14:paraId="51316792">
            <w:pPr>
              <w:spacing w:line="360" w:lineRule="auto"/>
              <w:jc w:val="center"/>
              <w:rPr>
                <w:rFonts w:hint="eastAsia"/>
                <w:b w:val="0"/>
                <w:bCs/>
                <w:color w:val="auto"/>
                <w:highlight w:val="none"/>
              </w:rPr>
            </w:pPr>
            <w:r>
              <w:rPr>
                <w:rFonts w:hint="eastAsia"/>
                <w:b w:val="0"/>
                <w:bCs/>
                <w:color w:val="auto"/>
                <w:highlight w:val="none"/>
              </w:rPr>
              <w:t>农民工工资保障金承诺</w:t>
            </w:r>
          </w:p>
        </w:tc>
        <w:tc>
          <w:tcPr>
            <w:tcW w:w="4562" w:type="dxa"/>
            <w:gridSpan w:val="2"/>
            <w:tcBorders>
              <w:top w:val="single" w:color="000000" w:sz="4" w:space="0"/>
              <w:left w:val="single" w:color="000000" w:sz="4" w:space="0"/>
              <w:bottom w:val="single" w:color="000000" w:sz="4" w:space="0"/>
              <w:right w:val="single" w:color="000000" w:sz="4" w:space="0"/>
            </w:tcBorders>
            <w:vAlign w:val="center"/>
          </w:tcPr>
          <w:p w14:paraId="639DBD2B">
            <w:pPr>
              <w:spacing w:line="360" w:lineRule="auto"/>
              <w:jc w:val="center"/>
              <w:rPr>
                <w:rFonts w:hint="eastAsia"/>
                <w:b w:val="0"/>
                <w:bCs/>
                <w:color w:val="auto"/>
                <w:highlight w:val="none"/>
              </w:rPr>
            </w:pPr>
            <w:r>
              <w:rPr>
                <w:rFonts w:hint="eastAsia"/>
                <w:b w:val="0"/>
                <w:bCs/>
                <w:color w:val="auto"/>
                <w:highlight w:val="none"/>
              </w:rPr>
              <w:t>中标后能够及时、足额存入农民工工资保障金或工资保函，保障金为中标价的2%。一旦其承包的建筑工程项目中出现拖欠农民工工资情况的，可由建设行政主管部门从农民工工资保障金中先予划支。</w:t>
            </w:r>
          </w:p>
        </w:tc>
      </w:tr>
    </w:tbl>
    <w:p w14:paraId="18B2BE25">
      <w:pPr>
        <w:spacing w:line="360" w:lineRule="auto"/>
        <w:ind w:firstLine="480" w:firstLineChars="200"/>
        <w:jc w:val="right"/>
        <w:rPr>
          <w:rFonts w:hint="eastAsia" w:ascii="宋体" w:hAnsi="宋体"/>
          <w:color w:val="auto"/>
          <w:sz w:val="24"/>
          <w:highlight w:val="none"/>
        </w:rPr>
      </w:pPr>
      <w:r>
        <w:rPr>
          <w:rFonts w:hint="eastAsia" w:ascii="宋体" w:hAnsi="宋体"/>
          <w:color w:val="auto"/>
          <w:sz w:val="24"/>
          <w:highlight w:val="none"/>
        </w:rPr>
        <w:t xml:space="preserve">                                      </w:t>
      </w:r>
    </w:p>
    <w:p w14:paraId="2636CC98">
      <w:pPr>
        <w:spacing w:line="360" w:lineRule="auto"/>
        <w:ind w:firstLine="480" w:firstLineChars="200"/>
        <w:jc w:val="center"/>
        <w:rPr>
          <w:rFonts w:hint="eastAsia" w:ascii="宋体" w:hAnsi="宋体"/>
          <w:color w:val="auto"/>
          <w:sz w:val="24"/>
          <w:highlight w:val="none"/>
          <w:lang w:val="en-US" w:eastAsia="zh-CN"/>
        </w:rPr>
      </w:pPr>
      <w:r>
        <w:rPr>
          <w:rFonts w:hint="eastAsia" w:ascii="宋体" w:hAnsi="宋体"/>
          <w:color w:val="auto"/>
          <w:sz w:val="24"/>
          <w:highlight w:val="none"/>
          <w:lang w:val="en-US" w:eastAsia="zh-CN"/>
        </w:rPr>
        <w:t xml:space="preserve">                     供应商</w:t>
      </w:r>
      <w:r>
        <w:rPr>
          <w:rFonts w:hint="eastAsia" w:ascii="宋体" w:hAnsi="宋体"/>
          <w:color w:val="auto"/>
          <w:sz w:val="24"/>
          <w:highlight w:val="none"/>
        </w:rPr>
        <w:t xml:space="preserve">：（公章签章） </w:t>
      </w:r>
    </w:p>
    <w:p w14:paraId="4EE81119">
      <w:pPr>
        <w:spacing w:line="360" w:lineRule="auto"/>
        <w:ind w:firstLine="182" w:firstLineChars="76"/>
        <w:jc w:val="center"/>
        <w:rPr>
          <w:rFonts w:hint="eastAsia" w:ascii="宋体" w:hAnsi="宋体"/>
          <w:color w:val="auto"/>
          <w:sz w:val="24"/>
          <w:highlight w:val="none"/>
        </w:rPr>
      </w:pPr>
      <w:r>
        <w:rPr>
          <w:rFonts w:hint="eastAsia" w:ascii="宋体" w:hAnsi="宋体"/>
          <w:color w:val="auto"/>
          <w:sz w:val="24"/>
          <w:highlight w:val="none"/>
        </w:rPr>
        <w:t xml:space="preserve">                                   </w:t>
      </w:r>
      <w:r>
        <w:rPr>
          <w:rFonts w:ascii="宋体" w:hAnsi="宋体"/>
          <w:color w:val="auto"/>
          <w:sz w:val="24"/>
          <w:highlight w:val="none"/>
        </w:rPr>
        <w:t xml:space="preserve"> </w:t>
      </w:r>
      <w:r>
        <w:rPr>
          <w:rFonts w:hint="eastAsia" w:ascii="宋体" w:hAnsi="宋体"/>
          <w:color w:val="auto"/>
          <w:sz w:val="24"/>
          <w:highlight w:val="none"/>
        </w:rPr>
        <w:t xml:space="preserve">法人代表或授权代理人：（电子签章）                   </w:t>
      </w:r>
    </w:p>
    <w:p w14:paraId="17610DD8">
      <w:pPr>
        <w:spacing w:line="360" w:lineRule="auto"/>
        <w:ind w:firstLine="182" w:firstLineChars="76"/>
        <w:jc w:val="center"/>
        <w:rPr>
          <w:rFonts w:hint="eastAsia"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lang w:val="en-US" w:eastAsia="zh-CN"/>
        </w:rPr>
        <w:t xml:space="preserve">     </w:t>
      </w:r>
      <w:r>
        <w:rPr>
          <w:rFonts w:hint="eastAsia" w:ascii="宋体" w:hAnsi="宋体"/>
          <w:color w:val="auto"/>
          <w:sz w:val="24"/>
          <w:highlight w:val="none"/>
        </w:rPr>
        <w:t xml:space="preserve">日   期：   年  月  日              </w:t>
      </w:r>
    </w:p>
    <w:p w14:paraId="2C6C79CA">
      <w:pPr>
        <w:ind w:left="720"/>
        <w:jc w:val="center"/>
        <w:outlineLvl w:val="0"/>
        <w:rPr>
          <w:rFonts w:hint="eastAsia" w:ascii="宋体" w:hAnsi="宋体"/>
          <w:b/>
          <w:color w:val="auto"/>
          <w:sz w:val="24"/>
          <w:highlight w:val="none"/>
        </w:rPr>
      </w:pPr>
      <w:bookmarkStart w:id="247" w:name="_Toc105654878"/>
      <w:bookmarkStart w:id="248" w:name="_Toc489602192"/>
      <w:bookmarkStart w:id="249" w:name="_Toc12100"/>
      <w:bookmarkStart w:id="250" w:name="_Toc5989"/>
      <w:bookmarkStart w:id="251" w:name="_Toc104558767"/>
      <w:bookmarkStart w:id="252" w:name="_Toc463691050"/>
      <w:bookmarkStart w:id="253" w:name="_Toc15487"/>
    </w:p>
    <w:p w14:paraId="5DCA1E1C">
      <w:pPr>
        <w:ind w:left="720"/>
        <w:jc w:val="center"/>
        <w:outlineLvl w:val="0"/>
        <w:rPr>
          <w:rFonts w:hint="eastAsia" w:ascii="宋体" w:hAnsi="宋体"/>
          <w:b/>
          <w:color w:val="auto"/>
          <w:sz w:val="24"/>
          <w:highlight w:val="none"/>
        </w:rPr>
      </w:pPr>
    </w:p>
    <w:p w14:paraId="40C409A3">
      <w:pPr>
        <w:ind w:left="720"/>
        <w:jc w:val="center"/>
        <w:outlineLvl w:val="0"/>
        <w:rPr>
          <w:rFonts w:hint="eastAsia" w:ascii="宋体" w:hAnsi="宋体"/>
          <w:b/>
          <w:color w:val="auto"/>
          <w:sz w:val="24"/>
          <w:highlight w:val="none"/>
        </w:rPr>
      </w:pPr>
    </w:p>
    <w:p w14:paraId="5D7FB4A5">
      <w:pPr>
        <w:jc w:val="both"/>
        <w:outlineLvl w:val="0"/>
        <w:rPr>
          <w:rFonts w:hint="eastAsia" w:ascii="宋体" w:hAnsi="宋体"/>
          <w:b/>
          <w:color w:val="auto"/>
          <w:sz w:val="24"/>
          <w:highlight w:val="none"/>
        </w:rPr>
      </w:pPr>
    </w:p>
    <w:bookmarkEnd w:id="247"/>
    <w:bookmarkEnd w:id="248"/>
    <w:bookmarkEnd w:id="249"/>
    <w:bookmarkEnd w:id="250"/>
    <w:bookmarkEnd w:id="251"/>
    <w:bookmarkEnd w:id="252"/>
    <w:bookmarkEnd w:id="253"/>
    <w:p w14:paraId="1D5260E4">
      <w:pPr>
        <w:ind w:left="720"/>
        <w:jc w:val="center"/>
        <w:outlineLvl w:val="0"/>
        <w:rPr>
          <w:rFonts w:hint="eastAsia" w:ascii="宋体" w:hAnsi="宋体"/>
          <w:b/>
          <w:color w:val="auto"/>
          <w:sz w:val="24"/>
          <w:highlight w:val="none"/>
        </w:rPr>
      </w:pPr>
      <w:r>
        <w:rPr>
          <w:rFonts w:hint="eastAsia" w:ascii="宋体" w:hAnsi="宋体"/>
          <w:b/>
          <w:color w:val="auto"/>
          <w:sz w:val="24"/>
          <w:highlight w:val="none"/>
        </w:rPr>
        <w:t>二、法定代表人身份证明</w:t>
      </w:r>
    </w:p>
    <w:p w14:paraId="1B74FE0B">
      <w:pPr>
        <w:tabs>
          <w:tab w:val="left" w:pos="1080"/>
        </w:tabs>
        <w:spacing w:line="400" w:lineRule="exact"/>
        <w:jc w:val="center"/>
        <w:rPr>
          <w:rFonts w:hint="eastAsia" w:ascii="宋体" w:hAnsi="宋体"/>
          <w:b/>
          <w:color w:val="auto"/>
          <w:sz w:val="24"/>
          <w:highlight w:val="none"/>
        </w:rPr>
      </w:pPr>
    </w:p>
    <w:p w14:paraId="3FCA2255">
      <w:pPr>
        <w:spacing w:line="360" w:lineRule="auto"/>
        <w:rPr>
          <w:rFonts w:hint="eastAsia" w:ascii="宋体" w:hAnsi="宋体"/>
          <w:color w:val="auto"/>
          <w:sz w:val="24"/>
          <w:highlight w:val="none"/>
        </w:rPr>
      </w:pPr>
    </w:p>
    <w:p w14:paraId="6D6E89C3">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eastAsia="zh-CN"/>
        </w:rPr>
        <w:t>供应商</w:t>
      </w:r>
      <w:r>
        <w:rPr>
          <w:rFonts w:hint="eastAsia" w:ascii="宋体" w:hAnsi="宋体"/>
          <w:color w:val="auto"/>
          <w:sz w:val="24"/>
          <w:highlight w:val="none"/>
        </w:rPr>
        <w:t>名称：</w:t>
      </w:r>
      <w:r>
        <w:rPr>
          <w:rFonts w:hint="eastAsia" w:ascii="宋体" w:hAnsi="宋体"/>
          <w:color w:val="auto"/>
          <w:sz w:val="24"/>
          <w:highlight w:val="none"/>
          <w:u w:val="single"/>
        </w:rPr>
        <w:t xml:space="preserve">                  </w:t>
      </w:r>
    </w:p>
    <w:p w14:paraId="523E1E6B">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单位性质：</w:t>
      </w:r>
      <w:r>
        <w:rPr>
          <w:rFonts w:hint="eastAsia" w:ascii="宋体" w:hAnsi="宋体"/>
          <w:color w:val="auto"/>
          <w:sz w:val="24"/>
          <w:highlight w:val="none"/>
          <w:u w:val="single"/>
        </w:rPr>
        <w:t xml:space="preserve">                    </w:t>
      </w:r>
    </w:p>
    <w:p w14:paraId="3A0FF115">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地址：</w:t>
      </w:r>
      <w:r>
        <w:rPr>
          <w:rFonts w:hint="eastAsia" w:ascii="宋体" w:hAnsi="宋体"/>
          <w:color w:val="auto"/>
          <w:sz w:val="24"/>
          <w:highlight w:val="none"/>
          <w:u w:val="single"/>
        </w:rPr>
        <w:t xml:space="preserve">                        </w:t>
      </w:r>
    </w:p>
    <w:p w14:paraId="3C7D9364">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成立时间：</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3C1C0223">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经营期限：</w:t>
      </w:r>
      <w:r>
        <w:rPr>
          <w:rFonts w:hint="eastAsia" w:ascii="宋体" w:hAnsi="宋体"/>
          <w:color w:val="auto"/>
          <w:sz w:val="24"/>
          <w:highlight w:val="none"/>
          <w:u w:val="single"/>
        </w:rPr>
        <w:t xml:space="preserve">                     </w:t>
      </w:r>
    </w:p>
    <w:p w14:paraId="20C4F2D8">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姓名：</w:t>
      </w:r>
      <w:r>
        <w:rPr>
          <w:rFonts w:hint="eastAsia" w:ascii="宋体" w:hAnsi="宋体"/>
          <w:color w:val="auto"/>
          <w:sz w:val="24"/>
          <w:highlight w:val="none"/>
          <w:u w:val="single"/>
        </w:rPr>
        <w:t xml:space="preserve">                         </w:t>
      </w:r>
    </w:p>
    <w:p w14:paraId="2F93DBF5">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性别：</w:t>
      </w:r>
      <w:r>
        <w:rPr>
          <w:rFonts w:hint="eastAsia" w:ascii="宋体" w:hAnsi="宋体"/>
          <w:color w:val="auto"/>
          <w:sz w:val="24"/>
          <w:highlight w:val="none"/>
          <w:u w:val="single"/>
        </w:rPr>
        <w:t xml:space="preserve">                         </w:t>
      </w:r>
    </w:p>
    <w:p w14:paraId="34379339">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年龄：</w:t>
      </w:r>
      <w:r>
        <w:rPr>
          <w:rFonts w:hint="eastAsia" w:ascii="宋体" w:hAnsi="宋体"/>
          <w:color w:val="auto"/>
          <w:sz w:val="24"/>
          <w:highlight w:val="none"/>
          <w:u w:val="single"/>
        </w:rPr>
        <w:t xml:space="preserve">                         </w:t>
      </w:r>
    </w:p>
    <w:p w14:paraId="0C8AF968">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职务：</w:t>
      </w:r>
      <w:r>
        <w:rPr>
          <w:rFonts w:hint="eastAsia" w:ascii="宋体" w:hAnsi="宋体"/>
          <w:color w:val="auto"/>
          <w:sz w:val="24"/>
          <w:highlight w:val="none"/>
          <w:u w:val="single"/>
        </w:rPr>
        <w:t xml:space="preserve">                         </w:t>
      </w:r>
    </w:p>
    <w:p w14:paraId="12B7A6A7">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系</w:t>
      </w:r>
      <w:r>
        <w:rPr>
          <w:rFonts w:hint="eastAsia" w:ascii="宋体" w:hAnsi="宋体"/>
          <w:color w:val="auto"/>
          <w:sz w:val="24"/>
          <w:highlight w:val="none"/>
          <w:u w:val="single"/>
        </w:rPr>
        <w:t xml:space="preserve">                       </w:t>
      </w:r>
      <w:r>
        <w:rPr>
          <w:rFonts w:hint="eastAsia" w:ascii="宋体" w:hAnsi="宋体"/>
          <w:color w:val="auto"/>
          <w:sz w:val="24"/>
          <w:highlight w:val="none"/>
        </w:rPr>
        <w:t>（</w:t>
      </w:r>
      <w:r>
        <w:rPr>
          <w:rFonts w:hint="eastAsia" w:ascii="宋体" w:hAnsi="宋体"/>
          <w:color w:val="auto"/>
          <w:sz w:val="24"/>
          <w:highlight w:val="none"/>
          <w:lang w:eastAsia="zh-CN"/>
        </w:rPr>
        <w:t>供应商</w:t>
      </w:r>
      <w:r>
        <w:rPr>
          <w:rFonts w:hint="eastAsia" w:ascii="宋体" w:hAnsi="宋体"/>
          <w:color w:val="auto"/>
          <w:sz w:val="24"/>
          <w:highlight w:val="none"/>
        </w:rPr>
        <w:t>名称）的法定代表人。</w:t>
      </w:r>
    </w:p>
    <w:p w14:paraId="607AA674">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特此证明。</w:t>
      </w:r>
    </w:p>
    <w:p w14:paraId="603B3CD0">
      <w:pPr>
        <w:rPr>
          <w:rFonts w:hint="eastAsia" w:ascii="宋体" w:hAnsi="宋体"/>
          <w:color w:val="auto"/>
          <w:sz w:val="24"/>
          <w:highlight w:val="none"/>
        </w:rPr>
      </w:pPr>
    </w:p>
    <w:p w14:paraId="2A3F3420">
      <w:pPr>
        <w:ind w:right="420" w:firstLine="3840" w:firstLineChars="1600"/>
        <w:jc w:val="left"/>
        <w:rPr>
          <w:rFonts w:hint="eastAsia" w:ascii="宋体" w:hAnsi="宋体"/>
          <w:color w:val="auto"/>
          <w:sz w:val="24"/>
          <w:highlight w:val="none"/>
        </w:rPr>
      </w:pPr>
      <w:r>
        <w:rPr>
          <w:rFonts w:hint="eastAsia" w:ascii="宋体" w:hAnsi="宋体"/>
          <w:color w:val="auto"/>
          <w:sz w:val="24"/>
          <w:highlight w:val="none"/>
          <w:lang w:eastAsia="zh-CN"/>
        </w:rPr>
        <w:t>供应商</w:t>
      </w:r>
      <w:r>
        <w:rPr>
          <w:rFonts w:hint="eastAsia" w:ascii="宋体" w:hAnsi="宋体"/>
          <w:color w:val="auto"/>
          <w:sz w:val="24"/>
          <w:highlight w:val="none"/>
        </w:rPr>
        <w:t>：</w:t>
      </w:r>
      <w:r>
        <w:rPr>
          <w:rFonts w:hint="eastAsia" w:ascii="宋体" w:hAnsi="宋体"/>
          <w:color w:val="auto"/>
          <w:sz w:val="24"/>
          <w:highlight w:val="none"/>
          <w:u w:val="single"/>
        </w:rPr>
        <w:t xml:space="preserve">             </w:t>
      </w:r>
      <w:r>
        <w:rPr>
          <w:rFonts w:hint="eastAsia" w:ascii="宋体" w:hAnsi="宋体"/>
          <w:color w:val="auto"/>
          <w:sz w:val="24"/>
          <w:highlight w:val="none"/>
        </w:rPr>
        <w:t>（公章签章）</w:t>
      </w:r>
    </w:p>
    <w:p w14:paraId="57E53741">
      <w:pPr>
        <w:ind w:firstLine="1080" w:firstLineChars="450"/>
        <w:jc w:val="left"/>
        <w:rPr>
          <w:rFonts w:hint="eastAsia" w:ascii="宋体" w:hAnsi="宋体"/>
          <w:color w:val="auto"/>
          <w:sz w:val="24"/>
          <w:highlight w:val="none"/>
        </w:rPr>
      </w:pPr>
    </w:p>
    <w:p w14:paraId="6863ED71">
      <w:pPr>
        <w:ind w:right="480" w:firstLine="5040" w:firstLineChars="2100"/>
        <w:jc w:val="left"/>
        <w:rPr>
          <w:rFonts w:hint="eastAsia"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highlight w:val="none"/>
          <w:u w:val="single"/>
        </w:rPr>
        <w:t xml:space="preserve">      </w:t>
      </w:r>
      <w:r>
        <w:rPr>
          <w:rFonts w:hint="eastAsia" w:ascii="宋体" w:hAnsi="宋体"/>
          <w:color w:val="auto"/>
          <w:sz w:val="24"/>
          <w:highlight w:val="none"/>
        </w:rPr>
        <w:t>年</w:t>
      </w:r>
      <w:r>
        <w:rPr>
          <w:rFonts w:hint="eastAsia" w:ascii="宋体" w:hAnsi="宋体"/>
          <w:color w:val="auto"/>
          <w:sz w:val="24"/>
          <w:highlight w:val="none"/>
          <w:u w:val="single"/>
        </w:rPr>
        <w:t xml:space="preserve">      </w:t>
      </w:r>
      <w:r>
        <w:rPr>
          <w:rFonts w:hint="eastAsia" w:ascii="宋体" w:hAnsi="宋体"/>
          <w:color w:val="auto"/>
          <w:sz w:val="24"/>
          <w:highlight w:val="none"/>
        </w:rPr>
        <w:t>月</w:t>
      </w:r>
      <w:r>
        <w:rPr>
          <w:rFonts w:hint="eastAsia" w:ascii="宋体" w:hAnsi="宋体"/>
          <w:color w:val="auto"/>
          <w:sz w:val="24"/>
          <w:highlight w:val="none"/>
          <w:u w:val="single"/>
        </w:rPr>
        <w:t xml:space="preserve">     </w:t>
      </w:r>
      <w:r>
        <w:rPr>
          <w:rFonts w:hint="eastAsia" w:ascii="宋体" w:hAnsi="宋体"/>
          <w:color w:val="auto"/>
          <w:sz w:val="24"/>
          <w:highlight w:val="none"/>
        </w:rPr>
        <w:t>日</w:t>
      </w:r>
    </w:p>
    <w:p w14:paraId="71390ACE">
      <w:pPr>
        <w:rPr>
          <w:rFonts w:hint="eastAsia" w:ascii="宋体" w:hAnsi="宋体"/>
          <w:color w:val="auto"/>
          <w:sz w:val="24"/>
          <w:highlight w:val="none"/>
        </w:rPr>
      </w:pPr>
    </w:p>
    <w:p w14:paraId="30F28834">
      <w:pPr>
        <w:tabs>
          <w:tab w:val="left" w:pos="1080"/>
        </w:tabs>
        <w:spacing w:line="400" w:lineRule="exact"/>
        <w:jc w:val="center"/>
        <w:outlineLvl w:val="0"/>
        <w:rPr>
          <w:rFonts w:hint="eastAsia" w:ascii="宋体" w:hAnsi="宋体"/>
          <w:b/>
          <w:color w:val="auto"/>
          <w:sz w:val="24"/>
          <w:highlight w:val="none"/>
        </w:rPr>
      </w:pPr>
      <w:bookmarkStart w:id="254" w:name="_Toc105654880"/>
      <w:bookmarkEnd w:id="254"/>
      <w:bookmarkStart w:id="255" w:name="_Toc6518"/>
      <w:bookmarkEnd w:id="255"/>
      <w:bookmarkStart w:id="256" w:name="_Toc104558769"/>
      <w:bookmarkEnd w:id="256"/>
      <w:bookmarkStart w:id="257" w:name="_Toc18359"/>
      <w:bookmarkEnd w:id="257"/>
      <w:r>
        <w:rPr>
          <w:rFonts w:hint="eastAsia" w:ascii="宋体" w:hAnsi="宋体"/>
          <w:b/>
          <w:color w:val="auto"/>
          <w:sz w:val="24"/>
          <w:highlight w:val="none"/>
        </w:rPr>
        <w:br w:type="page"/>
      </w:r>
      <w:r>
        <w:rPr>
          <w:rFonts w:hint="eastAsia" w:ascii="宋体" w:hAnsi="宋体"/>
          <w:b/>
          <w:color w:val="auto"/>
          <w:sz w:val="24"/>
          <w:highlight w:val="none"/>
        </w:rPr>
        <w:t xml:space="preserve">  </w:t>
      </w:r>
      <w:r>
        <w:rPr>
          <w:rFonts w:hint="eastAsia" w:ascii="宋体" w:hAnsi="宋体"/>
          <w:b/>
          <w:color w:val="auto"/>
          <w:sz w:val="24"/>
          <w:highlight w:val="none"/>
          <w:lang w:val="en-US" w:eastAsia="zh-CN"/>
        </w:rPr>
        <w:t>三、</w:t>
      </w:r>
      <w:r>
        <w:rPr>
          <w:rFonts w:hint="eastAsia" w:ascii="宋体" w:hAnsi="宋体"/>
          <w:b/>
          <w:color w:val="auto"/>
          <w:sz w:val="24"/>
          <w:highlight w:val="none"/>
        </w:rPr>
        <w:t xml:space="preserve"> 授权委托书</w:t>
      </w:r>
    </w:p>
    <w:p w14:paraId="26C33A45">
      <w:pPr>
        <w:spacing w:line="360" w:lineRule="auto"/>
        <w:ind w:left="420" w:leftChars="200" w:firstLine="120" w:firstLineChars="50"/>
        <w:rPr>
          <w:rFonts w:hint="eastAsia" w:ascii="宋体" w:hAnsi="宋体"/>
          <w:color w:val="auto"/>
          <w:sz w:val="24"/>
          <w:highlight w:val="none"/>
        </w:rPr>
      </w:pPr>
    </w:p>
    <w:p w14:paraId="4E94F8AC">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本人</w:t>
      </w:r>
      <w:r>
        <w:rPr>
          <w:rFonts w:hint="eastAsia" w:ascii="宋体" w:hAnsi="宋体"/>
          <w:color w:val="auto"/>
          <w:sz w:val="24"/>
          <w:highlight w:val="none"/>
          <w:u w:val="single"/>
        </w:rPr>
        <w:t xml:space="preserve">        </w:t>
      </w:r>
      <w:r>
        <w:rPr>
          <w:rFonts w:hint="eastAsia" w:ascii="宋体" w:hAnsi="宋体"/>
          <w:color w:val="auto"/>
          <w:sz w:val="24"/>
          <w:highlight w:val="none"/>
        </w:rPr>
        <w:t>（姓名）系</w:t>
      </w:r>
      <w:r>
        <w:rPr>
          <w:rFonts w:hint="eastAsia" w:ascii="宋体" w:hAnsi="宋体"/>
          <w:color w:val="auto"/>
          <w:sz w:val="24"/>
          <w:highlight w:val="none"/>
          <w:u w:val="single"/>
        </w:rPr>
        <w:t xml:space="preserve">           </w:t>
      </w:r>
      <w:r>
        <w:rPr>
          <w:rFonts w:hint="eastAsia" w:ascii="宋体" w:hAnsi="宋体"/>
          <w:color w:val="auto"/>
          <w:sz w:val="24"/>
          <w:highlight w:val="none"/>
        </w:rPr>
        <w:t>（</w:t>
      </w:r>
      <w:r>
        <w:rPr>
          <w:rFonts w:hint="eastAsia" w:ascii="宋体" w:hAnsi="宋体"/>
          <w:color w:val="auto"/>
          <w:sz w:val="24"/>
          <w:highlight w:val="none"/>
          <w:lang w:eastAsia="zh-CN"/>
        </w:rPr>
        <w:t>供应商</w:t>
      </w:r>
      <w:r>
        <w:rPr>
          <w:rFonts w:hint="eastAsia" w:ascii="宋体" w:hAnsi="宋体"/>
          <w:color w:val="auto"/>
          <w:sz w:val="24"/>
          <w:highlight w:val="none"/>
        </w:rPr>
        <w:t>名称）的法定代表人，现委托</w:t>
      </w:r>
      <w:r>
        <w:rPr>
          <w:rFonts w:hint="eastAsia" w:ascii="宋体" w:hAnsi="宋体"/>
          <w:color w:val="auto"/>
          <w:sz w:val="24"/>
          <w:highlight w:val="none"/>
          <w:u w:val="single"/>
        </w:rPr>
        <w:t xml:space="preserve">      </w:t>
      </w:r>
      <w:r>
        <w:rPr>
          <w:rFonts w:hint="eastAsia" w:ascii="宋体" w:hAnsi="宋体"/>
          <w:color w:val="auto"/>
          <w:sz w:val="24"/>
          <w:highlight w:val="none"/>
        </w:rPr>
        <w:t>（姓名）为我方代理人。代理人根据授权，以我方名义签署、澄清、说明、补正、递交、撤回、修改</w:t>
      </w:r>
      <w:r>
        <w:rPr>
          <w:rFonts w:hint="eastAsia" w:ascii="宋体" w:hAnsi="宋体"/>
          <w:color w:val="auto"/>
          <w:sz w:val="24"/>
          <w:highlight w:val="none"/>
          <w:u w:val="single"/>
        </w:rPr>
        <w:t xml:space="preserve">                </w:t>
      </w:r>
      <w:r>
        <w:rPr>
          <w:rFonts w:hint="eastAsia" w:ascii="宋体" w:hAnsi="宋体"/>
          <w:color w:val="auto"/>
          <w:sz w:val="24"/>
          <w:highlight w:val="none"/>
        </w:rPr>
        <w:t>（</w:t>
      </w:r>
      <w:r>
        <w:rPr>
          <w:rFonts w:hint="eastAsia" w:ascii="宋体" w:hAnsi="宋体"/>
          <w:color w:val="auto"/>
          <w:sz w:val="24"/>
          <w:highlight w:val="none"/>
          <w:u w:val="single"/>
        </w:rPr>
        <w:t>项目名称</w:t>
      </w:r>
      <w:r>
        <w:rPr>
          <w:rFonts w:hint="eastAsia" w:ascii="宋体" w:hAnsi="宋体"/>
          <w:color w:val="auto"/>
          <w:sz w:val="24"/>
          <w:highlight w:val="none"/>
        </w:rPr>
        <w:t>）的</w:t>
      </w:r>
      <w:r>
        <w:rPr>
          <w:rFonts w:hint="eastAsia" w:ascii="宋体" w:hAnsi="宋体"/>
          <w:color w:val="auto"/>
          <w:sz w:val="24"/>
          <w:highlight w:val="none"/>
          <w:lang w:eastAsia="zh-CN"/>
        </w:rPr>
        <w:t>响应文件</w:t>
      </w:r>
      <w:r>
        <w:rPr>
          <w:rFonts w:hint="eastAsia" w:ascii="宋体" w:hAnsi="宋体"/>
          <w:color w:val="auto"/>
          <w:sz w:val="24"/>
          <w:highlight w:val="none"/>
        </w:rPr>
        <w:t>、签订合同和处理有关事宜，其法律后果由我方承担。</w:t>
      </w:r>
    </w:p>
    <w:p w14:paraId="09CBE27F">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代理人无转委托权。</w:t>
      </w:r>
    </w:p>
    <w:p w14:paraId="2F6EAD92">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附：法定代表人及委托代理人身份证复印件（二代身份证需提供正反面）</w:t>
      </w:r>
    </w:p>
    <w:p w14:paraId="3817FFFC">
      <w:pPr>
        <w:spacing w:line="360" w:lineRule="auto"/>
        <w:ind w:firstLine="480" w:firstLineChars="200"/>
        <w:rPr>
          <w:rFonts w:hint="eastAsia" w:ascii="宋体" w:hAnsi="宋体"/>
          <w:color w:val="auto"/>
          <w:sz w:val="24"/>
          <w:highlight w:val="none"/>
        </w:rPr>
      </w:pPr>
    </w:p>
    <w:p w14:paraId="7A74B362">
      <w:pPr>
        <w:ind w:firstLine="480" w:firstLineChars="200"/>
        <w:rPr>
          <w:rFonts w:hint="eastAsia" w:ascii="宋体" w:hAnsi="宋体"/>
          <w:color w:val="auto"/>
          <w:sz w:val="24"/>
          <w:highlight w:val="none"/>
        </w:rPr>
      </w:pPr>
    </w:p>
    <w:p w14:paraId="1DEC9819">
      <w:pPr>
        <w:snapToGrid w:val="0"/>
        <w:spacing w:line="600" w:lineRule="exact"/>
        <w:ind w:firstLine="2880" w:firstLineChars="1200"/>
        <w:jc w:val="left"/>
        <w:rPr>
          <w:rFonts w:hint="eastAsia" w:ascii="宋体" w:hAnsi="宋体"/>
          <w:color w:val="auto"/>
          <w:sz w:val="24"/>
          <w:highlight w:val="none"/>
        </w:rPr>
      </w:pPr>
      <w:r>
        <w:rPr>
          <w:rFonts w:hint="eastAsia" w:ascii="宋体" w:hAnsi="宋体"/>
          <w:color w:val="auto"/>
          <w:sz w:val="24"/>
          <w:highlight w:val="none"/>
        </w:rPr>
        <w:t xml:space="preserve">          </w:t>
      </w:r>
      <w:r>
        <w:rPr>
          <w:rFonts w:hint="eastAsia" w:ascii="宋体" w:hAnsi="宋体"/>
          <w:color w:val="auto"/>
          <w:sz w:val="24"/>
          <w:szCs w:val="21"/>
          <w:highlight w:val="none"/>
          <w:lang w:eastAsia="zh-CN"/>
        </w:rPr>
        <w:t>供应商</w:t>
      </w:r>
      <w:r>
        <w:rPr>
          <w:rFonts w:hint="eastAsia" w:ascii="宋体" w:hAnsi="宋体"/>
          <w:color w:val="auto"/>
          <w:sz w:val="24"/>
          <w:szCs w:val="21"/>
          <w:highlight w:val="none"/>
        </w:rPr>
        <w:t>：</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（公章签章）</w:t>
      </w:r>
    </w:p>
    <w:p w14:paraId="20585B68">
      <w:pPr>
        <w:snapToGrid w:val="0"/>
        <w:spacing w:line="600" w:lineRule="exact"/>
        <w:ind w:firstLine="4080" w:firstLineChars="1700"/>
        <w:jc w:val="left"/>
        <w:rPr>
          <w:rFonts w:hint="eastAsia" w:ascii="宋体" w:hAnsi="宋体"/>
          <w:color w:val="auto"/>
          <w:sz w:val="24"/>
          <w:szCs w:val="21"/>
          <w:highlight w:val="none"/>
        </w:rPr>
      </w:pPr>
      <w:r>
        <w:rPr>
          <w:rFonts w:hint="eastAsia" w:ascii="宋体" w:hAnsi="宋体"/>
          <w:color w:val="auto"/>
          <w:sz w:val="24"/>
          <w:szCs w:val="21"/>
          <w:highlight w:val="none"/>
        </w:rPr>
        <w:t>法定代表人：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（电子签章）</w:t>
      </w:r>
    </w:p>
    <w:p w14:paraId="1C684406">
      <w:pPr>
        <w:snapToGrid w:val="0"/>
        <w:spacing w:line="600" w:lineRule="exact"/>
        <w:ind w:firstLine="4080" w:firstLineChars="1700"/>
        <w:jc w:val="left"/>
        <w:rPr>
          <w:rFonts w:hint="eastAsia" w:ascii="宋体" w:hAnsi="宋体"/>
          <w:color w:val="auto"/>
          <w:sz w:val="24"/>
          <w:szCs w:val="21"/>
          <w:highlight w:val="none"/>
        </w:rPr>
      </w:pPr>
      <w:r>
        <w:rPr>
          <w:rFonts w:hint="eastAsia" w:ascii="宋体" w:hAnsi="宋体"/>
          <w:color w:val="auto"/>
          <w:sz w:val="24"/>
          <w:szCs w:val="21"/>
          <w:highlight w:val="none"/>
        </w:rPr>
        <w:t>身份证号码：</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ab/>
      </w:r>
      <w:r>
        <w:rPr>
          <w:rFonts w:hint="eastAsia" w:ascii="宋体" w:hAnsi="宋体"/>
          <w:color w:val="auto"/>
          <w:sz w:val="24"/>
          <w:szCs w:val="21"/>
          <w:highlight w:val="none"/>
        </w:rPr>
        <w:t xml:space="preserve">                 </w:t>
      </w:r>
    </w:p>
    <w:p w14:paraId="3E9C3216">
      <w:pPr>
        <w:snapToGrid w:val="0"/>
        <w:spacing w:line="600" w:lineRule="exact"/>
        <w:ind w:firstLine="4080" w:firstLineChars="1700"/>
        <w:jc w:val="left"/>
        <w:rPr>
          <w:rFonts w:hint="eastAsia" w:ascii="宋体" w:hAnsi="宋体"/>
          <w:color w:val="auto"/>
          <w:sz w:val="24"/>
          <w:szCs w:val="21"/>
          <w:highlight w:val="none"/>
        </w:rPr>
      </w:pPr>
      <w:r>
        <w:rPr>
          <w:rFonts w:hint="eastAsia" w:ascii="宋体" w:hAnsi="宋体"/>
          <w:color w:val="auto"/>
          <w:sz w:val="24"/>
          <w:szCs w:val="21"/>
          <w:highlight w:val="none"/>
        </w:rPr>
        <w:t>委托代理人：</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 xml:space="preserve">（签字）                       </w:t>
      </w:r>
    </w:p>
    <w:p w14:paraId="083F3CC3">
      <w:pPr>
        <w:snapToGrid w:val="0"/>
        <w:spacing w:line="600" w:lineRule="exact"/>
        <w:ind w:firstLine="4080" w:firstLineChars="1700"/>
        <w:jc w:val="left"/>
        <w:rPr>
          <w:rFonts w:hint="eastAsia" w:ascii="宋体" w:hAnsi="宋体"/>
          <w:color w:val="auto"/>
          <w:sz w:val="24"/>
          <w:szCs w:val="21"/>
          <w:highlight w:val="none"/>
          <w:u w:val="single"/>
        </w:rPr>
      </w:pPr>
      <w:r>
        <w:rPr>
          <w:rFonts w:hint="eastAsia" w:ascii="宋体" w:hAnsi="宋体"/>
          <w:color w:val="auto"/>
          <w:sz w:val="24"/>
          <w:szCs w:val="21"/>
          <w:highlight w:val="none"/>
        </w:rPr>
        <w:t>身份证号码：</w:t>
      </w:r>
      <w:r>
        <w:rPr>
          <w:rFonts w:hint="eastAsia" w:ascii="宋体" w:hAnsi="宋体"/>
          <w:color w:val="auto"/>
          <w:sz w:val="24"/>
          <w:szCs w:val="21"/>
          <w:highlight w:val="none"/>
          <w:u w:val="single"/>
        </w:rPr>
        <w:t xml:space="preserve">                  </w:t>
      </w:r>
    </w:p>
    <w:p w14:paraId="5DE9B831">
      <w:pPr>
        <w:snapToGrid w:val="0"/>
        <w:spacing w:line="600" w:lineRule="exact"/>
        <w:ind w:firstLine="4080" w:firstLineChars="1700"/>
        <w:jc w:val="left"/>
        <w:rPr>
          <w:rFonts w:hint="default" w:ascii="宋体" w:hAnsi="宋体"/>
          <w:color w:val="auto"/>
          <w:sz w:val="24"/>
          <w:szCs w:val="21"/>
          <w:highlight w:val="none"/>
          <w:u w:val="none"/>
          <w:lang w:val="en-US" w:eastAsia="zh-CN"/>
        </w:rPr>
      </w:pPr>
      <w:r>
        <w:rPr>
          <w:rFonts w:hint="eastAsia" w:ascii="宋体" w:hAnsi="宋体"/>
          <w:color w:val="auto"/>
          <w:sz w:val="24"/>
          <w:szCs w:val="21"/>
          <w:highlight w:val="none"/>
          <w:u w:val="none"/>
          <w:lang w:val="en-US" w:eastAsia="zh-CN"/>
        </w:rPr>
        <w:t>联系电话：</w:t>
      </w:r>
      <w:r>
        <w:rPr>
          <w:rFonts w:hint="eastAsia" w:ascii="宋体" w:hAnsi="宋体"/>
          <w:color w:val="auto"/>
          <w:sz w:val="24"/>
          <w:szCs w:val="21"/>
          <w:highlight w:val="none"/>
          <w:u w:val="single"/>
          <w:lang w:val="en-US" w:eastAsia="zh-CN"/>
        </w:rPr>
        <w:t xml:space="preserve">                  </w:t>
      </w:r>
      <w:r>
        <w:rPr>
          <w:rFonts w:hint="eastAsia" w:ascii="宋体" w:hAnsi="宋体"/>
          <w:color w:val="auto"/>
          <w:sz w:val="24"/>
          <w:szCs w:val="21"/>
          <w:highlight w:val="none"/>
          <w:u w:val="none"/>
          <w:lang w:val="en-US" w:eastAsia="zh-CN"/>
        </w:rPr>
        <w:t xml:space="preserve"> </w:t>
      </w:r>
    </w:p>
    <w:p w14:paraId="5FD5E6EF">
      <w:pPr>
        <w:snapToGrid w:val="0"/>
        <w:spacing w:line="600" w:lineRule="exact"/>
        <w:ind w:firstLine="4080" w:firstLineChars="1700"/>
        <w:jc w:val="left"/>
        <w:rPr>
          <w:rFonts w:hint="eastAsia" w:ascii="宋体" w:hAnsi="宋体"/>
          <w:color w:val="auto"/>
          <w:sz w:val="24"/>
          <w:szCs w:val="21"/>
          <w:highlight w:val="none"/>
          <w:u w:val="single"/>
        </w:rPr>
      </w:pP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年</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月</w:t>
      </w:r>
      <w:r>
        <w:rPr>
          <w:rFonts w:hint="eastAsia" w:ascii="宋体" w:hAnsi="宋体"/>
          <w:color w:val="auto"/>
          <w:sz w:val="24"/>
          <w:szCs w:val="21"/>
          <w:highlight w:val="none"/>
          <w:u w:val="single"/>
        </w:rPr>
        <w:t xml:space="preserve">     </w:t>
      </w:r>
      <w:r>
        <w:rPr>
          <w:rFonts w:hint="eastAsia" w:ascii="宋体" w:hAnsi="宋体"/>
          <w:color w:val="auto"/>
          <w:sz w:val="24"/>
          <w:szCs w:val="21"/>
          <w:highlight w:val="none"/>
        </w:rPr>
        <w:t>日</w:t>
      </w:r>
    </w:p>
    <w:p w14:paraId="48962378">
      <w:pPr>
        <w:jc w:val="center"/>
        <w:rPr>
          <w:rFonts w:hint="eastAsia" w:ascii="宋体" w:hAnsi="宋体"/>
          <w:b/>
          <w:color w:val="auto"/>
          <w:sz w:val="24"/>
          <w:highlight w:val="none"/>
        </w:rPr>
      </w:pPr>
    </w:p>
    <w:p w14:paraId="118A35F0">
      <w:pPr>
        <w:jc w:val="center"/>
        <w:rPr>
          <w:rFonts w:hint="eastAsia" w:ascii="宋体" w:hAnsi="宋体"/>
          <w:b/>
          <w:color w:val="auto"/>
          <w:sz w:val="24"/>
          <w:highlight w:val="none"/>
        </w:rPr>
      </w:pPr>
      <w:r>
        <w:rPr>
          <w:rFonts w:hint="eastAsia" w:ascii="宋体" w:hAnsi="宋体"/>
          <w:b/>
          <w:color w:val="auto"/>
          <w:sz w:val="24"/>
          <w:highlight w:val="none"/>
        </w:rPr>
        <w:t>注：因本项目为电子标，委托代理人无法手写签字，可以电脑打印字体为准或以法定代表人签章为准。</w:t>
      </w:r>
    </w:p>
    <w:p w14:paraId="4B6516DB">
      <w:pPr>
        <w:rPr>
          <w:rFonts w:hint="eastAsia" w:ascii="宋体" w:hAnsi="宋体"/>
          <w:color w:val="auto"/>
          <w:sz w:val="24"/>
          <w:highlight w:val="none"/>
        </w:rPr>
      </w:pPr>
    </w:p>
    <w:p w14:paraId="25F3927F">
      <w:pPr>
        <w:jc w:val="center"/>
        <w:rPr>
          <w:rFonts w:hint="eastAsia" w:ascii="宋体" w:hAnsi="宋体"/>
          <w:color w:val="auto"/>
          <w:sz w:val="24"/>
          <w:highlight w:val="none"/>
        </w:rPr>
      </w:pPr>
    </w:p>
    <w:p w14:paraId="5EBCEEE5">
      <w:pPr>
        <w:jc w:val="center"/>
        <w:rPr>
          <w:rFonts w:hint="eastAsia" w:ascii="宋体" w:hAnsi="宋体"/>
          <w:color w:val="auto"/>
          <w:sz w:val="24"/>
          <w:highlight w:val="none"/>
        </w:rPr>
      </w:pPr>
    </w:p>
    <w:p w14:paraId="159DB17A">
      <w:pPr>
        <w:jc w:val="center"/>
        <w:rPr>
          <w:rFonts w:hint="eastAsia" w:ascii="宋体" w:hAnsi="宋体"/>
          <w:color w:val="auto"/>
          <w:sz w:val="24"/>
          <w:highlight w:val="none"/>
        </w:rPr>
      </w:pPr>
    </w:p>
    <w:p w14:paraId="568AA99E">
      <w:pPr>
        <w:spacing w:line="480" w:lineRule="exact"/>
        <w:rPr>
          <w:rFonts w:hint="eastAsia" w:ascii="宋体" w:hAnsi="宋体"/>
          <w:b/>
          <w:color w:val="auto"/>
          <w:sz w:val="24"/>
          <w:highlight w:val="none"/>
        </w:rPr>
      </w:pPr>
      <w:bookmarkStart w:id="258" w:name="_Toc1037"/>
      <w:bookmarkStart w:id="259" w:name="_Toc28248"/>
      <w:bookmarkStart w:id="260" w:name="_Toc463691052"/>
      <w:bookmarkStart w:id="261" w:name="_Toc11456"/>
      <w:bookmarkStart w:id="262" w:name="_Toc225"/>
      <w:bookmarkStart w:id="263" w:name="_Toc489602194"/>
      <w:bookmarkStart w:id="264" w:name="_Toc6299"/>
      <w:bookmarkStart w:id="265" w:name="_Toc4084"/>
      <w:bookmarkStart w:id="266" w:name="_Toc26331"/>
    </w:p>
    <w:p w14:paraId="14109F23">
      <w:pPr>
        <w:numPr>
          <w:ilvl w:val="0"/>
          <w:numId w:val="4"/>
        </w:numPr>
        <w:snapToGrid/>
        <w:spacing w:before="0" w:beforeAutospacing="0" w:after="0" w:afterAutospacing="0" w:line="480" w:lineRule="exact"/>
        <w:jc w:val="center"/>
        <w:rPr>
          <w:rFonts w:hint="eastAsia" w:ascii="宋体" w:hAnsi="宋体"/>
          <w:b/>
          <w:bCs w:val="0"/>
          <w:color w:val="auto"/>
          <w:sz w:val="24"/>
          <w:highlight w:val="none"/>
        </w:rPr>
      </w:pPr>
      <w:r>
        <w:rPr>
          <w:rFonts w:hint="eastAsia" w:ascii="宋体" w:hAnsi="宋体"/>
          <w:b/>
          <w:bCs w:val="0"/>
          <w:color w:val="auto"/>
          <w:sz w:val="24"/>
          <w:highlight w:val="none"/>
        </w:rPr>
        <w:t>磋商承诺书</w:t>
      </w:r>
    </w:p>
    <w:p w14:paraId="7C8ABDA2">
      <w:pPr>
        <w:numPr>
          <w:ilvl w:val="0"/>
          <w:numId w:val="0"/>
        </w:numPr>
        <w:snapToGrid/>
        <w:spacing w:before="0" w:beforeAutospacing="0" w:after="0" w:afterAutospacing="0" w:line="480" w:lineRule="exact"/>
        <w:jc w:val="left"/>
        <w:rPr>
          <w:rFonts w:hint="eastAsia" w:ascii="宋体" w:hAnsi="宋体" w:eastAsia="宋体"/>
          <w:b w:val="0"/>
          <w:i w:val="0"/>
          <w:color w:val="auto"/>
          <w:spacing w:val="0"/>
          <w:w w:val="100"/>
          <w:sz w:val="24"/>
          <w:highlight w:val="none"/>
        </w:rPr>
      </w:pPr>
      <w:r>
        <w:rPr>
          <w:rFonts w:hint="eastAsia" w:ascii="宋体" w:hAnsi="宋体" w:eastAsia="宋体"/>
          <w:b w:val="0"/>
          <w:i w:val="0"/>
          <w:color w:val="auto"/>
          <w:spacing w:val="0"/>
          <w:w w:val="100"/>
          <w:sz w:val="24"/>
          <w:highlight w:val="none"/>
        </w:rPr>
        <w:t>致：</w:t>
      </w:r>
      <w:r>
        <w:rPr>
          <w:rFonts w:hint="eastAsia" w:ascii="宋体" w:hAnsi="宋体" w:eastAsia="宋体"/>
          <w:b w:val="0"/>
          <w:i w:val="0"/>
          <w:color w:val="auto"/>
          <w:spacing w:val="0"/>
          <w:w w:val="100"/>
          <w:sz w:val="24"/>
          <w:highlight w:val="none"/>
          <w:u w:val="single"/>
        </w:rPr>
        <w:t xml:space="preserve">  （</w:t>
      </w:r>
      <w:r>
        <w:rPr>
          <w:rFonts w:hint="eastAsia" w:ascii="宋体" w:hAnsi="宋体"/>
          <w:b w:val="0"/>
          <w:i w:val="0"/>
          <w:color w:val="auto"/>
          <w:spacing w:val="0"/>
          <w:w w:val="100"/>
          <w:sz w:val="24"/>
          <w:highlight w:val="none"/>
          <w:u w:val="single"/>
          <w:lang w:val="en-US" w:eastAsia="zh-CN"/>
        </w:rPr>
        <w:t>采购</w:t>
      </w:r>
      <w:r>
        <w:rPr>
          <w:rFonts w:hint="eastAsia" w:ascii="宋体" w:hAnsi="宋体" w:eastAsia="宋体"/>
          <w:b w:val="0"/>
          <w:i w:val="0"/>
          <w:color w:val="auto"/>
          <w:spacing w:val="0"/>
          <w:w w:val="100"/>
          <w:sz w:val="24"/>
          <w:highlight w:val="none"/>
          <w:u w:val="single"/>
        </w:rPr>
        <w:t xml:space="preserve">单位）  </w:t>
      </w:r>
    </w:p>
    <w:p w14:paraId="1CEF94C1">
      <w:pPr>
        <w:snapToGrid/>
        <w:spacing w:before="0" w:beforeAutospacing="0" w:after="0" w:afterAutospacing="0" w:line="480" w:lineRule="exact"/>
        <w:ind w:firstLine="480" w:firstLineChars="200"/>
        <w:jc w:val="both"/>
        <w:rPr>
          <w:rFonts w:hint="eastAsia" w:ascii="宋体" w:hAnsi="宋体" w:eastAsia="宋体"/>
          <w:b w:val="0"/>
          <w:i w:val="0"/>
          <w:color w:val="auto"/>
          <w:spacing w:val="0"/>
          <w:w w:val="100"/>
          <w:sz w:val="24"/>
          <w:highlight w:val="none"/>
        </w:rPr>
      </w:pPr>
      <w:r>
        <w:rPr>
          <w:rFonts w:hint="eastAsia" w:ascii="宋体" w:hAnsi="宋体" w:eastAsia="宋体"/>
          <w:b w:val="0"/>
          <w:i w:val="0"/>
          <w:color w:val="auto"/>
          <w:spacing w:val="0"/>
          <w:w w:val="100"/>
          <w:sz w:val="24"/>
          <w:highlight w:val="none"/>
        </w:rPr>
        <w:t>本供应商已详细阅读了</w:t>
      </w:r>
      <w:r>
        <w:rPr>
          <w:rFonts w:hint="eastAsia" w:ascii="宋体" w:hAnsi="宋体" w:eastAsia="宋体"/>
          <w:b w:val="0"/>
          <w:i w:val="0"/>
          <w:color w:val="auto"/>
          <w:spacing w:val="0"/>
          <w:w w:val="100"/>
          <w:sz w:val="24"/>
          <w:highlight w:val="none"/>
          <w:u w:val="single"/>
        </w:rPr>
        <w:t xml:space="preserve">          </w:t>
      </w:r>
      <w:r>
        <w:rPr>
          <w:rFonts w:hint="eastAsia" w:ascii="宋体" w:hAnsi="宋体" w:eastAsia="宋体"/>
          <w:b w:val="0"/>
          <w:i w:val="0"/>
          <w:color w:val="auto"/>
          <w:spacing w:val="0"/>
          <w:w w:val="100"/>
          <w:sz w:val="24"/>
          <w:highlight w:val="none"/>
        </w:rPr>
        <w:t>项目磋商文件，自愿参加上述项目磋商，现就有关事项向招标单位郑重承诺如下：</w:t>
      </w:r>
    </w:p>
    <w:p w14:paraId="40484A65">
      <w:pPr>
        <w:snapToGrid/>
        <w:spacing w:before="0" w:beforeAutospacing="0" w:after="0" w:afterAutospacing="0" w:line="480" w:lineRule="exact"/>
        <w:ind w:firstLine="480" w:firstLineChars="200"/>
        <w:jc w:val="both"/>
        <w:rPr>
          <w:rFonts w:hint="eastAsia" w:ascii="宋体" w:hAnsi="宋体" w:eastAsia="宋体"/>
          <w:b w:val="0"/>
          <w:i w:val="0"/>
          <w:color w:val="auto"/>
          <w:spacing w:val="0"/>
          <w:w w:val="100"/>
          <w:sz w:val="24"/>
          <w:highlight w:val="none"/>
        </w:rPr>
      </w:pPr>
      <w:r>
        <w:rPr>
          <w:rFonts w:hint="eastAsia" w:ascii="宋体" w:hAnsi="宋体" w:eastAsia="宋体"/>
          <w:b w:val="0"/>
          <w:i w:val="0"/>
          <w:color w:val="auto"/>
          <w:spacing w:val="0"/>
          <w:w w:val="100"/>
          <w:sz w:val="24"/>
          <w:highlight w:val="none"/>
        </w:rPr>
        <w:t>1、遵守中华人民共和国、省、市有关政府采购的法律法规，自觉维护市场秩序。</w:t>
      </w:r>
    </w:p>
    <w:p w14:paraId="6DAC0F58">
      <w:pPr>
        <w:snapToGrid/>
        <w:spacing w:before="0" w:beforeAutospacing="0" w:after="0" w:afterAutospacing="0" w:line="480" w:lineRule="exact"/>
        <w:ind w:firstLine="480" w:firstLineChars="200"/>
        <w:jc w:val="both"/>
        <w:rPr>
          <w:rFonts w:hint="eastAsia" w:ascii="宋体" w:hAnsi="宋体" w:eastAsia="宋体"/>
          <w:b w:val="0"/>
          <w:i w:val="0"/>
          <w:color w:val="auto"/>
          <w:spacing w:val="0"/>
          <w:w w:val="100"/>
          <w:sz w:val="24"/>
          <w:highlight w:val="none"/>
        </w:rPr>
      </w:pPr>
      <w:r>
        <w:rPr>
          <w:rFonts w:hint="eastAsia" w:ascii="宋体" w:hAnsi="宋体" w:eastAsia="宋体"/>
          <w:b w:val="0"/>
          <w:i w:val="0"/>
          <w:color w:val="auto"/>
          <w:spacing w:val="0"/>
          <w:w w:val="100"/>
          <w:sz w:val="24"/>
          <w:highlight w:val="none"/>
        </w:rPr>
        <w:t>2、接受</w:t>
      </w:r>
      <w:r>
        <w:rPr>
          <w:rFonts w:hint="eastAsia" w:ascii="宋体" w:hAnsi="宋体" w:eastAsia="宋体"/>
          <w:b w:val="0"/>
          <w:i w:val="0"/>
          <w:color w:val="auto"/>
          <w:spacing w:val="0"/>
          <w:w w:val="100"/>
          <w:sz w:val="24"/>
          <w:highlight w:val="none"/>
          <w:lang w:eastAsia="zh-CN"/>
        </w:rPr>
        <w:t>竞争性磋商</w:t>
      </w:r>
      <w:r>
        <w:rPr>
          <w:rFonts w:hint="eastAsia" w:ascii="宋体" w:hAnsi="宋体" w:eastAsia="宋体"/>
          <w:b w:val="0"/>
          <w:i w:val="0"/>
          <w:color w:val="auto"/>
          <w:spacing w:val="0"/>
          <w:w w:val="100"/>
          <w:sz w:val="24"/>
          <w:highlight w:val="none"/>
        </w:rPr>
        <w:t>文件全部内容。</w:t>
      </w:r>
    </w:p>
    <w:p w14:paraId="6AA13159">
      <w:pPr>
        <w:snapToGrid/>
        <w:spacing w:before="0" w:beforeAutospacing="0" w:after="0" w:afterAutospacing="0" w:line="480" w:lineRule="exact"/>
        <w:ind w:firstLine="480" w:firstLineChars="200"/>
        <w:jc w:val="both"/>
        <w:rPr>
          <w:rFonts w:hint="eastAsia" w:ascii="宋体" w:hAnsi="宋体" w:eastAsia="宋体"/>
          <w:b w:val="0"/>
          <w:i w:val="0"/>
          <w:color w:val="auto"/>
          <w:spacing w:val="0"/>
          <w:w w:val="100"/>
          <w:sz w:val="24"/>
          <w:highlight w:val="none"/>
        </w:rPr>
      </w:pPr>
      <w:r>
        <w:rPr>
          <w:rFonts w:hint="eastAsia" w:ascii="宋体" w:hAnsi="宋体" w:eastAsia="宋体"/>
          <w:b w:val="0"/>
          <w:i w:val="0"/>
          <w:color w:val="auto"/>
          <w:spacing w:val="0"/>
          <w:w w:val="100"/>
          <w:sz w:val="24"/>
          <w:highlight w:val="none"/>
        </w:rPr>
        <w:t>3、服从《</w:t>
      </w:r>
      <w:r>
        <w:rPr>
          <w:rFonts w:hint="eastAsia" w:ascii="宋体" w:hAnsi="宋体"/>
          <w:b w:val="0"/>
          <w:i w:val="0"/>
          <w:color w:val="auto"/>
          <w:spacing w:val="0"/>
          <w:w w:val="100"/>
          <w:sz w:val="24"/>
          <w:highlight w:val="none"/>
          <w:lang w:eastAsia="zh-CN"/>
        </w:rPr>
        <w:t>供应商</w:t>
      </w:r>
      <w:r>
        <w:rPr>
          <w:rFonts w:hint="eastAsia" w:ascii="宋体" w:hAnsi="宋体" w:eastAsia="宋体"/>
          <w:b w:val="0"/>
          <w:i w:val="0"/>
          <w:color w:val="auto"/>
          <w:spacing w:val="0"/>
          <w:w w:val="100"/>
          <w:sz w:val="24"/>
          <w:highlight w:val="none"/>
        </w:rPr>
        <w:t>须知》的安排。</w:t>
      </w:r>
    </w:p>
    <w:p w14:paraId="3AEE51D7">
      <w:pPr>
        <w:snapToGrid/>
        <w:spacing w:before="0" w:beforeAutospacing="0" w:after="0" w:afterAutospacing="0" w:line="480" w:lineRule="exact"/>
        <w:ind w:firstLine="480" w:firstLineChars="200"/>
        <w:jc w:val="both"/>
        <w:rPr>
          <w:rFonts w:hint="eastAsia" w:ascii="宋体" w:hAnsi="宋体" w:eastAsia="宋体"/>
          <w:b w:val="0"/>
          <w:i w:val="0"/>
          <w:color w:val="auto"/>
          <w:spacing w:val="0"/>
          <w:w w:val="100"/>
          <w:sz w:val="24"/>
          <w:highlight w:val="none"/>
        </w:rPr>
      </w:pPr>
      <w:r>
        <w:rPr>
          <w:rFonts w:hint="eastAsia" w:ascii="宋体" w:hAnsi="宋体" w:eastAsia="宋体"/>
          <w:b w:val="0"/>
          <w:i w:val="0"/>
          <w:color w:val="auto"/>
          <w:spacing w:val="0"/>
          <w:w w:val="100"/>
          <w:sz w:val="24"/>
          <w:highlight w:val="none"/>
        </w:rPr>
        <w:t>4、保证磋商内容无任何虚假。若磋商过程中查出有虚假，同意作无效</w:t>
      </w:r>
      <w:r>
        <w:rPr>
          <w:rFonts w:hint="eastAsia" w:ascii="宋体" w:hAnsi="宋体" w:eastAsia="宋体"/>
          <w:b w:val="0"/>
          <w:i w:val="0"/>
          <w:color w:val="auto"/>
          <w:spacing w:val="0"/>
          <w:w w:val="100"/>
          <w:sz w:val="24"/>
          <w:highlight w:val="none"/>
          <w:lang w:eastAsia="zh-CN"/>
        </w:rPr>
        <w:t>竞争性磋商</w:t>
      </w:r>
      <w:r>
        <w:rPr>
          <w:rFonts w:hint="eastAsia" w:ascii="宋体" w:hAnsi="宋体" w:eastAsia="宋体"/>
          <w:b w:val="0"/>
          <w:i w:val="0"/>
          <w:color w:val="auto"/>
          <w:spacing w:val="0"/>
          <w:w w:val="100"/>
          <w:sz w:val="24"/>
          <w:highlight w:val="none"/>
        </w:rPr>
        <w:t>响应文件处理并承担相应责任，若成交之后查出有虚假，同意废除成交资格并承担相应责任。</w:t>
      </w:r>
    </w:p>
    <w:p w14:paraId="2016FFDB">
      <w:pPr>
        <w:snapToGrid/>
        <w:spacing w:before="0" w:beforeAutospacing="0" w:after="0" w:afterAutospacing="0" w:line="480" w:lineRule="exact"/>
        <w:ind w:firstLine="480" w:firstLineChars="200"/>
        <w:jc w:val="both"/>
        <w:rPr>
          <w:rFonts w:hint="eastAsia" w:ascii="宋体" w:hAnsi="宋体" w:eastAsia="宋体"/>
          <w:b w:val="0"/>
          <w:i w:val="0"/>
          <w:color w:val="auto"/>
          <w:spacing w:val="0"/>
          <w:w w:val="100"/>
          <w:sz w:val="24"/>
          <w:highlight w:val="none"/>
        </w:rPr>
      </w:pPr>
      <w:r>
        <w:rPr>
          <w:rFonts w:hint="eastAsia" w:ascii="宋体" w:hAnsi="宋体" w:eastAsia="宋体"/>
          <w:b w:val="0"/>
          <w:i w:val="0"/>
          <w:color w:val="auto"/>
          <w:spacing w:val="0"/>
          <w:w w:val="100"/>
          <w:sz w:val="24"/>
          <w:highlight w:val="none"/>
        </w:rPr>
        <w:t>5、保证</w:t>
      </w:r>
      <w:r>
        <w:rPr>
          <w:rFonts w:hint="eastAsia" w:ascii="宋体" w:hAnsi="宋体" w:eastAsia="宋体"/>
          <w:b w:val="0"/>
          <w:i w:val="0"/>
          <w:color w:val="auto"/>
          <w:spacing w:val="0"/>
          <w:w w:val="100"/>
          <w:sz w:val="24"/>
          <w:highlight w:val="none"/>
          <w:lang w:eastAsia="zh-CN"/>
        </w:rPr>
        <w:t>竞争性磋商</w:t>
      </w:r>
      <w:r>
        <w:rPr>
          <w:rFonts w:hint="eastAsia" w:ascii="宋体" w:hAnsi="宋体" w:eastAsia="宋体"/>
          <w:b w:val="0"/>
          <w:i w:val="0"/>
          <w:color w:val="auto"/>
          <w:spacing w:val="0"/>
          <w:w w:val="100"/>
          <w:sz w:val="24"/>
          <w:highlight w:val="none"/>
        </w:rPr>
        <w:t>响应文件不存在低于成本的恶意报价行为。</w:t>
      </w:r>
    </w:p>
    <w:p w14:paraId="7893CDA4">
      <w:pPr>
        <w:snapToGrid/>
        <w:spacing w:before="0" w:beforeAutospacing="0" w:after="0" w:afterAutospacing="0" w:line="480" w:lineRule="exact"/>
        <w:ind w:firstLine="480" w:firstLineChars="200"/>
        <w:jc w:val="both"/>
        <w:rPr>
          <w:rFonts w:hint="eastAsia" w:ascii="宋体" w:hAnsi="宋体" w:eastAsia="宋体"/>
          <w:b w:val="0"/>
          <w:i w:val="0"/>
          <w:color w:val="auto"/>
          <w:spacing w:val="0"/>
          <w:w w:val="100"/>
          <w:sz w:val="24"/>
          <w:highlight w:val="none"/>
        </w:rPr>
      </w:pPr>
      <w:r>
        <w:rPr>
          <w:rFonts w:hint="eastAsia" w:ascii="宋体" w:hAnsi="宋体" w:eastAsia="宋体"/>
          <w:b w:val="0"/>
          <w:i w:val="0"/>
          <w:color w:val="auto"/>
          <w:spacing w:val="0"/>
          <w:w w:val="100"/>
          <w:sz w:val="24"/>
          <w:highlight w:val="none"/>
        </w:rPr>
        <w:t>6、保证按磋商文件及成交通知书规定提交履约保证金并商签施工合同。</w:t>
      </w:r>
    </w:p>
    <w:p w14:paraId="5D752F55">
      <w:pPr>
        <w:snapToGrid/>
        <w:spacing w:before="0" w:beforeAutospacing="0" w:after="0" w:afterAutospacing="0" w:line="480" w:lineRule="exact"/>
        <w:ind w:firstLine="480" w:firstLineChars="200"/>
        <w:jc w:val="both"/>
        <w:rPr>
          <w:rFonts w:hint="eastAsia" w:ascii="宋体" w:hAnsi="宋体" w:eastAsia="宋体"/>
          <w:b w:val="0"/>
          <w:i w:val="0"/>
          <w:color w:val="auto"/>
          <w:spacing w:val="0"/>
          <w:w w:val="100"/>
          <w:sz w:val="24"/>
          <w:highlight w:val="none"/>
        </w:rPr>
      </w:pPr>
      <w:r>
        <w:rPr>
          <w:rFonts w:hint="eastAsia" w:ascii="宋体" w:hAnsi="宋体" w:eastAsia="宋体"/>
          <w:b w:val="0"/>
          <w:i w:val="0"/>
          <w:color w:val="auto"/>
          <w:spacing w:val="0"/>
          <w:w w:val="100"/>
          <w:sz w:val="24"/>
          <w:highlight w:val="none"/>
        </w:rPr>
        <w:t>7、保证按施工合同约定完成合同范围内的全部内容，履行保修期的施工责任。</w:t>
      </w:r>
    </w:p>
    <w:p w14:paraId="76E9A42C">
      <w:pPr>
        <w:snapToGrid/>
        <w:spacing w:before="0" w:beforeAutospacing="0" w:after="0" w:afterAutospacing="0" w:line="480" w:lineRule="exact"/>
        <w:ind w:firstLine="480" w:firstLineChars="200"/>
        <w:jc w:val="both"/>
        <w:rPr>
          <w:rFonts w:hint="eastAsia" w:ascii="宋体" w:hAnsi="宋体" w:eastAsia="宋体"/>
          <w:b w:val="0"/>
          <w:i w:val="0"/>
          <w:color w:val="auto"/>
          <w:spacing w:val="0"/>
          <w:w w:val="100"/>
          <w:sz w:val="24"/>
          <w:highlight w:val="none"/>
        </w:rPr>
      </w:pPr>
      <w:r>
        <w:rPr>
          <w:rFonts w:hint="eastAsia" w:ascii="宋体" w:hAnsi="宋体" w:eastAsia="宋体"/>
          <w:b w:val="0"/>
          <w:i w:val="0"/>
          <w:color w:val="auto"/>
          <w:spacing w:val="0"/>
          <w:w w:val="100"/>
          <w:sz w:val="24"/>
          <w:highlight w:val="none"/>
        </w:rPr>
        <w:t>8、保证成交之后按</w:t>
      </w:r>
      <w:r>
        <w:rPr>
          <w:rFonts w:hint="eastAsia" w:ascii="宋体" w:hAnsi="宋体" w:eastAsia="宋体"/>
          <w:b w:val="0"/>
          <w:i w:val="0"/>
          <w:color w:val="auto"/>
          <w:spacing w:val="0"/>
          <w:w w:val="100"/>
          <w:sz w:val="24"/>
          <w:highlight w:val="none"/>
          <w:lang w:eastAsia="zh-CN"/>
        </w:rPr>
        <w:t>竞争性磋商</w:t>
      </w:r>
      <w:r>
        <w:rPr>
          <w:rFonts w:hint="eastAsia" w:ascii="宋体" w:hAnsi="宋体" w:eastAsia="宋体"/>
          <w:b w:val="0"/>
          <w:i w:val="0"/>
          <w:color w:val="auto"/>
          <w:spacing w:val="0"/>
          <w:w w:val="100"/>
          <w:sz w:val="24"/>
          <w:highlight w:val="none"/>
        </w:rPr>
        <w:t>响应文件承诺安排项目经理；在合同工期内不经招标单位同意，不得随便更换项目经理及主要技术、管理人员。</w:t>
      </w:r>
    </w:p>
    <w:p w14:paraId="7D8159FA">
      <w:pPr>
        <w:snapToGrid/>
        <w:spacing w:before="0" w:beforeAutospacing="0" w:after="0" w:afterAutospacing="0" w:line="480" w:lineRule="exact"/>
        <w:ind w:firstLine="480" w:firstLineChars="200"/>
        <w:jc w:val="both"/>
        <w:rPr>
          <w:rFonts w:hint="eastAsia" w:ascii="宋体" w:hAnsi="宋体" w:eastAsia="宋体"/>
          <w:b w:val="0"/>
          <w:i w:val="0"/>
          <w:color w:val="auto"/>
          <w:spacing w:val="0"/>
          <w:w w:val="100"/>
          <w:sz w:val="24"/>
          <w:highlight w:val="none"/>
        </w:rPr>
      </w:pPr>
      <w:r>
        <w:rPr>
          <w:rFonts w:hint="eastAsia" w:ascii="宋体" w:hAnsi="宋体" w:eastAsia="宋体"/>
          <w:b w:val="0"/>
          <w:i w:val="0"/>
          <w:color w:val="auto"/>
          <w:spacing w:val="0"/>
          <w:w w:val="100"/>
          <w:sz w:val="24"/>
          <w:highlight w:val="none"/>
        </w:rPr>
        <w:t>9、保证成交之后密切配合建设单位及施工单位开展工作。</w:t>
      </w:r>
    </w:p>
    <w:p w14:paraId="2326046E">
      <w:pPr>
        <w:snapToGrid/>
        <w:spacing w:before="0" w:beforeAutospacing="0" w:after="0" w:afterAutospacing="0" w:line="480" w:lineRule="exact"/>
        <w:ind w:firstLine="480" w:firstLineChars="200"/>
        <w:jc w:val="both"/>
        <w:rPr>
          <w:rFonts w:hint="eastAsia" w:ascii="宋体" w:hAnsi="宋体" w:eastAsia="宋体"/>
          <w:b w:val="0"/>
          <w:i w:val="0"/>
          <w:color w:val="auto"/>
          <w:spacing w:val="0"/>
          <w:w w:val="100"/>
          <w:sz w:val="24"/>
          <w:highlight w:val="none"/>
        </w:rPr>
      </w:pPr>
      <w:r>
        <w:rPr>
          <w:rFonts w:hint="eastAsia" w:ascii="宋体" w:hAnsi="宋体" w:eastAsia="宋体"/>
          <w:b w:val="0"/>
          <w:i w:val="0"/>
          <w:color w:val="auto"/>
          <w:spacing w:val="0"/>
          <w:w w:val="100"/>
          <w:sz w:val="24"/>
          <w:highlight w:val="none"/>
        </w:rPr>
        <w:t>10、保证按磋商文件及施工合同约定的原则处理施工费用调整事宜，不发生签署施工合同之后恶意提高施工费用的行为。</w:t>
      </w:r>
    </w:p>
    <w:p w14:paraId="51E9F38D">
      <w:pPr>
        <w:snapToGrid/>
        <w:spacing w:before="0" w:beforeAutospacing="0" w:after="0" w:afterAutospacing="0" w:line="480" w:lineRule="exact"/>
        <w:ind w:firstLine="480" w:firstLineChars="200"/>
        <w:jc w:val="both"/>
        <w:rPr>
          <w:rFonts w:hint="eastAsia" w:ascii="宋体" w:hAnsi="宋体" w:eastAsia="宋体"/>
          <w:b w:val="0"/>
          <w:i w:val="0"/>
          <w:color w:val="auto"/>
          <w:spacing w:val="0"/>
          <w:w w:val="100"/>
          <w:sz w:val="24"/>
          <w:highlight w:val="none"/>
        </w:rPr>
      </w:pPr>
      <w:r>
        <w:rPr>
          <w:rFonts w:hint="eastAsia" w:ascii="宋体" w:hAnsi="宋体" w:eastAsia="宋体"/>
          <w:b w:val="0"/>
          <w:i w:val="0"/>
          <w:color w:val="auto"/>
          <w:spacing w:val="0"/>
          <w:w w:val="100"/>
          <w:sz w:val="24"/>
          <w:highlight w:val="none"/>
        </w:rPr>
        <w:t>若有违反以上1、2、3、5、任何一条，同意被废除磋商资格并接受处罚。</w:t>
      </w:r>
    </w:p>
    <w:p w14:paraId="1B1A81BF">
      <w:pPr>
        <w:snapToGrid/>
        <w:spacing w:before="0" w:beforeAutospacing="0" w:after="0" w:afterAutospacing="0" w:line="480" w:lineRule="exact"/>
        <w:ind w:firstLine="480" w:firstLineChars="200"/>
        <w:jc w:val="both"/>
        <w:rPr>
          <w:rFonts w:hint="eastAsia" w:ascii="宋体" w:hAnsi="宋体" w:eastAsia="宋体"/>
          <w:b w:val="0"/>
          <w:i w:val="0"/>
          <w:color w:val="auto"/>
          <w:spacing w:val="0"/>
          <w:w w:val="100"/>
          <w:sz w:val="24"/>
          <w:highlight w:val="none"/>
        </w:rPr>
      </w:pPr>
      <w:r>
        <w:rPr>
          <w:rFonts w:hint="eastAsia" w:ascii="宋体" w:hAnsi="宋体" w:eastAsia="宋体"/>
          <w:b w:val="0"/>
          <w:i w:val="0"/>
          <w:color w:val="auto"/>
          <w:spacing w:val="0"/>
          <w:w w:val="100"/>
          <w:sz w:val="24"/>
          <w:highlight w:val="none"/>
        </w:rPr>
        <w:t>若有违反以上4、6、7、8、9、10任何一条，同意接受招标单位违约处罚并承担相应的责任。</w:t>
      </w:r>
    </w:p>
    <w:p w14:paraId="014624E7">
      <w:pPr>
        <w:snapToGrid/>
        <w:spacing w:before="0" w:beforeAutospacing="0" w:after="0" w:afterAutospacing="0" w:line="360" w:lineRule="auto"/>
        <w:ind w:firstLine="3360" w:firstLineChars="1400"/>
        <w:jc w:val="both"/>
        <w:rPr>
          <w:rFonts w:hint="eastAsia" w:ascii="宋体" w:hAnsi="宋体" w:eastAsia="宋体"/>
          <w:b w:val="0"/>
          <w:i w:val="0"/>
          <w:color w:val="auto"/>
          <w:spacing w:val="0"/>
          <w:w w:val="100"/>
          <w:sz w:val="24"/>
          <w:highlight w:val="none"/>
        </w:rPr>
      </w:pPr>
      <w:r>
        <w:rPr>
          <w:rFonts w:hint="eastAsia" w:ascii="宋体" w:hAnsi="宋体"/>
          <w:b w:val="0"/>
          <w:i w:val="0"/>
          <w:color w:val="auto"/>
          <w:spacing w:val="0"/>
          <w:w w:val="100"/>
          <w:sz w:val="24"/>
          <w:highlight w:val="none"/>
          <w:lang w:eastAsia="zh-CN"/>
        </w:rPr>
        <w:t>供应商</w:t>
      </w:r>
      <w:r>
        <w:rPr>
          <w:rFonts w:hint="eastAsia" w:ascii="宋体" w:hAnsi="宋体" w:eastAsia="宋体"/>
          <w:b w:val="0"/>
          <w:i w:val="0"/>
          <w:color w:val="auto"/>
          <w:spacing w:val="0"/>
          <w:w w:val="100"/>
          <w:sz w:val="24"/>
          <w:highlight w:val="none"/>
        </w:rPr>
        <w:t>(盖单位章)：</w:t>
      </w:r>
      <w:r>
        <w:rPr>
          <w:rFonts w:hint="eastAsia" w:ascii="宋体" w:hAnsi="宋体" w:eastAsia="宋体"/>
          <w:b w:val="0"/>
          <w:i w:val="0"/>
          <w:color w:val="auto"/>
          <w:spacing w:val="0"/>
          <w:w w:val="100"/>
          <w:sz w:val="24"/>
          <w:highlight w:val="none"/>
          <w:u w:val="single"/>
        </w:rPr>
        <w:t xml:space="preserve">                  </w:t>
      </w:r>
      <w:r>
        <w:rPr>
          <w:rFonts w:hint="eastAsia" w:ascii="宋体" w:hAnsi="宋体" w:eastAsia="宋体"/>
          <w:b w:val="0"/>
          <w:i w:val="0"/>
          <w:color w:val="auto"/>
          <w:spacing w:val="0"/>
          <w:w w:val="100"/>
          <w:sz w:val="24"/>
          <w:highlight w:val="none"/>
        </w:rPr>
        <w:t xml:space="preserve"> </w:t>
      </w:r>
    </w:p>
    <w:p w14:paraId="0FF4332F">
      <w:pPr>
        <w:snapToGrid/>
        <w:spacing w:before="0" w:beforeAutospacing="0" w:after="0" w:afterAutospacing="0" w:line="360" w:lineRule="auto"/>
        <w:ind w:firstLine="3240" w:firstLineChars="1350"/>
        <w:jc w:val="both"/>
        <w:rPr>
          <w:rFonts w:hint="eastAsia" w:ascii="宋体" w:hAnsi="宋体" w:eastAsia="宋体"/>
          <w:b w:val="0"/>
          <w:i w:val="0"/>
          <w:color w:val="auto"/>
          <w:spacing w:val="0"/>
          <w:w w:val="100"/>
          <w:sz w:val="24"/>
          <w:highlight w:val="none"/>
        </w:rPr>
      </w:pPr>
      <w:r>
        <w:rPr>
          <w:rFonts w:hint="eastAsia" w:ascii="宋体" w:hAnsi="宋体" w:eastAsia="宋体"/>
          <w:b w:val="0"/>
          <w:i w:val="0"/>
          <w:color w:val="auto"/>
          <w:spacing w:val="0"/>
          <w:w w:val="100"/>
          <w:sz w:val="24"/>
          <w:highlight w:val="none"/>
        </w:rPr>
        <w:t>法定代表人（</w:t>
      </w:r>
      <w:r>
        <w:rPr>
          <w:rFonts w:hint="eastAsia" w:ascii="宋体" w:hAnsi="宋体" w:eastAsia="宋体"/>
          <w:b w:val="0"/>
          <w:i w:val="0"/>
          <w:color w:val="auto"/>
          <w:spacing w:val="0"/>
          <w:w w:val="100"/>
          <w:sz w:val="24"/>
          <w:highlight w:val="none"/>
          <w:lang w:val="en-US" w:eastAsia="zh-CN"/>
        </w:rPr>
        <w:t>签字或</w:t>
      </w:r>
      <w:r>
        <w:rPr>
          <w:rFonts w:hint="eastAsia" w:ascii="宋体" w:hAnsi="宋体" w:eastAsia="宋体"/>
          <w:b w:val="0"/>
          <w:i w:val="0"/>
          <w:color w:val="auto"/>
          <w:spacing w:val="0"/>
          <w:w w:val="100"/>
          <w:sz w:val="24"/>
          <w:szCs w:val="24"/>
          <w:highlight w:val="none"/>
          <w:lang w:eastAsia="zh-CN"/>
        </w:rPr>
        <w:t>盖章</w:t>
      </w:r>
      <w:r>
        <w:rPr>
          <w:rFonts w:hint="eastAsia" w:ascii="宋体" w:hAnsi="宋体" w:eastAsia="宋体"/>
          <w:b w:val="0"/>
          <w:i w:val="0"/>
          <w:color w:val="auto"/>
          <w:spacing w:val="0"/>
          <w:w w:val="100"/>
          <w:sz w:val="24"/>
          <w:highlight w:val="none"/>
        </w:rPr>
        <w:t>）：</w:t>
      </w:r>
      <w:r>
        <w:rPr>
          <w:rFonts w:hint="eastAsia" w:ascii="宋体" w:hAnsi="宋体" w:eastAsia="宋体"/>
          <w:b w:val="0"/>
          <w:i w:val="0"/>
          <w:color w:val="auto"/>
          <w:spacing w:val="0"/>
          <w:w w:val="100"/>
          <w:sz w:val="24"/>
          <w:highlight w:val="none"/>
          <w:u w:val="single"/>
        </w:rPr>
        <w:t xml:space="preserve">                  </w:t>
      </w:r>
    </w:p>
    <w:p w14:paraId="03F60A5A">
      <w:pPr>
        <w:snapToGrid/>
        <w:spacing w:before="0" w:beforeAutospacing="0" w:after="0" w:afterAutospacing="0" w:line="360" w:lineRule="auto"/>
        <w:ind w:firstLine="4320" w:firstLineChars="1800"/>
        <w:jc w:val="both"/>
        <w:rPr>
          <w:rFonts w:hint="eastAsia" w:ascii="宋体" w:hAnsi="宋体" w:eastAsia="宋体"/>
          <w:b w:val="0"/>
          <w:i w:val="0"/>
          <w:color w:val="auto"/>
          <w:spacing w:val="0"/>
          <w:w w:val="100"/>
          <w:sz w:val="24"/>
          <w:highlight w:val="none"/>
        </w:rPr>
      </w:pPr>
      <w:r>
        <w:rPr>
          <w:rFonts w:hint="eastAsia" w:ascii="宋体" w:hAnsi="宋体" w:eastAsia="宋体"/>
          <w:b w:val="0"/>
          <w:i w:val="0"/>
          <w:color w:val="auto"/>
          <w:spacing w:val="0"/>
          <w:w w:val="100"/>
          <w:sz w:val="24"/>
          <w:highlight w:val="none"/>
        </w:rPr>
        <w:t>日    期：     年    月    日</w:t>
      </w:r>
    </w:p>
    <w:p w14:paraId="3FDFDD8F">
      <w:pPr>
        <w:jc w:val="center"/>
        <w:outlineLvl w:val="0"/>
        <w:rPr>
          <w:rFonts w:hint="eastAsia" w:ascii="宋体" w:hAnsi="宋体"/>
          <w:b/>
          <w:color w:val="auto"/>
          <w:sz w:val="24"/>
          <w:highlight w:val="none"/>
        </w:rPr>
      </w:pPr>
    </w:p>
    <w:p w14:paraId="1E3CEFC9">
      <w:pPr>
        <w:jc w:val="center"/>
        <w:outlineLvl w:val="0"/>
        <w:rPr>
          <w:rFonts w:hint="eastAsia" w:ascii="宋体" w:hAnsi="宋体"/>
          <w:b/>
          <w:color w:val="auto"/>
          <w:sz w:val="24"/>
          <w:highlight w:val="none"/>
        </w:rPr>
      </w:pPr>
      <w:bookmarkStart w:id="267" w:name="_Toc105654885"/>
      <w:bookmarkStart w:id="268" w:name="_Toc104558774"/>
    </w:p>
    <w:bookmarkEnd w:id="258"/>
    <w:bookmarkEnd w:id="259"/>
    <w:bookmarkEnd w:id="260"/>
    <w:bookmarkEnd w:id="261"/>
    <w:bookmarkEnd w:id="262"/>
    <w:bookmarkEnd w:id="263"/>
    <w:bookmarkEnd w:id="264"/>
    <w:bookmarkEnd w:id="265"/>
    <w:bookmarkEnd w:id="266"/>
    <w:bookmarkEnd w:id="267"/>
    <w:bookmarkEnd w:id="268"/>
    <w:p w14:paraId="4D5B092D">
      <w:pPr>
        <w:jc w:val="center"/>
        <w:outlineLvl w:val="0"/>
        <w:rPr>
          <w:rFonts w:hint="eastAsia" w:ascii="宋体" w:hAnsi="宋体"/>
          <w:b/>
          <w:color w:val="auto"/>
          <w:sz w:val="24"/>
          <w:highlight w:val="none"/>
        </w:rPr>
      </w:pPr>
      <w:r>
        <w:rPr>
          <w:rFonts w:hint="eastAsia" w:ascii="宋体" w:hAnsi="宋体"/>
          <w:b/>
          <w:color w:val="auto"/>
          <w:sz w:val="24"/>
          <w:highlight w:val="none"/>
        </w:rPr>
        <w:t>五、已标价工程量清单</w:t>
      </w:r>
    </w:p>
    <w:p w14:paraId="7B60BC85">
      <w:pPr>
        <w:jc w:val="center"/>
        <w:rPr>
          <w:rFonts w:hint="eastAsia" w:ascii="宋体" w:hAnsi="宋体"/>
          <w:color w:val="auto"/>
          <w:sz w:val="24"/>
          <w:highlight w:val="none"/>
        </w:rPr>
      </w:pPr>
    </w:p>
    <w:p w14:paraId="6B769B63">
      <w:pPr>
        <w:jc w:val="center"/>
        <w:rPr>
          <w:rFonts w:hint="eastAsia" w:ascii="宋体" w:hAnsi="宋体"/>
          <w:color w:val="auto"/>
          <w:sz w:val="24"/>
          <w:highlight w:val="none"/>
        </w:rPr>
      </w:pPr>
    </w:p>
    <w:p w14:paraId="6CC8BAE8">
      <w:pPr>
        <w:jc w:val="center"/>
        <w:rPr>
          <w:rFonts w:hint="eastAsia" w:ascii="宋体" w:hAnsi="宋体"/>
          <w:color w:val="auto"/>
          <w:sz w:val="24"/>
          <w:highlight w:val="none"/>
        </w:rPr>
      </w:pPr>
    </w:p>
    <w:p w14:paraId="14118A03">
      <w:pPr>
        <w:jc w:val="center"/>
        <w:rPr>
          <w:rFonts w:hint="eastAsia" w:ascii="宋体" w:hAnsi="宋体"/>
          <w:color w:val="auto"/>
          <w:sz w:val="24"/>
          <w:highlight w:val="none"/>
        </w:rPr>
      </w:pPr>
    </w:p>
    <w:p w14:paraId="331A1E02">
      <w:pPr>
        <w:jc w:val="center"/>
        <w:rPr>
          <w:rFonts w:hint="eastAsia" w:ascii="宋体" w:hAnsi="宋体"/>
          <w:color w:val="auto"/>
          <w:sz w:val="24"/>
          <w:highlight w:val="none"/>
        </w:rPr>
      </w:pPr>
    </w:p>
    <w:p w14:paraId="490F72C5">
      <w:pPr>
        <w:jc w:val="center"/>
        <w:rPr>
          <w:rFonts w:hint="eastAsia" w:ascii="宋体" w:hAnsi="宋体"/>
          <w:color w:val="auto"/>
          <w:sz w:val="24"/>
          <w:highlight w:val="none"/>
        </w:rPr>
      </w:pPr>
    </w:p>
    <w:p w14:paraId="583FD765">
      <w:pPr>
        <w:jc w:val="center"/>
        <w:rPr>
          <w:rFonts w:hint="eastAsia" w:ascii="宋体" w:hAnsi="宋体"/>
          <w:color w:val="auto"/>
          <w:sz w:val="24"/>
          <w:highlight w:val="none"/>
        </w:rPr>
      </w:pPr>
    </w:p>
    <w:p w14:paraId="62816C58">
      <w:pPr>
        <w:jc w:val="center"/>
        <w:rPr>
          <w:rFonts w:hint="eastAsia" w:ascii="宋体" w:hAnsi="宋体"/>
          <w:color w:val="auto"/>
          <w:sz w:val="24"/>
          <w:highlight w:val="none"/>
        </w:rPr>
      </w:pPr>
    </w:p>
    <w:p w14:paraId="30EA9B9C">
      <w:pPr>
        <w:jc w:val="center"/>
        <w:rPr>
          <w:rFonts w:hint="eastAsia" w:ascii="宋体" w:hAnsi="宋体"/>
          <w:color w:val="auto"/>
          <w:sz w:val="24"/>
          <w:highlight w:val="none"/>
        </w:rPr>
      </w:pPr>
    </w:p>
    <w:p w14:paraId="6980F241">
      <w:pPr>
        <w:jc w:val="center"/>
        <w:rPr>
          <w:rFonts w:hint="eastAsia" w:ascii="宋体" w:hAnsi="宋体"/>
          <w:color w:val="auto"/>
          <w:sz w:val="24"/>
          <w:highlight w:val="none"/>
        </w:rPr>
      </w:pPr>
    </w:p>
    <w:p w14:paraId="0FAC98B8">
      <w:pPr>
        <w:jc w:val="center"/>
        <w:rPr>
          <w:rFonts w:hint="eastAsia" w:ascii="宋体" w:hAnsi="宋体"/>
          <w:color w:val="auto"/>
          <w:sz w:val="24"/>
          <w:highlight w:val="none"/>
        </w:rPr>
      </w:pPr>
    </w:p>
    <w:p w14:paraId="74D4661D">
      <w:pPr>
        <w:jc w:val="center"/>
        <w:rPr>
          <w:rFonts w:hint="eastAsia" w:ascii="宋体" w:hAnsi="宋体"/>
          <w:color w:val="auto"/>
          <w:sz w:val="24"/>
          <w:highlight w:val="none"/>
        </w:rPr>
      </w:pPr>
    </w:p>
    <w:p w14:paraId="78CD397C">
      <w:pPr>
        <w:jc w:val="center"/>
        <w:rPr>
          <w:rFonts w:hint="eastAsia" w:ascii="宋体" w:hAnsi="宋体"/>
          <w:color w:val="auto"/>
          <w:sz w:val="24"/>
          <w:highlight w:val="none"/>
        </w:rPr>
      </w:pPr>
    </w:p>
    <w:p w14:paraId="715AE6CF">
      <w:pPr>
        <w:jc w:val="center"/>
        <w:rPr>
          <w:rFonts w:hint="eastAsia" w:ascii="宋体" w:hAnsi="宋体"/>
          <w:color w:val="auto"/>
          <w:sz w:val="24"/>
          <w:highlight w:val="none"/>
        </w:rPr>
      </w:pPr>
    </w:p>
    <w:p w14:paraId="7C355379">
      <w:pPr>
        <w:jc w:val="center"/>
        <w:rPr>
          <w:rFonts w:hint="eastAsia" w:ascii="宋体" w:hAnsi="宋体"/>
          <w:color w:val="auto"/>
          <w:sz w:val="24"/>
          <w:highlight w:val="none"/>
        </w:rPr>
      </w:pPr>
    </w:p>
    <w:p w14:paraId="6CF0187E">
      <w:pPr>
        <w:jc w:val="center"/>
        <w:rPr>
          <w:rFonts w:hint="eastAsia" w:ascii="宋体" w:hAnsi="宋体"/>
          <w:color w:val="auto"/>
          <w:sz w:val="24"/>
          <w:highlight w:val="none"/>
        </w:rPr>
      </w:pPr>
    </w:p>
    <w:p w14:paraId="08D51C9D">
      <w:pPr>
        <w:jc w:val="center"/>
        <w:rPr>
          <w:rFonts w:hint="eastAsia" w:ascii="宋体" w:hAnsi="宋体"/>
          <w:color w:val="auto"/>
          <w:sz w:val="24"/>
          <w:highlight w:val="none"/>
        </w:rPr>
      </w:pPr>
    </w:p>
    <w:p w14:paraId="6B468AA8">
      <w:pPr>
        <w:jc w:val="center"/>
        <w:rPr>
          <w:rFonts w:hint="eastAsia" w:ascii="宋体" w:hAnsi="宋体"/>
          <w:color w:val="auto"/>
          <w:sz w:val="24"/>
          <w:highlight w:val="none"/>
        </w:rPr>
      </w:pPr>
    </w:p>
    <w:p w14:paraId="16E50EA5">
      <w:pPr>
        <w:pStyle w:val="51"/>
        <w:rPr>
          <w:rFonts w:hint="eastAsia" w:ascii="宋体" w:hAnsi="宋体"/>
          <w:color w:val="auto"/>
          <w:highlight w:val="none"/>
        </w:rPr>
      </w:pPr>
    </w:p>
    <w:p w14:paraId="7C05C37E">
      <w:pPr>
        <w:jc w:val="center"/>
        <w:rPr>
          <w:rFonts w:hint="eastAsia" w:ascii="宋体" w:hAnsi="宋体"/>
          <w:color w:val="auto"/>
          <w:sz w:val="24"/>
          <w:highlight w:val="none"/>
        </w:rPr>
      </w:pPr>
    </w:p>
    <w:p w14:paraId="7A06ABBA">
      <w:pPr>
        <w:jc w:val="center"/>
        <w:outlineLvl w:val="0"/>
        <w:rPr>
          <w:rFonts w:hint="eastAsia" w:ascii="宋体" w:hAnsi="宋体"/>
          <w:b/>
          <w:color w:val="auto"/>
          <w:sz w:val="24"/>
          <w:highlight w:val="none"/>
        </w:rPr>
      </w:pPr>
      <w:bookmarkStart w:id="269" w:name="_Toc5214"/>
      <w:bookmarkEnd w:id="269"/>
      <w:bookmarkStart w:id="270" w:name="_Toc105654886"/>
      <w:bookmarkEnd w:id="270"/>
      <w:bookmarkStart w:id="271" w:name="_Toc29705"/>
      <w:bookmarkEnd w:id="271"/>
      <w:bookmarkStart w:id="272" w:name="_Toc7039"/>
      <w:bookmarkEnd w:id="272"/>
      <w:bookmarkStart w:id="273" w:name="_Toc2568"/>
      <w:bookmarkEnd w:id="273"/>
      <w:bookmarkStart w:id="274" w:name="_Toc489602195"/>
      <w:bookmarkEnd w:id="274"/>
      <w:bookmarkStart w:id="275" w:name="_Toc104558775"/>
      <w:bookmarkEnd w:id="275"/>
      <w:r>
        <w:rPr>
          <w:rFonts w:hint="eastAsia" w:ascii="宋体" w:hAnsi="宋体"/>
          <w:b/>
          <w:color w:val="auto"/>
          <w:sz w:val="24"/>
          <w:highlight w:val="none"/>
        </w:rPr>
        <w:t>六、施工组织设计</w:t>
      </w:r>
    </w:p>
    <w:p w14:paraId="02825C44">
      <w:pPr>
        <w:jc w:val="center"/>
        <w:rPr>
          <w:rFonts w:hint="eastAsia" w:ascii="宋体" w:hAnsi="宋体"/>
          <w:color w:val="auto"/>
          <w:sz w:val="24"/>
          <w:highlight w:val="none"/>
          <w:lang w:val="en-US" w:eastAsia="zh-CN"/>
        </w:rPr>
      </w:pPr>
      <w:r>
        <w:rPr>
          <w:rFonts w:hint="eastAsia" w:ascii="宋体" w:hAnsi="宋体"/>
          <w:color w:val="auto"/>
          <w:sz w:val="24"/>
          <w:highlight w:val="none"/>
          <w:lang w:val="en-US" w:eastAsia="zh-CN"/>
        </w:rPr>
        <w:t>格式自拟</w:t>
      </w:r>
    </w:p>
    <w:p w14:paraId="47E38D7D">
      <w:pPr>
        <w:jc w:val="center"/>
        <w:rPr>
          <w:rFonts w:hint="eastAsia" w:ascii="宋体" w:hAnsi="宋体"/>
          <w:color w:val="auto"/>
          <w:sz w:val="24"/>
          <w:highlight w:val="none"/>
        </w:rPr>
      </w:pPr>
    </w:p>
    <w:p w14:paraId="05BD2116">
      <w:pPr>
        <w:jc w:val="center"/>
        <w:rPr>
          <w:rFonts w:hint="eastAsia" w:ascii="宋体" w:hAnsi="宋体"/>
          <w:color w:val="auto"/>
          <w:sz w:val="24"/>
          <w:highlight w:val="none"/>
        </w:rPr>
      </w:pPr>
    </w:p>
    <w:p w14:paraId="1CFDC9C7">
      <w:pPr>
        <w:jc w:val="center"/>
        <w:rPr>
          <w:rFonts w:hint="eastAsia" w:ascii="宋体" w:hAnsi="宋体"/>
          <w:color w:val="auto"/>
          <w:sz w:val="24"/>
          <w:highlight w:val="none"/>
        </w:rPr>
      </w:pPr>
    </w:p>
    <w:p w14:paraId="59D64674">
      <w:pPr>
        <w:jc w:val="center"/>
        <w:rPr>
          <w:rFonts w:hint="eastAsia" w:ascii="宋体" w:hAnsi="宋体"/>
          <w:color w:val="auto"/>
          <w:sz w:val="24"/>
          <w:highlight w:val="none"/>
        </w:rPr>
      </w:pPr>
    </w:p>
    <w:p w14:paraId="1C55D73B">
      <w:pPr>
        <w:jc w:val="center"/>
        <w:rPr>
          <w:rFonts w:hint="eastAsia" w:ascii="宋体" w:hAnsi="宋体"/>
          <w:color w:val="auto"/>
          <w:sz w:val="24"/>
          <w:highlight w:val="none"/>
        </w:rPr>
      </w:pPr>
    </w:p>
    <w:p w14:paraId="03713A6B">
      <w:pPr>
        <w:jc w:val="center"/>
        <w:rPr>
          <w:rFonts w:hint="eastAsia" w:ascii="宋体" w:hAnsi="宋体"/>
          <w:color w:val="auto"/>
          <w:sz w:val="24"/>
          <w:highlight w:val="none"/>
        </w:rPr>
      </w:pPr>
    </w:p>
    <w:p w14:paraId="6055AB31">
      <w:pPr>
        <w:jc w:val="center"/>
        <w:rPr>
          <w:rFonts w:hint="eastAsia" w:ascii="宋体" w:hAnsi="宋体"/>
          <w:color w:val="auto"/>
          <w:sz w:val="24"/>
          <w:highlight w:val="none"/>
        </w:rPr>
      </w:pPr>
    </w:p>
    <w:p w14:paraId="0237C7F9">
      <w:pPr>
        <w:rPr>
          <w:rFonts w:hint="eastAsia" w:ascii="宋体" w:hAnsi="宋体"/>
          <w:color w:val="auto"/>
          <w:sz w:val="24"/>
          <w:highlight w:val="none"/>
        </w:rPr>
      </w:pPr>
    </w:p>
    <w:p w14:paraId="6B3916BD">
      <w:pPr>
        <w:rPr>
          <w:rFonts w:hint="eastAsia" w:ascii="宋体" w:hAnsi="宋体"/>
          <w:color w:val="auto"/>
          <w:sz w:val="24"/>
          <w:highlight w:val="none"/>
        </w:rPr>
      </w:pPr>
    </w:p>
    <w:p w14:paraId="272B8256">
      <w:pPr>
        <w:jc w:val="center"/>
        <w:outlineLvl w:val="0"/>
        <w:rPr>
          <w:rFonts w:hint="eastAsia" w:ascii="宋体" w:hAnsi="宋体"/>
          <w:color w:val="auto"/>
          <w:sz w:val="24"/>
          <w:highlight w:val="none"/>
        </w:rPr>
      </w:pPr>
      <w:bookmarkStart w:id="276" w:name="_Toc32743"/>
      <w:bookmarkEnd w:id="276"/>
      <w:bookmarkStart w:id="277" w:name="_Toc28738"/>
      <w:bookmarkEnd w:id="277"/>
      <w:bookmarkStart w:id="278" w:name="_Toc489602201"/>
      <w:bookmarkEnd w:id="278"/>
      <w:bookmarkStart w:id="279" w:name="_Toc104558780"/>
      <w:bookmarkEnd w:id="279"/>
      <w:bookmarkStart w:id="280" w:name="_Toc27142"/>
      <w:bookmarkEnd w:id="280"/>
      <w:bookmarkStart w:id="281" w:name="_Toc463691053"/>
      <w:bookmarkEnd w:id="281"/>
      <w:bookmarkStart w:id="282" w:name="_Toc15639"/>
      <w:bookmarkEnd w:id="282"/>
      <w:bookmarkStart w:id="283" w:name="_Toc105654891"/>
      <w:bookmarkEnd w:id="283"/>
      <w:bookmarkStart w:id="284" w:name="_Toc18922"/>
      <w:bookmarkEnd w:id="284"/>
      <w:bookmarkStart w:id="285" w:name="_Toc117"/>
      <w:bookmarkEnd w:id="285"/>
      <w:bookmarkStart w:id="286" w:name="_Toc2651"/>
      <w:bookmarkEnd w:id="286"/>
      <w:r>
        <w:rPr>
          <w:rFonts w:hint="eastAsia" w:ascii="宋体" w:hAnsi="宋体"/>
          <w:color w:val="auto"/>
          <w:sz w:val="24"/>
          <w:highlight w:val="none"/>
        </w:rPr>
        <w:br w:type="page"/>
      </w:r>
      <w:r>
        <w:rPr>
          <w:rFonts w:hint="eastAsia" w:ascii="宋体" w:hAnsi="宋体"/>
          <w:b/>
          <w:color w:val="auto"/>
          <w:sz w:val="24"/>
          <w:highlight w:val="none"/>
        </w:rPr>
        <w:t>七、项目管理机构</w:t>
      </w:r>
    </w:p>
    <w:p w14:paraId="6ED6538A">
      <w:pPr>
        <w:ind w:firstLine="241" w:firstLineChars="100"/>
        <w:outlineLvl w:val="2"/>
        <w:rPr>
          <w:rFonts w:hint="eastAsia" w:ascii="宋体" w:hAnsi="宋体"/>
          <w:b/>
          <w:color w:val="auto"/>
          <w:sz w:val="24"/>
          <w:highlight w:val="none"/>
        </w:rPr>
      </w:pPr>
      <w:bookmarkStart w:id="287" w:name="_Toc16871"/>
      <w:bookmarkEnd w:id="287"/>
      <w:bookmarkStart w:id="288" w:name="_Toc2561"/>
      <w:bookmarkEnd w:id="288"/>
      <w:bookmarkStart w:id="289" w:name="_Toc105654892"/>
      <w:bookmarkEnd w:id="289"/>
      <w:bookmarkStart w:id="290" w:name="_Toc18351"/>
      <w:bookmarkEnd w:id="290"/>
      <w:bookmarkStart w:id="291" w:name="_Toc104558781"/>
      <w:bookmarkEnd w:id="291"/>
      <w:bookmarkStart w:id="292" w:name="_Toc6000"/>
      <w:bookmarkEnd w:id="292"/>
      <w:bookmarkStart w:id="293" w:name="_Toc7777"/>
      <w:bookmarkEnd w:id="293"/>
      <w:bookmarkStart w:id="294" w:name="_Toc463691054"/>
      <w:bookmarkEnd w:id="294"/>
      <w:bookmarkStart w:id="295" w:name="_Toc489602202"/>
      <w:bookmarkEnd w:id="295"/>
      <w:r>
        <w:rPr>
          <w:rFonts w:hint="eastAsia" w:ascii="宋体" w:hAnsi="宋体"/>
          <w:b/>
          <w:color w:val="auto"/>
          <w:sz w:val="24"/>
          <w:highlight w:val="none"/>
        </w:rPr>
        <w:t>（一）项目管理机构组成表</w:t>
      </w:r>
    </w:p>
    <w:tbl>
      <w:tblPr>
        <w:tblStyle w:val="12"/>
        <w:tblW w:w="960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00"/>
        <w:gridCol w:w="800"/>
        <w:gridCol w:w="800"/>
        <w:gridCol w:w="1280"/>
        <w:gridCol w:w="870"/>
        <w:gridCol w:w="1369"/>
        <w:gridCol w:w="1120"/>
        <w:gridCol w:w="1762"/>
        <w:gridCol w:w="799"/>
      </w:tblGrid>
      <w:tr w14:paraId="1AB415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800" w:type="dxa"/>
            <w:vMerge w:val="restart"/>
            <w:vAlign w:val="center"/>
          </w:tcPr>
          <w:p w14:paraId="5CE4811A">
            <w:pPr>
              <w:jc w:val="center"/>
              <w:rPr>
                <w:rFonts w:hint="eastAsia"/>
                <w:color w:val="auto"/>
                <w:highlight w:val="none"/>
              </w:rPr>
            </w:pPr>
            <w:r>
              <w:rPr>
                <w:rFonts w:hint="eastAsia"/>
                <w:color w:val="auto"/>
                <w:highlight w:val="none"/>
              </w:rPr>
              <w:t>职务</w:t>
            </w:r>
          </w:p>
        </w:tc>
        <w:tc>
          <w:tcPr>
            <w:tcW w:w="800" w:type="dxa"/>
            <w:vMerge w:val="restart"/>
            <w:vAlign w:val="center"/>
          </w:tcPr>
          <w:p w14:paraId="2F827CF8">
            <w:pPr>
              <w:jc w:val="center"/>
              <w:rPr>
                <w:rFonts w:hint="eastAsia"/>
                <w:color w:val="auto"/>
                <w:highlight w:val="none"/>
              </w:rPr>
            </w:pPr>
            <w:r>
              <w:rPr>
                <w:rFonts w:hint="eastAsia"/>
                <w:color w:val="auto"/>
                <w:highlight w:val="none"/>
              </w:rPr>
              <w:t>姓名</w:t>
            </w:r>
          </w:p>
        </w:tc>
        <w:tc>
          <w:tcPr>
            <w:tcW w:w="800" w:type="dxa"/>
            <w:vMerge w:val="restart"/>
            <w:vAlign w:val="center"/>
          </w:tcPr>
          <w:p w14:paraId="41E6B7EE">
            <w:pPr>
              <w:jc w:val="center"/>
              <w:rPr>
                <w:rFonts w:hint="eastAsia"/>
                <w:color w:val="auto"/>
                <w:highlight w:val="none"/>
              </w:rPr>
            </w:pPr>
            <w:r>
              <w:rPr>
                <w:rFonts w:hint="eastAsia"/>
                <w:color w:val="auto"/>
                <w:highlight w:val="none"/>
              </w:rPr>
              <w:t>职称</w:t>
            </w:r>
          </w:p>
        </w:tc>
        <w:tc>
          <w:tcPr>
            <w:tcW w:w="6401" w:type="dxa"/>
            <w:gridSpan w:val="5"/>
            <w:vAlign w:val="center"/>
          </w:tcPr>
          <w:p w14:paraId="1974C990">
            <w:pPr>
              <w:jc w:val="center"/>
              <w:rPr>
                <w:rFonts w:hint="eastAsia"/>
                <w:color w:val="auto"/>
                <w:highlight w:val="none"/>
              </w:rPr>
            </w:pPr>
            <w:r>
              <w:rPr>
                <w:rFonts w:hint="eastAsia"/>
                <w:color w:val="auto"/>
                <w:highlight w:val="none"/>
              </w:rPr>
              <w:t>执业或职业资格证明</w:t>
            </w:r>
          </w:p>
        </w:tc>
        <w:tc>
          <w:tcPr>
            <w:tcW w:w="799" w:type="dxa"/>
            <w:vMerge w:val="restart"/>
            <w:vAlign w:val="center"/>
          </w:tcPr>
          <w:p w14:paraId="0137A928">
            <w:pPr>
              <w:jc w:val="center"/>
              <w:rPr>
                <w:rFonts w:hint="eastAsia"/>
                <w:color w:val="auto"/>
                <w:highlight w:val="none"/>
              </w:rPr>
            </w:pPr>
            <w:r>
              <w:rPr>
                <w:rFonts w:hint="eastAsia"/>
                <w:color w:val="auto"/>
                <w:highlight w:val="none"/>
              </w:rPr>
              <w:t>备注</w:t>
            </w:r>
          </w:p>
        </w:tc>
      </w:tr>
      <w:tr w14:paraId="5A1C6C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800" w:type="dxa"/>
            <w:vMerge w:val="continue"/>
            <w:vAlign w:val="center"/>
          </w:tcPr>
          <w:p w14:paraId="24963724">
            <w:pPr>
              <w:rPr>
                <w:color w:val="auto"/>
                <w:highlight w:val="none"/>
              </w:rPr>
            </w:pPr>
          </w:p>
        </w:tc>
        <w:tc>
          <w:tcPr>
            <w:tcW w:w="800" w:type="dxa"/>
            <w:vMerge w:val="continue"/>
            <w:vAlign w:val="center"/>
          </w:tcPr>
          <w:p w14:paraId="139A28B0">
            <w:pPr>
              <w:rPr>
                <w:color w:val="auto"/>
                <w:highlight w:val="none"/>
              </w:rPr>
            </w:pPr>
          </w:p>
        </w:tc>
        <w:tc>
          <w:tcPr>
            <w:tcW w:w="800" w:type="dxa"/>
            <w:vMerge w:val="continue"/>
            <w:vAlign w:val="center"/>
          </w:tcPr>
          <w:p w14:paraId="4C3A6A25">
            <w:pPr>
              <w:rPr>
                <w:color w:val="auto"/>
                <w:highlight w:val="none"/>
              </w:rPr>
            </w:pPr>
          </w:p>
        </w:tc>
        <w:tc>
          <w:tcPr>
            <w:tcW w:w="1280" w:type="dxa"/>
            <w:vAlign w:val="center"/>
          </w:tcPr>
          <w:p w14:paraId="3799A944">
            <w:pPr>
              <w:jc w:val="center"/>
              <w:rPr>
                <w:rFonts w:hint="eastAsia"/>
                <w:color w:val="auto"/>
                <w:highlight w:val="none"/>
              </w:rPr>
            </w:pPr>
            <w:r>
              <w:rPr>
                <w:rFonts w:hint="eastAsia"/>
                <w:color w:val="auto"/>
                <w:highlight w:val="none"/>
              </w:rPr>
              <w:t>证书名称</w:t>
            </w:r>
          </w:p>
        </w:tc>
        <w:tc>
          <w:tcPr>
            <w:tcW w:w="870" w:type="dxa"/>
            <w:vAlign w:val="center"/>
          </w:tcPr>
          <w:p w14:paraId="0E80C410">
            <w:pPr>
              <w:jc w:val="center"/>
              <w:rPr>
                <w:rFonts w:hint="eastAsia"/>
                <w:color w:val="auto"/>
                <w:highlight w:val="none"/>
              </w:rPr>
            </w:pPr>
            <w:r>
              <w:rPr>
                <w:rFonts w:hint="eastAsia"/>
                <w:color w:val="auto"/>
                <w:highlight w:val="none"/>
              </w:rPr>
              <w:t>级别</w:t>
            </w:r>
          </w:p>
        </w:tc>
        <w:tc>
          <w:tcPr>
            <w:tcW w:w="1369" w:type="dxa"/>
            <w:vAlign w:val="center"/>
          </w:tcPr>
          <w:p w14:paraId="0FB6D25E">
            <w:pPr>
              <w:jc w:val="center"/>
              <w:rPr>
                <w:rFonts w:hint="eastAsia"/>
                <w:color w:val="auto"/>
                <w:highlight w:val="none"/>
              </w:rPr>
            </w:pPr>
            <w:r>
              <w:rPr>
                <w:rFonts w:hint="eastAsia"/>
                <w:color w:val="auto"/>
                <w:highlight w:val="none"/>
              </w:rPr>
              <w:t>证号</w:t>
            </w:r>
          </w:p>
        </w:tc>
        <w:tc>
          <w:tcPr>
            <w:tcW w:w="1120" w:type="dxa"/>
            <w:vAlign w:val="center"/>
          </w:tcPr>
          <w:p w14:paraId="3BC9C959">
            <w:pPr>
              <w:jc w:val="center"/>
              <w:rPr>
                <w:rFonts w:hint="eastAsia"/>
                <w:color w:val="auto"/>
                <w:highlight w:val="none"/>
              </w:rPr>
            </w:pPr>
            <w:r>
              <w:rPr>
                <w:rFonts w:hint="eastAsia"/>
                <w:color w:val="auto"/>
                <w:highlight w:val="none"/>
              </w:rPr>
              <w:t>专业</w:t>
            </w:r>
          </w:p>
        </w:tc>
        <w:tc>
          <w:tcPr>
            <w:tcW w:w="1761" w:type="dxa"/>
            <w:vAlign w:val="center"/>
          </w:tcPr>
          <w:p w14:paraId="085CC102">
            <w:pPr>
              <w:jc w:val="center"/>
              <w:rPr>
                <w:rFonts w:hint="eastAsia"/>
                <w:color w:val="auto"/>
                <w:highlight w:val="none"/>
              </w:rPr>
            </w:pPr>
            <w:r>
              <w:rPr>
                <w:rFonts w:hint="eastAsia"/>
                <w:color w:val="auto"/>
                <w:highlight w:val="none"/>
              </w:rPr>
              <w:t>养老保险</w:t>
            </w:r>
          </w:p>
        </w:tc>
        <w:tc>
          <w:tcPr>
            <w:tcW w:w="799" w:type="dxa"/>
            <w:vMerge w:val="continue"/>
            <w:vAlign w:val="center"/>
          </w:tcPr>
          <w:p w14:paraId="3E8BE4D9">
            <w:pPr>
              <w:rPr>
                <w:color w:val="auto"/>
                <w:highlight w:val="none"/>
              </w:rPr>
            </w:pPr>
          </w:p>
        </w:tc>
      </w:tr>
      <w:tr w14:paraId="4BA9C03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800" w:type="dxa"/>
            <w:vAlign w:val="center"/>
          </w:tcPr>
          <w:p w14:paraId="4B049EFF">
            <w:pPr>
              <w:jc w:val="center"/>
              <w:rPr>
                <w:color w:val="auto"/>
                <w:highlight w:val="none"/>
              </w:rPr>
            </w:pPr>
          </w:p>
        </w:tc>
        <w:tc>
          <w:tcPr>
            <w:tcW w:w="800" w:type="dxa"/>
            <w:vAlign w:val="center"/>
          </w:tcPr>
          <w:p w14:paraId="405006DD">
            <w:pPr>
              <w:jc w:val="center"/>
              <w:rPr>
                <w:color w:val="auto"/>
                <w:highlight w:val="none"/>
              </w:rPr>
            </w:pPr>
          </w:p>
        </w:tc>
        <w:tc>
          <w:tcPr>
            <w:tcW w:w="800" w:type="dxa"/>
            <w:vAlign w:val="center"/>
          </w:tcPr>
          <w:p w14:paraId="64FB046D">
            <w:pPr>
              <w:jc w:val="center"/>
              <w:rPr>
                <w:color w:val="auto"/>
                <w:highlight w:val="none"/>
              </w:rPr>
            </w:pPr>
          </w:p>
        </w:tc>
        <w:tc>
          <w:tcPr>
            <w:tcW w:w="1280" w:type="dxa"/>
            <w:vAlign w:val="center"/>
          </w:tcPr>
          <w:p w14:paraId="5C9E16F4">
            <w:pPr>
              <w:jc w:val="center"/>
              <w:rPr>
                <w:color w:val="auto"/>
                <w:highlight w:val="none"/>
              </w:rPr>
            </w:pPr>
          </w:p>
        </w:tc>
        <w:tc>
          <w:tcPr>
            <w:tcW w:w="870" w:type="dxa"/>
            <w:vAlign w:val="center"/>
          </w:tcPr>
          <w:p w14:paraId="498C9052">
            <w:pPr>
              <w:jc w:val="center"/>
              <w:rPr>
                <w:color w:val="auto"/>
                <w:highlight w:val="none"/>
              </w:rPr>
            </w:pPr>
          </w:p>
        </w:tc>
        <w:tc>
          <w:tcPr>
            <w:tcW w:w="1369" w:type="dxa"/>
            <w:vAlign w:val="center"/>
          </w:tcPr>
          <w:p w14:paraId="264967C9">
            <w:pPr>
              <w:jc w:val="center"/>
              <w:rPr>
                <w:color w:val="auto"/>
                <w:highlight w:val="none"/>
              </w:rPr>
            </w:pPr>
          </w:p>
        </w:tc>
        <w:tc>
          <w:tcPr>
            <w:tcW w:w="1120" w:type="dxa"/>
            <w:vAlign w:val="center"/>
          </w:tcPr>
          <w:p w14:paraId="6302324B">
            <w:pPr>
              <w:jc w:val="center"/>
              <w:rPr>
                <w:color w:val="auto"/>
                <w:highlight w:val="none"/>
              </w:rPr>
            </w:pPr>
          </w:p>
        </w:tc>
        <w:tc>
          <w:tcPr>
            <w:tcW w:w="1761" w:type="dxa"/>
            <w:vAlign w:val="center"/>
          </w:tcPr>
          <w:p w14:paraId="725B6F30">
            <w:pPr>
              <w:jc w:val="center"/>
              <w:rPr>
                <w:color w:val="auto"/>
                <w:highlight w:val="none"/>
              </w:rPr>
            </w:pPr>
          </w:p>
        </w:tc>
        <w:tc>
          <w:tcPr>
            <w:tcW w:w="799" w:type="dxa"/>
            <w:vAlign w:val="center"/>
          </w:tcPr>
          <w:p w14:paraId="4EC66E62">
            <w:pPr>
              <w:jc w:val="center"/>
              <w:rPr>
                <w:color w:val="auto"/>
                <w:highlight w:val="none"/>
              </w:rPr>
            </w:pPr>
          </w:p>
        </w:tc>
      </w:tr>
      <w:tr w14:paraId="31CC27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800" w:type="dxa"/>
            <w:vAlign w:val="center"/>
          </w:tcPr>
          <w:p w14:paraId="36F71B9F">
            <w:pPr>
              <w:jc w:val="center"/>
              <w:rPr>
                <w:color w:val="auto"/>
                <w:highlight w:val="none"/>
              </w:rPr>
            </w:pPr>
          </w:p>
        </w:tc>
        <w:tc>
          <w:tcPr>
            <w:tcW w:w="800" w:type="dxa"/>
            <w:vAlign w:val="center"/>
          </w:tcPr>
          <w:p w14:paraId="776B2530">
            <w:pPr>
              <w:jc w:val="center"/>
              <w:rPr>
                <w:color w:val="auto"/>
                <w:highlight w:val="none"/>
              </w:rPr>
            </w:pPr>
          </w:p>
        </w:tc>
        <w:tc>
          <w:tcPr>
            <w:tcW w:w="800" w:type="dxa"/>
            <w:vAlign w:val="center"/>
          </w:tcPr>
          <w:p w14:paraId="45931073">
            <w:pPr>
              <w:jc w:val="center"/>
              <w:rPr>
                <w:color w:val="auto"/>
                <w:highlight w:val="none"/>
              </w:rPr>
            </w:pPr>
          </w:p>
        </w:tc>
        <w:tc>
          <w:tcPr>
            <w:tcW w:w="1280" w:type="dxa"/>
            <w:vAlign w:val="center"/>
          </w:tcPr>
          <w:p w14:paraId="44F6EEB4">
            <w:pPr>
              <w:jc w:val="center"/>
              <w:rPr>
                <w:color w:val="auto"/>
                <w:highlight w:val="none"/>
              </w:rPr>
            </w:pPr>
          </w:p>
        </w:tc>
        <w:tc>
          <w:tcPr>
            <w:tcW w:w="870" w:type="dxa"/>
            <w:vAlign w:val="center"/>
          </w:tcPr>
          <w:p w14:paraId="1EE65DE4">
            <w:pPr>
              <w:jc w:val="center"/>
              <w:rPr>
                <w:color w:val="auto"/>
                <w:highlight w:val="none"/>
              </w:rPr>
            </w:pPr>
          </w:p>
        </w:tc>
        <w:tc>
          <w:tcPr>
            <w:tcW w:w="1369" w:type="dxa"/>
            <w:vAlign w:val="center"/>
          </w:tcPr>
          <w:p w14:paraId="4E227818">
            <w:pPr>
              <w:jc w:val="center"/>
              <w:rPr>
                <w:color w:val="auto"/>
                <w:highlight w:val="none"/>
              </w:rPr>
            </w:pPr>
          </w:p>
        </w:tc>
        <w:tc>
          <w:tcPr>
            <w:tcW w:w="1120" w:type="dxa"/>
            <w:vAlign w:val="center"/>
          </w:tcPr>
          <w:p w14:paraId="4E6E804C">
            <w:pPr>
              <w:jc w:val="center"/>
              <w:rPr>
                <w:color w:val="auto"/>
                <w:highlight w:val="none"/>
              </w:rPr>
            </w:pPr>
          </w:p>
        </w:tc>
        <w:tc>
          <w:tcPr>
            <w:tcW w:w="1761" w:type="dxa"/>
            <w:vAlign w:val="center"/>
          </w:tcPr>
          <w:p w14:paraId="01DCFFC2">
            <w:pPr>
              <w:jc w:val="center"/>
              <w:rPr>
                <w:color w:val="auto"/>
                <w:highlight w:val="none"/>
              </w:rPr>
            </w:pPr>
          </w:p>
        </w:tc>
        <w:tc>
          <w:tcPr>
            <w:tcW w:w="799" w:type="dxa"/>
            <w:vAlign w:val="center"/>
          </w:tcPr>
          <w:p w14:paraId="0417E161">
            <w:pPr>
              <w:jc w:val="center"/>
              <w:rPr>
                <w:color w:val="auto"/>
                <w:highlight w:val="none"/>
              </w:rPr>
            </w:pPr>
          </w:p>
        </w:tc>
      </w:tr>
      <w:tr w14:paraId="7BBBC9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800" w:type="dxa"/>
            <w:vAlign w:val="center"/>
          </w:tcPr>
          <w:p w14:paraId="4155C1D8">
            <w:pPr>
              <w:jc w:val="center"/>
              <w:rPr>
                <w:color w:val="auto"/>
                <w:highlight w:val="none"/>
              </w:rPr>
            </w:pPr>
          </w:p>
        </w:tc>
        <w:tc>
          <w:tcPr>
            <w:tcW w:w="800" w:type="dxa"/>
            <w:vAlign w:val="center"/>
          </w:tcPr>
          <w:p w14:paraId="012E8A2E">
            <w:pPr>
              <w:jc w:val="center"/>
              <w:rPr>
                <w:color w:val="auto"/>
                <w:highlight w:val="none"/>
              </w:rPr>
            </w:pPr>
          </w:p>
        </w:tc>
        <w:tc>
          <w:tcPr>
            <w:tcW w:w="800" w:type="dxa"/>
            <w:vAlign w:val="center"/>
          </w:tcPr>
          <w:p w14:paraId="6CC6F186">
            <w:pPr>
              <w:jc w:val="center"/>
              <w:rPr>
                <w:color w:val="auto"/>
                <w:highlight w:val="none"/>
              </w:rPr>
            </w:pPr>
          </w:p>
        </w:tc>
        <w:tc>
          <w:tcPr>
            <w:tcW w:w="1280" w:type="dxa"/>
            <w:vAlign w:val="center"/>
          </w:tcPr>
          <w:p w14:paraId="6FF17285">
            <w:pPr>
              <w:jc w:val="center"/>
              <w:rPr>
                <w:color w:val="auto"/>
                <w:highlight w:val="none"/>
              </w:rPr>
            </w:pPr>
          </w:p>
        </w:tc>
        <w:tc>
          <w:tcPr>
            <w:tcW w:w="870" w:type="dxa"/>
            <w:vAlign w:val="center"/>
          </w:tcPr>
          <w:p w14:paraId="4F9ECE76">
            <w:pPr>
              <w:jc w:val="center"/>
              <w:rPr>
                <w:color w:val="auto"/>
                <w:highlight w:val="none"/>
              </w:rPr>
            </w:pPr>
          </w:p>
        </w:tc>
        <w:tc>
          <w:tcPr>
            <w:tcW w:w="1369" w:type="dxa"/>
            <w:vAlign w:val="center"/>
          </w:tcPr>
          <w:p w14:paraId="7F11F602">
            <w:pPr>
              <w:jc w:val="center"/>
              <w:rPr>
                <w:color w:val="auto"/>
                <w:highlight w:val="none"/>
              </w:rPr>
            </w:pPr>
          </w:p>
        </w:tc>
        <w:tc>
          <w:tcPr>
            <w:tcW w:w="1120" w:type="dxa"/>
            <w:vAlign w:val="center"/>
          </w:tcPr>
          <w:p w14:paraId="48291C64">
            <w:pPr>
              <w:jc w:val="center"/>
              <w:rPr>
                <w:color w:val="auto"/>
                <w:highlight w:val="none"/>
              </w:rPr>
            </w:pPr>
          </w:p>
        </w:tc>
        <w:tc>
          <w:tcPr>
            <w:tcW w:w="1761" w:type="dxa"/>
            <w:vAlign w:val="center"/>
          </w:tcPr>
          <w:p w14:paraId="19D52D97">
            <w:pPr>
              <w:jc w:val="center"/>
              <w:rPr>
                <w:color w:val="auto"/>
                <w:highlight w:val="none"/>
              </w:rPr>
            </w:pPr>
          </w:p>
        </w:tc>
        <w:tc>
          <w:tcPr>
            <w:tcW w:w="799" w:type="dxa"/>
            <w:vAlign w:val="center"/>
          </w:tcPr>
          <w:p w14:paraId="5FBED6B1">
            <w:pPr>
              <w:jc w:val="center"/>
              <w:rPr>
                <w:color w:val="auto"/>
                <w:highlight w:val="none"/>
              </w:rPr>
            </w:pPr>
          </w:p>
        </w:tc>
      </w:tr>
      <w:tr w14:paraId="008588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800" w:type="dxa"/>
            <w:vAlign w:val="center"/>
          </w:tcPr>
          <w:p w14:paraId="2E42A6EC">
            <w:pPr>
              <w:jc w:val="center"/>
              <w:rPr>
                <w:color w:val="auto"/>
                <w:highlight w:val="none"/>
              </w:rPr>
            </w:pPr>
          </w:p>
        </w:tc>
        <w:tc>
          <w:tcPr>
            <w:tcW w:w="800" w:type="dxa"/>
            <w:vAlign w:val="center"/>
          </w:tcPr>
          <w:p w14:paraId="77959E99">
            <w:pPr>
              <w:jc w:val="center"/>
              <w:rPr>
                <w:color w:val="auto"/>
                <w:highlight w:val="none"/>
              </w:rPr>
            </w:pPr>
          </w:p>
        </w:tc>
        <w:tc>
          <w:tcPr>
            <w:tcW w:w="800" w:type="dxa"/>
            <w:vAlign w:val="center"/>
          </w:tcPr>
          <w:p w14:paraId="0D85848C">
            <w:pPr>
              <w:jc w:val="center"/>
              <w:rPr>
                <w:color w:val="auto"/>
                <w:highlight w:val="none"/>
              </w:rPr>
            </w:pPr>
          </w:p>
        </w:tc>
        <w:tc>
          <w:tcPr>
            <w:tcW w:w="1280" w:type="dxa"/>
            <w:vAlign w:val="center"/>
          </w:tcPr>
          <w:p w14:paraId="7FB067EE">
            <w:pPr>
              <w:jc w:val="center"/>
              <w:rPr>
                <w:color w:val="auto"/>
                <w:highlight w:val="none"/>
              </w:rPr>
            </w:pPr>
          </w:p>
        </w:tc>
        <w:tc>
          <w:tcPr>
            <w:tcW w:w="870" w:type="dxa"/>
            <w:vAlign w:val="center"/>
          </w:tcPr>
          <w:p w14:paraId="1C8E3E6D">
            <w:pPr>
              <w:jc w:val="center"/>
              <w:rPr>
                <w:color w:val="auto"/>
                <w:highlight w:val="none"/>
              </w:rPr>
            </w:pPr>
          </w:p>
        </w:tc>
        <w:tc>
          <w:tcPr>
            <w:tcW w:w="1369" w:type="dxa"/>
            <w:vAlign w:val="center"/>
          </w:tcPr>
          <w:p w14:paraId="567554C2">
            <w:pPr>
              <w:jc w:val="center"/>
              <w:rPr>
                <w:color w:val="auto"/>
                <w:highlight w:val="none"/>
              </w:rPr>
            </w:pPr>
          </w:p>
        </w:tc>
        <w:tc>
          <w:tcPr>
            <w:tcW w:w="1120" w:type="dxa"/>
            <w:vAlign w:val="center"/>
          </w:tcPr>
          <w:p w14:paraId="7D016F63">
            <w:pPr>
              <w:jc w:val="center"/>
              <w:rPr>
                <w:color w:val="auto"/>
                <w:highlight w:val="none"/>
              </w:rPr>
            </w:pPr>
          </w:p>
        </w:tc>
        <w:tc>
          <w:tcPr>
            <w:tcW w:w="1761" w:type="dxa"/>
            <w:vAlign w:val="center"/>
          </w:tcPr>
          <w:p w14:paraId="4BEB9422">
            <w:pPr>
              <w:jc w:val="center"/>
              <w:rPr>
                <w:color w:val="auto"/>
                <w:highlight w:val="none"/>
              </w:rPr>
            </w:pPr>
          </w:p>
        </w:tc>
        <w:tc>
          <w:tcPr>
            <w:tcW w:w="799" w:type="dxa"/>
            <w:vAlign w:val="center"/>
          </w:tcPr>
          <w:p w14:paraId="1CA69786">
            <w:pPr>
              <w:jc w:val="center"/>
              <w:rPr>
                <w:color w:val="auto"/>
                <w:highlight w:val="none"/>
              </w:rPr>
            </w:pPr>
          </w:p>
        </w:tc>
      </w:tr>
      <w:tr w14:paraId="135CA5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800" w:type="dxa"/>
            <w:vAlign w:val="center"/>
          </w:tcPr>
          <w:p w14:paraId="731EB62B">
            <w:pPr>
              <w:jc w:val="center"/>
              <w:rPr>
                <w:color w:val="auto"/>
                <w:highlight w:val="none"/>
              </w:rPr>
            </w:pPr>
          </w:p>
        </w:tc>
        <w:tc>
          <w:tcPr>
            <w:tcW w:w="800" w:type="dxa"/>
            <w:vAlign w:val="center"/>
          </w:tcPr>
          <w:p w14:paraId="7C28BD34">
            <w:pPr>
              <w:jc w:val="center"/>
              <w:rPr>
                <w:color w:val="auto"/>
                <w:highlight w:val="none"/>
              </w:rPr>
            </w:pPr>
          </w:p>
        </w:tc>
        <w:tc>
          <w:tcPr>
            <w:tcW w:w="800" w:type="dxa"/>
            <w:vAlign w:val="center"/>
          </w:tcPr>
          <w:p w14:paraId="3208319F">
            <w:pPr>
              <w:jc w:val="center"/>
              <w:rPr>
                <w:color w:val="auto"/>
                <w:highlight w:val="none"/>
              </w:rPr>
            </w:pPr>
          </w:p>
        </w:tc>
        <w:tc>
          <w:tcPr>
            <w:tcW w:w="1280" w:type="dxa"/>
            <w:vAlign w:val="center"/>
          </w:tcPr>
          <w:p w14:paraId="20D055C1">
            <w:pPr>
              <w:jc w:val="center"/>
              <w:rPr>
                <w:color w:val="auto"/>
                <w:highlight w:val="none"/>
              </w:rPr>
            </w:pPr>
          </w:p>
        </w:tc>
        <w:tc>
          <w:tcPr>
            <w:tcW w:w="870" w:type="dxa"/>
            <w:vAlign w:val="center"/>
          </w:tcPr>
          <w:p w14:paraId="4BA433E9">
            <w:pPr>
              <w:jc w:val="center"/>
              <w:rPr>
                <w:color w:val="auto"/>
                <w:highlight w:val="none"/>
              </w:rPr>
            </w:pPr>
          </w:p>
        </w:tc>
        <w:tc>
          <w:tcPr>
            <w:tcW w:w="1369" w:type="dxa"/>
            <w:vAlign w:val="center"/>
          </w:tcPr>
          <w:p w14:paraId="5EA47237">
            <w:pPr>
              <w:jc w:val="center"/>
              <w:rPr>
                <w:color w:val="auto"/>
                <w:highlight w:val="none"/>
              </w:rPr>
            </w:pPr>
          </w:p>
        </w:tc>
        <w:tc>
          <w:tcPr>
            <w:tcW w:w="1120" w:type="dxa"/>
            <w:vAlign w:val="center"/>
          </w:tcPr>
          <w:p w14:paraId="42306A5B">
            <w:pPr>
              <w:jc w:val="center"/>
              <w:rPr>
                <w:color w:val="auto"/>
                <w:highlight w:val="none"/>
              </w:rPr>
            </w:pPr>
          </w:p>
        </w:tc>
        <w:tc>
          <w:tcPr>
            <w:tcW w:w="1761" w:type="dxa"/>
            <w:vAlign w:val="center"/>
          </w:tcPr>
          <w:p w14:paraId="3DD8D182">
            <w:pPr>
              <w:jc w:val="center"/>
              <w:rPr>
                <w:color w:val="auto"/>
                <w:highlight w:val="none"/>
              </w:rPr>
            </w:pPr>
          </w:p>
        </w:tc>
        <w:tc>
          <w:tcPr>
            <w:tcW w:w="799" w:type="dxa"/>
            <w:vAlign w:val="center"/>
          </w:tcPr>
          <w:p w14:paraId="32F63EC8">
            <w:pPr>
              <w:jc w:val="center"/>
              <w:rPr>
                <w:color w:val="auto"/>
                <w:highlight w:val="none"/>
              </w:rPr>
            </w:pPr>
          </w:p>
        </w:tc>
      </w:tr>
      <w:tr w14:paraId="71D1CA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800" w:type="dxa"/>
            <w:vAlign w:val="center"/>
          </w:tcPr>
          <w:p w14:paraId="16359BF4">
            <w:pPr>
              <w:jc w:val="center"/>
              <w:rPr>
                <w:color w:val="auto"/>
                <w:highlight w:val="none"/>
              </w:rPr>
            </w:pPr>
          </w:p>
        </w:tc>
        <w:tc>
          <w:tcPr>
            <w:tcW w:w="800" w:type="dxa"/>
            <w:vAlign w:val="center"/>
          </w:tcPr>
          <w:p w14:paraId="6A4F9BAC">
            <w:pPr>
              <w:jc w:val="center"/>
              <w:rPr>
                <w:color w:val="auto"/>
                <w:highlight w:val="none"/>
              </w:rPr>
            </w:pPr>
          </w:p>
        </w:tc>
        <w:tc>
          <w:tcPr>
            <w:tcW w:w="800" w:type="dxa"/>
            <w:vAlign w:val="center"/>
          </w:tcPr>
          <w:p w14:paraId="45AAB848">
            <w:pPr>
              <w:jc w:val="center"/>
              <w:rPr>
                <w:color w:val="auto"/>
                <w:highlight w:val="none"/>
              </w:rPr>
            </w:pPr>
          </w:p>
        </w:tc>
        <w:tc>
          <w:tcPr>
            <w:tcW w:w="1280" w:type="dxa"/>
            <w:vAlign w:val="center"/>
          </w:tcPr>
          <w:p w14:paraId="51A3B4B6">
            <w:pPr>
              <w:jc w:val="center"/>
              <w:rPr>
                <w:color w:val="auto"/>
                <w:highlight w:val="none"/>
              </w:rPr>
            </w:pPr>
          </w:p>
        </w:tc>
        <w:tc>
          <w:tcPr>
            <w:tcW w:w="870" w:type="dxa"/>
            <w:vAlign w:val="center"/>
          </w:tcPr>
          <w:p w14:paraId="719F29FC">
            <w:pPr>
              <w:jc w:val="center"/>
              <w:rPr>
                <w:color w:val="auto"/>
                <w:highlight w:val="none"/>
              </w:rPr>
            </w:pPr>
          </w:p>
        </w:tc>
        <w:tc>
          <w:tcPr>
            <w:tcW w:w="1369" w:type="dxa"/>
            <w:vAlign w:val="center"/>
          </w:tcPr>
          <w:p w14:paraId="79F6BFD7">
            <w:pPr>
              <w:jc w:val="center"/>
              <w:rPr>
                <w:color w:val="auto"/>
                <w:highlight w:val="none"/>
              </w:rPr>
            </w:pPr>
          </w:p>
        </w:tc>
        <w:tc>
          <w:tcPr>
            <w:tcW w:w="1120" w:type="dxa"/>
            <w:vAlign w:val="center"/>
          </w:tcPr>
          <w:p w14:paraId="691B341C">
            <w:pPr>
              <w:jc w:val="center"/>
              <w:rPr>
                <w:color w:val="auto"/>
                <w:highlight w:val="none"/>
              </w:rPr>
            </w:pPr>
          </w:p>
        </w:tc>
        <w:tc>
          <w:tcPr>
            <w:tcW w:w="1761" w:type="dxa"/>
            <w:vAlign w:val="center"/>
          </w:tcPr>
          <w:p w14:paraId="0C2B2968">
            <w:pPr>
              <w:jc w:val="center"/>
              <w:rPr>
                <w:color w:val="auto"/>
                <w:highlight w:val="none"/>
              </w:rPr>
            </w:pPr>
          </w:p>
        </w:tc>
        <w:tc>
          <w:tcPr>
            <w:tcW w:w="799" w:type="dxa"/>
            <w:vAlign w:val="center"/>
          </w:tcPr>
          <w:p w14:paraId="4192C172">
            <w:pPr>
              <w:jc w:val="center"/>
              <w:rPr>
                <w:color w:val="auto"/>
                <w:highlight w:val="none"/>
              </w:rPr>
            </w:pPr>
          </w:p>
        </w:tc>
      </w:tr>
      <w:tr w14:paraId="3096BA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800" w:type="dxa"/>
            <w:vAlign w:val="center"/>
          </w:tcPr>
          <w:p w14:paraId="50256014">
            <w:pPr>
              <w:jc w:val="center"/>
              <w:rPr>
                <w:color w:val="auto"/>
                <w:highlight w:val="none"/>
              </w:rPr>
            </w:pPr>
          </w:p>
        </w:tc>
        <w:tc>
          <w:tcPr>
            <w:tcW w:w="800" w:type="dxa"/>
            <w:vAlign w:val="center"/>
          </w:tcPr>
          <w:p w14:paraId="09E1C67B">
            <w:pPr>
              <w:jc w:val="center"/>
              <w:rPr>
                <w:color w:val="auto"/>
                <w:highlight w:val="none"/>
              </w:rPr>
            </w:pPr>
          </w:p>
        </w:tc>
        <w:tc>
          <w:tcPr>
            <w:tcW w:w="800" w:type="dxa"/>
            <w:vAlign w:val="center"/>
          </w:tcPr>
          <w:p w14:paraId="128DD6DF">
            <w:pPr>
              <w:jc w:val="center"/>
              <w:rPr>
                <w:color w:val="auto"/>
                <w:highlight w:val="none"/>
              </w:rPr>
            </w:pPr>
          </w:p>
        </w:tc>
        <w:tc>
          <w:tcPr>
            <w:tcW w:w="1280" w:type="dxa"/>
            <w:vAlign w:val="center"/>
          </w:tcPr>
          <w:p w14:paraId="0002C608">
            <w:pPr>
              <w:jc w:val="center"/>
              <w:rPr>
                <w:color w:val="auto"/>
                <w:highlight w:val="none"/>
              </w:rPr>
            </w:pPr>
          </w:p>
        </w:tc>
        <w:tc>
          <w:tcPr>
            <w:tcW w:w="870" w:type="dxa"/>
            <w:vAlign w:val="center"/>
          </w:tcPr>
          <w:p w14:paraId="6F9EDCCF">
            <w:pPr>
              <w:jc w:val="center"/>
              <w:rPr>
                <w:color w:val="auto"/>
                <w:highlight w:val="none"/>
              </w:rPr>
            </w:pPr>
          </w:p>
        </w:tc>
        <w:tc>
          <w:tcPr>
            <w:tcW w:w="1369" w:type="dxa"/>
            <w:vAlign w:val="center"/>
          </w:tcPr>
          <w:p w14:paraId="06F8AA1A">
            <w:pPr>
              <w:jc w:val="center"/>
              <w:rPr>
                <w:color w:val="auto"/>
                <w:highlight w:val="none"/>
              </w:rPr>
            </w:pPr>
          </w:p>
        </w:tc>
        <w:tc>
          <w:tcPr>
            <w:tcW w:w="1120" w:type="dxa"/>
            <w:vAlign w:val="center"/>
          </w:tcPr>
          <w:p w14:paraId="4AC563E6">
            <w:pPr>
              <w:jc w:val="center"/>
              <w:rPr>
                <w:color w:val="auto"/>
                <w:highlight w:val="none"/>
              </w:rPr>
            </w:pPr>
          </w:p>
        </w:tc>
        <w:tc>
          <w:tcPr>
            <w:tcW w:w="1761" w:type="dxa"/>
            <w:vAlign w:val="center"/>
          </w:tcPr>
          <w:p w14:paraId="06DC7787">
            <w:pPr>
              <w:jc w:val="center"/>
              <w:rPr>
                <w:color w:val="auto"/>
                <w:highlight w:val="none"/>
              </w:rPr>
            </w:pPr>
          </w:p>
        </w:tc>
        <w:tc>
          <w:tcPr>
            <w:tcW w:w="799" w:type="dxa"/>
            <w:vAlign w:val="center"/>
          </w:tcPr>
          <w:p w14:paraId="3194AFA3">
            <w:pPr>
              <w:jc w:val="center"/>
              <w:rPr>
                <w:color w:val="auto"/>
                <w:highlight w:val="none"/>
              </w:rPr>
            </w:pPr>
          </w:p>
        </w:tc>
      </w:tr>
      <w:tr w14:paraId="1E9EBB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800" w:type="dxa"/>
            <w:vAlign w:val="center"/>
          </w:tcPr>
          <w:p w14:paraId="0EA8111C">
            <w:pPr>
              <w:jc w:val="center"/>
              <w:rPr>
                <w:color w:val="auto"/>
                <w:highlight w:val="none"/>
              </w:rPr>
            </w:pPr>
          </w:p>
        </w:tc>
        <w:tc>
          <w:tcPr>
            <w:tcW w:w="800" w:type="dxa"/>
            <w:vAlign w:val="center"/>
          </w:tcPr>
          <w:p w14:paraId="3188D95A">
            <w:pPr>
              <w:jc w:val="center"/>
              <w:rPr>
                <w:color w:val="auto"/>
                <w:highlight w:val="none"/>
              </w:rPr>
            </w:pPr>
          </w:p>
        </w:tc>
        <w:tc>
          <w:tcPr>
            <w:tcW w:w="800" w:type="dxa"/>
            <w:vAlign w:val="center"/>
          </w:tcPr>
          <w:p w14:paraId="72EDFEB5">
            <w:pPr>
              <w:jc w:val="center"/>
              <w:rPr>
                <w:color w:val="auto"/>
                <w:highlight w:val="none"/>
              </w:rPr>
            </w:pPr>
          </w:p>
        </w:tc>
        <w:tc>
          <w:tcPr>
            <w:tcW w:w="1280" w:type="dxa"/>
            <w:vAlign w:val="center"/>
          </w:tcPr>
          <w:p w14:paraId="0A317827">
            <w:pPr>
              <w:jc w:val="center"/>
              <w:rPr>
                <w:color w:val="auto"/>
                <w:highlight w:val="none"/>
              </w:rPr>
            </w:pPr>
          </w:p>
        </w:tc>
        <w:tc>
          <w:tcPr>
            <w:tcW w:w="870" w:type="dxa"/>
            <w:vAlign w:val="center"/>
          </w:tcPr>
          <w:p w14:paraId="2D18D1AE">
            <w:pPr>
              <w:jc w:val="center"/>
              <w:rPr>
                <w:color w:val="auto"/>
                <w:highlight w:val="none"/>
              </w:rPr>
            </w:pPr>
          </w:p>
        </w:tc>
        <w:tc>
          <w:tcPr>
            <w:tcW w:w="1369" w:type="dxa"/>
            <w:vAlign w:val="center"/>
          </w:tcPr>
          <w:p w14:paraId="3B78118D">
            <w:pPr>
              <w:jc w:val="center"/>
              <w:rPr>
                <w:color w:val="auto"/>
                <w:highlight w:val="none"/>
              </w:rPr>
            </w:pPr>
          </w:p>
        </w:tc>
        <w:tc>
          <w:tcPr>
            <w:tcW w:w="1120" w:type="dxa"/>
            <w:vAlign w:val="center"/>
          </w:tcPr>
          <w:p w14:paraId="58C6BE05">
            <w:pPr>
              <w:jc w:val="center"/>
              <w:rPr>
                <w:color w:val="auto"/>
                <w:highlight w:val="none"/>
              </w:rPr>
            </w:pPr>
          </w:p>
        </w:tc>
        <w:tc>
          <w:tcPr>
            <w:tcW w:w="1761" w:type="dxa"/>
            <w:vAlign w:val="center"/>
          </w:tcPr>
          <w:p w14:paraId="3CF36BE6">
            <w:pPr>
              <w:jc w:val="center"/>
              <w:rPr>
                <w:color w:val="auto"/>
                <w:highlight w:val="none"/>
              </w:rPr>
            </w:pPr>
          </w:p>
        </w:tc>
        <w:tc>
          <w:tcPr>
            <w:tcW w:w="799" w:type="dxa"/>
            <w:vAlign w:val="center"/>
          </w:tcPr>
          <w:p w14:paraId="12B6F3C6">
            <w:pPr>
              <w:jc w:val="center"/>
              <w:rPr>
                <w:color w:val="auto"/>
                <w:highlight w:val="none"/>
              </w:rPr>
            </w:pPr>
          </w:p>
        </w:tc>
      </w:tr>
      <w:tr w14:paraId="1EA5CB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800" w:type="dxa"/>
            <w:vAlign w:val="center"/>
          </w:tcPr>
          <w:p w14:paraId="03DF0D30">
            <w:pPr>
              <w:jc w:val="center"/>
              <w:rPr>
                <w:color w:val="auto"/>
                <w:highlight w:val="none"/>
              </w:rPr>
            </w:pPr>
          </w:p>
        </w:tc>
        <w:tc>
          <w:tcPr>
            <w:tcW w:w="800" w:type="dxa"/>
            <w:vAlign w:val="center"/>
          </w:tcPr>
          <w:p w14:paraId="0DB117BA">
            <w:pPr>
              <w:jc w:val="center"/>
              <w:rPr>
                <w:color w:val="auto"/>
                <w:highlight w:val="none"/>
              </w:rPr>
            </w:pPr>
          </w:p>
        </w:tc>
        <w:tc>
          <w:tcPr>
            <w:tcW w:w="800" w:type="dxa"/>
            <w:vAlign w:val="center"/>
          </w:tcPr>
          <w:p w14:paraId="1B70536B">
            <w:pPr>
              <w:jc w:val="center"/>
              <w:rPr>
                <w:color w:val="auto"/>
                <w:highlight w:val="none"/>
              </w:rPr>
            </w:pPr>
          </w:p>
        </w:tc>
        <w:tc>
          <w:tcPr>
            <w:tcW w:w="1280" w:type="dxa"/>
            <w:vAlign w:val="center"/>
          </w:tcPr>
          <w:p w14:paraId="022AC430">
            <w:pPr>
              <w:jc w:val="center"/>
              <w:rPr>
                <w:color w:val="auto"/>
                <w:highlight w:val="none"/>
              </w:rPr>
            </w:pPr>
          </w:p>
        </w:tc>
        <w:tc>
          <w:tcPr>
            <w:tcW w:w="870" w:type="dxa"/>
            <w:vAlign w:val="center"/>
          </w:tcPr>
          <w:p w14:paraId="0D74357F">
            <w:pPr>
              <w:jc w:val="center"/>
              <w:rPr>
                <w:color w:val="auto"/>
                <w:highlight w:val="none"/>
              </w:rPr>
            </w:pPr>
          </w:p>
        </w:tc>
        <w:tc>
          <w:tcPr>
            <w:tcW w:w="1369" w:type="dxa"/>
            <w:vAlign w:val="center"/>
          </w:tcPr>
          <w:p w14:paraId="6EF44318">
            <w:pPr>
              <w:jc w:val="center"/>
              <w:rPr>
                <w:color w:val="auto"/>
                <w:highlight w:val="none"/>
              </w:rPr>
            </w:pPr>
          </w:p>
        </w:tc>
        <w:tc>
          <w:tcPr>
            <w:tcW w:w="1120" w:type="dxa"/>
            <w:vAlign w:val="center"/>
          </w:tcPr>
          <w:p w14:paraId="013C6FF2">
            <w:pPr>
              <w:jc w:val="center"/>
              <w:rPr>
                <w:color w:val="auto"/>
                <w:highlight w:val="none"/>
              </w:rPr>
            </w:pPr>
          </w:p>
        </w:tc>
        <w:tc>
          <w:tcPr>
            <w:tcW w:w="1761" w:type="dxa"/>
            <w:vAlign w:val="center"/>
          </w:tcPr>
          <w:p w14:paraId="251E25FA">
            <w:pPr>
              <w:jc w:val="center"/>
              <w:rPr>
                <w:color w:val="auto"/>
                <w:highlight w:val="none"/>
              </w:rPr>
            </w:pPr>
          </w:p>
        </w:tc>
        <w:tc>
          <w:tcPr>
            <w:tcW w:w="799" w:type="dxa"/>
            <w:vAlign w:val="center"/>
          </w:tcPr>
          <w:p w14:paraId="6BFB9E11">
            <w:pPr>
              <w:jc w:val="center"/>
              <w:rPr>
                <w:color w:val="auto"/>
                <w:highlight w:val="none"/>
              </w:rPr>
            </w:pPr>
          </w:p>
        </w:tc>
      </w:tr>
      <w:tr w14:paraId="2EA00E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800" w:type="dxa"/>
            <w:vAlign w:val="center"/>
          </w:tcPr>
          <w:p w14:paraId="5A5B1756">
            <w:pPr>
              <w:jc w:val="center"/>
              <w:rPr>
                <w:color w:val="auto"/>
                <w:highlight w:val="none"/>
              </w:rPr>
            </w:pPr>
          </w:p>
        </w:tc>
        <w:tc>
          <w:tcPr>
            <w:tcW w:w="800" w:type="dxa"/>
            <w:vAlign w:val="center"/>
          </w:tcPr>
          <w:p w14:paraId="4CFC11D7">
            <w:pPr>
              <w:jc w:val="center"/>
              <w:rPr>
                <w:color w:val="auto"/>
                <w:highlight w:val="none"/>
              </w:rPr>
            </w:pPr>
          </w:p>
        </w:tc>
        <w:tc>
          <w:tcPr>
            <w:tcW w:w="800" w:type="dxa"/>
            <w:vAlign w:val="center"/>
          </w:tcPr>
          <w:p w14:paraId="43A177FE">
            <w:pPr>
              <w:jc w:val="center"/>
              <w:rPr>
                <w:color w:val="auto"/>
                <w:highlight w:val="none"/>
              </w:rPr>
            </w:pPr>
          </w:p>
        </w:tc>
        <w:tc>
          <w:tcPr>
            <w:tcW w:w="1280" w:type="dxa"/>
            <w:vAlign w:val="center"/>
          </w:tcPr>
          <w:p w14:paraId="65502AC6">
            <w:pPr>
              <w:jc w:val="center"/>
              <w:rPr>
                <w:color w:val="auto"/>
                <w:highlight w:val="none"/>
              </w:rPr>
            </w:pPr>
          </w:p>
        </w:tc>
        <w:tc>
          <w:tcPr>
            <w:tcW w:w="870" w:type="dxa"/>
            <w:vAlign w:val="center"/>
          </w:tcPr>
          <w:p w14:paraId="7DB9CCEC">
            <w:pPr>
              <w:jc w:val="center"/>
              <w:rPr>
                <w:color w:val="auto"/>
                <w:highlight w:val="none"/>
              </w:rPr>
            </w:pPr>
          </w:p>
        </w:tc>
        <w:tc>
          <w:tcPr>
            <w:tcW w:w="1369" w:type="dxa"/>
            <w:vAlign w:val="center"/>
          </w:tcPr>
          <w:p w14:paraId="60441FEE">
            <w:pPr>
              <w:jc w:val="center"/>
              <w:rPr>
                <w:color w:val="auto"/>
                <w:highlight w:val="none"/>
              </w:rPr>
            </w:pPr>
          </w:p>
        </w:tc>
        <w:tc>
          <w:tcPr>
            <w:tcW w:w="1120" w:type="dxa"/>
            <w:vAlign w:val="center"/>
          </w:tcPr>
          <w:p w14:paraId="3BA3A58B">
            <w:pPr>
              <w:jc w:val="center"/>
              <w:rPr>
                <w:color w:val="auto"/>
                <w:highlight w:val="none"/>
              </w:rPr>
            </w:pPr>
          </w:p>
        </w:tc>
        <w:tc>
          <w:tcPr>
            <w:tcW w:w="1761" w:type="dxa"/>
            <w:vAlign w:val="center"/>
          </w:tcPr>
          <w:p w14:paraId="7CAE8417">
            <w:pPr>
              <w:jc w:val="center"/>
              <w:rPr>
                <w:color w:val="auto"/>
                <w:highlight w:val="none"/>
              </w:rPr>
            </w:pPr>
          </w:p>
        </w:tc>
        <w:tc>
          <w:tcPr>
            <w:tcW w:w="799" w:type="dxa"/>
            <w:vAlign w:val="center"/>
          </w:tcPr>
          <w:p w14:paraId="73552346">
            <w:pPr>
              <w:jc w:val="center"/>
              <w:rPr>
                <w:color w:val="auto"/>
                <w:highlight w:val="none"/>
              </w:rPr>
            </w:pPr>
          </w:p>
        </w:tc>
      </w:tr>
      <w:tr w14:paraId="46CE4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800" w:type="dxa"/>
            <w:vAlign w:val="center"/>
          </w:tcPr>
          <w:p w14:paraId="34B4312C">
            <w:pPr>
              <w:jc w:val="center"/>
              <w:rPr>
                <w:color w:val="auto"/>
                <w:highlight w:val="none"/>
              </w:rPr>
            </w:pPr>
          </w:p>
        </w:tc>
        <w:tc>
          <w:tcPr>
            <w:tcW w:w="800" w:type="dxa"/>
            <w:vAlign w:val="center"/>
          </w:tcPr>
          <w:p w14:paraId="382459BC">
            <w:pPr>
              <w:jc w:val="center"/>
              <w:rPr>
                <w:color w:val="auto"/>
                <w:highlight w:val="none"/>
              </w:rPr>
            </w:pPr>
          </w:p>
        </w:tc>
        <w:tc>
          <w:tcPr>
            <w:tcW w:w="800" w:type="dxa"/>
            <w:vAlign w:val="center"/>
          </w:tcPr>
          <w:p w14:paraId="0B74663B">
            <w:pPr>
              <w:jc w:val="center"/>
              <w:rPr>
                <w:color w:val="auto"/>
                <w:highlight w:val="none"/>
              </w:rPr>
            </w:pPr>
          </w:p>
        </w:tc>
        <w:tc>
          <w:tcPr>
            <w:tcW w:w="1280" w:type="dxa"/>
            <w:vAlign w:val="center"/>
          </w:tcPr>
          <w:p w14:paraId="707708C3">
            <w:pPr>
              <w:jc w:val="center"/>
              <w:rPr>
                <w:color w:val="auto"/>
                <w:highlight w:val="none"/>
              </w:rPr>
            </w:pPr>
          </w:p>
        </w:tc>
        <w:tc>
          <w:tcPr>
            <w:tcW w:w="870" w:type="dxa"/>
            <w:vAlign w:val="center"/>
          </w:tcPr>
          <w:p w14:paraId="5D27B275">
            <w:pPr>
              <w:jc w:val="center"/>
              <w:rPr>
                <w:color w:val="auto"/>
                <w:highlight w:val="none"/>
              </w:rPr>
            </w:pPr>
          </w:p>
        </w:tc>
        <w:tc>
          <w:tcPr>
            <w:tcW w:w="1369" w:type="dxa"/>
            <w:vAlign w:val="center"/>
          </w:tcPr>
          <w:p w14:paraId="38A4F27F">
            <w:pPr>
              <w:jc w:val="center"/>
              <w:rPr>
                <w:color w:val="auto"/>
                <w:highlight w:val="none"/>
              </w:rPr>
            </w:pPr>
          </w:p>
        </w:tc>
        <w:tc>
          <w:tcPr>
            <w:tcW w:w="1120" w:type="dxa"/>
            <w:vAlign w:val="center"/>
          </w:tcPr>
          <w:p w14:paraId="5C19E166">
            <w:pPr>
              <w:jc w:val="center"/>
              <w:rPr>
                <w:color w:val="auto"/>
                <w:highlight w:val="none"/>
              </w:rPr>
            </w:pPr>
          </w:p>
        </w:tc>
        <w:tc>
          <w:tcPr>
            <w:tcW w:w="1761" w:type="dxa"/>
            <w:vAlign w:val="center"/>
          </w:tcPr>
          <w:p w14:paraId="2DA919F3">
            <w:pPr>
              <w:jc w:val="center"/>
              <w:rPr>
                <w:color w:val="auto"/>
                <w:highlight w:val="none"/>
              </w:rPr>
            </w:pPr>
          </w:p>
        </w:tc>
        <w:tc>
          <w:tcPr>
            <w:tcW w:w="799" w:type="dxa"/>
            <w:vAlign w:val="center"/>
          </w:tcPr>
          <w:p w14:paraId="79E61F20">
            <w:pPr>
              <w:jc w:val="center"/>
              <w:rPr>
                <w:color w:val="auto"/>
                <w:highlight w:val="none"/>
              </w:rPr>
            </w:pPr>
          </w:p>
        </w:tc>
      </w:tr>
      <w:tr w14:paraId="687252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800" w:type="dxa"/>
            <w:vAlign w:val="center"/>
          </w:tcPr>
          <w:p w14:paraId="42D465CC">
            <w:pPr>
              <w:jc w:val="center"/>
              <w:rPr>
                <w:color w:val="auto"/>
                <w:highlight w:val="none"/>
              </w:rPr>
            </w:pPr>
          </w:p>
        </w:tc>
        <w:tc>
          <w:tcPr>
            <w:tcW w:w="800" w:type="dxa"/>
            <w:vAlign w:val="center"/>
          </w:tcPr>
          <w:p w14:paraId="69F1222D">
            <w:pPr>
              <w:jc w:val="center"/>
              <w:rPr>
                <w:color w:val="auto"/>
                <w:highlight w:val="none"/>
              </w:rPr>
            </w:pPr>
          </w:p>
        </w:tc>
        <w:tc>
          <w:tcPr>
            <w:tcW w:w="800" w:type="dxa"/>
            <w:vAlign w:val="center"/>
          </w:tcPr>
          <w:p w14:paraId="57427055">
            <w:pPr>
              <w:jc w:val="center"/>
              <w:rPr>
                <w:color w:val="auto"/>
                <w:highlight w:val="none"/>
              </w:rPr>
            </w:pPr>
          </w:p>
        </w:tc>
        <w:tc>
          <w:tcPr>
            <w:tcW w:w="1280" w:type="dxa"/>
            <w:vAlign w:val="center"/>
          </w:tcPr>
          <w:p w14:paraId="470B1F36">
            <w:pPr>
              <w:jc w:val="center"/>
              <w:rPr>
                <w:color w:val="auto"/>
                <w:highlight w:val="none"/>
              </w:rPr>
            </w:pPr>
          </w:p>
        </w:tc>
        <w:tc>
          <w:tcPr>
            <w:tcW w:w="870" w:type="dxa"/>
            <w:vAlign w:val="center"/>
          </w:tcPr>
          <w:p w14:paraId="125D0309">
            <w:pPr>
              <w:jc w:val="center"/>
              <w:rPr>
                <w:color w:val="auto"/>
                <w:highlight w:val="none"/>
              </w:rPr>
            </w:pPr>
          </w:p>
        </w:tc>
        <w:tc>
          <w:tcPr>
            <w:tcW w:w="1369" w:type="dxa"/>
            <w:vAlign w:val="center"/>
          </w:tcPr>
          <w:p w14:paraId="7CB42DF7">
            <w:pPr>
              <w:jc w:val="center"/>
              <w:rPr>
                <w:color w:val="auto"/>
                <w:highlight w:val="none"/>
              </w:rPr>
            </w:pPr>
          </w:p>
        </w:tc>
        <w:tc>
          <w:tcPr>
            <w:tcW w:w="1120" w:type="dxa"/>
            <w:vAlign w:val="center"/>
          </w:tcPr>
          <w:p w14:paraId="7BF5C92A">
            <w:pPr>
              <w:jc w:val="center"/>
              <w:rPr>
                <w:color w:val="auto"/>
                <w:highlight w:val="none"/>
              </w:rPr>
            </w:pPr>
          </w:p>
        </w:tc>
        <w:tc>
          <w:tcPr>
            <w:tcW w:w="1761" w:type="dxa"/>
            <w:vAlign w:val="center"/>
          </w:tcPr>
          <w:p w14:paraId="50DCF199">
            <w:pPr>
              <w:jc w:val="center"/>
              <w:rPr>
                <w:color w:val="auto"/>
                <w:highlight w:val="none"/>
              </w:rPr>
            </w:pPr>
          </w:p>
        </w:tc>
        <w:tc>
          <w:tcPr>
            <w:tcW w:w="799" w:type="dxa"/>
            <w:vAlign w:val="center"/>
          </w:tcPr>
          <w:p w14:paraId="165C185D">
            <w:pPr>
              <w:jc w:val="center"/>
              <w:rPr>
                <w:color w:val="auto"/>
                <w:highlight w:val="none"/>
              </w:rPr>
            </w:pPr>
          </w:p>
        </w:tc>
      </w:tr>
      <w:tr w14:paraId="726F88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800" w:type="dxa"/>
            <w:vAlign w:val="center"/>
          </w:tcPr>
          <w:p w14:paraId="3E24FD90">
            <w:pPr>
              <w:jc w:val="center"/>
              <w:rPr>
                <w:color w:val="auto"/>
                <w:highlight w:val="none"/>
              </w:rPr>
            </w:pPr>
          </w:p>
        </w:tc>
        <w:tc>
          <w:tcPr>
            <w:tcW w:w="800" w:type="dxa"/>
            <w:vAlign w:val="center"/>
          </w:tcPr>
          <w:p w14:paraId="28AA3F61">
            <w:pPr>
              <w:jc w:val="center"/>
              <w:rPr>
                <w:color w:val="auto"/>
                <w:highlight w:val="none"/>
              </w:rPr>
            </w:pPr>
          </w:p>
        </w:tc>
        <w:tc>
          <w:tcPr>
            <w:tcW w:w="800" w:type="dxa"/>
            <w:vAlign w:val="center"/>
          </w:tcPr>
          <w:p w14:paraId="5CAC82F1">
            <w:pPr>
              <w:jc w:val="center"/>
              <w:rPr>
                <w:color w:val="auto"/>
                <w:highlight w:val="none"/>
              </w:rPr>
            </w:pPr>
          </w:p>
        </w:tc>
        <w:tc>
          <w:tcPr>
            <w:tcW w:w="1280" w:type="dxa"/>
            <w:vAlign w:val="center"/>
          </w:tcPr>
          <w:p w14:paraId="4D3B1A70">
            <w:pPr>
              <w:jc w:val="center"/>
              <w:rPr>
                <w:color w:val="auto"/>
                <w:highlight w:val="none"/>
              </w:rPr>
            </w:pPr>
          </w:p>
        </w:tc>
        <w:tc>
          <w:tcPr>
            <w:tcW w:w="870" w:type="dxa"/>
            <w:vAlign w:val="center"/>
          </w:tcPr>
          <w:p w14:paraId="53EAD80C">
            <w:pPr>
              <w:jc w:val="center"/>
              <w:rPr>
                <w:color w:val="auto"/>
                <w:highlight w:val="none"/>
              </w:rPr>
            </w:pPr>
          </w:p>
        </w:tc>
        <w:tc>
          <w:tcPr>
            <w:tcW w:w="1369" w:type="dxa"/>
            <w:vAlign w:val="center"/>
          </w:tcPr>
          <w:p w14:paraId="28B1F59F">
            <w:pPr>
              <w:jc w:val="center"/>
              <w:rPr>
                <w:color w:val="auto"/>
                <w:highlight w:val="none"/>
              </w:rPr>
            </w:pPr>
          </w:p>
        </w:tc>
        <w:tc>
          <w:tcPr>
            <w:tcW w:w="1120" w:type="dxa"/>
            <w:vAlign w:val="center"/>
          </w:tcPr>
          <w:p w14:paraId="079CA38C">
            <w:pPr>
              <w:jc w:val="center"/>
              <w:rPr>
                <w:color w:val="auto"/>
                <w:highlight w:val="none"/>
              </w:rPr>
            </w:pPr>
          </w:p>
        </w:tc>
        <w:tc>
          <w:tcPr>
            <w:tcW w:w="1761" w:type="dxa"/>
            <w:vAlign w:val="center"/>
          </w:tcPr>
          <w:p w14:paraId="1EFC8B2E">
            <w:pPr>
              <w:jc w:val="center"/>
              <w:rPr>
                <w:color w:val="auto"/>
                <w:highlight w:val="none"/>
              </w:rPr>
            </w:pPr>
          </w:p>
        </w:tc>
        <w:tc>
          <w:tcPr>
            <w:tcW w:w="799" w:type="dxa"/>
            <w:vAlign w:val="center"/>
          </w:tcPr>
          <w:p w14:paraId="5B829F3D">
            <w:pPr>
              <w:jc w:val="center"/>
              <w:rPr>
                <w:color w:val="auto"/>
                <w:highlight w:val="none"/>
              </w:rPr>
            </w:pPr>
          </w:p>
        </w:tc>
      </w:tr>
      <w:tr w14:paraId="3835C8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800" w:type="dxa"/>
            <w:vAlign w:val="center"/>
          </w:tcPr>
          <w:p w14:paraId="51812FE2">
            <w:pPr>
              <w:jc w:val="center"/>
              <w:rPr>
                <w:color w:val="auto"/>
                <w:highlight w:val="none"/>
              </w:rPr>
            </w:pPr>
          </w:p>
        </w:tc>
        <w:tc>
          <w:tcPr>
            <w:tcW w:w="800" w:type="dxa"/>
            <w:vAlign w:val="center"/>
          </w:tcPr>
          <w:p w14:paraId="5D1C9AF1">
            <w:pPr>
              <w:jc w:val="center"/>
              <w:rPr>
                <w:color w:val="auto"/>
                <w:highlight w:val="none"/>
              </w:rPr>
            </w:pPr>
          </w:p>
        </w:tc>
        <w:tc>
          <w:tcPr>
            <w:tcW w:w="800" w:type="dxa"/>
            <w:vAlign w:val="center"/>
          </w:tcPr>
          <w:p w14:paraId="49CDCDA8">
            <w:pPr>
              <w:jc w:val="center"/>
              <w:rPr>
                <w:color w:val="auto"/>
                <w:highlight w:val="none"/>
              </w:rPr>
            </w:pPr>
          </w:p>
        </w:tc>
        <w:tc>
          <w:tcPr>
            <w:tcW w:w="1280" w:type="dxa"/>
            <w:vAlign w:val="center"/>
          </w:tcPr>
          <w:p w14:paraId="2EF1A76C">
            <w:pPr>
              <w:jc w:val="center"/>
              <w:rPr>
                <w:color w:val="auto"/>
                <w:highlight w:val="none"/>
              </w:rPr>
            </w:pPr>
          </w:p>
        </w:tc>
        <w:tc>
          <w:tcPr>
            <w:tcW w:w="870" w:type="dxa"/>
            <w:vAlign w:val="center"/>
          </w:tcPr>
          <w:p w14:paraId="24D5D23F">
            <w:pPr>
              <w:jc w:val="center"/>
              <w:rPr>
                <w:color w:val="auto"/>
                <w:highlight w:val="none"/>
              </w:rPr>
            </w:pPr>
          </w:p>
        </w:tc>
        <w:tc>
          <w:tcPr>
            <w:tcW w:w="1369" w:type="dxa"/>
            <w:vAlign w:val="center"/>
          </w:tcPr>
          <w:p w14:paraId="000CB2E4">
            <w:pPr>
              <w:jc w:val="center"/>
              <w:rPr>
                <w:color w:val="auto"/>
                <w:highlight w:val="none"/>
              </w:rPr>
            </w:pPr>
          </w:p>
        </w:tc>
        <w:tc>
          <w:tcPr>
            <w:tcW w:w="1120" w:type="dxa"/>
            <w:vAlign w:val="center"/>
          </w:tcPr>
          <w:p w14:paraId="266CCC45">
            <w:pPr>
              <w:jc w:val="center"/>
              <w:rPr>
                <w:color w:val="auto"/>
                <w:highlight w:val="none"/>
              </w:rPr>
            </w:pPr>
          </w:p>
        </w:tc>
        <w:tc>
          <w:tcPr>
            <w:tcW w:w="1761" w:type="dxa"/>
            <w:vAlign w:val="center"/>
          </w:tcPr>
          <w:p w14:paraId="7193D4C8">
            <w:pPr>
              <w:jc w:val="center"/>
              <w:rPr>
                <w:color w:val="auto"/>
                <w:highlight w:val="none"/>
              </w:rPr>
            </w:pPr>
          </w:p>
        </w:tc>
        <w:tc>
          <w:tcPr>
            <w:tcW w:w="799" w:type="dxa"/>
            <w:vAlign w:val="center"/>
          </w:tcPr>
          <w:p w14:paraId="36CCE56F">
            <w:pPr>
              <w:jc w:val="center"/>
              <w:rPr>
                <w:color w:val="auto"/>
                <w:highlight w:val="none"/>
              </w:rPr>
            </w:pPr>
          </w:p>
        </w:tc>
      </w:tr>
      <w:tr w14:paraId="4C7A58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800" w:type="dxa"/>
            <w:vAlign w:val="center"/>
          </w:tcPr>
          <w:p w14:paraId="4856E774">
            <w:pPr>
              <w:jc w:val="center"/>
              <w:rPr>
                <w:color w:val="auto"/>
                <w:highlight w:val="none"/>
              </w:rPr>
            </w:pPr>
          </w:p>
        </w:tc>
        <w:tc>
          <w:tcPr>
            <w:tcW w:w="800" w:type="dxa"/>
            <w:vAlign w:val="center"/>
          </w:tcPr>
          <w:p w14:paraId="62D94FE8">
            <w:pPr>
              <w:jc w:val="center"/>
              <w:rPr>
                <w:color w:val="auto"/>
                <w:highlight w:val="none"/>
              </w:rPr>
            </w:pPr>
          </w:p>
        </w:tc>
        <w:tc>
          <w:tcPr>
            <w:tcW w:w="800" w:type="dxa"/>
            <w:vAlign w:val="center"/>
          </w:tcPr>
          <w:p w14:paraId="3276C3F7">
            <w:pPr>
              <w:jc w:val="center"/>
              <w:rPr>
                <w:color w:val="auto"/>
                <w:highlight w:val="none"/>
              </w:rPr>
            </w:pPr>
          </w:p>
        </w:tc>
        <w:tc>
          <w:tcPr>
            <w:tcW w:w="1280" w:type="dxa"/>
            <w:vAlign w:val="center"/>
          </w:tcPr>
          <w:p w14:paraId="0916A15F">
            <w:pPr>
              <w:jc w:val="center"/>
              <w:rPr>
                <w:color w:val="auto"/>
                <w:highlight w:val="none"/>
              </w:rPr>
            </w:pPr>
          </w:p>
        </w:tc>
        <w:tc>
          <w:tcPr>
            <w:tcW w:w="870" w:type="dxa"/>
            <w:vAlign w:val="center"/>
          </w:tcPr>
          <w:p w14:paraId="443BFB32">
            <w:pPr>
              <w:jc w:val="center"/>
              <w:rPr>
                <w:color w:val="auto"/>
                <w:highlight w:val="none"/>
              </w:rPr>
            </w:pPr>
          </w:p>
        </w:tc>
        <w:tc>
          <w:tcPr>
            <w:tcW w:w="1369" w:type="dxa"/>
            <w:vAlign w:val="center"/>
          </w:tcPr>
          <w:p w14:paraId="7B5F0833">
            <w:pPr>
              <w:jc w:val="center"/>
              <w:rPr>
                <w:color w:val="auto"/>
                <w:highlight w:val="none"/>
              </w:rPr>
            </w:pPr>
          </w:p>
        </w:tc>
        <w:tc>
          <w:tcPr>
            <w:tcW w:w="1120" w:type="dxa"/>
            <w:vAlign w:val="center"/>
          </w:tcPr>
          <w:p w14:paraId="234D0E23">
            <w:pPr>
              <w:jc w:val="center"/>
              <w:rPr>
                <w:color w:val="auto"/>
                <w:highlight w:val="none"/>
              </w:rPr>
            </w:pPr>
          </w:p>
        </w:tc>
        <w:tc>
          <w:tcPr>
            <w:tcW w:w="1761" w:type="dxa"/>
            <w:vAlign w:val="center"/>
          </w:tcPr>
          <w:p w14:paraId="43189CB5">
            <w:pPr>
              <w:jc w:val="center"/>
              <w:rPr>
                <w:color w:val="auto"/>
                <w:highlight w:val="none"/>
              </w:rPr>
            </w:pPr>
          </w:p>
        </w:tc>
        <w:tc>
          <w:tcPr>
            <w:tcW w:w="799" w:type="dxa"/>
            <w:vAlign w:val="center"/>
          </w:tcPr>
          <w:p w14:paraId="1CF1C7D3">
            <w:pPr>
              <w:jc w:val="center"/>
              <w:rPr>
                <w:color w:val="auto"/>
                <w:highlight w:val="none"/>
              </w:rPr>
            </w:pPr>
          </w:p>
        </w:tc>
      </w:tr>
      <w:tr w14:paraId="7793DA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800" w:type="dxa"/>
            <w:vAlign w:val="center"/>
          </w:tcPr>
          <w:p w14:paraId="41EC821E">
            <w:pPr>
              <w:jc w:val="center"/>
              <w:rPr>
                <w:color w:val="auto"/>
                <w:highlight w:val="none"/>
              </w:rPr>
            </w:pPr>
          </w:p>
        </w:tc>
        <w:tc>
          <w:tcPr>
            <w:tcW w:w="800" w:type="dxa"/>
            <w:vAlign w:val="center"/>
          </w:tcPr>
          <w:p w14:paraId="00C898BC">
            <w:pPr>
              <w:jc w:val="center"/>
              <w:rPr>
                <w:color w:val="auto"/>
                <w:highlight w:val="none"/>
              </w:rPr>
            </w:pPr>
          </w:p>
        </w:tc>
        <w:tc>
          <w:tcPr>
            <w:tcW w:w="800" w:type="dxa"/>
            <w:vAlign w:val="center"/>
          </w:tcPr>
          <w:p w14:paraId="69537428">
            <w:pPr>
              <w:jc w:val="center"/>
              <w:rPr>
                <w:color w:val="auto"/>
                <w:highlight w:val="none"/>
              </w:rPr>
            </w:pPr>
          </w:p>
        </w:tc>
        <w:tc>
          <w:tcPr>
            <w:tcW w:w="1280" w:type="dxa"/>
            <w:vAlign w:val="center"/>
          </w:tcPr>
          <w:p w14:paraId="6211A7A8">
            <w:pPr>
              <w:jc w:val="center"/>
              <w:rPr>
                <w:color w:val="auto"/>
                <w:highlight w:val="none"/>
              </w:rPr>
            </w:pPr>
          </w:p>
        </w:tc>
        <w:tc>
          <w:tcPr>
            <w:tcW w:w="870" w:type="dxa"/>
            <w:vAlign w:val="center"/>
          </w:tcPr>
          <w:p w14:paraId="54818D29">
            <w:pPr>
              <w:jc w:val="center"/>
              <w:rPr>
                <w:color w:val="auto"/>
                <w:highlight w:val="none"/>
              </w:rPr>
            </w:pPr>
          </w:p>
        </w:tc>
        <w:tc>
          <w:tcPr>
            <w:tcW w:w="1369" w:type="dxa"/>
            <w:vAlign w:val="center"/>
          </w:tcPr>
          <w:p w14:paraId="5AE7B786">
            <w:pPr>
              <w:jc w:val="center"/>
              <w:rPr>
                <w:color w:val="auto"/>
                <w:highlight w:val="none"/>
              </w:rPr>
            </w:pPr>
          </w:p>
        </w:tc>
        <w:tc>
          <w:tcPr>
            <w:tcW w:w="1120" w:type="dxa"/>
            <w:vAlign w:val="center"/>
          </w:tcPr>
          <w:p w14:paraId="1277CC13">
            <w:pPr>
              <w:jc w:val="center"/>
              <w:rPr>
                <w:color w:val="auto"/>
                <w:highlight w:val="none"/>
              </w:rPr>
            </w:pPr>
          </w:p>
        </w:tc>
        <w:tc>
          <w:tcPr>
            <w:tcW w:w="1761" w:type="dxa"/>
            <w:vAlign w:val="center"/>
          </w:tcPr>
          <w:p w14:paraId="1634768E">
            <w:pPr>
              <w:jc w:val="center"/>
              <w:rPr>
                <w:color w:val="auto"/>
                <w:highlight w:val="none"/>
              </w:rPr>
            </w:pPr>
          </w:p>
        </w:tc>
        <w:tc>
          <w:tcPr>
            <w:tcW w:w="799" w:type="dxa"/>
            <w:vAlign w:val="center"/>
          </w:tcPr>
          <w:p w14:paraId="5BF80B5D">
            <w:pPr>
              <w:jc w:val="center"/>
              <w:rPr>
                <w:color w:val="auto"/>
                <w:highlight w:val="none"/>
              </w:rPr>
            </w:pPr>
          </w:p>
        </w:tc>
      </w:tr>
      <w:tr w14:paraId="2D9CE1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9" w:hRule="atLeast"/>
        </w:trPr>
        <w:tc>
          <w:tcPr>
            <w:tcW w:w="800" w:type="dxa"/>
            <w:vAlign w:val="center"/>
          </w:tcPr>
          <w:p w14:paraId="2CB3B137">
            <w:pPr>
              <w:jc w:val="center"/>
              <w:rPr>
                <w:color w:val="auto"/>
                <w:highlight w:val="none"/>
              </w:rPr>
            </w:pPr>
          </w:p>
        </w:tc>
        <w:tc>
          <w:tcPr>
            <w:tcW w:w="800" w:type="dxa"/>
            <w:vAlign w:val="center"/>
          </w:tcPr>
          <w:p w14:paraId="2DC33A35">
            <w:pPr>
              <w:jc w:val="center"/>
              <w:rPr>
                <w:color w:val="auto"/>
                <w:highlight w:val="none"/>
              </w:rPr>
            </w:pPr>
          </w:p>
        </w:tc>
        <w:tc>
          <w:tcPr>
            <w:tcW w:w="800" w:type="dxa"/>
            <w:vAlign w:val="center"/>
          </w:tcPr>
          <w:p w14:paraId="0E43ABAB">
            <w:pPr>
              <w:jc w:val="center"/>
              <w:rPr>
                <w:color w:val="auto"/>
                <w:highlight w:val="none"/>
              </w:rPr>
            </w:pPr>
          </w:p>
        </w:tc>
        <w:tc>
          <w:tcPr>
            <w:tcW w:w="1280" w:type="dxa"/>
            <w:vAlign w:val="center"/>
          </w:tcPr>
          <w:p w14:paraId="0686517D">
            <w:pPr>
              <w:jc w:val="center"/>
              <w:rPr>
                <w:color w:val="auto"/>
                <w:highlight w:val="none"/>
              </w:rPr>
            </w:pPr>
          </w:p>
        </w:tc>
        <w:tc>
          <w:tcPr>
            <w:tcW w:w="870" w:type="dxa"/>
            <w:vAlign w:val="center"/>
          </w:tcPr>
          <w:p w14:paraId="27EE7D48">
            <w:pPr>
              <w:jc w:val="center"/>
              <w:rPr>
                <w:color w:val="auto"/>
                <w:highlight w:val="none"/>
              </w:rPr>
            </w:pPr>
          </w:p>
        </w:tc>
        <w:tc>
          <w:tcPr>
            <w:tcW w:w="1369" w:type="dxa"/>
            <w:vAlign w:val="center"/>
          </w:tcPr>
          <w:p w14:paraId="1B623C0D">
            <w:pPr>
              <w:jc w:val="center"/>
              <w:rPr>
                <w:color w:val="auto"/>
                <w:highlight w:val="none"/>
              </w:rPr>
            </w:pPr>
          </w:p>
        </w:tc>
        <w:tc>
          <w:tcPr>
            <w:tcW w:w="1120" w:type="dxa"/>
            <w:vAlign w:val="center"/>
          </w:tcPr>
          <w:p w14:paraId="06C7D1BC">
            <w:pPr>
              <w:jc w:val="center"/>
              <w:rPr>
                <w:color w:val="auto"/>
                <w:highlight w:val="none"/>
              </w:rPr>
            </w:pPr>
          </w:p>
        </w:tc>
        <w:tc>
          <w:tcPr>
            <w:tcW w:w="1761" w:type="dxa"/>
            <w:vAlign w:val="center"/>
          </w:tcPr>
          <w:p w14:paraId="16B19477">
            <w:pPr>
              <w:jc w:val="center"/>
              <w:rPr>
                <w:color w:val="auto"/>
                <w:highlight w:val="none"/>
              </w:rPr>
            </w:pPr>
          </w:p>
        </w:tc>
        <w:tc>
          <w:tcPr>
            <w:tcW w:w="799" w:type="dxa"/>
            <w:vAlign w:val="center"/>
          </w:tcPr>
          <w:p w14:paraId="11D1536A">
            <w:pPr>
              <w:jc w:val="center"/>
              <w:rPr>
                <w:color w:val="auto"/>
                <w:highlight w:val="none"/>
              </w:rPr>
            </w:pPr>
          </w:p>
        </w:tc>
      </w:tr>
    </w:tbl>
    <w:p w14:paraId="4A444225">
      <w:pPr>
        <w:ind w:firstLine="482" w:firstLineChars="200"/>
        <w:outlineLvl w:val="2"/>
        <w:rPr>
          <w:rFonts w:hint="eastAsia" w:ascii="宋体" w:hAnsi="宋体"/>
          <w:b/>
          <w:color w:val="auto"/>
          <w:sz w:val="24"/>
          <w:highlight w:val="none"/>
        </w:rPr>
      </w:pPr>
      <w:bookmarkStart w:id="296" w:name="_Toc6687"/>
      <w:bookmarkEnd w:id="296"/>
      <w:bookmarkStart w:id="297" w:name="_Toc7623"/>
      <w:bookmarkEnd w:id="297"/>
      <w:bookmarkStart w:id="298" w:name="_Toc463691055"/>
      <w:bookmarkEnd w:id="298"/>
      <w:bookmarkStart w:id="299" w:name="_Toc489602203"/>
      <w:bookmarkEnd w:id="299"/>
      <w:bookmarkStart w:id="300" w:name="_Toc30954"/>
      <w:bookmarkEnd w:id="300"/>
      <w:bookmarkStart w:id="301" w:name="_Toc11401"/>
      <w:bookmarkEnd w:id="301"/>
      <w:bookmarkStart w:id="302" w:name="_Toc105654893"/>
      <w:bookmarkEnd w:id="302"/>
      <w:bookmarkStart w:id="303" w:name="_Toc104558782"/>
      <w:bookmarkEnd w:id="303"/>
      <w:bookmarkStart w:id="304" w:name="_Toc18893"/>
      <w:bookmarkEnd w:id="304"/>
      <w:r>
        <w:rPr>
          <w:rFonts w:hint="eastAsia" w:ascii="宋体" w:hAnsi="宋体"/>
          <w:b/>
          <w:color w:val="auto"/>
          <w:sz w:val="24"/>
          <w:highlight w:val="none"/>
        </w:rPr>
        <w:t>（二）主要人员简历表</w:t>
      </w:r>
    </w:p>
    <w:p w14:paraId="37F9FDAA">
      <w:pPr>
        <w:pStyle w:val="27"/>
        <w:spacing w:line="360" w:lineRule="auto"/>
        <w:ind w:firstLine="480" w:firstLineChars="200"/>
        <w:jc w:val="left"/>
        <w:rPr>
          <w:rFonts w:hint="eastAsia" w:ascii="宋体" w:hAnsi="宋体" w:eastAsia="宋体"/>
          <w:b w:val="0"/>
          <w:color w:val="auto"/>
          <w:sz w:val="24"/>
          <w:szCs w:val="24"/>
          <w:highlight w:val="none"/>
          <w:lang w:bidi="zh-CN"/>
        </w:rPr>
      </w:pPr>
      <w:bookmarkStart w:id="305" w:name="_Toc104558783"/>
      <w:bookmarkEnd w:id="305"/>
      <w:bookmarkStart w:id="306" w:name="_Toc105654894"/>
      <w:bookmarkEnd w:id="306"/>
      <w:r>
        <w:rPr>
          <w:rFonts w:hint="eastAsia" w:ascii="宋体" w:hAnsi="宋体" w:eastAsia="宋体"/>
          <w:b w:val="0"/>
          <w:color w:val="auto"/>
          <w:sz w:val="24"/>
          <w:szCs w:val="24"/>
          <w:highlight w:val="none"/>
          <w:lang w:bidi="zh-CN"/>
        </w:rPr>
        <w:t>“主要人员简历表”中的项目经理应附注册建造师证、身份证、职称证（如有）、安全生产考核证等扫描件，管理过的项目业绩须附中标通知书</w:t>
      </w:r>
      <w:r>
        <w:rPr>
          <w:rFonts w:hint="eastAsia" w:ascii="宋体" w:hAnsi="宋体" w:eastAsia="宋体"/>
          <w:b w:val="0"/>
          <w:color w:val="auto"/>
          <w:sz w:val="24"/>
          <w:szCs w:val="24"/>
          <w:highlight w:val="none"/>
          <w:lang w:val="en-US" w:bidi="zh-CN"/>
        </w:rPr>
        <w:t>或</w:t>
      </w:r>
      <w:r>
        <w:rPr>
          <w:rFonts w:hint="eastAsia" w:ascii="宋体" w:hAnsi="宋体" w:eastAsia="宋体"/>
          <w:b w:val="0"/>
          <w:color w:val="auto"/>
          <w:sz w:val="24"/>
          <w:szCs w:val="24"/>
          <w:highlight w:val="none"/>
          <w:lang w:bidi="zh-CN"/>
        </w:rPr>
        <w:t>合同协议书的扫描件；技术负责人应附身份证、职称证等扫描件；其他主要人员应附职称证（执业证或上岗证书）扫描件。</w:t>
      </w:r>
    </w:p>
    <w:tbl>
      <w:tblPr>
        <w:tblStyle w:val="12"/>
        <w:tblpPr w:leftFromText="180" w:rightFromText="180" w:vertAnchor="text" w:horzAnchor="page" w:tblpX="1727" w:tblpY="197"/>
        <w:tblOverlap w:val="never"/>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20"/>
        <w:gridCol w:w="1419"/>
        <w:gridCol w:w="1228"/>
        <w:gridCol w:w="192"/>
        <w:gridCol w:w="1420"/>
        <w:gridCol w:w="1420"/>
        <w:gridCol w:w="1421"/>
      </w:tblGrid>
      <w:tr w14:paraId="76A14A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3" w:hRule="atLeast"/>
        </w:trPr>
        <w:tc>
          <w:tcPr>
            <w:tcW w:w="1420" w:type="dxa"/>
            <w:vAlign w:val="center"/>
          </w:tcPr>
          <w:p w14:paraId="2339C229">
            <w:pPr>
              <w:jc w:val="center"/>
              <w:rPr>
                <w:rFonts w:hint="eastAsia" w:ascii="宋体" w:hAnsi="宋体"/>
                <w:color w:val="auto"/>
                <w:sz w:val="24"/>
                <w:highlight w:val="none"/>
              </w:rPr>
            </w:pPr>
            <w:r>
              <w:rPr>
                <w:rFonts w:hint="eastAsia" w:ascii="宋体" w:hAnsi="宋体"/>
                <w:color w:val="auto"/>
                <w:sz w:val="24"/>
                <w:highlight w:val="none"/>
              </w:rPr>
              <w:t>姓名</w:t>
            </w:r>
          </w:p>
        </w:tc>
        <w:tc>
          <w:tcPr>
            <w:tcW w:w="1419" w:type="dxa"/>
            <w:vAlign w:val="center"/>
          </w:tcPr>
          <w:p w14:paraId="25575212">
            <w:pPr>
              <w:jc w:val="center"/>
              <w:rPr>
                <w:rFonts w:hint="eastAsia" w:ascii="宋体" w:hAnsi="宋体"/>
                <w:color w:val="auto"/>
                <w:sz w:val="24"/>
                <w:highlight w:val="none"/>
              </w:rPr>
            </w:pPr>
          </w:p>
        </w:tc>
        <w:tc>
          <w:tcPr>
            <w:tcW w:w="1228" w:type="dxa"/>
            <w:vAlign w:val="center"/>
          </w:tcPr>
          <w:p w14:paraId="5812EE3C">
            <w:pPr>
              <w:jc w:val="center"/>
              <w:rPr>
                <w:rFonts w:hint="eastAsia" w:ascii="宋体" w:hAnsi="宋体"/>
                <w:color w:val="auto"/>
                <w:sz w:val="24"/>
                <w:highlight w:val="none"/>
              </w:rPr>
            </w:pPr>
            <w:r>
              <w:rPr>
                <w:rFonts w:hint="eastAsia" w:ascii="宋体" w:hAnsi="宋体"/>
                <w:color w:val="auto"/>
                <w:sz w:val="24"/>
                <w:highlight w:val="none"/>
              </w:rPr>
              <w:t>年龄</w:t>
            </w:r>
          </w:p>
        </w:tc>
        <w:tc>
          <w:tcPr>
            <w:tcW w:w="1612" w:type="dxa"/>
            <w:gridSpan w:val="2"/>
            <w:vAlign w:val="center"/>
          </w:tcPr>
          <w:p w14:paraId="2868014C">
            <w:pPr>
              <w:jc w:val="center"/>
              <w:rPr>
                <w:rFonts w:hint="eastAsia" w:ascii="宋体" w:hAnsi="宋体"/>
                <w:color w:val="auto"/>
                <w:sz w:val="24"/>
                <w:highlight w:val="none"/>
              </w:rPr>
            </w:pPr>
          </w:p>
        </w:tc>
        <w:tc>
          <w:tcPr>
            <w:tcW w:w="1420" w:type="dxa"/>
            <w:vAlign w:val="center"/>
          </w:tcPr>
          <w:p w14:paraId="54A674D2">
            <w:pPr>
              <w:jc w:val="center"/>
              <w:rPr>
                <w:rFonts w:hint="eastAsia" w:ascii="宋体" w:hAnsi="宋体"/>
                <w:color w:val="auto"/>
                <w:sz w:val="24"/>
                <w:highlight w:val="none"/>
              </w:rPr>
            </w:pPr>
            <w:r>
              <w:rPr>
                <w:rFonts w:hint="eastAsia" w:ascii="宋体" w:hAnsi="宋体"/>
                <w:color w:val="auto"/>
                <w:sz w:val="24"/>
                <w:highlight w:val="none"/>
              </w:rPr>
              <w:t>学历</w:t>
            </w:r>
          </w:p>
        </w:tc>
        <w:tc>
          <w:tcPr>
            <w:tcW w:w="1421" w:type="dxa"/>
            <w:vAlign w:val="center"/>
          </w:tcPr>
          <w:p w14:paraId="0442C723">
            <w:pPr>
              <w:jc w:val="center"/>
              <w:rPr>
                <w:rFonts w:hint="eastAsia" w:ascii="宋体" w:hAnsi="宋体"/>
                <w:color w:val="auto"/>
                <w:sz w:val="24"/>
                <w:highlight w:val="none"/>
              </w:rPr>
            </w:pPr>
          </w:p>
        </w:tc>
      </w:tr>
      <w:tr w14:paraId="5706C5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56" w:hRule="atLeast"/>
        </w:trPr>
        <w:tc>
          <w:tcPr>
            <w:tcW w:w="1420" w:type="dxa"/>
            <w:vAlign w:val="center"/>
          </w:tcPr>
          <w:p w14:paraId="2D6003C4">
            <w:pPr>
              <w:jc w:val="center"/>
              <w:rPr>
                <w:rFonts w:hint="eastAsia" w:ascii="宋体" w:hAnsi="宋体"/>
                <w:color w:val="auto"/>
                <w:sz w:val="24"/>
                <w:highlight w:val="none"/>
              </w:rPr>
            </w:pPr>
            <w:r>
              <w:rPr>
                <w:rFonts w:hint="eastAsia" w:ascii="宋体" w:hAnsi="宋体"/>
                <w:color w:val="auto"/>
                <w:sz w:val="24"/>
                <w:highlight w:val="none"/>
              </w:rPr>
              <w:t>职称</w:t>
            </w:r>
          </w:p>
        </w:tc>
        <w:tc>
          <w:tcPr>
            <w:tcW w:w="1419" w:type="dxa"/>
            <w:vAlign w:val="center"/>
          </w:tcPr>
          <w:p w14:paraId="01AFCD63">
            <w:pPr>
              <w:jc w:val="center"/>
              <w:rPr>
                <w:rFonts w:hint="eastAsia" w:ascii="宋体" w:hAnsi="宋体"/>
                <w:color w:val="auto"/>
                <w:sz w:val="24"/>
                <w:highlight w:val="none"/>
              </w:rPr>
            </w:pPr>
          </w:p>
        </w:tc>
        <w:tc>
          <w:tcPr>
            <w:tcW w:w="1228" w:type="dxa"/>
            <w:vAlign w:val="center"/>
          </w:tcPr>
          <w:p w14:paraId="0812DDC6">
            <w:pPr>
              <w:jc w:val="center"/>
              <w:rPr>
                <w:rFonts w:hint="eastAsia" w:ascii="宋体" w:hAnsi="宋体"/>
                <w:color w:val="auto"/>
                <w:sz w:val="24"/>
                <w:highlight w:val="none"/>
              </w:rPr>
            </w:pPr>
            <w:r>
              <w:rPr>
                <w:rFonts w:hint="eastAsia" w:ascii="宋体" w:hAnsi="宋体"/>
                <w:color w:val="auto"/>
                <w:sz w:val="24"/>
                <w:highlight w:val="none"/>
              </w:rPr>
              <w:t>职务</w:t>
            </w:r>
          </w:p>
        </w:tc>
        <w:tc>
          <w:tcPr>
            <w:tcW w:w="1612" w:type="dxa"/>
            <w:gridSpan w:val="2"/>
            <w:vAlign w:val="center"/>
          </w:tcPr>
          <w:p w14:paraId="32475461">
            <w:pPr>
              <w:jc w:val="center"/>
              <w:rPr>
                <w:rFonts w:hint="eastAsia" w:ascii="宋体" w:hAnsi="宋体"/>
                <w:color w:val="auto"/>
                <w:sz w:val="24"/>
                <w:highlight w:val="none"/>
              </w:rPr>
            </w:pPr>
          </w:p>
        </w:tc>
        <w:tc>
          <w:tcPr>
            <w:tcW w:w="1420" w:type="dxa"/>
            <w:vAlign w:val="center"/>
          </w:tcPr>
          <w:p w14:paraId="176E9921">
            <w:pPr>
              <w:jc w:val="center"/>
              <w:rPr>
                <w:rFonts w:hint="eastAsia" w:ascii="宋体" w:hAnsi="宋体"/>
                <w:color w:val="auto"/>
                <w:sz w:val="24"/>
                <w:highlight w:val="none"/>
              </w:rPr>
            </w:pPr>
            <w:r>
              <w:rPr>
                <w:rFonts w:hint="eastAsia" w:ascii="宋体" w:hAnsi="宋体"/>
                <w:color w:val="auto"/>
                <w:sz w:val="24"/>
                <w:highlight w:val="none"/>
              </w:rPr>
              <w:t>拟在本合同任职</w:t>
            </w:r>
          </w:p>
        </w:tc>
        <w:tc>
          <w:tcPr>
            <w:tcW w:w="1421" w:type="dxa"/>
            <w:vAlign w:val="center"/>
          </w:tcPr>
          <w:p w14:paraId="44ECB4E5">
            <w:pPr>
              <w:jc w:val="center"/>
              <w:rPr>
                <w:rFonts w:hint="eastAsia" w:ascii="宋体" w:hAnsi="宋体"/>
                <w:color w:val="auto"/>
                <w:sz w:val="24"/>
                <w:highlight w:val="none"/>
              </w:rPr>
            </w:pPr>
          </w:p>
        </w:tc>
      </w:tr>
      <w:tr w14:paraId="357257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2" w:hRule="atLeast"/>
        </w:trPr>
        <w:tc>
          <w:tcPr>
            <w:tcW w:w="1420" w:type="dxa"/>
            <w:vAlign w:val="center"/>
          </w:tcPr>
          <w:p w14:paraId="47674E26">
            <w:pPr>
              <w:jc w:val="center"/>
              <w:rPr>
                <w:rFonts w:hint="eastAsia" w:ascii="宋体" w:hAnsi="宋体"/>
                <w:color w:val="auto"/>
                <w:sz w:val="24"/>
                <w:highlight w:val="none"/>
              </w:rPr>
            </w:pPr>
            <w:r>
              <w:rPr>
                <w:rFonts w:hint="eastAsia" w:ascii="宋体" w:hAnsi="宋体"/>
                <w:color w:val="auto"/>
                <w:sz w:val="24"/>
                <w:highlight w:val="none"/>
              </w:rPr>
              <w:t>毕业学校</w:t>
            </w:r>
          </w:p>
        </w:tc>
        <w:tc>
          <w:tcPr>
            <w:tcW w:w="7100" w:type="dxa"/>
            <w:gridSpan w:val="6"/>
            <w:vAlign w:val="center"/>
          </w:tcPr>
          <w:p w14:paraId="1264BD34">
            <w:pPr>
              <w:jc w:val="center"/>
              <w:rPr>
                <w:rFonts w:hint="eastAsia" w:ascii="宋体" w:hAnsi="宋体"/>
                <w:color w:val="auto"/>
                <w:sz w:val="24"/>
                <w:highlight w:val="none"/>
              </w:rPr>
            </w:pPr>
            <w:r>
              <w:rPr>
                <w:rFonts w:hint="eastAsia" w:ascii="宋体" w:hAnsi="宋体"/>
                <w:color w:val="auto"/>
                <w:sz w:val="24"/>
                <w:highlight w:val="none"/>
              </w:rPr>
              <w:t>年毕业于　　　学校　　专业</w:t>
            </w:r>
          </w:p>
        </w:tc>
      </w:tr>
      <w:tr w14:paraId="56F8E4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37" w:hRule="atLeast"/>
        </w:trPr>
        <w:tc>
          <w:tcPr>
            <w:tcW w:w="8520" w:type="dxa"/>
            <w:gridSpan w:val="7"/>
            <w:vAlign w:val="center"/>
          </w:tcPr>
          <w:p w14:paraId="15A0406B">
            <w:pPr>
              <w:jc w:val="center"/>
              <w:rPr>
                <w:rFonts w:hint="eastAsia" w:ascii="宋体" w:hAnsi="宋体"/>
                <w:color w:val="auto"/>
                <w:sz w:val="24"/>
                <w:highlight w:val="none"/>
              </w:rPr>
            </w:pPr>
            <w:r>
              <w:rPr>
                <w:rFonts w:hint="eastAsia" w:ascii="宋体" w:hAnsi="宋体"/>
                <w:color w:val="auto"/>
                <w:sz w:val="24"/>
                <w:highlight w:val="none"/>
              </w:rPr>
              <w:t>主要工作经历</w:t>
            </w:r>
          </w:p>
        </w:tc>
      </w:tr>
      <w:tr w14:paraId="0F23B4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5" w:hRule="atLeast"/>
        </w:trPr>
        <w:tc>
          <w:tcPr>
            <w:tcW w:w="1420" w:type="dxa"/>
            <w:vAlign w:val="center"/>
          </w:tcPr>
          <w:p w14:paraId="76B911A2">
            <w:pPr>
              <w:jc w:val="center"/>
              <w:rPr>
                <w:rFonts w:hint="eastAsia" w:ascii="宋体" w:hAnsi="宋体"/>
                <w:color w:val="auto"/>
                <w:sz w:val="24"/>
                <w:highlight w:val="none"/>
              </w:rPr>
            </w:pPr>
            <w:r>
              <w:rPr>
                <w:rFonts w:hint="eastAsia" w:ascii="宋体" w:hAnsi="宋体"/>
                <w:color w:val="auto"/>
                <w:sz w:val="24"/>
                <w:highlight w:val="none"/>
              </w:rPr>
              <w:t>时间</w:t>
            </w:r>
          </w:p>
        </w:tc>
        <w:tc>
          <w:tcPr>
            <w:tcW w:w="2839" w:type="dxa"/>
            <w:gridSpan w:val="3"/>
            <w:vAlign w:val="center"/>
          </w:tcPr>
          <w:p w14:paraId="2736CB11">
            <w:pPr>
              <w:jc w:val="center"/>
              <w:rPr>
                <w:rFonts w:hint="eastAsia" w:ascii="宋体" w:hAnsi="宋体"/>
                <w:color w:val="auto"/>
                <w:sz w:val="24"/>
                <w:highlight w:val="none"/>
              </w:rPr>
            </w:pPr>
            <w:r>
              <w:rPr>
                <w:rFonts w:hint="eastAsia" w:ascii="宋体" w:hAnsi="宋体"/>
                <w:color w:val="auto"/>
                <w:sz w:val="24"/>
                <w:highlight w:val="none"/>
              </w:rPr>
              <w:t>参加过的类似项目</w:t>
            </w:r>
          </w:p>
        </w:tc>
        <w:tc>
          <w:tcPr>
            <w:tcW w:w="1420" w:type="dxa"/>
            <w:vAlign w:val="center"/>
          </w:tcPr>
          <w:p w14:paraId="20F7EA54">
            <w:pPr>
              <w:jc w:val="center"/>
              <w:rPr>
                <w:rFonts w:hint="eastAsia" w:ascii="宋体" w:hAnsi="宋体"/>
                <w:color w:val="auto"/>
                <w:sz w:val="24"/>
                <w:highlight w:val="none"/>
              </w:rPr>
            </w:pPr>
            <w:r>
              <w:rPr>
                <w:rFonts w:hint="eastAsia" w:ascii="宋体" w:hAnsi="宋体"/>
                <w:color w:val="auto"/>
                <w:sz w:val="24"/>
                <w:highlight w:val="none"/>
              </w:rPr>
              <w:t>担任职务</w:t>
            </w:r>
          </w:p>
        </w:tc>
        <w:tc>
          <w:tcPr>
            <w:tcW w:w="2841" w:type="dxa"/>
            <w:gridSpan w:val="2"/>
            <w:vAlign w:val="center"/>
          </w:tcPr>
          <w:p w14:paraId="22A3364D">
            <w:pPr>
              <w:jc w:val="center"/>
              <w:rPr>
                <w:rFonts w:hint="eastAsia" w:ascii="宋体" w:hAnsi="宋体"/>
                <w:color w:val="auto"/>
                <w:sz w:val="24"/>
                <w:highlight w:val="none"/>
              </w:rPr>
            </w:pPr>
            <w:r>
              <w:rPr>
                <w:rFonts w:hint="eastAsia" w:ascii="宋体" w:hAnsi="宋体"/>
                <w:color w:val="auto"/>
                <w:sz w:val="24"/>
                <w:highlight w:val="none"/>
              </w:rPr>
              <w:t>发包人及联系电话</w:t>
            </w:r>
          </w:p>
        </w:tc>
      </w:tr>
      <w:tr w14:paraId="3EACAA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trPr>
        <w:tc>
          <w:tcPr>
            <w:tcW w:w="1420" w:type="dxa"/>
            <w:vAlign w:val="top"/>
          </w:tcPr>
          <w:p w14:paraId="6EAE9B90">
            <w:pPr>
              <w:rPr>
                <w:rFonts w:hint="eastAsia" w:ascii="宋体" w:hAnsi="宋体"/>
                <w:color w:val="auto"/>
                <w:sz w:val="24"/>
                <w:highlight w:val="none"/>
              </w:rPr>
            </w:pPr>
          </w:p>
        </w:tc>
        <w:tc>
          <w:tcPr>
            <w:tcW w:w="2839" w:type="dxa"/>
            <w:gridSpan w:val="3"/>
            <w:vAlign w:val="top"/>
          </w:tcPr>
          <w:p w14:paraId="32F1BD25">
            <w:pPr>
              <w:rPr>
                <w:rFonts w:hint="eastAsia" w:ascii="宋体" w:hAnsi="宋体"/>
                <w:color w:val="auto"/>
                <w:sz w:val="24"/>
                <w:highlight w:val="none"/>
              </w:rPr>
            </w:pPr>
          </w:p>
        </w:tc>
        <w:tc>
          <w:tcPr>
            <w:tcW w:w="1420" w:type="dxa"/>
            <w:vAlign w:val="top"/>
          </w:tcPr>
          <w:p w14:paraId="24F7E8D8">
            <w:pPr>
              <w:rPr>
                <w:rFonts w:hint="eastAsia" w:ascii="宋体" w:hAnsi="宋体"/>
                <w:color w:val="auto"/>
                <w:sz w:val="24"/>
                <w:highlight w:val="none"/>
              </w:rPr>
            </w:pPr>
          </w:p>
        </w:tc>
        <w:tc>
          <w:tcPr>
            <w:tcW w:w="2841" w:type="dxa"/>
            <w:gridSpan w:val="2"/>
            <w:vAlign w:val="top"/>
          </w:tcPr>
          <w:p w14:paraId="77132158">
            <w:pPr>
              <w:rPr>
                <w:rFonts w:hint="eastAsia" w:ascii="宋体" w:hAnsi="宋体"/>
                <w:color w:val="auto"/>
                <w:sz w:val="24"/>
                <w:highlight w:val="none"/>
              </w:rPr>
            </w:pPr>
          </w:p>
        </w:tc>
      </w:tr>
      <w:tr w14:paraId="6221EA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trPr>
        <w:tc>
          <w:tcPr>
            <w:tcW w:w="1420" w:type="dxa"/>
            <w:vAlign w:val="top"/>
          </w:tcPr>
          <w:p w14:paraId="39898DA3">
            <w:pPr>
              <w:rPr>
                <w:rFonts w:hint="eastAsia" w:ascii="宋体" w:hAnsi="宋体"/>
                <w:color w:val="auto"/>
                <w:sz w:val="24"/>
                <w:highlight w:val="none"/>
              </w:rPr>
            </w:pPr>
          </w:p>
        </w:tc>
        <w:tc>
          <w:tcPr>
            <w:tcW w:w="2839" w:type="dxa"/>
            <w:gridSpan w:val="3"/>
            <w:vAlign w:val="top"/>
          </w:tcPr>
          <w:p w14:paraId="2734CC8C">
            <w:pPr>
              <w:rPr>
                <w:rFonts w:hint="eastAsia" w:ascii="宋体" w:hAnsi="宋体"/>
                <w:color w:val="auto"/>
                <w:sz w:val="24"/>
                <w:highlight w:val="none"/>
              </w:rPr>
            </w:pPr>
          </w:p>
        </w:tc>
        <w:tc>
          <w:tcPr>
            <w:tcW w:w="1420" w:type="dxa"/>
            <w:vAlign w:val="top"/>
          </w:tcPr>
          <w:p w14:paraId="0CB163F0">
            <w:pPr>
              <w:rPr>
                <w:rFonts w:hint="eastAsia" w:ascii="宋体" w:hAnsi="宋体"/>
                <w:color w:val="auto"/>
                <w:sz w:val="24"/>
                <w:highlight w:val="none"/>
              </w:rPr>
            </w:pPr>
          </w:p>
        </w:tc>
        <w:tc>
          <w:tcPr>
            <w:tcW w:w="2841" w:type="dxa"/>
            <w:gridSpan w:val="2"/>
            <w:vAlign w:val="top"/>
          </w:tcPr>
          <w:p w14:paraId="3290FA19">
            <w:pPr>
              <w:rPr>
                <w:rFonts w:hint="eastAsia" w:ascii="宋体" w:hAnsi="宋体"/>
                <w:color w:val="auto"/>
                <w:sz w:val="24"/>
                <w:highlight w:val="none"/>
              </w:rPr>
            </w:pPr>
          </w:p>
        </w:tc>
      </w:tr>
      <w:tr w14:paraId="2D7E53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trPr>
        <w:tc>
          <w:tcPr>
            <w:tcW w:w="1420" w:type="dxa"/>
            <w:vAlign w:val="top"/>
          </w:tcPr>
          <w:p w14:paraId="6EE204DE">
            <w:pPr>
              <w:rPr>
                <w:rFonts w:hint="eastAsia" w:ascii="宋体" w:hAnsi="宋体"/>
                <w:color w:val="auto"/>
                <w:sz w:val="24"/>
                <w:highlight w:val="none"/>
              </w:rPr>
            </w:pPr>
          </w:p>
        </w:tc>
        <w:tc>
          <w:tcPr>
            <w:tcW w:w="2839" w:type="dxa"/>
            <w:gridSpan w:val="3"/>
            <w:vAlign w:val="top"/>
          </w:tcPr>
          <w:p w14:paraId="17536F99">
            <w:pPr>
              <w:rPr>
                <w:rFonts w:hint="eastAsia" w:ascii="宋体" w:hAnsi="宋体"/>
                <w:color w:val="auto"/>
                <w:sz w:val="24"/>
                <w:highlight w:val="none"/>
              </w:rPr>
            </w:pPr>
          </w:p>
        </w:tc>
        <w:tc>
          <w:tcPr>
            <w:tcW w:w="1420" w:type="dxa"/>
            <w:vAlign w:val="top"/>
          </w:tcPr>
          <w:p w14:paraId="256DE440">
            <w:pPr>
              <w:rPr>
                <w:rFonts w:hint="eastAsia" w:ascii="宋体" w:hAnsi="宋体"/>
                <w:color w:val="auto"/>
                <w:sz w:val="24"/>
                <w:highlight w:val="none"/>
              </w:rPr>
            </w:pPr>
          </w:p>
        </w:tc>
        <w:tc>
          <w:tcPr>
            <w:tcW w:w="2841" w:type="dxa"/>
            <w:gridSpan w:val="2"/>
            <w:vAlign w:val="top"/>
          </w:tcPr>
          <w:p w14:paraId="20A774C7">
            <w:pPr>
              <w:rPr>
                <w:rFonts w:hint="eastAsia" w:ascii="宋体" w:hAnsi="宋体"/>
                <w:color w:val="auto"/>
                <w:sz w:val="24"/>
                <w:highlight w:val="none"/>
              </w:rPr>
            </w:pPr>
          </w:p>
        </w:tc>
      </w:tr>
      <w:tr w14:paraId="68DE26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trPr>
        <w:tc>
          <w:tcPr>
            <w:tcW w:w="1420" w:type="dxa"/>
            <w:vAlign w:val="top"/>
          </w:tcPr>
          <w:p w14:paraId="2D351728">
            <w:pPr>
              <w:rPr>
                <w:rFonts w:hint="eastAsia" w:ascii="宋体" w:hAnsi="宋体"/>
                <w:color w:val="auto"/>
                <w:sz w:val="24"/>
                <w:highlight w:val="none"/>
              </w:rPr>
            </w:pPr>
          </w:p>
        </w:tc>
        <w:tc>
          <w:tcPr>
            <w:tcW w:w="2839" w:type="dxa"/>
            <w:gridSpan w:val="3"/>
            <w:vAlign w:val="top"/>
          </w:tcPr>
          <w:p w14:paraId="6BD0BCCD">
            <w:pPr>
              <w:rPr>
                <w:rFonts w:hint="eastAsia" w:ascii="宋体" w:hAnsi="宋体"/>
                <w:color w:val="auto"/>
                <w:sz w:val="24"/>
                <w:highlight w:val="none"/>
              </w:rPr>
            </w:pPr>
          </w:p>
        </w:tc>
        <w:tc>
          <w:tcPr>
            <w:tcW w:w="1420" w:type="dxa"/>
            <w:vAlign w:val="top"/>
          </w:tcPr>
          <w:p w14:paraId="120D3DF5">
            <w:pPr>
              <w:rPr>
                <w:rFonts w:hint="eastAsia" w:ascii="宋体" w:hAnsi="宋体"/>
                <w:color w:val="auto"/>
                <w:sz w:val="24"/>
                <w:highlight w:val="none"/>
              </w:rPr>
            </w:pPr>
          </w:p>
        </w:tc>
        <w:tc>
          <w:tcPr>
            <w:tcW w:w="2841" w:type="dxa"/>
            <w:gridSpan w:val="2"/>
            <w:vAlign w:val="top"/>
          </w:tcPr>
          <w:p w14:paraId="1DE4C7B3">
            <w:pPr>
              <w:rPr>
                <w:rFonts w:hint="eastAsia" w:ascii="宋体" w:hAnsi="宋体"/>
                <w:color w:val="auto"/>
                <w:sz w:val="24"/>
                <w:highlight w:val="none"/>
              </w:rPr>
            </w:pPr>
          </w:p>
        </w:tc>
      </w:tr>
      <w:tr w14:paraId="3AE166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trPr>
        <w:tc>
          <w:tcPr>
            <w:tcW w:w="1420" w:type="dxa"/>
            <w:vAlign w:val="top"/>
          </w:tcPr>
          <w:p w14:paraId="5B11216B">
            <w:pPr>
              <w:rPr>
                <w:rFonts w:hint="eastAsia" w:ascii="宋体" w:hAnsi="宋体"/>
                <w:color w:val="auto"/>
                <w:sz w:val="24"/>
                <w:highlight w:val="none"/>
              </w:rPr>
            </w:pPr>
          </w:p>
        </w:tc>
        <w:tc>
          <w:tcPr>
            <w:tcW w:w="2839" w:type="dxa"/>
            <w:gridSpan w:val="3"/>
            <w:vAlign w:val="top"/>
          </w:tcPr>
          <w:p w14:paraId="60EB2AEF">
            <w:pPr>
              <w:rPr>
                <w:rFonts w:hint="eastAsia" w:ascii="宋体" w:hAnsi="宋体"/>
                <w:color w:val="auto"/>
                <w:sz w:val="24"/>
                <w:highlight w:val="none"/>
              </w:rPr>
            </w:pPr>
          </w:p>
        </w:tc>
        <w:tc>
          <w:tcPr>
            <w:tcW w:w="1420" w:type="dxa"/>
            <w:vAlign w:val="top"/>
          </w:tcPr>
          <w:p w14:paraId="220C99D7">
            <w:pPr>
              <w:rPr>
                <w:rFonts w:hint="eastAsia" w:ascii="宋体" w:hAnsi="宋体"/>
                <w:color w:val="auto"/>
                <w:sz w:val="24"/>
                <w:highlight w:val="none"/>
              </w:rPr>
            </w:pPr>
          </w:p>
        </w:tc>
        <w:tc>
          <w:tcPr>
            <w:tcW w:w="2841" w:type="dxa"/>
            <w:gridSpan w:val="2"/>
            <w:vAlign w:val="top"/>
          </w:tcPr>
          <w:p w14:paraId="34D1B9C0">
            <w:pPr>
              <w:rPr>
                <w:rFonts w:hint="eastAsia" w:ascii="宋体" w:hAnsi="宋体"/>
                <w:color w:val="auto"/>
                <w:sz w:val="24"/>
                <w:highlight w:val="none"/>
              </w:rPr>
            </w:pPr>
          </w:p>
        </w:tc>
      </w:tr>
      <w:tr w14:paraId="73298B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trPr>
        <w:tc>
          <w:tcPr>
            <w:tcW w:w="1420" w:type="dxa"/>
            <w:vAlign w:val="top"/>
          </w:tcPr>
          <w:p w14:paraId="457FE485">
            <w:pPr>
              <w:rPr>
                <w:rFonts w:hint="eastAsia" w:ascii="宋体" w:hAnsi="宋体"/>
                <w:color w:val="auto"/>
                <w:sz w:val="24"/>
                <w:highlight w:val="none"/>
              </w:rPr>
            </w:pPr>
          </w:p>
        </w:tc>
        <w:tc>
          <w:tcPr>
            <w:tcW w:w="2839" w:type="dxa"/>
            <w:gridSpan w:val="3"/>
            <w:vAlign w:val="top"/>
          </w:tcPr>
          <w:p w14:paraId="7A268C47">
            <w:pPr>
              <w:rPr>
                <w:rFonts w:hint="eastAsia" w:ascii="宋体" w:hAnsi="宋体"/>
                <w:color w:val="auto"/>
                <w:sz w:val="24"/>
                <w:highlight w:val="none"/>
              </w:rPr>
            </w:pPr>
          </w:p>
        </w:tc>
        <w:tc>
          <w:tcPr>
            <w:tcW w:w="1420" w:type="dxa"/>
            <w:vAlign w:val="top"/>
          </w:tcPr>
          <w:p w14:paraId="72E89755">
            <w:pPr>
              <w:rPr>
                <w:rFonts w:hint="eastAsia" w:ascii="宋体" w:hAnsi="宋体"/>
                <w:color w:val="auto"/>
                <w:sz w:val="24"/>
                <w:highlight w:val="none"/>
              </w:rPr>
            </w:pPr>
          </w:p>
        </w:tc>
        <w:tc>
          <w:tcPr>
            <w:tcW w:w="2841" w:type="dxa"/>
            <w:gridSpan w:val="2"/>
            <w:vAlign w:val="top"/>
          </w:tcPr>
          <w:p w14:paraId="5C751C0D">
            <w:pPr>
              <w:rPr>
                <w:rFonts w:hint="eastAsia" w:ascii="宋体" w:hAnsi="宋体"/>
                <w:color w:val="auto"/>
                <w:sz w:val="24"/>
                <w:highlight w:val="none"/>
              </w:rPr>
            </w:pPr>
          </w:p>
        </w:tc>
      </w:tr>
      <w:tr w14:paraId="5BA944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atLeast"/>
        </w:trPr>
        <w:tc>
          <w:tcPr>
            <w:tcW w:w="1420" w:type="dxa"/>
            <w:vAlign w:val="top"/>
          </w:tcPr>
          <w:p w14:paraId="7A0DDE49">
            <w:pPr>
              <w:rPr>
                <w:rFonts w:hint="eastAsia" w:ascii="宋体" w:hAnsi="宋体"/>
                <w:color w:val="auto"/>
                <w:sz w:val="24"/>
                <w:highlight w:val="none"/>
              </w:rPr>
            </w:pPr>
          </w:p>
        </w:tc>
        <w:tc>
          <w:tcPr>
            <w:tcW w:w="2839" w:type="dxa"/>
            <w:gridSpan w:val="3"/>
            <w:vAlign w:val="top"/>
          </w:tcPr>
          <w:p w14:paraId="3AFDA50C">
            <w:pPr>
              <w:rPr>
                <w:rFonts w:hint="eastAsia" w:ascii="宋体" w:hAnsi="宋体"/>
                <w:color w:val="auto"/>
                <w:sz w:val="24"/>
                <w:highlight w:val="none"/>
              </w:rPr>
            </w:pPr>
          </w:p>
        </w:tc>
        <w:tc>
          <w:tcPr>
            <w:tcW w:w="1420" w:type="dxa"/>
            <w:vAlign w:val="top"/>
          </w:tcPr>
          <w:p w14:paraId="6837C806">
            <w:pPr>
              <w:rPr>
                <w:rFonts w:hint="eastAsia" w:ascii="宋体" w:hAnsi="宋体"/>
                <w:color w:val="auto"/>
                <w:sz w:val="24"/>
                <w:highlight w:val="none"/>
              </w:rPr>
            </w:pPr>
          </w:p>
        </w:tc>
        <w:tc>
          <w:tcPr>
            <w:tcW w:w="2841" w:type="dxa"/>
            <w:gridSpan w:val="2"/>
            <w:vAlign w:val="top"/>
          </w:tcPr>
          <w:p w14:paraId="312CB9FE">
            <w:pPr>
              <w:rPr>
                <w:rFonts w:hint="eastAsia" w:ascii="宋体" w:hAnsi="宋体"/>
                <w:color w:val="auto"/>
                <w:sz w:val="24"/>
                <w:highlight w:val="none"/>
              </w:rPr>
            </w:pPr>
          </w:p>
        </w:tc>
      </w:tr>
    </w:tbl>
    <w:p w14:paraId="6E7A624F">
      <w:pPr>
        <w:spacing w:before="312" w:after="312" w:line="480" w:lineRule="exact"/>
        <w:jc w:val="center"/>
        <w:rPr>
          <w:rFonts w:hint="eastAsia" w:ascii="宋体" w:hAnsi="宋体"/>
          <w:color w:val="auto"/>
          <w:sz w:val="24"/>
          <w:highlight w:val="none"/>
        </w:rPr>
      </w:pPr>
      <w:bookmarkStart w:id="307" w:name="_Toc463691056"/>
      <w:bookmarkStart w:id="308" w:name="_Toc3442"/>
      <w:bookmarkStart w:id="309" w:name="_Toc25627"/>
      <w:bookmarkStart w:id="310" w:name="_Toc31671"/>
      <w:bookmarkStart w:id="311" w:name="_Toc17205"/>
      <w:bookmarkStart w:id="312" w:name="_Toc16357"/>
      <w:bookmarkStart w:id="313" w:name="_Toc489602204"/>
      <w:bookmarkStart w:id="314" w:name="_Toc3379"/>
      <w:r>
        <w:rPr>
          <w:rFonts w:hint="eastAsia" w:ascii="宋体" w:hAnsi="宋体"/>
          <w:color w:val="auto"/>
          <w:sz w:val="24"/>
          <w:highlight w:val="none"/>
        </w:rPr>
        <w:br w:type="page"/>
      </w:r>
      <w:r>
        <w:rPr>
          <w:rFonts w:hint="eastAsia" w:ascii="宋体" w:hAnsi="宋体"/>
          <w:b/>
          <w:bCs/>
          <w:color w:val="auto"/>
          <w:sz w:val="24"/>
          <w:highlight w:val="none"/>
        </w:rPr>
        <w:t>(三)项目经理无在建项目承诺书</w:t>
      </w:r>
    </w:p>
    <w:p w14:paraId="291BB9FF">
      <w:pPr>
        <w:spacing w:after="312" w:line="500" w:lineRule="exact"/>
        <w:rPr>
          <w:rFonts w:hint="eastAsia" w:ascii="宋体" w:hAnsi="宋体"/>
          <w:color w:val="auto"/>
          <w:position w:val="-7"/>
          <w:sz w:val="24"/>
          <w:szCs w:val="22"/>
          <w:highlight w:val="none"/>
          <w:u w:val="single"/>
        </w:rPr>
      </w:pPr>
      <w:r>
        <w:rPr>
          <w:rFonts w:hint="eastAsia" w:ascii="宋体" w:hAnsi="宋体"/>
          <w:color w:val="auto"/>
          <w:position w:val="-7"/>
          <w:sz w:val="24"/>
          <w:szCs w:val="22"/>
          <w:highlight w:val="none"/>
          <w:u w:val="single"/>
        </w:rPr>
        <w:t xml:space="preserve">                    </w:t>
      </w:r>
      <w:r>
        <w:rPr>
          <w:rFonts w:hint="eastAsia" w:ascii="宋体" w:hAnsi="宋体"/>
          <w:color w:val="auto"/>
          <w:sz w:val="24"/>
          <w:szCs w:val="22"/>
          <w:highlight w:val="none"/>
        </w:rPr>
        <w:t>（</w:t>
      </w:r>
      <w:r>
        <w:rPr>
          <w:rFonts w:hint="eastAsia" w:ascii="宋体" w:hAnsi="宋体"/>
          <w:color w:val="auto"/>
          <w:sz w:val="24"/>
          <w:szCs w:val="22"/>
          <w:highlight w:val="none"/>
          <w:lang w:eastAsia="zh-CN"/>
        </w:rPr>
        <w:t>采购人</w:t>
      </w:r>
      <w:r>
        <w:rPr>
          <w:rFonts w:hint="eastAsia" w:ascii="宋体" w:hAnsi="宋体"/>
          <w:color w:val="auto"/>
          <w:sz w:val="24"/>
          <w:szCs w:val="22"/>
          <w:highlight w:val="none"/>
        </w:rPr>
        <w:t>名称）：</w:t>
      </w:r>
    </w:p>
    <w:p w14:paraId="0D7C515B">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我方在此声明，我方拟派往</w:t>
      </w:r>
      <w:r>
        <w:rPr>
          <w:rFonts w:hint="eastAsia" w:ascii="宋体" w:hAnsi="宋体"/>
          <w:color w:val="auto"/>
          <w:sz w:val="24"/>
          <w:szCs w:val="22"/>
          <w:highlight w:val="none"/>
          <w:u w:val="single"/>
        </w:rPr>
        <w:t xml:space="preserve">             </w:t>
      </w:r>
      <w:r>
        <w:rPr>
          <w:rFonts w:hint="eastAsia" w:ascii="宋体" w:hAnsi="宋体"/>
          <w:color w:val="auto"/>
          <w:sz w:val="24"/>
          <w:szCs w:val="22"/>
          <w:highlight w:val="none"/>
        </w:rPr>
        <w:t>（项目名称）（以下简称“本工程”）的项目经理</w:t>
      </w:r>
      <w:r>
        <w:rPr>
          <w:rFonts w:hint="eastAsia" w:ascii="宋体" w:hAnsi="宋体"/>
          <w:color w:val="auto"/>
          <w:sz w:val="24"/>
          <w:szCs w:val="22"/>
          <w:highlight w:val="none"/>
          <w:u w:val="single"/>
        </w:rPr>
        <w:t xml:space="preserve">           </w:t>
      </w:r>
      <w:r>
        <w:rPr>
          <w:rFonts w:hint="eastAsia" w:ascii="宋体" w:hAnsi="宋体"/>
          <w:color w:val="auto"/>
          <w:sz w:val="24"/>
          <w:szCs w:val="22"/>
          <w:highlight w:val="none"/>
        </w:rPr>
        <w:t>（项目经理姓名）现阶段没有担任任何在施建设工程项目。</w:t>
      </w:r>
    </w:p>
    <w:p w14:paraId="53D8D7DD">
      <w:pPr>
        <w:spacing w:line="50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我方保证上述信息的真实和准确，并愿意承担因我方就此弄虚作假所引起的一切法律后果。</w:t>
      </w:r>
    </w:p>
    <w:p w14:paraId="1902E860">
      <w:pPr>
        <w:spacing w:line="48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 xml:space="preserve"> </w:t>
      </w:r>
    </w:p>
    <w:p w14:paraId="49C802DA">
      <w:pPr>
        <w:spacing w:line="48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 xml:space="preserve"> </w:t>
      </w:r>
    </w:p>
    <w:p w14:paraId="22BE11FD">
      <w:pPr>
        <w:spacing w:line="48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特此承诺</w:t>
      </w:r>
    </w:p>
    <w:p w14:paraId="1E4E1814">
      <w:pPr>
        <w:spacing w:line="48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 xml:space="preserve"> </w:t>
      </w:r>
    </w:p>
    <w:p w14:paraId="143E1DD5">
      <w:pPr>
        <w:spacing w:line="48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 xml:space="preserve"> </w:t>
      </w:r>
    </w:p>
    <w:p w14:paraId="2B882240">
      <w:pPr>
        <w:spacing w:line="48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 xml:space="preserve"> </w:t>
      </w:r>
    </w:p>
    <w:p w14:paraId="38A9E0A0">
      <w:pPr>
        <w:spacing w:line="48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 xml:space="preserve"> </w:t>
      </w:r>
    </w:p>
    <w:p w14:paraId="7B2680CC">
      <w:pPr>
        <w:spacing w:line="48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rPr>
        <w:t xml:space="preserve"> </w:t>
      </w:r>
    </w:p>
    <w:p w14:paraId="713B2154">
      <w:pPr>
        <w:spacing w:line="480" w:lineRule="exact"/>
        <w:ind w:firstLine="480" w:firstLineChars="200"/>
        <w:rPr>
          <w:rFonts w:hint="eastAsia" w:ascii="宋体" w:hAnsi="宋体"/>
          <w:color w:val="auto"/>
          <w:sz w:val="24"/>
          <w:szCs w:val="22"/>
          <w:highlight w:val="none"/>
        </w:rPr>
      </w:pPr>
    </w:p>
    <w:p w14:paraId="0CC4FA3C">
      <w:pPr>
        <w:spacing w:line="700" w:lineRule="exact"/>
        <w:ind w:right="480"/>
        <w:jc w:val="center"/>
        <w:rPr>
          <w:rFonts w:hint="eastAsia" w:ascii="宋体" w:hAnsi="宋体"/>
          <w:color w:val="auto"/>
          <w:sz w:val="24"/>
          <w:szCs w:val="22"/>
          <w:highlight w:val="none"/>
        </w:rPr>
      </w:pPr>
      <w:r>
        <w:rPr>
          <w:rFonts w:hint="eastAsia" w:ascii="宋体" w:hAnsi="宋体"/>
          <w:color w:val="auto"/>
          <w:sz w:val="24"/>
          <w:szCs w:val="22"/>
          <w:highlight w:val="none"/>
        </w:rPr>
        <w:t xml:space="preserve">                    </w:t>
      </w:r>
      <w:r>
        <w:rPr>
          <w:rFonts w:hint="eastAsia" w:ascii="宋体" w:hAnsi="宋体"/>
          <w:color w:val="auto"/>
          <w:sz w:val="24"/>
          <w:szCs w:val="22"/>
          <w:highlight w:val="none"/>
          <w:lang w:eastAsia="zh-CN"/>
        </w:rPr>
        <w:t>供应商</w:t>
      </w:r>
      <w:r>
        <w:rPr>
          <w:rFonts w:hint="eastAsia" w:ascii="宋体" w:hAnsi="宋体"/>
          <w:color w:val="auto"/>
          <w:sz w:val="24"/>
          <w:szCs w:val="22"/>
          <w:highlight w:val="none"/>
        </w:rPr>
        <w:t>：</w:t>
      </w:r>
      <w:r>
        <w:rPr>
          <w:rFonts w:hint="eastAsia" w:ascii="宋体" w:hAnsi="宋体"/>
          <w:color w:val="auto"/>
          <w:sz w:val="24"/>
          <w:szCs w:val="22"/>
          <w:highlight w:val="none"/>
          <w:u w:val="single"/>
        </w:rPr>
        <w:t xml:space="preserve">                         </w:t>
      </w:r>
      <w:r>
        <w:rPr>
          <w:rFonts w:hint="eastAsia" w:ascii="宋体" w:hAnsi="宋体"/>
          <w:color w:val="auto"/>
          <w:sz w:val="24"/>
          <w:szCs w:val="22"/>
          <w:highlight w:val="none"/>
        </w:rPr>
        <w:t>（公章签章）</w:t>
      </w:r>
    </w:p>
    <w:p w14:paraId="37B2631C">
      <w:pPr>
        <w:wordWrap w:val="0"/>
        <w:spacing w:line="700" w:lineRule="exact"/>
        <w:jc w:val="right"/>
        <w:rPr>
          <w:rFonts w:ascii="宋体" w:hAnsi="宋体"/>
          <w:color w:val="auto"/>
          <w:sz w:val="24"/>
          <w:szCs w:val="22"/>
          <w:highlight w:val="none"/>
        </w:rPr>
      </w:pPr>
      <w:r>
        <w:rPr>
          <w:rFonts w:ascii="宋体" w:hAnsi="宋体"/>
          <w:color w:val="auto"/>
          <w:sz w:val="24"/>
          <w:szCs w:val="22"/>
          <w:highlight w:val="none"/>
        </w:rPr>
        <w:t xml:space="preserve"> </w:t>
      </w:r>
      <w:r>
        <w:rPr>
          <w:rFonts w:hint="eastAsia" w:ascii="宋体" w:hAnsi="宋体"/>
          <w:color w:val="auto"/>
          <w:sz w:val="24"/>
          <w:szCs w:val="22"/>
          <w:highlight w:val="none"/>
        </w:rPr>
        <w:t xml:space="preserve">  法定代表人或其委托代理人：</w:t>
      </w:r>
      <w:r>
        <w:rPr>
          <w:rFonts w:hint="eastAsia" w:ascii="宋体" w:hAnsi="宋体"/>
          <w:color w:val="auto"/>
          <w:sz w:val="24"/>
          <w:szCs w:val="22"/>
          <w:highlight w:val="none"/>
          <w:u w:val="single"/>
        </w:rPr>
        <w:t xml:space="preserve">  </w:t>
      </w:r>
      <w:r>
        <w:rPr>
          <w:rFonts w:ascii="宋体" w:hAnsi="宋体"/>
          <w:color w:val="auto"/>
          <w:sz w:val="24"/>
          <w:szCs w:val="22"/>
          <w:highlight w:val="none"/>
          <w:u w:val="single"/>
        </w:rPr>
        <w:t xml:space="preserve">     </w:t>
      </w:r>
      <w:r>
        <w:rPr>
          <w:rFonts w:hint="eastAsia" w:ascii="宋体" w:hAnsi="宋体"/>
          <w:color w:val="auto"/>
          <w:sz w:val="24"/>
          <w:szCs w:val="22"/>
          <w:highlight w:val="none"/>
          <w:u w:val="single"/>
        </w:rPr>
        <w:t xml:space="preserve">          </w:t>
      </w:r>
      <w:r>
        <w:rPr>
          <w:rFonts w:hint="eastAsia" w:ascii="宋体" w:hAnsi="宋体"/>
          <w:color w:val="auto"/>
          <w:sz w:val="24"/>
          <w:szCs w:val="22"/>
          <w:highlight w:val="none"/>
        </w:rPr>
        <w:t>（</w:t>
      </w:r>
      <w:r>
        <w:rPr>
          <w:rFonts w:hint="eastAsia" w:ascii="宋体" w:hAnsi="宋体"/>
          <w:color w:val="auto"/>
          <w:sz w:val="24"/>
          <w:highlight w:val="none"/>
        </w:rPr>
        <w:t>电子签章</w:t>
      </w:r>
      <w:r>
        <w:rPr>
          <w:rFonts w:hint="eastAsia" w:ascii="宋体" w:hAnsi="宋体"/>
          <w:color w:val="auto"/>
          <w:sz w:val="24"/>
          <w:szCs w:val="22"/>
          <w:highlight w:val="none"/>
        </w:rPr>
        <w:t>）</w:t>
      </w:r>
    </w:p>
    <w:p w14:paraId="29289344">
      <w:pPr>
        <w:spacing w:line="700" w:lineRule="exact"/>
        <w:ind w:right="480" w:firstLine="3120" w:firstLineChars="1300"/>
        <w:rPr>
          <w:rFonts w:hint="eastAsia" w:ascii="宋体" w:hAnsi="宋体"/>
          <w:color w:val="auto"/>
          <w:sz w:val="24"/>
          <w:szCs w:val="22"/>
          <w:highlight w:val="none"/>
        </w:rPr>
      </w:pPr>
      <w:r>
        <w:rPr>
          <w:rFonts w:hint="eastAsia" w:ascii="宋体" w:hAnsi="宋体"/>
          <w:color w:val="auto"/>
          <w:sz w:val="24"/>
          <w:szCs w:val="22"/>
          <w:highlight w:val="none"/>
        </w:rPr>
        <w:t>日       期：</w:t>
      </w:r>
      <w:r>
        <w:rPr>
          <w:rFonts w:hint="eastAsia" w:ascii="宋体" w:hAnsi="宋体"/>
          <w:color w:val="auto"/>
          <w:sz w:val="24"/>
          <w:szCs w:val="22"/>
          <w:highlight w:val="none"/>
          <w:u w:val="single"/>
        </w:rPr>
        <w:t xml:space="preserve"> </w:t>
      </w:r>
      <w:r>
        <w:rPr>
          <w:rFonts w:ascii="宋体" w:hAnsi="宋体"/>
          <w:color w:val="auto"/>
          <w:sz w:val="24"/>
          <w:szCs w:val="22"/>
          <w:highlight w:val="none"/>
          <w:u w:val="single"/>
        </w:rPr>
        <w:t xml:space="preserve">      </w:t>
      </w:r>
      <w:r>
        <w:rPr>
          <w:rFonts w:hint="eastAsia" w:ascii="宋体" w:hAnsi="宋体"/>
          <w:color w:val="auto"/>
          <w:sz w:val="24"/>
          <w:szCs w:val="22"/>
          <w:highlight w:val="none"/>
        </w:rPr>
        <w:t>年</w:t>
      </w:r>
      <w:r>
        <w:rPr>
          <w:rFonts w:hint="eastAsia" w:ascii="宋体" w:hAnsi="宋体"/>
          <w:color w:val="auto"/>
          <w:sz w:val="24"/>
          <w:szCs w:val="22"/>
          <w:highlight w:val="none"/>
          <w:u w:val="single"/>
        </w:rPr>
        <w:t xml:space="preserve"> </w:t>
      </w:r>
      <w:r>
        <w:rPr>
          <w:rFonts w:ascii="宋体" w:hAnsi="宋体"/>
          <w:color w:val="auto"/>
          <w:sz w:val="24"/>
          <w:szCs w:val="22"/>
          <w:highlight w:val="none"/>
          <w:u w:val="single"/>
        </w:rPr>
        <w:t xml:space="preserve">      </w:t>
      </w:r>
      <w:r>
        <w:rPr>
          <w:rFonts w:hint="eastAsia" w:ascii="宋体" w:hAnsi="宋体"/>
          <w:color w:val="auto"/>
          <w:sz w:val="24"/>
          <w:szCs w:val="22"/>
          <w:highlight w:val="none"/>
        </w:rPr>
        <w:t>月</w:t>
      </w:r>
      <w:r>
        <w:rPr>
          <w:rFonts w:hint="eastAsia" w:ascii="宋体" w:hAnsi="宋体"/>
          <w:color w:val="auto"/>
          <w:sz w:val="24"/>
          <w:szCs w:val="22"/>
          <w:highlight w:val="none"/>
          <w:u w:val="single"/>
        </w:rPr>
        <w:t xml:space="preserve"> </w:t>
      </w:r>
      <w:r>
        <w:rPr>
          <w:rFonts w:ascii="宋体" w:hAnsi="宋体"/>
          <w:color w:val="auto"/>
          <w:sz w:val="24"/>
          <w:szCs w:val="22"/>
          <w:highlight w:val="none"/>
          <w:u w:val="single"/>
        </w:rPr>
        <w:t xml:space="preserve">      </w:t>
      </w:r>
      <w:r>
        <w:rPr>
          <w:rFonts w:hint="eastAsia" w:ascii="宋体" w:hAnsi="宋体"/>
          <w:color w:val="auto"/>
          <w:sz w:val="24"/>
          <w:szCs w:val="22"/>
          <w:highlight w:val="none"/>
        </w:rPr>
        <w:t>日</w:t>
      </w:r>
    </w:p>
    <w:p w14:paraId="1A68D007">
      <w:pPr>
        <w:jc w:val="center"/>
        <w:outlineLvl w:val="0"/>
        <w:rPr>
          <w:rFonts w:ascii="宋体" w:hAnsi="宋体"/>
          <w:color w:val="auto"/>
          <w:sz w:val="24"/>
          <w:highlight w:val="none"/>
        </w:rPr>
      </w:pPr>
    </w:p>
    <w:bookmarkEnd w:id="307"/>
    <w:bookmarkEnd w:id="308"/>
    <w:bookmarkEnd w:id="309"/>
    <w:bookmarkEnd w:id="310"/>
    <w:bookmarkEnd w:id="311"/>
    <w:bookmarkEnd w:id="312"/>
    <w:bookmarkEnd w:id="313"/>
    <w:bookmarkEnd w:id="314"/>
    <w:p w14:paraId="7EC66E8D">
      <w:pPr>
        <w:jc w:val="center"/>
        <w:outlineLvl w:val="2"/>
        <w:rPr>
          <w:color w:val="auto"/>
          <w:highlight w:val="none"/>
        </w:rPr>
      </w:pPr>
      <w:bookmarkStart w:id="315" w:name="_Toc104558784"/>
      <w:bookmarkEnd w:id="315"/>
      <w:bookmarkStart w:id="316" w:name="_Toc105654895"/>
      <w:bookmarkEnd w:id="316"/>
      <w:r>
        <w:rPr>
          <w:color w:val="auto"/>
          <w:highlight w:val="none"/>
        </w:rPr>
        <w:br w:type="page"/>
      </w:r>
      <w:r>
        <w:rPr>
          <w:rFonts w:hint="eastAsia" w:ascii="宋体" w:hAnsi="宋体"/>
          <w:b/>
          <w:color w:val="auto"/>
          <w:sz w:val="24"/>
          <w:highlight w:val="none"/>
        </w:rPr>
        <w:t>八、企业基本情况资料</w:t>
      </w:r>
    </w:p>
    <w:p w14:paraId="03514EE4">
      <w:pPr>
        <w:jc w:val="center"/>
        <w:outlineLvl w:val="2"/>
        <w:rPr>
          <w:rFonts w:hint="eastAsia" w:ascii="宋体" w:hAnsi="宋体"/>
          <w:b/>
          <w:color w:val="auto"/>
          <w:sz w:val="24"/>
          <w:highlight w:val="none"/>
        </w:rPr>
      </w:pPr>
      <w:bookmarkStart w:id="317" w:name="_Toc21649"/>
      <w:bookmarkEnd w:id="317"/>
      <w:bookmarkStart w:id="318" w:name="_Toc5999"/>
      <w:bookmarkEnd w:id="318"/>
      <w:bookmarkStart w:id="319" w:name="_Toc489602205"/>
      <w:bookmarkEnd w:id="319"/>
      <w:bookmarkStart w:id="320" w:name="_Toc3147"/>
      <w:bookmarkEnd w:id="320"/>
      <w:bookmarkStart w:id="321" w:name="_Toc6691"/>
      <w:bookmarkEnd w:id="321"/>
      <w:bookmarkStart w:id="322" w:name="_Toc105654896"/>
      <w:bookmarkEnd w:id="322"/>
      <w:bookmarkStart w:id="323" w:name="_Toc1155"/>
      <w:bookmarkEnd w:id="323"/>
      <w:bookmarkStart w:id="324" w:name="_Toc463691057"/>
      <w:bookmarkEnd w:id="324"/>
      <w:bookmarkStart w:id="325" w:name="_Toc104558785"/>
      <w:bookmarkEnd w:id="325"/>
      <w:r>
        <w:rPr>
          <w:rFonts w:hint="eastAsia" w:ascii="宋体" w:hAnsi="宋体"/>
          <w:b/>
          <w:color w:val="auto"/>
          <w:sz w:val="24"/>
          <w:highlight w:val="none"/>
        </w:rPr>
        <w:t>（一）</w:t>
      </w:r>
      <w:r>
        <w:rPr>
          <w:rFonts w:hint="eastAsia" w:ascii="宋体" w:hAnsi="宋体"/>
          <w:b/>
          <w:color w:val="auto"/>
          <w:sz w:val="24"/>
          <w:highlight w:val="none"/>
          <w:lang w:eastAsia="zh-CN"/>
        </w:rPr>
        <w:t>供应商</w:t>
      </w:r>
      <w:r>
        <w:rPr>
          <w:rFonts w:hint="eastAsia" w:ascii="宋体" w:hAnsi="宋体"/>
          <w:b/>
          <w:color w:val="auto"/>
          <w:sz w:val="24"/>
          <w:highlight w:val="none"/>
        </w:rPr>
        <w:t>基本情况表</w:t>
      </w:r>
    </w:p>
    <w:p w14:paraId="617E18BB">
      <w:pPr>
        <w:rPr>
          <w:rFonts w:hint="eastAsia"/>
          <w:color w:val="auto"/>
          <w:highlight w:val="none"/>
        </w:rPr>
      </w:pPr>
    </w:p>
    <w:tbl>
      <w:tblPr>
        <w:tblStyle w:val="1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48"/>
        <w:gridCol w:w="935"/>
        <w:gridCol w:w="1064"/>
        <w:gridCol w:w="1035"/>
        <w:gridCol w:w="295"/>
        <w:gridCol w:w="204"/>
        <w:gridCol w:w="1299"/>
        <w:gridCol w:w="270"/>
        <w:gridCol w:w="739"/>
        <w:gridCol w:w="1477"/>
      </w:tblGrid>
      <w:tr w14:paraId="4D76F0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6" w:hRule="atLeast"/>
          <w:jc w:val="center"/>
        </w:trPr>
        <w:tc>
          <w:tcPr>
            <w:tcW w:w="1548" w:type="dxa"/>
            <w:vAlign w:val="center"/>
          </w:tcPr>
          <w:p w14:paraId="19F03ADA">
            <w:pPr>
              <w:jc w:val="center"/>
              <w:rPr>
                <w:rFonts w:hint="eastAsia"/>
                <w:color w:val="auto"/>
                <w:highlight w:val="none"/>
              </w:rPr>
            </w:pPr>
            <w:r>
              <w:rPr>
                <w:rFonts w:hint="eastAsia"/>
                <w:color w:val="auto"/>
                <w:highlight w:val="none"/>
                <w:lang w:eastAsia="zh-CN"/>
              </w:rPr>
              <w:t>供应商</w:t>
            </w:r>
            <w:r>
              <w:rPr>
                <w:rFonts w:hint="eastAsia"/>
                <w:color w:val="auto"/>
                <w:highlight w:val="none"/>
              </w:rPr>
              <w:t>名称</w:t>
            </w:r>
          </w:p>
        </w:tc>
        <w:tc>
          <w:tcPr>
            <w:tcW w:w="7318" w:type="dxa"/>
            <w:gridSpan w:val="9"/>
            <w:vAlign w:val="center"/>
          </w:tcPr>
          <w:p w14:paraId="60480A03">
            <w:pPr>
              <w:jc w:val="center"/>
              <w:rPr>
                <w:color w:val="auto"/>
                <w:highlight w:val="none"/>
              </w:rPr>
            </w:pPr>
          </w:p>
        </w:tc>
      </w:tr>
      <w:tr w14:paraId="5C69BE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6" w:hRule="atLeast"/>
          <w:jc w:val="center"/>
        </w:trPr>
        <w:tc>
          <w:tcPr>
            <w:tcW w:w="1548" w:type="dxa"/>
            <w:vAlign w:val="center"/>
          </w:tcPr>
          <w:p w14:paraId="07CFF6A4">
            <w:pPr>
              <w:jc w:val="center"/>
              <w:rPr>
                <w:rFonts w:hint="eastAsia"/>
                <w:color w:val="auto"/>
                <w:highlight w:val="none"/>
              </w:rPr>
            </w:pPr>
            <w:r>
              <w:rPr>
                <w:rFonts w:hint="eastAsia"/>
                <w:color w:val="auto"/>
                <w:highlight w:val="none"/>
              </w:rPr>
              <w:t>注册地址</w:t>
            </w:r>
          </w:p>
        </w:tc>
        <w:tc>
          <w:tcPr>
            <w:tcW w:w="3533" w:type="dxa"/>
            <w:gridSpan w:val="5"/>
            <w:vAlign w:val="center"/>
          </w:tcPr>
          <w:p w14:paraId="0EEC3137">
            <w:pPr>
              <w:jc w:val="center"/>
              <w:rPr>
                <w:color w:val="auto"/>
                <w:highlight w:val="none"/>
              </w:rPr>
            </w:pPr>
          </w:p>
        </w:tc>
        <w:tc>
          <w:tcPr>
            <w:tcW w:w="1299" w:type="dxa"/>
            <w:vAlign w:val="center"/>
          </w:tcPr>
          <w:p w14:paraId="62C85C7B">
            <w:pPr>
              <w:jc w:val="center"/>
              <w:rPr>
                <w:rFonts w:hint="eastAsia"/>
                <w:color w:val="auto"/>
                <w:highlight w:val="none"/>
              </w:rPr>
            </w:pPr>
            <w:r>
              <w:rPr>
                <w:rFonts w:hint="eastAsia"/>
                <w:color w:val="auto"/>
                <w:highlight w:val="none"/>
              </w:rPr>
              <w:t>邮政编码</w:t>
            </w:r>
          </w:p>
        </w:tc>
        <w:tc>
          <w:tcPr>
            <w:tcW w:w="2486" w:type="dxa"/>
            <w:gridSpan w:val="3"/>
            <w:vAlign w:val="center"/>
          </w:tcPr>
          <w:p w14:paraId="19199886">
            <w:pPr>
              <w:jc w:val="center"/>
              <w:rPr>
                <w:color w:val="auto"/>
                <w:highlight w:val="none"/>
              </w:rPr>
            </w:pPr>
          </w:p>
        </w:tc>
      </w:tr>
      <w:tr w14:paraId="59721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6" w:hRule="atLeast"/>
          <w:jc w:val="center"/>
        </w:trPr>
        <w:tc>
          <w:tcPr>
            <w:tcW w:w="1548" w:type="dxa"/>
            <w:vMerge w:val="restart"/>
            <w:vAlign w:val="center"/>
          </w:tcPr>
          <w:p w14:paraId="33638E27">
            <w:pPr>
              <w:jc w:val="center"/>
              <w:rPr>
                <w:rFonts w:hint="eastAsia"/>
                <w:color w:val="auto"/>
                <w:highlight w:val="none"/>
              </w:rPr>
            </w:pPr>
            <w:r>
              <w:rPr>
                <w:rFonts w:hint="eastAsia"/>
                <w:color w:val="auto"/>
                <w:highlight w:val="none"/>
              </w:rPr>
              <w:t>联系方式</w:t>
            </w:r>
          </w:p>
        </w:tc>
        <w:tc>
          <w:tcPr>
            <w:tcW w:w="935" w:type="dxa"/>
            <w:vAlign w:val="center"/>
          </w:tcPr>
          <w:p w14:paraId="247BEA28">
            <w:pPr>
              <w:jc w:val="center"/>
              <w:rPr>
                <w:rFonts w:hint="eastAsia"/>
                <w:color w:val="auto"/>
                <w:highlight w:val="none"/>
              </w:rPr>
            </w:pPr>
            <w:r>
              <w:rPr>
                <w:rFonts w:hint="eastAsia"/>
                <w:color w:val="auto"/>
                <w:highlight w:val="none"/>
              </w:rPr>
              <w:t>联系人</w:t>
            </w:r>
          </w:p>
        </w:tc>
        <w:tc>
          <w:tcPr>
            <w:tcW w:w="2598" w:type="dxa"/>
            <w:gridSpan w:val="4"/>
            <w:vAlign w:val="center"/>
          </w:tcPr>
          <w:p w14:paraId="7496CF51">
            <w:pPr>
              <w:jc w:val="center"/>
              <w:rPr>
                <w:color w:val="auto"/>
                <w:highlight w:val="none"/>
              </w:rPr>
            </w:pPr>
          </w:p>
        </w:tc>
        <w:tc>
          <w:tcPr>
            <w:tcW w:w="1299" w:type="dxa"/>
            <w:vAlign w:val="center"/>
          </w:tcPr>
          <w:p w14:paraId="7046119D">
            <w:pPr>
              <w:jc w:val="center"/>
              <w:rPr>
                <w:rFonts w:hint="eastAsia"/>
                <w:color w:val="auto"/>
                <w:highlight w:val="none"/>
              </w:rPr>
            </w:pPr>
            <w:r>
              <w:rPr>
                <w:rFonts w:hint="eastAsia"/>
                <w:color w:val="auto"/>
                <w:highlight w:val="none"/>
              </w:rPr>
              <w:t>电话</w:t>
            </w:r>
          </w:p>
        </w:tc>
        <w:tc>
          <w:tcPr>
            <w:tcW w:w="2486" w:type="dxa"/>
            <w:gridSpan w:val="3"/>
            <w:vAlign w:val="center"/>
          </w:tcPr>
          <w:p w14:paraId="3231BCF8">
            <w:pPr>
              <w:jc w:val="center"/>
              <w:rPr>
                <w:color w:val="auto"/>
                <w:highlight w:val="none"/>
              </w:rPr>
            </w:pPr>
          </w:p>
        </w:tc>
      </w:tr>
      <w:tr w14:paraId="5A81C9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6" w:hRule="atLeast"/>
          <w:jc w:val="center"/>
        </w:trPr>
        <w:tc>
          <w:tcPr>
            <w:tcW w:w="1548" w:type="dxa"/>
            <w:vMerge w:val="continue"/>
            <w:vAlign w:val="center"/>
          </w:tcPr>
          <w:p w14:paraId="72F1D014">
            <w:pPr>
              <w:rPr>
                <w:color w:val="auto"/>
                <w:highlight w:val="none"/>
              </w:rPr>
            </w:pPr>
          </w:p>
        </w:tc>
        <w:tc>
          <w:tcPr>
            <w:tcW w:w="935" w:type="dxa"/>
            <w:vAlign w:val="center"/>
          </w:tcPr>
          <w:p w14:paraId="266C287A">
            <w:pPr>
              <w:jc w:val="center"/>
              <w:rPr>
                <w:rFonts w:hint="eastAsia"/>
                <w:color w:val="auto"/>
                <w:highlight w:val="none"/>
              </w:rPr>
            </w:pPr>
            <w:r>
              <w:rPr>
                <w:rFonts w:hint="eastAsia"/>
                <w:color w:val="auto"/>
                <w:highlight w:val="none"/>
              </w:rPr>
              <w:t>传真</w:t>
            </w:r>
          </w:p>
        </w:tc>
        <w:tc>
          <w:tcPr>
            <w:tcW w:w="2598" w:type="dxa"/>
            <w:gridSpan w:val="4"/>
            <w:vAlign w:val="center"/>
          </w:tcPr>
          <w:p w14:paraId="0779E6DF">
            <w:pPr>
              <w:jc w:val="center"/>
              <w:rPr>
                <w:color w:val="auto"/>
                <w:highlight w:val="none"/>
              </w:rPr>
            </w:pPr>
          </w:p>
        </w:tc>
        <w:tc>
          <w:tcPr>
            <w:tcW w:w="1299" w:type="dxa"/>
            <w:vAlign w:val="center"/>
          </w:tcPr>
          <w:p w14:paraId="251AB914">
            <w:pPr>
              <w:jc w:val="center"/>
              <w:rPr>
                <w:rFonts w:hint="eastAsia"/>
                <w:color w:val="auto"/>
                <w:highlight w:val="none"/>
              </w:rPr>
            </w:pPr>
            <w:r>
              <w:rPr>
                <w:rFonts w:hint="eastAsia"/>
                <w:color w:val="auto"/>
                <w:highlight w:val="none"/>
              </w:rPr>
              <w:t>网址</w:t>
            </w:r>
          </w:p>
        </w:tc>
        <w:tc>
          <w:tcPr>
            <w:tcW w:w="2486" w:type="dxa"/>
            <w:gridSpan w:val="3"/>
            <w:vAlign w:val="center"/>
          </w:tcPr>
          <w:p w14:paraId="37AB19A3">
            <w:pPr>
              <w:jc w:val="center"/>
              <w:rPr>
                <w:color w:val="auto"/>
                <w:highlight w:val="none"/>
              </w:rPr>
            </w:pPr>
          </w:p>
        </w:tc>
      </w:tr>
      <w:tr w14:paraId="423BC5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6" w:hRule="atLeast"/>
          <w:jc w:val="center"/>
        </w:trPr>
        <w:tc>
          <w:tcPr>
            <w:tcW w:w="1548" w:type="dxa"/>
            <w:vAlign w:val="center"/>
          </w:tcPr>
          <w:p w14:paraId="6F03DF87">
            <w:pPr>
              <w:jc w:val="center"/>
              <w:rPr>
                <w:rFonts w:hint="eastAsia"/>
                <w:color w:val="auto"/>
                <w:highlight w:val="none"/>
              </w:rPr>
            </w:pPr>
            <w:r>
              <w:rPr>
                <w:rFonts w:hint="eastAsia"/>
                <w:color w:val="auto"/>
                <w:highlight w:val="none"/>
              </w:rPr>
              <w:t>组织机构</w:t>
            </w:r>
          </w:p>
        </w:tc>
        <w:tc>
          <w:tcPr>
            <w:tcW w:w="7318" w:type="dxa"/>
            <w:gridSpan w:val="9"/>
            <w:vAlign w:val="center"/>
          </w:tcPr>
          <w:p w14:paraId="1F53446D">
            <w:pPr>
              <w:jc w:val="center"/>
              <w:rPr>
                <w:color w:val="auto"/>
                <w:highlight w:val="none"/>
              </w:rPr>
            </w:pPr>
          </w:p>
        </w:tc>
      </w:tr>
      <w:tr w14:paraId="33A84A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6" w:hRule="atLeast"/>
          <w:jc w:val="center"/>
        </w:trPr>
        <w:tc>
          <w:tcPr>
            <w:tcW w:w="1548" w:type="dxa"/>
            <w:vAlign w:val="center"/>
          </w:tcPr>
          <w:p w14:paraId="0CA8F97B">
            <w:pPr>
              <w:jc w:val="center"/>
              <w:rPr>
                <w:rFonts w:hint="eastAsia"/>
                <w:color w:val="auto"/>
                <w:highlight w:val="none"/>
              </w:rPr>
            </w:pPr>
            <w:r>
              <w:rPr>
                <w:rFonts w:hint="eastAsia"/>
                <w:color w:val="auto"/>
                <w:highlight w:val="none"/>
              </w:rPr>
              <w:t>法定代表人</w:t>
            </w:r>
          </w:p>
        </w:tc>
        <w:tc>
          <w:tcPr>
            <w:tcW w:w="935" w:type="dxa"/>
            <w:vAlign w:val="center"/>
          </w:tcPr>
          <w:p w14:paraId="661B6C8F">
            <w:pPr>
              <w:jc w:val="center"/>
              <w:rPr>
                <w:rFonts w:hint="eastAsia"/>
                <w:color w:val="auto"/>
                <w:highlight w:val="none"/>
              </w:rPr>
            </w:pPr>
            <w:r>
              <w:rPr>
                <w:rFonts w:hint="eastAsia"/>
                <w:color w:val="auto"/>
                <w:highlight w:val="none"/>
              </w:rPr>
              <w:t>姓名</w:t>
            </w:r>
          </w:p>
        </w:tc>
        <w:tc>
          <w:tcPr>
            <w:tcW w:w="1064" w:type="dxa"/>
            <w:vAlign w:val="center"/>
          </w:tcPr>
          <w:p w14:paraId="1C4420FE">
            <w:pPr>
              <w:jc w:val="center"/>
              <w:rPr>
                <w:color w:val="auto"/>
                <w:highlight w:val="none"/>
              </w:rPr>
            </w:pPr>
          </w:p>
        </w:tc>
        <w:tc>
          <w:tcPr>
            <w:tcW w:w="1330" w:type="dxa"/>
            <w:gridSpan w:val="2"/>
            <w:vAlign w:val="center"/>
          </w:tcPr>
          <w:p w14:paraId="1DB6DE37">
            <w:pPr>
              <w:jc w:val="center"/>
              <w:rPr>
                <w:rFonts w:hint="eastAsia"/>
                <w:color w:val="auto"/>
                <w:highlight w:val="none"/>
              </w:rPr>
            </w:pPr>
            <w:r>
              <w:rPr>
                <w:rFonts w:hint="eastAsia"/>
                <w:color w:val="auto"/>
                <w:highlight w:val="none"/>
              </w:rPr>
              <w:t>技术职称</w:t>
            </w:r>
          </w:p>
        </w:tc>
        <w:tc>
          <w:tcPr>
            <w:tcW w:w="1773" w:type="dxa"/>
            <w:gridSpan w:val="3"/>
            <w:vAlign w:val="center"/>
          </w:tcPr>
          <w:p w14:paraId="52270061">
            <w:pPr>
              <w:jc w:val="center"/>
              <w:rPr>
                <w:color w:val="auto"/>
                <w:highlight w:val="none"/>
              </w:rPr>
            </w:pPr>
          </w:p>
        </w:tc>
        <w:tc>
          <w:tcPr>
            <w:tcW w:w="739" w:type="dxa"/>
            <w:vAlign w:val="center"/>
          </w:tcPr>
          <w:p w14:paraId="4182AD0B">
            <w:pPr>
              <w:jc w:val="center"/>
              <w:rPr>
                <w:rFonts w:hint="eastAsia"/>
                <w:color w:val="auto"/>
                <w:highlight w:val="none"/>
              </w:rPr>
            </w:pPr>
            <w:r>
              <w:rPr>
                <w:rFonts w:hint="eastAsia"/>
                <w:color w:val="auto"/>
                <w:highlight w:val="none"/>
              </w:rPr>
              <w:t>电话</w:t>
            </w:r>
          </w:p>
        </w:tc>
        <w:tc>
          <w:tcPr>
            <w:tcW w:w="1476" w:type="dxa"/>
            <w:vAlign w:val="center"/>
          </w:tcPr>
          <w:p w14:paraId="27618B94">
            <w:pPr>
              <w:jc w:val="center"/>
              <w:rPr>
                <w:color w:val="auto"/>
                <w:highlight w:val="none"/>
              </w:rPr>
            </w:pPr>
          </w:p>
        </w:tc>
      </w:tr>
      <w:tr w14:paraId="2EA907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6" w:hRule="atLeast"/>
          <w:jc w:val="center"/>
        </w:trPr>
        <w:tc>
          <w:tcPr>
            <w:tcW w:w="1548" w:type="dxa"/>
            <w:vAlign w:val="center"/>
          </w:tcPr>
          <w:p w14:paraId="7BD16B92">
            <w:pPr>
              <w:jc w:val="center"/>
              <w:rPr>
                <w:rFonts w:hint="eastAsia"/>
                <w:color w:val="auto"/>
                <w:highlight w:val="none"/>
              </w:rPr>
            </w:pPr>
            <w:r>
              <w:rPr>
                <w:rFonts w:hint="eastAsia"/>
                <w:color w:val="auto"/>
                <w:highlight w:val="none"/>
              </w:rPr>
              <w:t>技术负责人</w:t>
            </w:r>
          </w:p>
        </w:tc>
        <w:tc>
          <w:tcPr>
            <w:tcW w:w="935" w:type="dxa"/>
            <w:vAlign w:val="center"/>
          </w:tcPr>
          <w:p w14:paraId="31C0050A">
            <w:pPr>
              <w:jc w:val="center"/>
              <w:rPr>
                <w:rFonts w:hint="eastAsia"/>
                <w:color w:val="auto"/>
                <w:highlight w:val="none"/>
              </w:rPr>
            </w:pPr>
            <w:r>
              <w:rPr>
                <w:rFonts w:hint="eastAsia"/>
                <w:color w:val="auto"/>
                <w:highlight w:val="none"/>
              </w:rPr>
              <w:t>姓名</w:t>
            </w:r>
          </w:p>
        </w:tc>
        <w:tc>
          <w:tcPr>
            <w:tcW w:w="1064" w:type="dxa"/>
            <w:vAlign w:val="center"/>
          </w:tcPr>
          <w:p w14:paraId="45654769">
            <w:pPr>
              <w:jc w:val="center"/>
              <w:rPr>
                <w:color w:val="auto"/>
                <w:highlight w:val="none"/>
              </w:rPr>
            </w:pPr>
          </w:p>
        </w:tc>
        <w:tc>
          <w:tcPr>
            <w:tcW w:w="1330" w:type="dxa"/>
            <w:gridSpan w:val="2"/>
            <w:vAlign w:val="center"/>
          </w:tcPr>
          <w:p w14:paraId="11270638">
            <w:pPr>
              <w:jc w:val="center"/>
              <w:rPr>
                <w:rFonts w:hint="eastAsia"/>
                <w:color w:val="auto"/>
                <w:highlight w:val="none"/>
              </w:rPr>
            </w:pPr>
            <w:r>
              <w:rPr>
                <w:rFonts w:hint="eastAsia"/>
                <w:color w:val="auto"/>
                <w:highlight w:val="none"/>
              </w:rPr>
              <w:t>技术职称</w:t>
            </w:r>
          </w:p>
        </w:tc>
        <w:tc>
          <w:tcPr>
            <w:tcW w:w="1773" w:type="dxa"/>
            <w:gridSpan w:val="3"/>
            <w:vAlign w:val="center"/>
          </w:tcPr>
          <w:p w14:paraId="77E2ED30">
            <w:pPr>
              <w:jc w:val="center"/>
              <w:rPr>
                <w:color w:val="auto"/>
                <w:highlight w:val="none"/>
              </w:rPr>
            </w:pPr>
          </w:p>
        </w:tc>
        <w:tc>
          <w:tcPr>
            <w:tcW w:w="739" w:type="dxa"/>
            <w:vAlign w:val="center"/>
          </w:tcPr>
          <w:p w14:paraId="62F8A3E0">
            <w:pPr>
              <w:jc w:val="center"/>
              <w:rPr>
                <w:rFonts w:hint="eastAsia"/>
                <w:color w:val="auto"/>
                <w:highlight w:val="none"/>
              </w:rPr>
            </w:pPr>
            <w:r>
              <w:rPr>
                <w:rFonts w:hint="eastAsia"/>
                <w:color w:val="auto"/>
                <w:highlight w:val="none"/>
              </w:rPr>
              <w:t>电话</w:t>
            </w:r>
          </w:p>
        </w:tc>
        <w:tc>
          <w:tcPr>
            <w:tcW w:w="1476" w:type="dxa"/>
            <w:vAlign w:val="center"/>
          </w:tcPr>
          <w:p w14:paraId="5D04BFE7">
            <w:pPr>
              <w:jc w:val="center"/>
              <w:rPr>
                <w:color w:val="auto"/>
                <w:highlight w:val="none"/>
              </w:rPr>
            </w:pPr>
          </w:p>
        </w:tc>
      </w:tr>
      <w:tr w14:paraId="4E8A01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6" w:hRule="atLeast"/>
          <w:jc w:val="center"/>
        </w:trPr>
        <w:tc>
          <w:tcPr>
            <w:tcW w:w="1548" w:type="dxa"/>
            <w:vAlign w:val="center"/>
          </w:tcPr>
          <w:p w14:paraId="0805CD44">
            <w:pPr>
              <w:jc w:val="center"/>
              <w:rPr>
                <w:rFonts w:hint="eastAsia"/>
                <w:color w:val="auto"/>
                <w:highlight w:val="none"/>
              </w:rPr>
            </w:pPr>
            <w:r>
              <w:rPr>
                <w:rFonts w:hint="eastAsia"/>
                <w:color w:val="auto"/>
                <w:highlight w:val="none"/>
              </w:rPr>
              <w:t>成立时间</w:t>
            </w:r>
          </w:p>
        </w:tc>
        <w:tc>
          <w:tcPr>
            <w:tcW w:w="1999" w:type="dxa"/>
            <w:gridSpan w:val="2"/>
            <w:vAlign w:val="center"/>
          </w:tcPr>
          <w:p w14:paraId="3EA4EFD4">
            <w:pPr>
              <w:jc w:val="center"/>
              <w:rPr>
                <w:color w:val="auto"/>
                <w:highlight w:val="none"/>
              </w:rPr>
            </w:pPr>
          </w:p>
        </w:tc>
        <w:tc>
          <w:tcPr>
            <w:tcW w:w="5319" w:type="dxa"/>
            <w:gridSpan w:val="7"/>
            <w:vAlign w:val="center"/>
          </w:tcPr>
          <w:p w14:paraId="42506BB3">
            <w:pPr>
              <w:jc w:val="center"/>
              <w:rPr>
                <w:rFonts w:hint="eastAsia"/>
                <w:color w:val="auto"/>
                <w:highlight w:val="none"/>
              </w:rPr>
            </w:pPr>
            <w:r>
              <w:rPr>
                <w:rFonts w:hint="eastAsia"/>
                <w:color w:val="auto"/>
                <w:highlight w:val="none"/>
              </w:rPr>
              <w:t>员工总人数：</w:t>
            </w:r>
          </w:p>
        </w:tc>
      </w:tr>
      <w:tr w14:paraId="7FB091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6" w:hRule="atLeast"/>
          <w:jc w:val="center"/>
        </w:trPr>
        <w:tc>
          <w:tcPr>
            <w:tcW w:w="1548" w:type="dxa"/>
            <w:vAlign w:val="center"/>
          </w:tcPr>
          <w:p w14:paraId="54AAF56C">
            <w:pPr>
              <w:jc w:val="center"/>
              <w:rPr>
                <w:rFonts w:hint="eastAsia"/>
                <w:color w:val="auto"/>
                <w:highlight w:val="none"/>
              </w:rPr>
            </w:pPr>
            <w:r>
              <w:rPr>
                <w:rFonts w:hint="eastAsia"/>
                <w:color w:val="auto"/>
                <w:highlight w:val="none"/>
              </w:rPr>
              <w:t>企业资质等级</w:t>
            </w:r>
          </w:p>
        </w:tc>
        <w:tc>
          <w:tcPr>
            <w:tcW w:w="1999" w:type="dxa"/>
            <w:gridSpan w:val="2"/>
            <w:vAlign w:val="center"/>
          </w:tcPr>
          <w:p w14:paraId="470E7C36">
            <w:pPr>
              <w:jc w:val="center"/>
              <w:rPr>
                <w:color w:val="auto"/>
                <w:highlight w:val="none"/>
              </w:rPr>
            </w:pPr>
          </w:p>
        </w:tc>
        <w:tc>
          <w:tcPr>
            <w:tcW w:w="1035" w:type="dxa"/>
            <w:vMerge w:val="restart"/>
            <w:vAlign w:val="center"/>
          </w:tcPr>
          <w:p w14:paraId="04D2D4EB">
            <w:pPr>
              <w:jc w:val="center"/>
              <w:rPr>
                <w:rFonts w:hint="eastAsia"/>
                <w:color w:val="auto"/>
                <w:highlight w:val="none"/>
              </w:rPr>
            </w:pPr>
            <w:r>
              <w:rPr>
                <w:rFonts w:hint="eastAsia"/>
                <w:color w:val="auto"/>
                <w:highlight w:val="none"/>
              </w:rPr>
              <w:t>其中</w:t>
            </w:r>
          </w:p>
        </w:tc>
        <w:tc>
          <w:tcPr>
            <w:tcW w:w="2068" w:type="dxa"/>
            <w:gridSpan w:val="4"/>
            <w:vAlign w:val="center"/>
          </w:tcPr>
          <w:p w14:paraId="1927C223">
            <w:pPr>
              <w:jc w:val="center"/>
              <w:rPr>
                <w:rFonts w:hint="eastAsia"/>
                <w:color w:val="auto"/>
                <w:highlight w:val="none"/>
              </w:rPr>
            </w:pPr>
            <w:r>
              <w:rPr>
                <w:rFonts w:hint="eastAsia"/>
                <w:color w:val="auto"/>
                <w:highlight w:val="none"/>
              </w:rPr>
              <w:t>项目经理</w:t>
            </w:r>
          </w:p>
        </w:tc>
        <w:tc>
          <w:tcPr>
            <w:tcW w:w="2216" w:type="dxa"/>
            <w:gridSpan w:val="2"/>
            <w:vAlign w:val="center"/>
          </w:tcPr>
          <w:p w14:paraId="27C96218">
            <w:pPr>
              <w:jc w:val="center"/>
              <w:rPr>
                <w:color w:val="auto"/>
                <w:highlight w:val="none"/>
              </w:rPr>
            </w:pPr>
          </w:p>
        </w:tc>
      </w:tr>
      <w:tr w14:paraId="243E2F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6" w:hRule="atLeast"/>
          <w:jc w:val="center"/>
        </w:trPr>
        <w:tc>
          <w:tcPr>
            <w:tcW w:w="1548" w:type="dxa"/>
            <w:vAlign w:val="center"/>
          </w:tcPr>
          <w:p w14:paraId="1F228F78">
            <w:pPr>
              <w:jc w:val="center"/>
              <w:rPr>
                <w:rFonts w:hint="eastAsia"/>
                <w:color w:val="auto"/>
                <w:highlight w:val="none"/>
              </w:rPr>
            </w:pPr>
            <w:r>
              <w:rPr>
                <w:rFonts w:hint="eastAsia"/>
                <w:color w:val="auto"/>
                <w:highlight w:val="none"/>
              </w:rPr>
              <w:t>营业执照号</w:t>
            </w:r>
          </w:p>
        </w:tc>
        <w:tc>
          <w:tcPr>
            <w:tcW w:w="1999" w:type="dxa"/>
            <w:gridSpan w:val="2"/>
            <w:vAlign w:val="center"/>
          </w:tcPr>
          <w:p w14:paraId="12EEC9F3">
            <w:pPr>
              <w:jc w:val="center"/>
              <w:rPr>
                <w:color w:val="auto"/>
                <w:highlight w:val="none"/>
              </w:rPr>
            </w:pPr>
          </w:p>
        </w:tc>
        <w:tc>
          <w:tcPr>
            <w:tcW w:w="1035" w:type="dxa"/>
            <w:vMerge w:val="continue"/>
            <w:vAlign w:val="center"/>
          </w:tcPr>
          <w:p w14:paraId="0BCE08E9">
            <w:pPr>
              <w:rPr>
                <w:color w:val="auto"/>
                <w:highlight w:val="none"/>
              </w:rPr>
            </w:pPr>
          </w:p>
        </w:tc>
        <w:tc>
          <w:tcPr>
            <w:tcW w:w="2068" w:type="dxa"/>
            <w:gridSpan w:val="4"/>
            <w:vAlign w:val="center"/>
          </w:tcPr>
          <w:p w14:paraId="40CDA7C6">
            <w:pPr>
              <w:jc w:val="center"/>
              <w:rPr>
                <w:rFonts w:hint="eastAsia"/>
                <w:color w:val="auto"/>
                <w:highlight w:val="none"/>
              </w:rPr>
            </w:pPr>
            <w:r>
              <w:rPr>
                <w:rFonts w:hint="eastAsia"/>
                <w:color w:val="auto"/>
                <w:highlight w:val="none"/>
              </w:rPr>
              <w:t>高级职称人员</w:t>
            </w:r>
          </w:p>
        </w:tc>
        <w:tc>
          <w:tcPr>
            <w:tcW w:w="2216" w:type="dxa"/>
            <w:gridSpan w:val="2"/>
            <w:vAlign w:val="center"/>
          </w:tcPr>
          <w:p w14:paraId="0C731FA9">
            <w:pPr>
              <w:jc w:val="center"/>
              <w:rPr>
                <w:color w:val="auto"/>
                <w:highlight w:val="none"/>
              </w:rPr>
            </w:pPr>
          </w:p>
        </w:tc>
      </w:tr>
      <w:tr w14:paraId="6F96F1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6" w:hRule="atLeast"/>
          <w:jc w:val="center"/>
        </w:trPr>
        <w:tc>
          <w:tcPr>
            <w:tcW w:w="1548" w:type="dxa"/>
            <w:vAlign w:val="center"/>
          </w:tcPr>
          <w:p w14:paraId="06C9EF20">
            <w:pPr>
              <w:jc w:val="center"/>
              <w:rPr>
                <w:rFonts w:hint="eastAsia"/>
                <w:color w:val="auto"/>
                <w:highlight w:val="none"/>
              </w:rPr>
            </w:pPr>
            <w:r>
              <w:rPr>
                <w:rFonts w:hint="eastAsia"/>
                <w:color w:val="auto"/>
                <w:highlight w:val="none"/>
              </w:rPr>
              <w:t>注册资金</w:t>
            </w:r>
          </w:p>
        </w:tc>
        <w:tc>
          <w:tcPr>
            <w:tcW w:w="1999" w:type="dxa"/>
            <w:gridSpan w:val="2"/>
            <w:vAlign w:val="center"/>
          </w:tcPr>
          <w:p w14:paraId="4A9D0DD7">
            <w:pPr>
              <w:jc w:val="center"/>
              <w:rPr>
                <w:color w:val="auto"/>
                <w:highlight w:val="none"/>
              </w:rPr>
            </w:pPr>
          </w:p>
        </w:tc>
        <w:tc>
          <w:tcPr>
            <w:tcW w:w="1035" w:type="dxa"/>
            <w:vMerge w:val="continue"/>
            <w:vAlign w:val="center"/>
          </w:tcPr>
          <w:p w14:paraId="7160B89C">
            <w:pPr>
              <w:rPr>
                <w:color w:val="auto"/>
                <w:highlight w:val="none"/>
              </w:rPr>
            </w:pPr>
          </w:p>
        </w:tc>
        <w:tc>
          <w:tcPr>
            <w:tcW w:w="2068" w:type="dxa"/>
            <w:gridSpan w:val="4"/>
            <w:vAlign w:val="center"/>
          </w:tcPr>
          <w:p w14:paraId="4808AA1A">
            <w:pPr>
              <w:jc w:val="center"/>
              <w:rPr>
                <w:rFonts w:hint="eastAsia"/>
                <w:color w:val="auto"/>
                <w:highlight w:val="none"/>
              </w:rPr>
            </w:pPr>
            <w:r>
              <w:rPr>
                <w:rFonts w:hint="eastAsia"/>
                <w:color w:val="auto"/>
                <w:highlight w:val="none"/>
              </w:rPr>
              <w:t>中级职称人员</w:t>
            </w:r>
          </w:p>
        </w:tc>
        <w:tc>
          <w:tcPr>
            <w:tcW w:w="2216" w:type="dxa"/>
            <w:gridSpan w:val="2"/>
            <w:vAlign w:val="center"/>
          </w:tcPr>
          <w:p w14:paraId="28141C1E">
            <w:pPr>
              <w:jc w:val="center"/>
              <w:rPr>
                <w:color w:val="auto"/>
                <w:highlight w:val="none"/>
              </w:rPr>
            </w:pPr>
          </w:p>
        </w:tc>
      </w:tr>
      <w:tr w14:paraId="27F4DD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6" w:hRule="atLeast"/>
          <w:jc w:val="center"/>
        </w:trPr>
        <w:tc>
          <w:tcPr>
            <w:tcW w:w="1548" w:type="dxa"/>
            <w:vAlign w:val="center"/>
          </w:tcPr>
          <w:p w14:paraId="097E1C08">
            <w:pPr>
              <w:jc w:val="center"/>
              <w:rPr>
                <w:rFonts w:hint="eastAsia"/>
                <w:color w:val="auto"/>
                <w:highlight w:val="none"/>
              </w:rPr>
            </w:pPr>
            <w:r>
              <w:rPr>
                <w:rFonts w:hint="eastAsia"/>
                <w:color w:val="auto"/>
                <w:highlight w:val="none"/>
              </w:rPr>
              <w:t>开户银行</w:t>
            </w:r>
          </w:p>
        </w:tc>
        <w:tc>
          <w:tcPr>
            <w:tcW w:w="1999" w:type="dxa"/>
            <w:gridSpan w:val="2"/>
            <w:vAlign w:val="center"/>
          </w:tcPr>
          <w:p w14:paraId="4B8D66CF">
            <w:pPr>
              <w:jc w:val="center"/>
              <w:rPr>
                <w:color w:val="auto"/>
                <w:highlight w:val="none"/>
              </w:rPr>
            </w:pPr>
          </w:p>
        </w:tc>
        <w:tc>
          <w:tcPr>
            <w:tcW w:w="1035" w:type="dxa"/>
            <w:vMerge w:val="continue"/>
            <w:vAlign w:val="center"/>
          </w:tcPr>
          <w:p w14:paraId="17EF0F5A">
            <w:pPr>
              <w:rPr>
                <w:color w:val="auto"/>
                <w:highlight w:val="none"/>
              </w:rPr>
            </w:pPr>
          </w:p>
        </w:tc>
        <w:tc>
          <w:tcPr>
            <w:tcW w:w="2068" w:type="dxa"/>
            <w:gridSpan w:val="4"/>
            <w:vAlign w:val="center"/>
          </w:tcPr>
          <w:p w14:paraId="5577884C">
            <w:pPr>
              <w:jc w:val="center"/>
              <w:rPr>
                <w:rFonts w:hint="eastAsia"/>
                <w:color w:val="auto"/>
                <w:highlight w:val="none"/>
              </w:rPr>
            </w:pPr>
            <w:r>
              <w:rPr>
                <w:rFonts w:hint="eastAsia"/>
                <w:color w:val="auto"/>
                <w:highlight w:val="none"/>
              </w:rPr>
              <w:t>初级职称人员</w:t>
            </w:r>
          </w:p>
        </w:tc>
        <w:tc>
          <w:tcPr>
            <w:tcW w:w="2216" w:type="dxa"/>
            <w:gridSpan w:val="2"/>
            <w:vAlign w:val="center"/>
          </w:tcPr>
          <w:p w14:paraId="7ED79852">
            <w:pPr>
              <w:jc w:val="center"/>
              <w:rPr>
                <w:color w:val="auto"/>
                <w:highlight w:val="none"/>
              </w:rPr>
            </w:pPr>
          </w:p>
        </w:tc>
      </w:tr>
      <w:tr w14:paraId="160F9E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6" w:hRule="atLeast"/>
          <w:jc w:val="center"/>
        </w:trPr>
        <w:tc>
          <w:tcPr>
            <w:tcW w:w="1548" w:type="dxa"/>
            <w:vAlign w:val="center"/>
          </w:tcPr>
          <w:p w14:paraId="6F86DDA9">
            <w:pPr>
              <w:jc w:val="center"/>
              <w:rPr>
                <w:rFonts w:hint="eastAsia"/>
                <w:color w:val="auto"/>
                <w:highlight w:val="none"/>
              </w:rPr>
            </w:pPr>
            <w:r>
              <w:rPr>
                <w:rFonts w:hint="eastAsia"/>
                <w:color w:val="auto"/>
                <w:highlight w:val="none"/>
              </w:rPr>
              <w:t>账号</w:t>
            </w:r>
          </w:p>
        </w:tc>
        <w:tc>
          <w:tcPr>
            <w:tcW w:w="1999" w:type="dxa"/>
            <w:gridSpan w:val="2"/>
            <w:vAlign w:val="center"/>
          </w:tcPr>
          <w:p w14:paraId="11FA67E0">
            <w:pPr>
              <w:jc w:val="center"/>
              <w:rPr>
                <w:color w:val="auto"/>
                <w:highlight w:val="none"/>
              </w:rPr>
            </w:pPr>
          </w:p>
        </w:tc>
        <w:tc>
          <w:tcPr>
            <w:tcW w:w="1035" w:type="dxa"/>
            <w:vMerge w:val="continue"/>
            <w:vAlign w:val="center"/>
          </w:tcPr>
          <w:p w14:paraId="3E333715">
            <w:pPr>
              <w:rPr>
                <w:color w:val="auto"/>
                <w:highlight w:val="none"/>
              </w:rPr>
            </w:pPr>
          </w:p>
        </w:tc>
        <w:tc>
          <w:tcPr>
            <w:tcW w:w="2068" w:type="dxa"/>
            <w:gridSpan w:val="4"/>
            <w:vAlign w:val="center"/>
          </w:tcPr>
          <w:p w14:paraId="6D5B6F2A">
            <w:pPr>
              <w:jc w:val="center"/>
              <w:rPr>
                <w:rFonts w:hint="eastAsia"/>
                <w:color w:val="auto"/>
                <w:highlight w:val="none"/>
              </w:rPr>
            </w:pPr>
            <w:r>
              <w:rPr>
                <w:rFonts w:hint="eastAsia"/>
                <w:color w:val="auto"/>
                <w:highlight w:val="none"/>
              </w:rPr>
              <w:t>技工</w:t>
            </w:r>
          </w:p>
        </w:tc>
        <w:tc>
          <w:tcPr>
            <w:tcW w:w="2216" w:type="dxa"/>
            <w:gridSpan w:val="2"/>
            <w:vAlign w:val="center"/>
          </w:tcPr>
          <w:p w14:paraId="57029480">
            <w:pPr>
              <w:jc w:val="center"/>
              <w:rPr>
                <w:color w:val="auto"/>
                <w:highlight w:val="none"/>
              </w:rPr>
            </w:pPr>
          </w:p>
        </w:tc>
      </w:tr>
      <w:tr w14:paraId="1E91E6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47" w:hRule="atLeast"/>
          <w:jc w:val="center"/>
        </w:trPr>
        <w:tc>
          <w:tcPr>
            <w:tcW w:w="1548" w:type="dxa"/>
            <w:vAlign w:val="center"/>
          </w:tcPr>
          <w:p w14:paraId="0275A10E">
            <w:pPr>
              <w:jc w:val="center"/>
              <w:rPr>
                <w:rFonts w:hint="eastAsia"/>
                <w:color w:val="auto"/>
                <w:highlight w:val="none"/>
              </w:rPr>
            </w:pPr>
            <w:r>
              <w:rPr>
                <w:rFonts w:hint="eastAsia"/>
                <w:color w:val="auto"/>
                <w:highlight w:val="none"/>
              </w:rPr>
              <w:t>经营范围</w:t>
            </w:r>
          </w:p>
        </w:tc>
        <w:tc>
          <w:tcPr>
            <w:tcW w:w="7318" w:type="dxa"/>
            <w:gridSpan w:val="9"/>
            <w:vAlign w:val="center"/>
          </w:tcPr>
          <w:p w14:paraId="7747E635">
            <w:pPr>
              <w:jc w:val="center"/>
              <w:rPr>
                <w:color w:val="auto"/>
                <w:highlight w:val="none"/>
              </w:rPr>
            </w:pPr>
          </w:p>
        </w:tc>
      </w:tr>
      <w:tr w14:paraId="0EE269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6" w:hRule="atLeast"/>
          <w:jc w:val="center"/>
        </w:trPr>
        <w:tc>
          <w:tcPr>
            <w:tcW w:w="1548" w:type="dxa"/>
            <w:vAlign w:val="center"/>
          </w:tcPr>
          <w:p w14:paraId="4E98BCED">
            <w:pPr>
              <w:jc w:val="center"/>
              <w:rPr>
                <w:rFonts w:hint="eastAsia"/>
                <w:color w:val="auto"/>
                <w:highlight w:val="none"/>
              </w:rPr>
            </w:pPr>
            <w:r>
              <w:rPr>
                <w:rFonts w:hint="eastAsia"/>
                <w:color w:val="auto"/>
                <w:highlight w:val="none"/>
              </w:rPr>
              <w:t>备注</w:t>
            </w:r>
          </w:p>
        </w:tc>
        <w:tc>
          <w:tcPr>
            <w:tcW w:w="7318" w:type="dxa"/>
            <w:gridSpan w:val="9"/>
            <w:vAlign w:val="center"/>
          </w:tcPr>
          <w:p w14:paraId="3AD39315">
            <w:pPr>
              <w:jc w:val="center"/>
              <w:rPr>
                <w:color w:val="auto"/>
                <w:highlight w:val="none"/>
              </w:rPr>
            </w:pPr>
          </w:p>
        </w:tc>
      </w:tr>
    </w:tbl>
    <w:p w14:paraId="4314ACBE">
      <w:pPr>
        <w:spacing w:line="440" w:lineRule="exact"/>
        <w:rPr>
          <w:rFonts w:hint="eastAsia"/>
          <w:color w:val="auto"/>
          <w:highlight w:val="none"/>
        </w:rPr>
      </w:pPr>
      <w:r>
        <w:rPr>
          <w:rFonts w:hint="eastAsia"/>
          <w:color w:val="auto"/>
          <w:highlight w:val="none"/>
        </w:rPr>
        <w:t>备注：本表后应附企业营业执照、资质证书、安全生产许可证等材料扫描件。</w:t>
      </w:r>
    </w:p>
    <w:p w14:paraId="703A143E">
      <w:pPr>
        <w:pStyle w:val="28"/>
        <w:tabs>
          <w:tab w:val="left" w:pos="2940"/>
        </w:tabs>
        <w:spacing w:line="600" w:lineRule="exact"/>
        <w:jc w:val="center"/>
        <w:rPr>
          <w:rFonts w:hint="eastAsia" w:ascii="宋体" w:hAnsi="宋体"/>
          <w:color w:val="auto"/>
          <w:szCs w:val="24"/>
          <w:highlight w:val="none"/>
        </w:rPr>
      </w:pPr>
      <w:bookmarkStart w:id="326" w:name="_Toc265953296"/>
      <w:bookmarkEnd w:id="326"/>
      <w:bookmarkStart w:id="327" w:name="_Toc104558786"/>
      <w:bookmarkEnd w:id="327"/>
      <w:bookmarkStart w:id="328" w:name="_Toc105654897"/>
      <w:bookmarkEnd w:id="328"/>
      <w:bookmarkStart w:id="329" w:name="_Toc152042599"/>
      <w:bookmarkEnd w:id="329"/>
      <w:bookmarkStart w:id="330" w:name="_Toc247514302"/>
      <w:bookmarkEnd w:id="330"/>
      <w:bookmarkStart w:id="331" w:name="_Toc144974878"/>
      <w:bookmarkEnd w:id="331"/>
      <w:bookmarkStart w:id="332" w:name="_Toc296602620"/>
      <w:bookmarkEnd w:id="332"/>
      <w:bookmarkStart w:id="333" w:name="_Toc247527850"/>
      <w:bookmarkEnd w:id="333"/>
      <w:bookmarkStart w:id="334" w:name="_Toc152045810"/>
      <w:bookmarkEnd w:id="334"/>
      <w:bookmarkStart w:id="335" w:name="_Toc19246"/>
      <w:bookmarkEnd w:id="335"/>
      <w:bookmarkStart w:id="336" w:name="_Toc22666"/>
      <w:bookmarkStart w:id="337" w:name="_Toc16997"/>
      <w:bookmarkStart w:id="338" w:name="_Toc489602209"/>
      <w:bookmarkStart w:id="339" w:name="_Toc17128"/>
      <w:bookmarkStart w:id="340" w:name="_Toc10671"/>
      <w:bookmarkStart w:id="341" w:name="_Toc463691063"/>
      <w:bookmarkStart w:id="342" w:name="_Toc12178"/>
      <w:r>
        <w:rPr>
          <w:rFonts w:hint="eastAsia" w:ascii="宋体" w:hAnsi="宋体"/>
          <w:color w:val="auto"/>
          <w:szCs w:val="24"/>
          <w:highlight w:val="none"/>
        </w:rPr>
        <w:t>（二）</w:t>
      </w:r>
      <w:r>
        <w:rPr>
          <w:rFonts w:hint="eastAsia"/>
          <w:color w:val="auto"/>
          <w:highlight w:val="none"/>
        </w:rPr>
        <w:t>近年来企业和项目经理完成的类似项目情况表</w:t>
      </w:r>
    </w:p>
    <w:tbl>
      <w:tblPr>
        <w:tblStyle w:val="12"/>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33"/>
        <w:gridCol w:w="6981"/>
      </w:tblGrid>
      <w:tr w14:paraId="0353A7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6" w:hRule="atLeast"/>
        </w:trPr>
        <w:tc>
          <w:tcPr>
            <w:tcW w:w="2533" w:type="dxa"/>
            <w:vAlign w:val="center"/>
          </w:tcPr>
          <w:p w14:paraId="7E6D9385">
            <w:pPr>
              <w:topLinePunct/>
              <w:spacing w:line="600" w:lineRule="exact"/>
              <w:jc w:val="center"/>
              <w:rPr>
                <w:rFonts w:hint="eastAsia" w:ascii="宋体" w:hAnsi="宋体"/>
                <w:color w:val="auto"/>
                <w:sz w:val="24"/>
                <w:highlight w:val="none"/>
              </w:rPr>
            </w:pPr>
            <w:r>
              <w:rPr>
                <w:rFonts w:hint="eastAsia" w:ascii="宋体" w:hAnsi="宋体"/>
                <w:color w:val="auto"/>
                <w:sz w:val="24"/>
                <w:highlight w:val="none"/>
              </w:rPr>
              <w:t>项目名称</w:t>
            </w:r>
          </w:p>
        </w:tc>
        <w:tc>
          <w:tcPr>
            <w:tcW w:w="6981" w:type="dxa"/>
            <w:vAlign w:val="top"/>
          </w:tcPr>
          <w:p w14:paraId="5A926F2F">
            <w:pPr>
              <w:topLinePunct/>
              <w:spacing w:line="600" w:lineRule="exact"/>
              <w:rPr>
                <w:rFonts w:hint="eastAsia" w:ascii="宋体" w:hAnsi="宋体"/>
                <w:color w:val="auto"/>
                <w:sz w:val="24"/>
                <w:highlight w:val="none"/>
              </w:rPr>
            </w:pPr>
          </w:p>
        </w:tc>
      </w:tr>
      <w:tr w14:paraId="1CD369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1" w:hRule="atLeast"/>
        </w:trPr>
        <w:tc>
          <w:tcPr>
            <w:tcW w:w="2533" w:type="dxa"/>
            <w:vAlign w:val="center"/>
          </w:tcPr>
          <w:p w14:paraId="7E77C647">
            <w:pPr>
              <w:topLinePunct/>
              <w:spacing w:line="600" w:lineRule="exact"/>
              <w:jc w:val="center"/>
              <w:rPr>
                <w:rFonts w:hint="eastAsia" w:ascii="宋体" w:hAnsi="宋体"/>
                <w:color w:val="auto"/>
                <w:sz w:val="24"/>
                <w:highlight w:val="none"/>
              </w:rPr>
            </w:pPr>
            <w:r>
              <w:rPr>
                <w:rFonts w:hint="eastAsia" w:ascii="宋体" w:hAnsi="宋体"/>
                <w:color w:val="auto"/>
                <w:sz w:val="24"/>
                <w:highlight w:val="none"/>
              </w:rPr>
              <w:t>项目所在地</w:t>
            </w:r>
          </w:p>
        </w:tc>
        <w:tc>
          <w:tcPr>
            <w:tcW w:w="6981" w:type="dxa"/>
            <w:vAlign w:val="top"/>
          </w:tcPr>
          <w:p w14:paraId="4BB86E19">
            <w:pPr>
              <w:topLinePunct/>
              <w:spacing w:line="600" w:lineRule="exact"/>
              <w:rPr>
                <w:rFonts w:hint="eastAsia" w:ascii="宋体" w:hAnsi="宋体"/>
                <w:color w:val="auto"/>
                <w:sz w:val="24"/>
                <w:highlight w:val="none"/>
              </w:rPr>
            </w:pPr>
          </w:p>
        </w:tc>
      </w:tr>
      <w:tr w14:paraId="4D0634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0" w:hRule="atLeast"/>
        </w:trPr>
        <w:tc>
          <w:tcPr>
            <w:tcW w:w="2533" w:type="dxa"/>
            <w:vAlign w:val="center"/>
          </w:tcPr>
          <w:p w14:paraId="253480A3">
            <w:pPr>
              <w:topLinePunct/>
              <w:spacing w:line="600" w:lineRule="exact"/>
              <w:jc w:val="center"/>
              <w:rPr>
                <w:rFonts w:hint="eastAsia" w:ascii="宋体" w:hAnsi="宋体"/>
                <w:color w:val="auto"/>
                <w:sz w:val="24"/>
                <w:highlight w:val="none"/>
              </w:rPr>
            </w:pPr>
            <w:r>
              <w:rPr>
                <w:rFonts w:hint="eastAsia" w:ascii="宋体" w:hAnsi="宋体"/>
                <w:color w:val="auto"/>
                <w:sz w:val="24"/>
                <w:highlight w:val="none"/>
              </w:rPr>
              <w:t>发包人名称</w:t>
            </w:r>
          </w:p>
        </w:tc>
        <w:tc>
          <w:tcPr>
            <w:tcW w:w="6981" w:type="dxa"/>
            <w:vAlign w:val="top"/>
          </w:tcPr>
          <w:p w14:paraId="676C2CAB">
            <w:pPr>
              <w:topLinePunct/>
              <w:spacing w:line="600" w:lineRule="exact"/>
              <w:rPr>
                <w:rFonts w:hint="eastAsia" w:ascii="宋体" w:hAnsi="宋体"/>
                <w:color w:val="auto"/>
                <w:sz w:val="24"/>
                <w:highlight w:val="none"/>
              </w:rPr>
            </w:pPr>
          </w:p>
        </w:tc>
      </w:tr>
      <w:tr w14:paraId="35045E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4" w:hRule="atLeast"/>
        </w:trPr>
        <w:tc>
          <w:tcPr>
            <w:tcW w:w="2533" w:type="dxa"/>
            <w:vAlign w:val="center"/>
          </w:tcPr>
          <w:p w14:paraId="684D5652">
            <w:pPr>
              <w:topLinePunct/>
              <w:spacing w:line="600" w:lineRule="exact"/>
              <w:jc w:val="center"/>
              <w:rPr>
                <w:rFonts w:hint="eastAsia" w:ascii="宋体" w:hAnsi="宋体"/>
                <w:color w:val="auto"/>
                <w:sz w:val="24"/>
                <w:highlight w:val="none"/>
              </w:rPr>
            </w:pPr>
            <w:r>
              <w:rPr>
                <w:rFonts w:hint="eastAsia" w:ascii="宋体" w:hAnsi="宋体"/>
                <w:color w:val="auto"/>
                <w:sz w:val="24"/>
                <w:highlight w:val="none"/>
              </w:rPr>
              <w:t>发包人地址</w:t>
            </w:r>
          </w:p>
        </w:tc>
        <w:tc>
          <w:tcPr>
            <w:tcW w:w="6981" w:type="dxa"/>
            <w:vAlign w:val="top"/>
          </w:tcPr>
          <w:p w14:paraId="0FD8D843">
            <w:pPr>
              <w:topLinePunct/>
              <w:spacing w:line="600" w:lineRule="exact"/>
              <w:rPr>
                <w:rFonts w:hint="eastAsia" w:ascii="宋体" w:hAnsi="宋体"/>
                <w:color w:val="auto"/>
                <w:sz w:val="24"/>
                <w:highlight w:val="none"/>
              </w:rPr>
            </w:pPr>
          </w:p>
        </w:tc>
      </w:tr>
      <w:tr w14:paraId="1C3FE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2" w:hRule="atLeast"/>
        </w:trPr>
        <w:tc>
          <w:tcPr>
            <w:tcW w:w="2533" w:type="dxa"/>
            <w:vAlign w:val="center"/>
          </w:tcPr>
          <w:p w14:paraId="0EB91100">
            <w:pPr>
              <w:topLinePunct/>
              <w:spacing w:line="600" w:lineRule="exact"/>
              <w:jc w:val="center"/>
              <w:rPr>
                <w:rFonts w:hint="eastAsia" w:ascii="宋体" w:hAnsi="宋体"/>
                <w:color w:val="auto"/>
                <w:sz w:val="24"/>
                <w:highlight w:val="none"/>
              </w:rPr>
            </w:pPr>
            <w:r>
              <w:rPr>
                <w:rFonts w:hint="eastAsia" w:ascii="宋体" w:hAnsi="宋体"/>
                <w:color w:val="auto"/>
                <w:sz w:val="24"/>
                <w:highlight w:val="none"/>
              </w:rPr>
              <w:t>发包人电话</w:t>
            </w:r>
          </w:p>
        </w:tc>
        <w:tc>
          <w:tcPr>
            <w:tcW w:w="6981" w:type="dxa"/>
            <w:vAlign w:val="top"/>
          </w:tcPr>
          <w:p w14:paraId="252307BC">
            <w:pPr>
              <w:topLinePunct/>
              <w:spacing w:line="600" w:lineRule="exact"/>
              <w:rPr>
                <w:rFonts w:hint="eastAsia" w:ascii="宋体" w:hAnsi="宋体"/>
                <w:color w:val="auto"/>
                <w:sz w:val="24"/>
                <w:highlight w:val="none"/>
              </w:rPr>
            </w:pPr>
          </w:p>
        </w:tc>
      </w:tr>
      <w:tr w14:paraId="2C029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6" w:hRule="atLeast"/>
        </w:trPr>
        <w:tc>
          <w:tcPr>
            <w:tcW w:w="2533" w:type="dxa"/>
            <w:vAlign w:val="center"/>
          </w:tcPr>
          <w:p w14:paraId="217AF7F1">
            <w:pPr>
              <w:topLinePunct/>
              <w:spacing w:line="600" w:lineRule="exact"/>
              <w:jc w:val="center"/>
              <w:rPr>
                <w:rFonts w:hint="eastAsia" w:ascii="宋体" w:hAnsi="宋体"/>
                <w:color w:val="auto"/>
                <w:sz w:val="24"/>
                <w:highlight w:val="none"/>
              </w:rPr>
            </w:pPr>
            <w:r>
              <w:rPr>
                <w:rFonts w:hint="eastAsia" w:ascii="宋体" w:hAnsi="宋体"/>
                <w:color w:val="auto"/>
                <w:sz w:val="24"/>
                <w:highlight w:val="none"/>
              </w:rPr>
              <w:t>合同价格</w:t>
            </w:r>
          </w:p>
        </w:tc>
        <w:tc>
          <w:tcPr>
            <w:tcW w:w="6981" w:type="dxa"/>
            <w:vAlign w:val="top"/>
          </w:tcPr>
          <w:p w14:paraId="3D57F911">
            <w:pPr>
              <w:topLinePunct/>
              <w:spacing w:line="600" w:lineRule="exact"/>
              <w:rPr>
                <w:rFonts w:hint="eastAsia" w:ascii="宋体" w:hAnsi="宋体"/>
                <w:color w:val="auto"/>
                <w:sz w:val="24"/>
                <w:highlight w:val="none"/>
              </w:rPr>
            </w:pPr>
          </w:p>
        </w:tc>
      </w:tr>
      <w:tr w14:paraId="43F61A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2533" w:type="dxa"/>
            <w:vAlign w:val="center"/>
          </w:tcPr>
          <w:p w14:paraId="50D496BA">
            <w:pPr>
              <w:topLinePunct/>
              <w:spacing w:line="600" w:lineRule="exact"/>
              <w:jc w:val="center"/>
              <w:rPr>
                <w:rFonts w:hint="eastAsia" w:ascii="宋体" w:hAnsi="宋体"/>
                <w:color w:val="auto"/>
                <w:sz w:val="24"/>
                <w:highlight w:val="none"/>
              </w:rPr>
            </w:pPr>
            <w:r>
              <w:rPr>
                <w:rFonts w:hint="eastAsia" w:ascii="宋体" w:hAnsi="宋体"/>
                <w:color w:val="auto"/>
                <w:sz w:val="24"/>
                <w:highlight w:val="none"/>
              </w:rPr>
              <w:t>开工日期</w:t>
            </w:r>
          </w:p>
        </w:tc>
        <w:tc>
          <w:tcPr>
            <w:tcW w:w="6981" w:type="dxa"/>
            <w:vAlign w:val="top"/>
          </w:tcPr>
          <w:p w14:paraId="4F8AEC36">
            <w:pPr>
              <w:topLinePunct/>
              <w:spacing w:line="600" w:lineRule="exact"/>
              <w:rPr>
                <w:rFonts w:hint="eastAsia" w:ascii="宋体" w:hAnsi="宋体"/>
                <w:color w:val="auto"/>
                <w:sz w:val="24"/>
                <w:highlight w:val="none"/>
              </w:rPr>
            </w:pPr>
          </w:p>
        </w:tc>
      </w:tr>
      <w:tr w14:paraId="27EAE4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4" w:hRule="atLeast"/>
        </w:trPr>
        <w:tc>
          <w:tcPr>
            <w:tcW w:w="2533" w:type="dxa"/>
            <w:vAlign w:val="center"/>
          </w:tcPr>
          <w:p w14:paraId="77405CF4">
            <w:pPr>
              <w:topLinePunct/>
              <w:spacing w:line="600" w:lineRule="exact"/>
              <w:jc w:val="center"/>
              <w:rPr>
                <w:rFonts w:hint="eastAsia" w:ascii="宋体" w:hAnsi="宋体"/>
                <w:color w:val="auto"/>
                <w:sz w:val="24"/>
                <w:highlight w:val="none"/>
              </w:rPr>
            </w:pPr>
            <w:r>
              <w:rPr>
                <w:rFonts w:hint="eastAsia" w:ascii="宋体" w:hAnsi="宋体"/>
                <w:color w:val="auto"/>
                <w:sz w:val="24"/>
                <w:highlight w:val="none"/>
              </w:rPr>
              <w:t>竣工日期</w:t>
            </w:r>
          </w:p>
        </w:tc>
        <w:tc>
          <w:tcPr>
            <w:tcW w:w="6981" w:type="dxa"/>
            <w:vAlign w:val="top"/>
          </w:tcPr>
          <w:p w14:paraId="7A5DD8B4">
            <w:pPr>
              <w:topLinePunct/>
              <w:spacing w:line="600" w:lineRule="exact"/>
              <w:rPr>
                <w:rFonts w:hint="eastAsia" w:ascii="宋体" w:hAnsi="宋体"/>
                <w:color w:val="auto"/>
                <w:sz w:val="24"/>
                <w:highlight w:val="none"/>
              </w:rPr>
            </w:pPr>
          </w:p>
        </w:tc>
      </w:tr>
      <w:tr w14:paraId="1B7D06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2" w:hRule="atLeast"/>
        </w:trPr>
        <w:tc>
          <w:tcPr>
            <w:tcW w:w="2533" w:type="dxa"/>
            <w:vAlign w:val="center"/>
          </w:tcPr>
          <w:p w14:paraId="7E992381">
            <w:pPr>
              <w:topLinePunct/>
              <w:spacing w:line="600" w:lineRule="exact"/>
              <w:jc w:val="center"/>
              <w:rPr>
                <w:rFonts w:hint="eastAsia" w:ascii="宋体" w:hAnsi="宋体"/>
                <w:color w:val="auto"/>
                <w:sz w:val="24"/>
                <w:highlight w:val="none"/>
              </w:rPr>
            </w:pPr>
            <w:r>
              <w:rPr>
                <w:rFonts w:hint="eastAsia" w:ascii="宋体" w:hAnsi="宋体"/>
                <w:color w:val="auto"/>
                <w:sz w:val="24"/>
                <w:highlight w:val="none"/>
              </w:rPr>
              <w:t>承担的工作</w:t>
            </w:r>
          </w:p>
        </w:tc>
        <w:tc>
          <w:tcPr>
            <w:tcW w:w="6981" w:type="dxa"/>
            <w:vAlign w:val="top"/>
          </w:tcPr>
          <w:p w14:paraId="4C472616">
            <w:pPr>
              <w:topLinePunct/>
              <w:spacing w:line="600" w:lineRule="exact"/>
              <w:rPr>
                <w:rFonts w:hint="eastAsia" w:ascii="宋体" w:hAnsi="宋体"/>
                <w:color w:val="auto"/>
                <w:sz w:val="24"/>
                <w:highlight w:val="none"/>
              </w:rPr>
            </w:pPr>
          </w:p>
        </w:tc>
      </w:tr>
      <w:tr w14:paraId="79BB7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1" w:hRule="atLeast"/>
        </w:trPr>
        <w:tc>
          <w:tcPr>
            <w:tcW w:w="2533" w:type="dxa"/>
            <w:vAlign w:val="center"/>
          </w:tcPr>
          <w:p w14:paraId="65E3F94C">
            <w:pPr>
              <w:topLinePunct/>
              <w:spacing w:line="600" w:lineRule="exact"/>
              <w:jc w:val="center"/>
              <w:rPr>
                <w:rFonts w:hint="eastAsia" w:ascii="宋体" w:hAnsi="宋体"/>
                <w:color w:val="auto"/>
                <w:sz w:val="24"/>
                <w:highlight w:val="none"/>
              </w:rPr>
            </w:pPr>
            <w:r>
              <w:rPr>
                <w:rFonts w:hint="eastAsia" w:ascii="宋体" w:hAnsi="宋体"/>
                <w:color w:val="auto"/>
                <w:sz w:val="24"/>
                <w:highlight w:val="none"/>
              </w:rPr>
              <w:t>工程质量</w:t>
            </w:r>
          </w:p>
        </w:tc>
        <w:tc>
          <w:tcPr>
            <w:tcW w:w="6981" w:type="dxa"/>
            <w:vAlign w:val="top"/>
          </w:tcPr>
          <w:p w14:paraId="7E90E078">
            <w:pPr>
              <w:topLinePunct/>
              <w:spacing w:line="600" w:lineRule="exact"/>
              <w:rPr>
                <w:rFonts w:hint="eastAsia" w:ascii="宋体" w:hAnsi="宋体"/>
                <w:color w:val="auto"/>
                <w:sz w:val="24"/>
                <w:highlight w:val="none"/>
              </w:rPr>
            </w:pPr>
          </w:p>
        </w:tc>
      </w:tr>
      <w:tr w14:paraId="412DD9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65" w:hRule="atLeast"/>
        </w:trPr>
        <w:tc>
          <w:tcPr>
            <w:tcW w:w="2533" w:type="dxa"/>
            <w:vAlign w:val="center"/>
          </w:tcPr>
          <w:p w14:paraId="4907F145">
            <w:pPr>
              <w:topLinePunct/>
              <w:spacing w:line="600" w:lineRule="exact"/>
              <w:jc w:val="center"/>
              <w:rPr>
                <w:rFonts w:hint="eastAsia" w:ascii="宋体" w:hAnsi="宋体"/>
                <w:color w:val="auto"/>
                <w:sz w:val="24"/>
                <w:highlight w:val="none"/>
              </w:rPr>
            </w:pPr>
            <w:r>
              <w:rPr>
                <w:rFonts w:hint="eastAsia" w:ascii="宋体" w:hAnsi="宋体"/>
                <w:color w:val="auto"/>
                <w:sz w:val="24"/>
                <w:highlight w:val="none"/>
              </w:rPr>
              <w:t>项目经理</w:t>
            </w:r>
          </w:p>
        </w:tc>
        <w:tc>
          <w:tcPr>
            <w:tcW w:w="6981" w:type="dxa"/>
            <w:vAlign w:val="top"/>
          </w:tcPr>
          <w:p w14:paraId="73881105">
            <w:pPr>
              <w:topLinePunct/>
              <w:spacing w:line="600" w:lineRule="exact"/>
              <w:rPr>
                <w:rFonts w:hint="eastAsia" w:ascii="宋体" w:hAnsi="宋体"/>
                <w:color w:val="auto"/>
                <w:sz w:val="24"/>
                <w:highlight w:val="none"/>
              </w:rPr>
            </w:pPr>
          </w:p>
        </w:tc>
      </w:tr>
      <w:tr w14:paraId="24D783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3" w:hRule="atLeast"/>
        </w:trPr>
        <w:tc>
          <w:tcPr>
            <w:tcW w:w="2533" w:type="dxa"/>
            <w:vAlign w:val="center"/>
          </w:tcPr>
          <w:p w14:paraId="66D0C100">
            <w:pPr>
              <w:topLinePunct/>
              <w:spacing w:line="600" w:lineRule="exact"/>
              <w:jc w:val="center"/>
              <w:rPr>
                <w:rFonts w:hint="eastAsia" w:ascii="宋体" w:hAnsi="宋体"/>
                <w:color w:val="auto"/>
                <w:sz w:val="24"/>
                <w:highlight w:val="none"/>
              </w:rPr>
            </w:pPr>
            <w:r>
              <w:rPr>
                <w:rFonts w:hint="eastAsia" w:ascii="宋体" w:hAnsi="宋体"/>
                <w:color w:val="auto"/>
                <w:sz w:val="24"/>
                <w:highlight w:val="none"/>
              </w:rPr>
              <w:t>技术负责人</w:t>
            </w:r>
          </w:p>
        </w:tc>
        <w:tc>
          <w:tcPr>
            <w:tcW w:w="6981" w:type="dxa"/>
            <w:vAlign w:val="top"/>
          </w:tcPr>
          <w:p w14:paraId="3E68498C">
            <w:pPr>
              <w:topLinePunct/>
              <w:spacing w:line="600" w:lineRule="exact"/>
              <w:rPr>
                <w:rFonts w:hint="eastAsia" w:ascii="宋体" w:hAnsi="宋体"/>
                <w:color w:val="auto"/>
                <w:sz w:val="24"/>
                <w:highlight w:val="none"/>
              </w:rPr>
            </w:pPr>
          </w:p>
        </w:tc>
      </w:tr>
      <w:tr w14:paraId="62D52B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2533" w:type="dxa"/>
            <w:vAlign w:val="center"/>
          </w:tcPr>
          <w:p w14:paraId="0012CC09">
            <w:pPr>
              <w:topLinePunct/>
              <w:spacing w:line="600" w:lineRule="exact"/>
              <w:jc w:val="center"/>
              <w:rPr>
                <w:rFonts w:hint="eastAsia" w:ascii="宋体" w:hAnsi="宋体"/>
                <w:color w:val="auto"/>
                <w:sz w:val="24"/>
                <w:highlight w:val="none"/>
              </w:rPr>
            </w:pPr>
            <w:r>
              <w:rPr>
                <w:rFonts w:hint="eastAsia" w:ascii="宋体" w:hAnsi="宋体"/>
                <w:color w:val="auto"/>
                <w:sz w:val="24"/>
                <w:highlight w:val="none"/>
              </w:rPr>
              <w:t>项目描述</w:t>
            </w:r>
          </w:p>
        </w:tc>
        <w:tc>
          <w:tcPr>
            <w:tcW w:w="6981" w:type="dxa"/>
            <w:vAlign w:val="top"/>
          </w:tcPr>
          <w:p w14:paraId="049F7DE3">
            <w:pPr>
              <w:topLinePunct/>
              <w:spacing w:line="600" w:lineRule="exact"/>
              <w:rPr>
                <w:rFonts w:hint="eastAsia" w:ascii="宋体" w:hAnsi="宋体"/>
                <w:color w:val="auto"/>
                <w:sz w:val="24"/>
                <w:highlight w:val="none"/>
              </w:rPr>
            </w:pPr>
          </w:p>
          <w:p w14:paraId="528BD816">
            <w:pPr>
              <w:topLinePunct/>
              <w:spacing w:line="600" w:lineRule="exact"/>
              <w:rPr>
                <w:rFonts w:hint="eastAsia" w:ascii="宋体" w:hAnsi="宋体"/>
                <w:color w:val="auto"/>
                <w:sz w:val="24"/>
                <w:highlight w:val="none"/>
              </w:rPr>
            </w:pPr>
          </w:p>
          <w:p w14:paraId="33D6DCCA">
            <w:pPr>
              <w:topLinePunct/>
              <w:spacing w:line="600" w:lineRule="exact"/>
              <w:rPr>
                <w:rFonts w:hint="eastAsia" w:ascii="宋体" w:hAnsi="宋体"/>
                <w:color w:val="auto"/>
                <w:sz w:val="24"/>
                <w:highlight w:val="none"/>
              </w:rPr>
            </w:pPr>
          </w:p>
          <w:p w14:paraId="473E2BFF">
            <w:pPr>
              <w:topLinePunct/>
              <w:spacing w:line="600" w:lineRule="exact"/>
              <w:rPr>
                <w:rFonts w:hint="eastAsia" w:ascii="宋体" w:hAnsi="宋体"/>
                <w:color w:val="auto"/>
                <w:sz w:val="24"/>
                <w:highlight w:val="none"/>
              </w:rPr>
            </w:pPr>
          </w:p>
        </w:tc>
      </w:tr>
      <w:tr w14:paraId="60A7EF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59" w:hRule="atLeast"/>
        </w:trPr>
        <w:tc>
          <w:tcPr>
            <w:tcW w:w="2533" w:type="dxa"/>
            <w:vAlign w:val="center"/>
          </w:tcPr>
          <w:p w14:paraId="5AC907BB">
            <w:pPr>
              <w:topLinePunct/>
              <w:spacing w:line="600" w:lineRule="exact"/>
              <w:jc w:val="center"/>
              <w:rPr>
                <w:rFonts w:hint="eastAsia" w:ascii="宋体" w:hAnsi="宋体"/>
                <w:color w:val="auto"/>
                <w:sz w:val="24"/>
                <w:highlight w:val="none"/>
              </w:rPr>
            </w:pPr>
            <w:r>
              <w:rPr>
                <w:rFonts w:hint="eastAsia" w:ascii="宋体" w:hAnsi="宋体"/>
                <w:color w:val="auto"/>
                <w:sz w:val="24"/>
                <w:highlight w:val="none"/>
              </w:rPr>
              <w:t>备注</w:t>
            </w:r>
          </w:p>
        </w:tc>
        <w:tc>
          <w:tcPr>
            <w:tcW w:w="6981" w:type="dxa"/>
            <w:vAlign w:val="top"/>
          </w:tcPr>
          <w:p w14:paraId="22F28497">
            <w:pPr>
              <w:topLinePunct/>
              <w:spacing w:line="600" w:lineRule="exact"/>
              <w:rPr>
                <w:rFonts w:hint="eastAsia" w:ascii="宋体" w:hAnsi="宋体"/>
                <w:color w:val="auto"/>
                <w:sz w:val="24"/>
                <w:highlight w:val="none"/>
              </w:rPr>
            </w:pPr>
          </w:p>
        </w:tc>
      </w:tr>
    </w:tbl>
    <w:p w14:paraId="425BF65E">
      <w:pPr>
        <w:spacing w:line="440" w:lineRule="exact"/>
        <w:ind w:left="630" w:hanging="630" w:hangingChars="300"/>
        <w:rPr>
          <w:rFonts w:hint="eastAsia"/>
          <w:color w:val="auto"/>
          <w:highlight w:val="none"/>
        </w:rPr>
      </w:pPr>
      <w:bookmarkStart w:id="343" w:name="_Toc265953297"/>
      <w:bookmarkStart w:id="344" w:name="_Toc247527851"/>
      <w:bookmarkStart w:id="345" w:name="_Toc152042600"/>
      <w:bookmarkStart w:id="346" w:name="_Toc144974879"/>
      <w:bookmarkStart w:id="347" w:name="_Toc247514303"/>
      <w:bookmarkStart w:id="348" w:name="_Toc296602621"/>
      <w:bookmarkStart w:id="349" w:name="_Toc152045811"/>
      <w:bookmarkStart w:id="350" w:name="_Toc1634"/>
      <w:r>
        <w:rPr>
          <w:rFonts w:hint="eastAsia"/>
          <w:color w:val="auto"/>
          <w:highlight w:val="none"/>
        </w:rPr>
        <w:t>备注：1、类似项目。</w:t>
      </w:r>
    </w:p>
    <w:p w14:paraId="2601C7D7">
      <w:pPr>
        <w:spacing w:before="156" w:after="156" w:line="440" w:lineRule="exact"/>
        <w:ind w:firstLine="630" w:firstLineChars="300"/>
        <w:rPr>
          <w:rFonts w:hint="eastAsia"/>
          <w:color w:val="auto"/>
          <w:highlight w:val="none"/>
        </w:rPr>
      </w:pPr>
      <w:r>
        <w:rPr>
          <w:rFonts w:hint="eastAsia"/>
          <w:color w:val="auto"/>
          <w:highlight w:val="none"/>
        </w:rPr>
        <w:t>2、本表后附施工合同、中标通知书的扫描件，具体年份要求20</w:t>
      </w:r>
      <w:r>
        <w:rPr>
          <w:rFonts w:hint="eastAsia"/>
          <w:color w:val="auto"/>
          <w:highlight w:val="none"/>
          <w:lang w:val="en-US" w:eastAsia="zh-CN"/>
        </w:rPr>
        <w:t>21</w:t>
      </w:r>
      <w:r>
        <w:rPr>
          <w:rFonts w:hint="eastAsia"/>
          <w:color w:val="auto"/>
          <w:highlight w:val="none"/>
        </w:rPr>
        <w:t>年以来。每张表格只填写一个项目，并标明序号。</w:t>
      </w:r>
    </w:p>
    <w:bookmarkEnd w:id="343"/>
    <w:bookmarkEnd w:id="344"/>
    <w:bookmarkEnd w:id="345"/>
    <w:bookmarkEnd w:id="346"/>
    <w:bookmarkEnd w:id="347"/>
    <w:bookmarkEnd w:id="348"/>
    <w:bookmarkEnd w:id="349"/>
    <w:bookmarkEnd w:id="350"/>
    <w:p w14:paraId="26DB0B17">
      <w:pPr>
        <w:pStyle w:val="28"/>
        <w:tabs>
          <w:tab w:val="left" w:pos="2940"/>
        </w:tabs>
        <w:spacing w:line="600" w:lineRule="exact"/>
        <w:jc w:val="center"/>
        <w:rPr>
          <w:rFonts w:hint="eastAsia" w:ascii="宋体" w:hAnsi="宋体"/>
          <w:color w:val="auto"/>
          <w:szCs w:val="24"/>
          <w:highlight w:val="none"/>
        </w:rPr>
      </w:pPr>
      <w:bookmarkStart w:id="351" w:name="_Toc104558787"/>
      <w:bookmarkEnd w:id="351"/>
      <w:bookmarkStart w:id="352" w:name="_Toc105654898"/>
      <w:bookmarkEnd w:id="352"/>
      <w:r>
        <w:rPr>
          <w:rFonts w:hint="eastAsia" w:ascii="宋体" w:hAnsi="宋体"/>
          <w:color w:val="auto"/>
          <w:szCs w:val="24"/>
          <w:highlight w:val="none"/>
        </w:rPr>
        <w:br w:type="column"/>
      </w:r>
      <w:r>
        <w:rPr>
          <w:rFonts w:hint="eastAsia" w:ascii="宋体" w:hAnsi="宋体"/>
          <w:color w:val="auto"/>
          <w:szCs w:val="24"/>
          <w:highlight w:val="none"/>
        </w:rPr>
        <w:t>（三）正在实施的和新承接的项目情况表</w:t>
      </w:r>
    </w:p>
    <w:tbl>
      <w:tblPr>
        <w:tblStyle w:val="12"/>
        <w:tblW w:w="0" w:type="auto"/>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351"/>
        <w:gridCol w:w="7103"/>
      </w:tblGrid>
      <w:tr w14:paraId="6A20F0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60" w:hRule="atLeast"/>
        </w:trPr>
        <w:tc>
          <w:tcPr>
            <w:tcW w:w="2351" w:type="dxa"/>
            <w:vAlign w:val="center"/>
          </w:tcPr>
          <w:p w14:paraId="1DC6F437">
            <w:pPr>
              <w:topLinePunct/>
              <w:spacing w:line="600" w:lineRule="exact"/>
              <w:jc w:val="center"/>
              <w:rPr>
                <w:rFonts w:hint="eastAsia" w:ascii="宋体" w:hAnsi="宋体"/>
                <w:color w:val="auto"/>
                <w:sz w:val="24"/>
                <w:highlight w:val="none"/>
              </w:rPr>
            </w:pPr>
            <w:r>
              <w:rPr>
                <w:rFonts w:hint="eastAsia" w:ascii="宋体" w:hAnsi="宋体"/>
                <w:color w:val="auto"/>
                <w:sz w:val="24"/>
                <w:highlight w:val="none"/>
              </w:rPr>
              <w:t>项目名称</w:t>
            </w:r>
          </w:p>
        </w:tc>
        <w:tc>
          <w:tcPr>
            <w:tcW w:w="7103" w:type="dxa"/>
            <w:vAlign w:val="top"/>
          </w:tcPr>
          <w:p w14:paraId="5CD75C0F">
            <w:pPr>
              <w:topLinePunct/>
              <w:spacing w:line="600" w:lineRule="exact"/>
              <w:rPr>
                <w:rFonts w:hint="eastAsia" w:ascii="宋体" w:hAnsi="宋体"/>
                <w:color w:val="auto"/>
                <w:sz w:val="24"/>
                <w:highlight w:val="none"/>
              </w:rPr>
            </w:pPr>
          </w:p>
        </w:tc>
      </w:tr>
      <w:tr w14:paraId="78C34A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7" w:hRule="atLeast"/>
        </w:trPr>
        <w:tc>
          <w:tcPr>
            <w:tcW w:w="2351" w:type="dxa"/>
            <w:vAlign w:val="center"/>
          </w:tcPr>
          <w:p w14:paraId="413E02A7">
            <w:pPr>
              <w:topLinePunct/>
              <w:spacing w:line="600" w:lineRule="exact"/>
              <w:jc w:val="center"/>
              <w:rPr>
                <w:rFonts w:hint="eastAsia" w:ascii="宋体" w:hAnsi="宋体"/>
                <w:color w:val="auto"/>
                <w:sz w:val="24"/>
                <w:highlight w:val="none"/>
              </w:rPr>
            </w:pPr>
            <w:r>
              <w:rPr>
                <w:rFonts w:hint="eastAsia" w:ascii="宋体" w:hAnsi="宋体"/>
                <w:color w:val="auto"/>
                <w:sz w:val="24"/>
                <w:highlight w:val="none"/>
              </w:rPr>
              <w:t>项目所在地</w:t>
            </w:r>
          </w:p>
        </w:tc>
        <w:tc>
          <w:tcPr>
            <w:tcW w:w="7103" w:type="dxa"/>
            <w:vAlign w:val="top"/>
          </w:tcPr>
          <w:p w14:paraId="44EB370A">
            <w:pPr>
              <w:topLinePunct/>
              <w:spacing w:line="600" w:lineRule="exact"/>
              <w:rPr>
                <w:rFonts w:hint="eastAsia" w:ascii="宋体" w:hAnsi="宋体"/>
                <w:color w:val="auto"/>
                <w:sz w:val="24"/>
                <w:highlight w:val="none"/>
              </w:rPr>
            </w:pPr>
          </w:p>
        </w:tc>
      </w:tr>
      <w:tr w14:paraId="504803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6" w:hRule="atLeast"/>
        </w:trPr>
        <w:tc>
          <w:tcPr>
            <w:tcW w:w="2351" w:type="dxa"/>
            <w:vAlign w:val="center"/>
          </w:tcPr>
          <w:p w14:paraId="42AB6C5E">
            <w:pPr>
              <w:topLinePunct/>
              <w:spacing w:line="600" w:lineRule="exact"/>
              <w:jc w:val="center"/>
              <w:rPr>
                <w:rFonts w:hint="eastAsia" w:ascii="宋体" w:hAnsi="宋体"/>
                <w:color w:val="auto"/>
                <w:sz w:val="24"/>
                <w:highlight w:val="none"/>
              </w:rPr>
            </w:pPr>
            <w:r>
              <w:rPr>
                <w:rFonts w:hint="eastAsia" w:ascii="宋体" w:hAnsi="宋体"/>
                <w:color w:val="auto"/>
                <w:sz w:val="24"/>
                <w:highlight w:val="none"/>
              </w:rPr>
              <w:t>发包人名称</w:t>
            </w:r>
          </w:p>
        </w:tc>
        <w:tc>
          <w:tcPr>
            <w:tcW w:w="7103" w:type="dxa"/>
            <w:vAlign w:val="top"/>
          </w:tcPr>
          <w:p w14:paraId="1A597D1E">
            <w:pPr>
              <w:topLinePunct/>
              <w:spacing w:line="600" w:lineRule="exact"/>
              <w:rPr>
                <w:rFonts w:hint="eastAsia" w:ascii="宋体" w:hAnsi="宋体"/>
                <w:color w:val="auto"/>
                <w:sz w:val="24"/>
                <w:highlight w:val="none"/>
              </w:rPr>
            </w:pPr>
          </w:p>
        </w:tc>
      </w:tr>
      <w:tr w14:paraId="73AA5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9" w:hRule="atLeast"/>
        </w:trPr>
        <w:tc>
          <w:tcPr>
            <w:tcW w:w="2351" w:type="dxa"/>
            <w:vAlign w:val="center"/>
          </w:tcPr>
          <w:p w14:paraId="23E0FE9D">
            <w:pPr>
              <w:topLinePunct/>
              <w:spacing w:line="600" w:lineRule="exact"/>
              <w:jc w:val="center"/>
              <w:rPr>
                <w:rFonts w:hint="eastAsia" w:ascii="宋体" w:hAnsi="宋体"/>
                <w:color w:val="auto"/>
                <w:sz w:val="24"/>
                <w:highlight w:val="none"/>
              </w:rPr>
            </w:pPr>
            <w:r>
              <w:rPr>
                <w:rFonts w:hint="eastAsia" w:ascii="宋体" w:hAnsi="宋体"/>
                <w:color w:val="auto"/>
                <w:sz w:val="24"/>
                <w:highlight w:val="none"/>
              </w:rPr>
              <w:t>发包人地址</w:t>
            </w:r>
          </w:p>
        </w:tc>
        <w:tc>
          <w:tcPr>
            <w:tcW w:w="7103" w:type="dxa"/>
            <w:vAlign w:val="top"/>
          </w:tcPr>
          <w:p w14:paraId="1B5D0445">
            <w:pPr>
              <w:topLinePunct/>
              <w:spacing w:line="600" w:lineRule="exact"/>
              <w:rPr>
                <w:rFonts w:hint="eastAsia" w:ascii="宋体" w:hAnsi="宋体"/>
                <w:color w:val="auto"/>
                <w:sz w:val="24"/>
                <w:highlight w:val="none"/>
              </w:rPr>
            </w:pPr>
          </w:p>
        </w:tc>
      </w:tr>
      <w:tr w14:paraId="48140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trPr>
        <w:tc>
          <w:tcPr>
            <w:tcW w:w="2351" w:type="dxa"/>
            <w:vAlign w:val="center"/>
          </w:tcPr>
          <w:p w14:paraId="5DCB51E7">
            <w:pPr>
              <w:topLinePunct/>
              <w:spacing w:line="600" w:lineRule="exact"/>
              <w:jc w:val="center"/>
              <w:rPr>
                <w:rFonts w:hint="eastAsia" w:ascii="宋体" w:hAnsi="宋体"/>
                <w:color w:val="auto"/>
                <w:sz w:val="24"/>
                <w:highlight w:val="none"/>
              </w:rPr>
            </w:pPr>
            <w:r>
              <w:rPr>
                <w:rFonts w:hint="eastAsia" w:ascii="宋体" w:hAnsi="宋体"/>
                <w:color w:val="auto"/>
                <w:sz w:val="24"/>
                <w:highlight w:val="none"/>
              </w:rPr>
              <w:t>发包人电话</w:t>
            </w:r>
          </w:p>
        </w:tc>
        <w:tc>
          <w:tcPr>
            <w:tcW w:w="7103" w:type="dxa"/>
            <w:vAlign w:val="top"/>
          </w:tcPr>
          <w:p w14:paraId="3A54A2BE">
            <w:pPr>
              <w:topLinePunct/>
              <w:spacing w:line="600" w:lineRule="exact"/>
              <w:rPr>
                <w:rFonts w:hint="eastAsia" w:ascii="宋体" w:hAnsi="宋体"/>
                <w:color w:val="auto"/>
                <w:sz w:val="24"/>
                <w:highlight w:val="none"/>
              </w:rPr>
            </w:pPr>
          </w:p>
        </w:tc>
      </w:tr>
      <w:tr w14:paraId="0BD6F3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2" w:hRule="atLeast"/>
        </w:trPr>
        <w:tc>
          <w:tcPr>
            <w:tcW w:w="2351" w:type="dxa"/>
            <w:vAlign w:val="center"/>
          </w:tcPr>
          <w:p w14:paraId="23B8E7E9">
            <w:pPr>
              <w:topLinePunct/>
              <w:spacing w:line="600" w:lineRule="exact"/>
              <w:jc w:val="center"/>
              <w:rPr>
                <w:rFonts w:hint="eastAsia" w:ascii="宋体" w:hAnsi="宋体"/>
                <w:color w:val="auto"/>
                <w:sz w:val="24"/>
                <w:highlight w:val="none"/>
              </w:rPr>
            </w:pPr>
            <w:r>
              <w:rPr>
                <w:rFonts w:hint="eastAsia" w:ascii="宋体" w:hAnsi="宋体"/>
                <w:color w:val="auto"/>
                <w:sz w:val="24"/>
                <w:highlight w:val="none"/>
              </w:rPr>
              <w:t>签约合同价</w:t>
            </w:r>
          </w:p>
        </w:tc>
        <w:tc>
          <w:tcPr>
            <w:tcW w:w="7103" w:type="dxa"/>
            <w:vAlign w:val="top"/>
          </w:tcPr>
          <w:p w14:paraId="7B7E0F08">
            <w:pPr>
              <w:topLinePunct/>
              <w:spacing w:line="600" w:lineRule="exact"/>
              <w:rPr>
                <w:rFonts w:hint="eastAsia" w:ascii="宋体" w:hAnsi="宋体"/>
                <w:color w:val="auto"/>
                <w:sz w:val="24"/>
                <w:highlight w:val="none"/>
              </w:rPr>
            </w:pPr>
          </w:p>
        </w:tc>
      </w:tr>
      <w:tr w14:paraId="67A70E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atLeast"/>
        </w:trPr>
        <w:tc>
          <w:tcPr>
            <w:tcW w:w="2351" w:type="dxa"/>
            <w:vAlign w:val="center"/>
          </w:tcPr>
          <w:p w14:paraId="005E2A9C">
            <w:pPr>
              <w:topLinePunct/>
              <w:spacing w:line="600" w:lineRule="exact"/>
              <w:jc w:val="center"/>
              <w:rPr>
                <w:rFonts w:hint="eastAsia" w:ascii="宋体" w:hAnsi="宋体"/>
                <w:color w:val="auto"/>
                <w:sz w:val="24"/>
                <w:highlight w:val="none"/>
              </w:rPr>
            </w:pPr>
            <w:r>
              <w:rPr>
                <w:rFonts w:hint="eastAsia" w:ascii="宋体" w:hAnsi="宋体"/>
                <w:color w:val="auto"/>
                <w:sz w:val="24"/>
                <w:highlight w:val="none"/>
              </w:rPr>
              <w:t>开工日期</w:t>
            </w:r>
          </w:p>
        </w:tc>
        <w:tc>
          <w:tcPr>
            <w:tcW w:w="7103" w:type="dxa"/>
            <w:vAlign w:val="top"/>
          </w:tcPr>
          <w:p w14:paraId="78D5BEF4">
            <w:pPr>
              <w:topLinePunct/>
              <w:spacing w:line="600" w:lineRule="exact"/>
              <w:rPr>
                <w:rFonts w:hint="eastAsia" w:ascii="宋体" w:hAnsi="宋体"/>
                <w:color w:val="auto"/>
                <w:sz w:val="24"/>
                <w:highlight w:val="none"/>
              </w:rPr>
            </w:pPr>
          </w:p>
        </w:tc>
      </w:tr>
      <w:tr w14:paraId="53DEA2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1" w:hRule="atLeast"/>
        </w:trPr>
        <w:tc>
          <w:tcPr>
            <w:tcW w:w="2351" w:type="dxa"/>
            <w:vAlign w:val="center"/>
          </w:tcPr>
          <w:p w14:paraId="336C5DDB">
            <w:pPr>
              <w:topLinePunct/>
              <w:spacing w:line="600" w:lineRule="exact"/>
              <w:jc w:val="center"/>
              <w:rPr>
                <w:rFonts w:hint="eastAsia" w:ascii="宋体" w:hAnsi="宋体"/>
                <w:color w:val="auto"/>
                <w:sz w:val="24"/>
                <w:highlight w:val="none"/>
              </w:rPr>
            </w:pPr>
            <w:r>
              <w:rPr>
                <w:rFonts w:hint="eastAsia" w:ascii="宋体" w:hAnsi="宋体"/>
                <w:color w:val="auto"/>
                <w:sz w:val="24"/>
                <w:highlight w:val="none"/>
              </w:rPr>
              <w:t>计划竣工日期</w:t>
            </w:r>
          </w:p>
        </w:tc>
        <w:tc>
          <w:tcPr>
            <w:tcW w:w="7103" w:type="dxa"/>
            <w:vAlign w:val="top"/>
          </w:tcPr>
          <w:p w14:paraId="7178B1FF">
            <w:pPr>
              <w:topLinePunct/>
              <w:spacing w:line="600" w:lineRule="exact"/>
              <w:rPr>
                <w:rFonts w:hint="eastAsia" w:ascii="宋体" w:hAnsi="宋体"/>
                <w:color w:val="auto"/>
                <w:sz w:val="24"/>
                <w:highlight w:val="none"/>
              </w:rPr>
            </w:pPr>
          </w:p>
        </w:tc>
      </w:tr>
      <w:tr w14:paraId="1C108D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2" w:hRule="atLeast"/>
        </w:trPr>
        <w:tc>
          <w:tcPr>
            <w:tcW w:w="2351" w:type="dxa"/>
            <w:vAlign w:val="center"/>
          </w:tcPr>
          <w:p w14:paraId="213BBACD">
            <w:pPr>
              <w:topLinePunct/>
              <w:spacing w:line="600" w:lineRule="exact"/>
              <w:jc w:val="center"/>
              <w:rPr>
                <w:rFonts w:hint="eastAsia" w:ascii="宋体" w:hAnsi="宋体"/>
                <w:color w:val="auto"/>
                <w:sz w:val="24"/>
                <w:highlight w:val="none"/>
              </w:rPr>
            </w:pPr>
            <w:r>
              <w:rPr>
                <w:rFonts w:hint="eastAsia" w:ascii="宋体" w:hAnsi="宋体"/>
                <w:color w:val="auto"/>
                <w:sz w:val="24"/>
                <w:highlight w:val="none"/>
              </w:rPr>
              <w:t>承担的工作</w:t>
            </w:r>
          </w:p>
        </w:tc>
        <w:tc>
          <w:tcPr>
            <w:tcW w:w="7103" w:type="dxa"/>
            <w:vAlign w:val="top"/>
          </w:tcPr>
          <w:p w14:paraId="053398F9">
            <w:pPr>
              <w:topLinePunct/>
              <w:spacing w:line="600" w:lineRule="exact"/>
              <w:rPr>
                <w:rFonts w:hint="eastAsia" w:ascii="宋体" w:hAnsi="宋体"/>
                <w:color w:val="auto"/>
                <w:sz w:val="24"/>
                <w:highlight w:val="none"/>
              </w:rPr>
            </w:pPr>
          </w:p>
        </w:tc>
      </w:tr>
      <w:tr w14:paraId="750F68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7" w:hRule="atLeast"/>
        </w:trPr>
        <w:tc>
          <w:tcPr>
            <w:tcW w:w="2351" w:type="dxa"/>
            <w:vAlign w:val="center"/>
          </w:tcPr>
          <w:p w14:paraId="3502F1AA">
            <w:pPr>
              <w:topLinePunct/>
              <w:spacing w:line="600" w:lineRule="exact"/>
              <w:jc w:val="center"/>
              <w:rPr>
                <w:rFonts w:hint="eastAsia" w:ascii="宋体" w:hAnsi="宋体"/>
                <w:color w:val="auto"/>
                <w:sz w:val="24"/>
                <w:highlight w:val="none"/>
              </w:rPr>
            </w:pPr>
            <w:r>
              <w:rPr>
                <w:rFonts w:hint="eastAsia" w:ascii="宋体" w:hAnsi="宋体"/>
                <w:color w:val="auto"/>
                <w:sz w:val="24"/>
                <w:highlight w:val="none"/>
              </w:rPr>
              <w:t>工程质量</w:t>
            </w:r>
          </w:p>
        </w:tc>
        <w:tc>
          <w:tcPr>
            <w:tcW w:w="7103" w:type="dxa"/>
            <w:vAlign w:val="top"/>
          </w:tcPr>
          <w:p w14:paraId="20D31C1F">
            <w:pPr>
              <w:topLinePunct/>
              <w:spacing w:line="600" w:lineRule="exact"/>
              <w:rPr>
                <w:rFonts w:hint="eastAsia" w:ascii="宋体" w:hAnsi="宋体"/>
                <w:color w:val="auto"/>
                <w:sz w:val="24"/>
                <w:highlight w:val="none"/>
              </w:rPr>
            </w:pPr>
          </w:p>
        </w:tc>
      </w:tr>
      <w:tr w14:paraId="304730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trPr>
        <w:tc>
          <w:tcPr>
            <w:tcW w:w="2351" w:type="dxa"/>
            <w:vAlign w:val="center"/>
          </w:tcPr>
          <w:p w14:paraId="0E6AB3AA">
            <w:pPr>
              <w:topLinePunct/>
              <w:spacing w:line="600" w:lineRule="exact"/>
              <w:jc w:val="center"/>
              <w:rPr>
                <w:rFonts w:hint="eastAsia" w:ascii="宋体" w:hAnsi="宋体"/>
                <w:color w:val="auto"/>
                <w:sz w:val="24"/>
                <w:highlight w:val="none"/>
              </w:rPr>
            </w:pPr>
            <w:r>
              <w:rPr>
                <w:rFonts w:hint="eastAsia" w:ascii="宋体" w:hAnsi="宋体"/>
                <w:color w:val="auto"/>
                <w:sz w:val="24"/>
                <w:highlight w:val="none"/>
              </w:rPr>
              <w:t>项目经理</w:t>
            </w:r>
          </w:p>
        </w:tc>
        <w:tc>
          <w:tcPr>
            <w:tcW w:w="7103" w:type="dxa"/>
            <w:vAlign w:val="top"/>
          </w:tcPr>
          <w:p w14:paraId="70EBD0DF">
            <w:pPr>
              <w:topLinePunct/>
              <w:spacing w:line="600" w:lineRule="exact"/>
              <w:rPr>
                <w:rFonts w:hint="eastAsia" w:ascii="宋体" w:hAnsi="宋体"/>
                <w:color w:val="auto"/>
                <w:sz w:val="24"/>
                <w:highlight w:val="none"/>
              </w:rPr>
            </w:pPr>
          </w:p>
        </w:tc>
      </w:tr>
      <w:tr w14:paraId="1DD384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4" w:hRule="atLeast"/>
        </w:trPr>
        <w:tc>
          <w:tcPr>
            <w:tcW w:w="2351" w:type="dxa"/>
            <w:vAlign w:val="center"/>
          </w:tcPr>
          <w:p w14:paraId="53B9DFBD">
            <w:pPr>
              <w:topLinePunct/>
              <w:spacing w:line="600" w:lineRule="exact"/>
              <w:jc w:val="center"/>
              <w:rPr>
                <w:rFonts w:hint="eastAsia" w:ascii="宋体" w:hAnsi="宋体"/>
                <w:color w:val="auto"/>
                <w:sz w:val="24"/>
                <w:highlight w:val="none"/>
              </w:rPr>
            </w:pPr>
            <w:r>
              <w:rPr>
                <w:rFonts w:hint="eastAsia" w:ascii="宋体" w:hAnsi="宋体"/>
                <w:color w:val="auto"/>
                <w:sz w:val="24"/>
                <w:highlight w:val="none"/>
              </w:rPr>
              <w:t>技术负责人</w:t>
            </w:r>
          </w:p>
        </w:tc>
        <w:tc>
          <w:tcPr>
            <w:tcW w:w="7103" w:type="dxa"/>
            <w:vAlign w:val="top"/>
          </w:tcPr>
          <w:p w14:paraId="44F83B85">
            <w:pPr>
              <w:topLinePunct/>
              <w:spacing w:line="600" w:lineRule="exact"/>
              <w:rPr>
                <w:rFonts w:hint="eastAsia" w:ascii="宋体" w:hAnsi="宋体"/>
                <w:color w:val="auto"/>
                <w:sz w:val="24"/>
                <w:highlight w:val="none"/>
              </w:rPr>
            </w:pPr>
          </w:p>
        </w:tc>
      </w:tr>
      <w:tr w14:paraId="251ACE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2351" w:type="dxa"/>
            <w:vAlign w:val="center"/>
          </w:tcPr>
          <w:p w14:paraId="2CDCB300">
            <w:pPr>
              <w:topLinePunct/>
              <w:spacing w:line="600" w:lineRule="exact"/>
              <w:jc w:val="center"/>
              <w:rPr>
                <w:rFonts w:hint="eastAsia" w:ascii="宋体" w:hAnsi="宋体"/>
                <w:color w:val="auto"/>
                <w:sz w:val="24"/>
                <w:highlight w:val="none"/>
              </w:rPr>
            </w:pPr>
            <w:r>
              <w:rPr>
                <w:rFonts w:hint="eastAsia" w:ascii="宋体" w:hAnsi="宋体"/>
                <w:color w:val="auto"/>
                <w:sz w:val="24"/>
                <w:highlight w:val="none"/>
              </w:rPr>
              <w:t>项目描述</w:t>
            </w:r>
          </w:p>
        </w:tc>
        <w:tc>
          <w:tcPr>
            <w:tcW w:w="7103" w:type="dxa"/>
            <w:vAlign w:val="top"/>
          </w:tcPr>
          <w:p w14:paraId="2A78D62F">
            <w:pPr>
              <w:topLinePunct/>
              <w:spacing w:line="600" w:lineRule="exact"/>
              <w:rPr>
                <w:rFonts w:hint="eastAsia" w:ascii="宋体" w:hAnsi="宋体"/>
                <w:color w:val="auto"/>
                <w:sz w:val="24"/>
                <w:highlight w:val="none"/>
              </w:rPr>
            </w:pPr>
          </w:p>
        </w:tc>
      </w:tr>
      <w:tr w14:paraId="3A980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5" w:hRule="atLeast"/>
        </w:trPr>
        <w:tc>
          <w:tcPr>
            <w:tcW w:w="2351" w:type="dxa"/>
            <w:vAlign w:val="center"/>
          </w:tcPr>
          <w:p w14:paraId="1024BAE7">
            <w:pPr>
              <w:topLinePunct/>
              <w:spacing w:line="600" w:lineRule="exact"/>
              <w:jc w:val="center"/>
              <w:rPr>
                <w:rFonts w:hint="eastAsia" w:ascii="宋体" w:hAnsi="宋体"/>
                <w:color w:val="auto"/>
                <w:sz w:val="24"/>
                <w:highlight w:val="none"/>
              </w:rPr>
            </w:pPr>
            <w:r>
              <w:rPr>
                <w:rFonts w:hint="eastAsia" w:ascii="宋体" w:hAnsi="宋体"/>
                <w:color w:val="auto"/>
                <w:sz w:val="24"/>
                <w:highlight w:val="none"/>
              </w:rPr>
              <w:t>备注</w:t>
            </w:r>
          </w:p>
        </w:tc>
        <w:tc>
          <w:tcPr>
            <w:tcW w:w="7103" w:type="dxa"/>
            <w:vAlign w:val="top"/>
          </w:tcPr>
          <w:p w14:paraId="76DBF6EB">
            <w:pPr>
              <w:topLinePunct/>
              <w:spacing w:line="600" w:lineRule="exact"/>
              <w:rPr>
                <w:rFonts w:hint="eastAsia" w:ascii="宋体" w:hAnsi="宋体"/>
                <w:color w:val="auto"/>
                <w:sz w:val="24"/>
                <w:highlight w:val="none"/>
              </w:rPr>
            </w:pPr>
          </w:p>
        </w:tc>
      </w:tr>
      <w:bookmarkEnd w:id="336"/>
      <w:bookmarkEnd w:id="337"/>
      <w:bookmarkEnd w:id="338"/>
      <w:bookmarkEnd w:id="339"/>
      <w:bookmarkEnd w:id="340"/>
      <w:bookmarkEnd w:id="341"/>
      <w:bookmarkEnd w:id="342"/>
    </w:tbl>
    <w:p w14:paraId="629FA962">
      <w:pPr>
        <w:spacing w:line="600" w:lineRule="exact"/>
        <w:rPr>
          <w:rFonts w:hint="eastAsia" w:ascii="宋体" w:hAnsi="宋体"/>
          <w:color w:val="auto"/>
          <w:sz w:val="24"/>
          <w:highlight w:val="none"/>
        </w:rPr>
      </w:pPr>
      <w:r>
        <w:rPr>
          <w:rFonts w:hint="eastAsia" w:ascii="宋体" w:hAnsi="宋体"/>
          <w:color w:val="auto"/>
          <w:sz w:val="24"/>
          <w:highlight w:val="none"/>
        </w:rPr>
        <w:t>备注：本表后附施工合同、中标通知书扫描件。每张表格只填写一个项目，并标明序号。</w:t>
      </w:r>
    </w:p>
    <w:p w14:paraId="72FEA1D4">
      <w:pPr>
        <w:spacing w:line="240" w:lineRule="auto"/>
        <w:jc w:val="center"/>
        <w:rPr>
          <w:rFonts w:hint="eastAsia" w:ascii="宋体" w:hAnsi="宋体"/>
          <w:b/>
          <w:bCs/>
          <w:color w:val="auto"/>
          <w:sz w:val="30"/>
          <w:szCs w:val="30"/>
          <w:highlight w:val="none"/>
        </w:rPr>
      </w:pPr>
    </w:p>
    <w:p w14:paraId="7C4553AB">
      <w:pPr>
        <w:spacing w:line="240" w:lineRule="auto"/>
        <w:jc w:val="center"/>
        <w:rPr>
          <w:rFonts w:hint="eastAsia" w:ascii="宋体" w:hAnsi="宋体"/>
          <w:b/>
          <w:bCs/>
          <w:color w:val="auto"/>
          <w:sz w:val="30"/>
          <w:szCs w:val="30"/>
          <w:highlight w:val="none"/>
        </w:rPr>
      </w:pPr>
    </w:p>
    <w:p w14:paraId="31226354">
      <w:pPr>
        <w:spacing w:line="240" w:lineRule="auto"/>
        <w:jc w:val="center"/>
        <w:rPr>
          <w:rFonts w:hint="eastAsia" w:ascii="宋体" w:hAnsi="宋体"/>
          <w:b/>
          <w:bCs/>
          <w:color w:val="auto"/>
          <w:sz w:val="30"/>
          <w:szCs w:val="30"/>
          <w:highlight w:val="none"/>
        </w:rPr>
      </w:pPr>
    </w:p>
    <w:p w14:paraId="1CC3A5AA">
      <w:pPr>
        <w:spacing w:line="240" w:lineRule="auto"/>
        <w:jc w:val="center"/>
        <w:rPr>
          <w:rFonts w:hint="eastAsia" w:ascii="宋体" w:hAnsi="宋体"/>
          <w:b/>
          <w:bCs/>
          <w:color w:val="auto"/>
          <w:sz w:val="30"/>
          <w:szCs w:val="30"/>
          <w:highlight w:val="none"/>
        </w:rPr>
      </w:pPr>
      <w:r>
        <w:rPr>
          <w:rFonts w:hint="eastAsia" w:ascii="宋体" w:hAnsi="宋体"/>
          <w:b/>
          <w:bCs/>
          <w:color w:val="auto"/>
          <w:sz w:val="30"/>
          <w:szCs w:val="30"/>
          <w:highlight w:val="none"/>
        </w:rPr>
        <w:t>九、</w:t>
      </w:r>
      <w:r>
        <w:rPr>
          <w:rFonts w:hint="eastAsia" w:ascii="宋体" w:hAnsi="宋体"/>
          <w:b/>
          <w:bCs/>
          <w:color w:val="auto"/>
          <w:sz w:val="30"/>
          <w:szCs w:val="30"/>
          <w:highlight w:val="none"/>
          <w:lang w:eastAsia="zh-CN"/>
        </w:rPr>
        <w:t>供应商</w:t>
      </w:r>
      <w:r>
        <w:rPr>
          <w:rFonts w:hint="eastAsia" w:ascii="宋体" w:hAnsi="宋体"/>
          <w:b/>
          <w:bCs/>
          <w:color w:val="auto"/>
          <w:sz w:val="30"/>
          <w:szCs w:val="30"/>
          <w:highlight w:val="none"/>
        </w:rPr>
        <w:t>认为需要提供的其他材料</w:t>
      </w:r>
    </w:p>
    <w:p w14:paraId="1BAF5B41">
      <w:pPr>
        <w:spacing w:line="480" w:lineRule="exact"/>
        <w:rPr>
          <w:rFonts w:hint="eastAsia" w:ascii="宋体" w:hAnsi="宋体"/>
          <w:color w:val="auto"/>
          <w:sz w:val="24"/>
          <w:szCs w:val="22"/>
          <w:highlight w:val="none"/>
        </w:rPr>
      </w:pPr>
    </w:p>
    <w:p w14:paraId="60B23B98">
      <w:pPr>
        <w:spacing w:line="48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lang w:val="en-US" w:eastAsia="zh-CN"/>
        </w:rPr>
        <w:t>1</w:t>
      </w:r>
      <w:r>
        <w:rPr>
          <w:rFonts w:hint="eastAsia" w:ascii="宋体" w:hAnsi="宋体"/>
          <w:color w:val="auto"/>
          <w:sz w:val="24"/>
          <w:szCs w:val="22"/>
          <w:highlight w:val="none"/>
        </w:rPr>
        <w:t xml:space="preserve">、优惠服务承诺； </w:t>
      </w:r>
    </w:p>
    <w:p w14:paraId="24A77D28">
      <w:pPr>
        <w:spacing w:line="480" w:lineRule="exact"/>
        <w:ind w:firstLine="480" w:firstLineChars="200"/>
        <w:rPr>
          <w:rFonts w:hint="eastAsia" w:ascii="宋体" w:hAnsi="宋体"/>
          <w:color w:val="auto"/>
          <w:sz w:val="24"/>
          <w:szCs w:val="22"/>
          <w:highlight w:val="none"/>
        </w:rPr>
      </w:pPr>
      <w:r>
        <w:rPr>
          <w:rFonts w:hint="eastAsia" w:ascii="宋体" w:hAnsi="宋体"/>
          <w:color w:val="auto"/>
          <w:sz w:val="24"/>
          <w:szCs w:val="22"/>
          <w:highlight w:val="none"/>
          <w:lang w:val="en-US" w:eastAsia="zh-CN"/>
        </w:rPr>
        <w:t>2</w:t>
      </w:r>
      <w:r>
        <w:rPr>
          <w:rFonts w:hint="eastAsia" w:ascii="宋体" w:hAnsi="宋体"/>
          <w:color w:val="auto"/>
          <w:sz w:val="24"/>
          <w:szCs w:val="22"/>
          <w:highlight w:val="none"/>
        </w:rPr>
        <w:t>、</w:t>
      </w:r>
      <w:r>
        <w:rPr>
          <w:rFonts w:hint="eastAsia" w:ascii="宋体" w:hAnsi="宋体"/>
          <w:color w:val="auto"/>
          <w:kern w:val="0"/>
          <w:sz w:val="24"/>
          <w:highlight w:val="none"/>
        </w:rPr>
        <w:t>履职尽责承诺；</w:t>
      </w:r>
    </w:p>
    <w:p w14:paraId="6D057702">
      <w:pPr>
        <w:spacing w:line="480" w:lineRule="exact"/>
        <w:rPr>
          <w:rFonts w:hint="eastAsia" w:ascii="宋体" w:hAnsi="宋体"/>
          <w:color w:val="auto"/>
          <w:sz w:val="24"/>
          <w:szCs w:val="22"/>
          <w:highlight w:val="none"/>
        </w:rPr>
      </w:pPr>
    </w:p>
    <w:p w14:paraId="18357197">
      <w:pPr>
        <w:snapToGrid w:val="0"/>
        <w:spacing w:line="520" w:lineRule="exact"/>
        <w:jc w:val="center"/>
        <w:rPr>
          <w:rFonts w:hint="eastAsia" w:ascii="宋体" w:hAnsi="宋体"/>
          <w:b/>
          <w:bCs/>
          <w:color w:val="auto"/>
          <w:sz w:val="28"/>
          <w:szCs w:val="28"/>
          <w:highlight w:val="none"/>
        </w:rPr>
      </w:pPr>
    </w:p>
    <w:p w14:paraId="3D3DEA44">
      <w:pPr>
        <w:snapToGrid w:val="0"/>
        <w:spacing w:line="520" w:lineRule="exact"/>
        <w:jc w:val="center"/>
        <w:rPr>
          <w:rFonts w:hint="eastAsia" w:ascii="宋体" w:hAnsi="宋体"/>
          <w:b/>
          <w:bCs/>
          <w:color w:val="auto"/>
          <w:sz w:val="28"/>
          <w:szCs w:val="28"/>
          <w:highlight w:val="none"/>
        </w:rPr>
      </w:pPr>
    </w:p>
    <w:p w14:paraId="5C70F810">
      <w:pPr>
        <w:snapToGrid w:val="0"/>
        <w:spacing w:line="520" w:lineRule="exact"/>
        <w:jc w:val="center"/>
        <w:rPr>
          <w:rFonts w:hint="eastAsia" w:ascii="宋体" w:hAnsi="宋体"/>
          <w:b/>
          <w:bCs/>
          <w:color w:val="auto"/>
          <w:sz w:val="28"/>
          <w:szCs w:val="28"/>
          <w:highlight w:val="none"/>
        </w:rPr>
      </w:pPr>
    </w:p>
    <w:p w14:paraId="34C16D73">
      <w:pPr>
        <w:snapToGrid w:val="0"/>
        <w:spacing w:line="520" w:lineRule="exact"/>
        <w:jc w:val="center"/>
        <w:rPr>
          <w:rFonts w:hint="eastAsia" w:ascii="宋体" w:hAnsi="宋体"/>
          <w:b/>
          <w:bCs/>
          <w:color w:val="auto"/>
          <w:sz w:val="28"/>
          <w:szCs w:val="28"/>
          <w:highlight w:val="none"/>
        </w:rPr>
      </w:pPr>
    </w:p>
    <w:p w14:paraId="36DC8124">
      <w:pPr>
        <w:snapToGrid w:val="0"/>
        <w:spacing w:line="520" w:lineRule="exact"/>
        <w:jc w:val="center"/>
        <w:rPr>
          <w:rFonts w:hint="eastAsia" w:ascii="宋体" w:hAnsi="宋体"/>
          <w:b/>
          <w:bCs/>
          <w:color w:val="auto"/>
          <w:sz w:val="28"/>
          <w:szCs w:val="28"/>
          <w:highlight w:val="none"/>
        </w:rPr>
      </w:pPr>
    </w:p>
    <w:p w14:paraId="3C1EE307">
      <w:pPr>
        <w:snapToGrid w:val="0"/>
        <w:spacing w:line="520" w:lineRule="exact"/>
        <w:jc w:val="center"/>
        <w:rPr>
          <w:rFonts w:hint="eastAsia" w:ascii="宋体" w:hAnsi="宋体"/>
          <w:b/>
          <w:bCs/>
          <w:color w:val="auto"/>
          <w:sz w:val="28"/>
          <w:szCs w:val="28"/>
          <w:highlight w:val="none"/>
        </w:rPr>
      </w:pPr>
    </w:p>
    <w:p w14:paraId="5F2A202A">
      <w:pPr>
        <w:snapToGrid w:val="0"/>
        <w:spacing w:line="520" w:lineRule="exact"/>
        <w:jc w:val="center"/>
        <w:rPr>
          <w:rFonts w:hint="eastAsia" w:ascii="宋体" w:hAnsi="宋体"/>
          <w:b/>
          <w:bCs/>
          <w:color w:val="auto"/>
          <w:sz w:val="28"/>
          <w:szCs w:val="28"/>
          <w:highlight w:val="none"/>
        </w:rPr>
      </w:pPr>
    </w:p>
    <w:p w14:paraId="560326D3">
      <w:pPr>
        <w:snapToGrid w:val="0"/>
        <w:spacing w:line="520" w:lineRule="exact"/>
        <w:jc w:val="center"/>
        <w:rPr>
          <w:rFonts w:hint="eastAsia" w:ascii="宋体" w:hAnsi="宋体"/>
          <w:b/>
          <w:bCs/>
          <w:color w:val="auto"/>
          <w:sz w:val="28"/>
          <w:szCs w:val="28"/>
          <w:highlight w:val="none"/>
        </w:rPr>
      </w:pPr>
    </w:p>
    <w:p w14:paraId="45314EDA">
      <w:pPr>
        <w:snapToGrid w:val="0"/>
        <w:spacing w:line="520" w:lineRule="exact"/>
        <w:jc w:val="center"/>
        <w:rPr>
          <w:rFonts w:hint="eastAsia" w:ascii="宋体" w:hAnsi="宋体"/>
          <w:b/>
          <w:bCs/>
          <w:color w:val="auto"/>
          <w:sz w:val="28"/>
          <w:szCs w:val="28"/>
          <w:highlight w:val="none"/>
        </w:rPr>
      </w:pPr>
    </w:p>
    <w:p w14:paraId="595A88A4">
      <w:pPr>
        <w:snapToGrid w:val="0"/>
        <w:spacing w:line="520" w:lineRule="exact"/>
        <w:jc w:val="center"/>
        <w:rPr>
          <w:rFonts w:hint="eastAsia" w:ascii="宋体" w:hAnsi="宋体"/>
          <w:b/>
          <w:bCs/>
          <w:color w:val="auto"/>
          <w:sz w:val="28"/>
          <w:szCs w:val="28"/>
          <w:highlight w:val="none"/>
        </w:rPr>
      </w:pPr>
    </w:p>
    <w:p w14:paraId="75F21607">
      <w:pPr>
        <w:snapToGrid w:val="0"/>
        <w:spacing w:line="520" w:lineRule="exact"/>
        <w:jc w:val="center"/>
        <w:rPr>
          <w:rFonts w:hint="eastAsia" w:ascii="宋体" w:hAnsi="宋体"/>
          <w:b/>
          <w:bCs/>
          <w:color w:val="auto"/>
          <w:sz w:val="28"/>
          <w:szCs w:val="28"/>
          <w:highlight w:val="none"/>
        </w:rPr>
      </w:pPr>
    </w:p>
    <w:p w14:paraId="70E0EBC5">
      <w:pPr>
        <w:snapToGrid w:val="0"/>
        <w:spacing w:line="520" w:lineRule="exact"/>
        <w:jc w:val="center"/>
        <w:rPr>
          <w:rFonts w:hint="eastAsia" w:ascii="宋体" w:hAnsi="宋体"/>
          <w:b/>
          <w:bCs/>
          <w:color w:val="auto"/>
          <w:sz w:val="28"/>
          <w:szCs w:val="28"/>
          <w:highlight w:val="none"/>
        </w:rPr>
      </w:pPr>
    </w:p>
    <w:p w14:paraId="6A31F681">
      <w:pPr>
        <w:snapToGrid w:val="0"/>
        <w:spacing w:line="520" w:lineRule="exact"/>
        <w:jc w:val="center"/>
        <w:rPr>
          <w:rFonts w:hint="eastAsia" w:ascii="宋体" w:hAnsi="宋体"/>
          <w:b/>
          <w:bCs/>
          <w:color w:val="auto"/>
          <w:sz w:val="28"/>
          <w:szCs w:val="28"/>
          <w:highlight w:val="none"/>
        </w:rPr>
      </w:pPr>
    </w:p>
    <w:p w14:paraId="3A2EB12C">
      <w:pPr>
        <w:snapToGrid w:val="0"/>
        <w:spacing w:line="520" w:lineRule="exact"/>
        <w:jc w:val="center"/>
        <w:rPr>
          <w:rFonts w:hint="eastAsia" w:ascii="宋体" w:hAnsi="宋体"/>
          <w:b/>
          <w:bCs/>
          <w:color w:val="auto"/>
          <w:sz w:val="28"/>
          <w:szCs w:val="28"/>
          <w:highlight w:val="none"/>
        </w:rPr>
      </w:pPr>
    </w:p>
    <w:p w14:paraId="07B3F137">
      <w:pPr>
        <w:snapToGrid w:val="0"/>
        <w:spacing w:line="520" w:lineRule="exact"/>
        <w:jc w:val="center"/>
        <w:rPr>
          <w:rFonts w:hint="eastAsia" w:ascii="宋体" w:hAnsi="宋体"/>
          <w:b/>
          <w:bCs/>
          <w:color w:val="auto"/>
          <w:sz w:val="28"/>
          <w:szCs w:val="28"/>
          <w:highlight w:val="none"/>
        </w:rPr>
      </w:pPr>
    </w:p>
    <w:p w14:paraId="02985543">
      <w:pPr>
        <w:snapToGrid w:val="0"/>
        <w:spacing w:line="520" w:lineRule="exact"/>
        <w:jc w:val="center"/>
        <w:rPr>
          <w:rFonts w:hint="eastAsia" w:ascii="宋体" w:hAnsi="宋体"/>
          <w:b/>
          <w:bCs/>
          <w:color w:val="auto"/>
          <w:sz w:val="28"/>
          <w:szCs w:val="28"/>
          <w:highlight w:val="none"/>
        </w:rPr>
      </w:pPr>
    </w:p>
    <w:p w14:paraId="3F3684DE">
      <w:pPr>
        <w:pStyle w:val="2"/>
        <w:rPr>
          <w:rFonts w:hint="eastAsia" w:ascii="宋体" w:hAnsi="宋体"/>
          <w:b/>
          <w:bCs/>
          <w:color w:val="auto"/>
          <w:sz w:val="28"/>
          <w:szCs w:val="28"/>
          <w:highlight w:val="none"/>
        </w:rPr>
      </w:pPr>
    </w:p>
    <w:p w14:paraId="54D01B27">
      <w:pPr>
        <w:pStyle w:val="11"/>
        <w:rPr>
          <w:rFonts w:hint="eastAsia" w:ascii="宋体" w:hAnsi="宋体"/>
          <w:b/>
          <w:bCs/>
          <w:color w:val="auto"/>
          <w:sz w:val="28"/>
          <w:szCs w:val="28"/>
          <w:highlight w:val="none"/>
        </w:rPr>
      </w:pPr>
    </w:p>
    <w:p w14:paraId="20AB186D">
      <w:pPr>
        <w:rPr>
          <w:rFonts w:hint="eastAsia" w:ascii="宋体" w:hAnsi="宋体"/>
          <w:b/>
          <w:bCs/>
          <w:color w:val="auto"/>
          <w:sz w:val="28"/>
          <w:szCs w:val="28"/>
          <w:highlight w:val="none"/>
        </w:rPr>
      </w:pPr>
    </w:p>
    <w:p w14:paraId="6B8E68CE">
      <w:pPr>
        <w:pStyle w:val="2"/>
        <w:ind w:firstLine="280"/>
        <w:jc w:val="center"/>
        <w:rPr>
          <w:rFonts w:hint="eastAsia" w:ascii="宋体" w:hAnsi="宋体" w:eastAsia="宋体" w:cs="宋体"/>
          <w:color w:val="auto"/>
          <w:sz w:val="24"/>
          <w:szCs w:val="24"/>
          <w:highlight w:val="none"/>
        </w:rPr>
      </w:pPr>
    </w:p>
    <w:p w14:paraId="6298FF65">
      <w:pPr>
        <w:pStyle w:val="2"/>
        <w:ind w:firstLine="280"/>
        <w:jc w:val="center"/>
        <w:rPr>
          <w:rFonts w:hint="eastAsia" w:ascii="宋体" w:hAnsi="宋体" w:eastAsia="宋体" w:cs="宋体"/>
          <w:color w:val="auto"/>
          <w:sz w:val="24"/>
          <w:szCs w:val="24"/>
          <w:highlight w:val="none"/>
        </w:rPr>
      </w:pPr>
    </w:p>
    <w:p w14:paraId="35946F9A">
      <w:pPr>
        <w:pStyle w:val="2"/>
        <w:ind w:firstLine="280"/>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中小企业声明函（工程、服务）</w:t>
      </w:r>
    </w:p>
    <w:p w14:paraId="412E8DA4">
      <w:pPr>
        <w:pStyle w:val="2"/>
        <w:spacing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本公司（联合体）郑重声明，根据《政府采购促进中小企业发展管理办法》（财库（2020）46号）的规定，本公司（联合体）参加</w:t>
      </w:r>
      <w:r>
        <w:rPr>
          <w:rFonts w:hint="eastAsia" w:ascii="宋体" w:hAnsi="宋体" w:eastAsia="宋体" w:cs="宋体"/>
          <w:color w:val="auto"/>
          <w:sz w:val="24"/>
          <w:szCs w:val="24"/>
          <w:highlight w:val="none"/>
          <w:u w:val="single"/>
        </w:rPr>
        <w:t>（单位名称）</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（项目名称）</w:t>
      </w:r>
      <w:r>
        <w:rPr>
          <w:rFonts w:hint="eastAsia" w:ascii="宋体" w:hAnsi="宋体" w:eastAsia="宋体" w:cs="宋体"/>
          <w:color w:val="auto"/>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0D3D0D54">
      <w:pPr>
        <w:pStyle w:val="2"/>
        <w:spacing w:line="50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（标的名称）</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建筑业（采购文件中明确的所属行业）</w:t>
      </w:r>
      <w:r>
        <w:rPr>
          <w:rFonts w:hint="eastAsia" w:ascii="宋体" w:hAnsi="宋体" w:eastAsia="宋体" w:cs="宋体"/>
          <w:color w:val="auto"/>
          <w:sz w:val="24"/>
          <w:szCs w:val="24"/>
          <w:highlight w:val="none"/>
        </w:rPr>
        <w:t>；承建（承接）企业为</w:t>
      </w:r>
      <w:r>
        <w:rPr>
          <w:rFonts w:hint="eastAsia" w:ascii="宋体" w:hAnsi="宋体" w:eastAsia="宋体" w:cs="宋体"/>
          <w:color w:val="auto"/>
          <w:sz w:val="24"/>
          <w:szCs w:val="24"/>
          <w:highlight w:val="none"/>
          <w:u w:val="single"/>
        </w:rPr>
        <w:t>（企业名称）</w:t>
      </w:r>
      <w:r>
        <w:rPr>
          <w:rFonts w:hint="eastAsia" w:ascii="宋体" w:hAnsi="宋体" w:eastAsia="宋体" w:cs="宋体"/>
          <w:color w:val="auto"/>
          <w:sz w:val="24"/>
          <w:szCs w:val="24"/>
          <w:highlight w:val="none"/>
        </w:rPr>
        <w:t>，从业人员人，营业收入为</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万元，资产总额为</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万元，属于</w:t>
      </w:r>
      <w:r>
        <w:rPr>
          <w:rFonts w:hint="eastAsia" w:ascii="宋体" w:hAnsi="宋体" w:eastAsia="宋体" w:cs="宋体"/>
          <w:color w:val="auto"/>
          <w:sz w:val="24"/>
          <w:szCs w:val="24"/>
          <w:highlight w:val="none"/>
          <w:u w:val="single"/>
        </w:rPr>
        <w:t>（中型企业、小型企业、微型企业）</w:t>
      </w:r>
      <w:r>
        <w:rPr>
          <w:rFonts w:hint="eastAsia" w:ascii="宋体" w:hAnsi="宋体" w:eastAsia="宋体" w:cs="宋体"/>
          <w:color w:val="auto"/>
          <w:sz w:val="24"/>
          <w:szCs w:val="24"/>
          <w:highlight w:val="none"/>
        </w:rPr>
        <w:t>；</w:t>
      </w:r>
    </w:p>
    <w:p w14:paraId="7297F8CA">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6D82B91A">
      <w:pPr>
        <w:pStyle w:val="2"/>
        <w:keepNext w:val="0"/>
        <w:keepLines w:val="0"/>
        <w:pageBreakBefore w:val="0"/>
        <w:widowControl w:val="0"/>
        <w:kinsoku/>
        <w:wordWrap/>
        <w:overflowPunct/>
        <w:topLinePunct w:val="0"/>
        <w:autoSpaceDE/>
        <w:autoSpaceDN/>
        <w:bidi w:val="0"/>
        <w:adjustRightInd/>
        <w:snapToGrid/>
        <w:spacing w:line="360" w:lineRule="auto"/>
        <w:ind w:firstLine="280"/>
        <w:textAlignment w:val="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本企业对上述声明内容的真实性负责。如有虚假，将依法承担相应责任。</w:t>
      </w:r>
    </w:p>
    <w:p w14:paraId="02229221">
      <w:pPr>
        <w:pStyle w:val="2"/>
        <w:ind w:firstLine="280"/>
        <w:rPr>
          <w:rFonts w:ascii="宋体" w:hAnsi="宋体" w:eastAsia="宋体" w:cs="宋体"/>
          <w:color w:val="auto"/>
          <w:sz w:val="24"/>
          <w:szCs w:val="24"/>
          <w:highlight w:val="none"/>
        </w:rPr>
      </w:pPr>
    </w:p>
    <w:p w14:paraId="3F5FAEF4">
      <w:pPr>
        <w:pStyle w:val="2"/>
        <w:ind w:firstLine="280"/>
        <w:jc w:val="righ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名称：（公章签章）</w:t>
      </w:r>
    </w:p>
    <w:p w14:paraId="520E7138">
      <w:pPr>
        <w:pStyle w:val="2"/>
        <w:ind w:firstLine="280"/>
        <w:jc w:val="right"/>
        <w:rPr>
          <w:rFonts w:ascii="宋体" w:hAnsi="宋体" w:eastAsia="宋体" w:cs="宋体"/>
          <w:color w:val="auto"/>
          <w:sz w:val="24"/>
          <w:szCs w:val="24"/>
          <w:highlight w:val="none"/>
        </w:rPr>
      </w:pPr>
    </w:p>
    <w:p w14:paraId="31663A95">
      <w:pPr>
        <w:pStyle w:val="2"/>
        <w:ind w:firstLine="280"/>
        <w:jc w:val="right"/>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年  月  日</w:t>
      </w:r>
    </w:p>
    <w:p w14:paraId="64726B92">
      <w:pPr>
        <w:pStyle w:val="2"/>
        <w:ind w:firstLine="24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注：从业人员、营业收入、资产总额填报上一年度数据，无上一年度数据的新成立企业可不填报。</w:t>
      </w:r>
    </w:p>
    <w:p w14:paraId="464AF735">
      <w:pPr>
        <w:pStyle w:val="11"/>
        <w:rPr>
          <w:rFonts w:hint="eastAsia"/>
          <w:color w:val="auto"/>
          <w:highlight w:val="none"/>
        </w:rPr>
      </w:pPr>
    </w:p>
    <w:p w14:paraId="48E66E6D">
      <w:pPr>
        <w:snapToGrid w:val="0"/>
        <w:spacing w:line="520" w:lineRule="exact"/>
        <w:jc w:val="center"/>
        <w:rPr>
          <w:rFonts w:hint="eastAsia" w:ascii="宋体" w:hAnsi="宋体"/>
          <w:b/>
          <w:bCs/>
          <w:color w:val="auto"/>
          <w:sz w:val="28"/>
          <w:szCs w:val="28"/>
          <w:highlight w:val="none"/>
        </w:rPr>
      </w:pPr>
    </w:p>
    <w:p w14:paraId="1C70BE76">
      <w:pPr>
        <w:snapToGrid w:val="0"/>
        <w:spacing w:line="520" w:lineRule="exact"/>
        <w:jc w:val="center"/>
        <w:rPr>
          <w:rFonts w:hint="eastAsia" w:ascii="宋体" w:hAnsi="宋体"/>
          <w:b/>
          <w:bCs/>
          <w:color w:val="auto"/>
          <w:sz w:val="28"/>
          <w:szCs w:val="28"/>
          <w:highlight w:val="none"/>
        </w:rPr>
      </w:pPr>
    </w:p>
    <w:p w14:paraId="6FD5142F">
      <w:pPr>
        <w:snapToGrid w:val="0"/>
        <w:spacing w:line="520" w:lineRule="exact"/>
        <w:jc w:val="center"/>
        <w:rPr>
          <w:rFonts w:hint="eastAsia" w:ascii="宋体" w:hAnsi="宋体"/>
          <w:b/>
          <w:bCs/>
          <w:color w:val="auto"/>
          <w:sz w:val="28"/>
          <w:szCs w:val="28"/>
          <w:highlight w:val="none"/>
        </w:rPr>
      </w:pPr>
    </w:p>
    <w:sectPr>
      <w:headerReference r:id="rId7" w:type="default"/>
      <w:footerReference r:id="rId9" w:type="default"/>
      <w:headerReference r:id="rId8" w:type="even"/>
      <w:footerReference r:id="rId10" w:type="even"/>
      <w:pgSz w:w="11906" w:h="16838"/>
      <w:pgMar w:top="1588" w:right="1701" w:bottom="1418" w:left="1701" w:header="851" w:footer="851" w:gutter="0"/>
      <w:pgNumType w:start="1"/>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1D80EA2E-D259-4659-87AC-94F40672F8E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Arial Unicode MS">
    <w:altName w:val="宋体"/>
    <w:panose1 w:val="020B0604020202020204"/>
    <w:charset w:val="86"/>
    <w:family w:val="roman"/>
    <w:pitch w:val="default"/>
    <w:sig w:usb0="00000000" w:usb1="00000000" w:usb2="0000003F" w:usb3="00000000" w:csb0="603F01FF" w:csb1="FFFF0000"/>
  </w:font>
  <w:font w:name="monospace">
    <w:altName w:val="方正公文小标宋"/>
    <w:panose1 w:val="00000000000000000000"/>
    <w:charset w:val="00"/>
    <w:family w:val="auto"/>
    <w:pitch w:val="default"/>
    <w:sig w:usb0="00000000" w:usb1="00000000" w:usb2="00000000" w:usb3="00000000" w:csb0="00040001" w:csb1="00000000"/>
  </w:font>
  <w:font w:name="方正公文小标宋">
    <w:panose1 w:val="02000500000000000000"/>
    <w:charset w:val="86"/>
    <w:family w:val="auto"/>
    <w:pitch w:val="default"/>
    <w:sig w:usb0="A00002BF" w:usb1="38CF7CFA" w:usb2="00000016" w:usb3="00000000" w:csb0="00040001" w:csb1="00000000"/>
    <w:embedRegular r:id="rId2" w:fontKey="{58EEAAB5-8C02-4F1F-8429-F85DE662061B}"/>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10" w:usb3="00000000" w:csb0="00040000" w:csb1="00000000"/>
    <w:embedRegular r:id="rId3" w:fontKey="{C2E7A342-FDB9-4448-A0E1-5F479EBC387B}"/>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4BC6AD">
    <w:pPr>
      <w:pStyle w:val="71"/>
      <w:tabs>
        <w:tab w:val="clear" w:pos="4153"/>
        <w:tab w:val="clear" w:pos="8306"/>
      </w:tabs>
      <w:jc w:val="center"/>
    </w:pPr>
    <w:r>
      <w:fldChar w:fldCharType="begin"/>
    </w:r>
    <w:r>
      <w:instrText xml:space="preserve">PAGE   \* MERGEFORMAT</w:instrText>
    </w:r>
    <w:r>
      <w:fldChar w:fldCharType="separate"/>
    </w:r>
    <w:r>
      <w:rPr>
        <w:lang w:val="zh-CN"/>
      </w:rPr>
      <w:t>82</w:t>
    </w:r>
    <w:r>
      <w:fldChar w:fldCharType="end"/>
    </w:r>
  </w:p>
  <w:p w14:paraId="311F4D1D">
    <w:pPr>
      <w:pStyle w:val="71"/>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1967B6">
    <w:pPr>
      <w:pStyle w:val="71"/>
      <w:tabs>
        <w:tab w:val="clear" w:pos="4153"/>
        <w:tab w:val="clear" w:pos="8306"/>
      </w:tabs>
      <w:jc w:val="right"/>
    </w:pPr>
    <w:r>
      <w:fldChar w:fldCharType="begin"/>
    </w:r>
    <w:r>
      <w:instrText xml:space="preserve"> PAGE   \* MERGEFORMAT </w:instrText>
    </w:r>
    <w:r>
      <w:fldChar w:fldCharType="separate"/>
    </w:r>
    <w:r>
      <w:rPr>
        <w:lang w:val="zh-CN"/>
      </w:rPr>
      <w:t>92</w:t>
    </w:r>
    <w:r>
      <w:rPr>
        <w:lang w:val="zh-CN"/>
      </w:rPr>
      <w:fldChar w:fldCharType="end"/>
    </w:r>
  </w:p>
  <w:p w14:paraId="0C686478">
    <w:pPr>
      <w:pStyle w:val="71"/>
      <w:tabs>
        <w:tab w:val="clear" w:pos="4153"/>
        <w:tab w:val="clear" w:pos="8306"/>
      </w:tabs>
      <w:ind w:right="360"/>
    </w:pPr>
  </w:p>
  <w:p w14:paraId="1A1ABDE5"/>
  <w:p w14:paraId="3447307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480" w:lineRule="auto"/>
      </w:pPr>
      <w:r>
        <w:separator/>
      </w:r>
    </w:p>
  </w:footnote>
  <w:footnote w:type="continuationSeparator" w:id="1">
    <w:p>
      <w:pPr>
        <w:spacing w:line="48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CF9D3F">
    <w:pPr>
      <w:pStyle w:val="74"/>
      <w:pBdr>
        <w:bottom w:val="none" w:color="000000" w:sz="0" w:space="2"/>
      </w:pBdr>
      <w:tabs>
        <w:tab w:val="clear" w:pos="4153"/>
        <w:tab w:val="clear" w:pos="8306"/>
      </w:tabs>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8E0B8">
    <w:pPr>
      <w:pStyle w:val="74"/>
      <w:pBdr>
        <w:bottom w:val="none" w:color="000000" w:sz="0" w:space="1"/>
      </w:pBdr>
      <w:tabs>
        <w:tab w:val="clear" w:pos="4153"/>
        <w:tab w:val="clear" w:pos="8306"/>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FF5D8F">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BC7210">
    <w:pPr>
      <w:pStyle w:val="74"/>
      <w:tabs>
        <w:tab w:val="clear" w:pos="4153"/>
        <w:tab w:val="clear" w:pos="8306"/>
      </w:tabs>
      <w:jc w:val="right"/>
    </w:pPr>
  </w:p>
  <w:p w14:paraId="3C56F3DA"/>
  <w:p w14:paraId="48233AB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02A2D7"/>
    <w:multiLevelType w:val="singleLevel"/>
    <w:tmpl w:val="C602A2D7"/>
    <w:lvl w:ilvl="0" w:tentative="0">
      <w:start w:val="10"/>
      <w:numFmt w:val="decimal"/>
      <w:suff w:val="nothing"/>
      <w:lvlText w:val="%1、"/>
      <w:lvlJc w:val="left"/>
    </w:lvl>
  </w:abstractNum>
  <w:abstractNum w:abstractNumId="1">
    <w:nsid w:val="3F485D46"/>
    <w:multiLevelType w:val="multilevel"/>
    <w:tmpl w:val="3F485D46"/>
    <w:lvl w:ilvl="0" w:tentative="0">
      <w:start w:val="1"/>
      <w:numFmt w:val="japaneseCounting"/>
      <w:lvlText w:val="%1、"/>
      <w:lvlJc w:val="left"/>
      <w:pPr>
        <w:ind w:left="720" w:hanging="7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2342214"/>
    <w:multiLevelType w:val="singleLevel"/>
    <w:tmpl w:val="62342214"/>
    <w:lvl w:ilvl="0" w:tentative="0">
      <w:start w:val="1"/>
      <w:numFmt w:val="chineseCounting"/>
      <w:suff w:val="space"/>
      <w:lvlText w:val="第%1章"/>
      <w:lvlJc w:val="left"/>
    </w:lvl>
  </w:abstractNum>
  <w:abstractNum w:abstractNumId="3">
    <w:nsid w:val="7A514E90"/>
    <w:multiLevelType w:val="singleLevel"/>
    <w:tmpl w:val="7A514E90"/>
    <w:lvl w:ilvl="0" w:tentative="0">
      <w:start w:val="4"/>
      <w:numFmt w:val="chineseCounting"/>
      <w:suff w:val="nothing"/>
      <w:lvlText w:val="%1、"/>
      <w:lvlJc w:val="left"/>
      <w:rPr>
        <w:rFonts w:hint="eastAsia"/>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isplayHorizontalDrawingGridEvery w:val="1"/>
  <w:displayVerticalDrawingGridEvery w:val="1"/>
  <w:noPunctuationKerning w:val="1"/>
  <w:footnotePr>
    <w:footnote w:id="0"/>
    <w:footnote w:id="1"/>
  </w:footnotePr>
  <w:endnotePr>
    <w:endnote w:id="0"/>
    <w:endnote w:id="1"/>
  </w:endnotePr>
  <w:compat>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RkZjg1MTlkZWRmNTJkMzJhZmQyODQ3ZTczNDEyNjEifQ=="/>
  </w:docVars>
  <w:rsids>
    <w:rsidRoot w:val="00000000"/>
    <w:rsid w:val="0A817E4F"/>
    <w:rsid w:val="0C8707AC"/>
    <w:rsid w:val="0FB6D508"/>
    <w:rsid w:val="1A8D2121"/>
    <w:rsid w:val="34EC43AC"/>
    <w:rsid w:val="355306CC"/>
    <w:rsid w:val="3893626A"/>
    <w:rsid w:val="39EF5F66"/>
    <w:rsid w:val="3A316E6B"/>
    <w:rsid w:val="3C293E2F"/>
    <w:rsid w:val="3DAFCA3C"/>
    <w:rsid w:val="3DBB280F"/>
    <w:rsid w:val="3F4B1555"/>
    <w:rsid w:val="3F727267"/>
    <w:rsid w:val="414C32E4"/>
    <w:rsid w:val="46C42F9C"/>
    <w:rsid w:val="4B9B6A3D"/>
    <w:rsid w:val="4FDF4F86"/>
    <w:rsid w:val="561C5777"/>
    <w:rsid w:val="5A3109AE"/>
    <w:rsid w:val="5BC92D03"/>
    <w:rsid w:val="63A52621"/>
    <w:rsid w:val="64D709A1"/>
    <w:rsid w:val="6651686C"/>
    <w:rsid w:val="7A80062B"/>
    <w:rsid w:val="7D750160"/>
    <w:rsid w:val="7F970F8B"/>
    <w:rsid w:val="EE475EBD"/>
    <w:rsid w:val="FFFD58D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97"/>
    <w:autoRedefine/>
    <w:qFormat/>
    <w:uiPriority w:val="0"/>
    <w:pPr>
      <w:widowControl w:val="0"/>
      <w:spacing w:line="480" w:lineRule="auto"/>
      <w:jc w:val="both"/>
    </w:pPr>
    <w:rPr>
      <w:rFonts w:ascii="Times New Roman" w:hAnsi="Times New Roman" w:eastAsia="宋体" w:cs="Times New Roman"/>
      <w:kern w:val="2"/>
      <w:sz w:val="21"/>
      <w:szCs w:val="24"/>
      <w:lang w:val="en-US" w:eastAsia="zh-CN" w:bidi="ar-SA"/>
    </w:rPr>
  </w:style>
  <w:style w:type="paragraph" w:styleId="7">
    <w:name w:val="heading 5"/>
    <w:basedOn w:val="1"/>
    <w:autoRedefine/>
    <w:qFormat/>
    <w:uiPriority w:val="0"/>
    <w:pPr>
      <w:autoSpaceDE w:val="0"/>
      <w:autoSpaceDN w:val="0"/>
      <w:ind w:left="1193"/>
      <w:jc w:val="left"/>
      <w:outlineLvl w:val="5"/>
    </w:pPr>
    <w:rPr>
      <w:rFonts w:ascii="宋体" w:hAnsi="宋体" w:eastAsia="宋体"/>
      <w:kern w:val="0"/>
      <w:sz w:val="28"/>
      <w:szCs w:val="28"/>
      <w:lang w:val="zh-CN" w:bidi="zh-CN"/>
    </w:rPr>
  </w:style>
  <w:style w:type="character" w:default="1" w:styleId="13">
    <w:name w:val="Default Paragraph Font"/>
    <w:autoRedefine/>
    <w:semiHidden/>
    <w:qFormat/>
    <w:uiPriority w:val="0"/>
  </w:style>
  <w:style w:type="table" w:default="1" w:styleId="12">
    <w:name w:val="Normal Table"/>
    <w:autoRedefine/>
    <w:semiHidden/>
    <w:qFormat/>
    <w:uiPriority w:val="0"/>
    <w:tblPr>
      <w:tblCellMar>
        <w:top w:w="0" w:type="dxa"/>
        <w:left w:w="108" w:type="dxa"/>
        <w:bottom w:w="0" w:type="dxa"/>
        <w:right w:w="108" w:type="dxa"/>
      </w:tblCellMar>
    </w:tblPr>
  </w:style>
  <w:style w:type="paragraph" w:styleId="2">
    <w:name w:val="Body Text First Indent"/>
    <w:basedOn w:val="3"/>
    <w:next w:val="1"/>
    <w:unhideWhenUsed/>
    <w:qFormat/>
    <w:uiPriority w:val="0"/>
    <w:pPr>
      <w:widowControl/>
      <w:spacing w:after="120" w:line="240" w:lineRule="auto"/>
      <w:ind w:firstLine="420" w:firstLineChars="100"/>
      <w:jc w:val="left"/>
    </w:pPr>
    <w:rPr>
      <w:rFonts w:ascii="Times New Roman" w:hAnsi="Times New Roman" w:eastAsia="宋体" w:cs="Times New Roman"/>
      <w:kern w:val="0"/>
      <w:sz w:val="20"/>
      <w:szCs w:val="20"/>
    </w:rPr>
  </w:style>
  <w:style w:type="paragraph" w:styleId="3">
    <w:name w:val="Body Text"/>
    <w:basedOn w:val="1"/>
    <w:next w:val="4"/>
    <w:qFormat/>
    <w:uiPriority w:val="0"/>
    <w:pPr>
      <w:widowControl w:val="0"/>
      <w:spacing w:after="120"/>
      <w:jc w:val="both"/>
    </w:pPr>
    <w:rPr>
      <w:kern w:val="2"/>
      <w:sz w:val="21"/>
      <w:szCs w:val="24"/>
    </w:rPr>
  </w:style>
  <w:style w:type="paragraph" w:styleId="4">
    <w:name w:val="Body Text 2"/>
    <w:basedOn w:val="1"/>
    <w:next w:val="5"/>
    <w:qFormat/>
    <w:uiPriority w:val="0"/>
    <w:pPr>
      <w:spacing w:after="120" w:line="480" w:lineRule="auto"/>
      <w:ind w:firstLine="560" w:firstLineChars="200"/>
    </w:pPr>
    <w:rPr>
      <w:rFonts w:ascii="Calibri" w:hAnsi="Calibri" w:eastAsia="仿宋_GB2312"/>
      <w:sz w:val="28"/>
      <w:szCs w:val="24"/>
    </w:rPr>
  </w:style>
  <w:style w:type="paragraph" w:styleId="5">
    <w:name w:val="Plain Text"/>
    <w:basedOn w:val="1"/>
    <w:next w:val="6"/>
    <w:unhideWhenUsed/>
    <w:qFormat/>
    <w:uiPriority w:val="0"/>
    <w:rPr>
      <w:rFonts w:hint="eastAsia" w:ascii="宋体" w:hAnsi="Courier New"/>
      <w:sz w:val="21"/>
      <w:szCs w:val="21"/>
    </w:rPr>
  </w:style>
  <w:style w:type="paragraph" w:styleId="6">
    <w:name w:val="index 7"/>
    <w:basedOn w:val="1"/>
    <w:next w:val="1"/>
    <w:unhideWhenUsed/>
    <w:qFormat/>
    <w:uiPriority w:val="99"/>
    <w:pPr>
      <w:ind w:left="1200" w:leftChars="1200"/>
    </w:pPr>
  </w:style>
  <w:style w:type="paragraph" w:styleId="8">
    <w:name w:val="Body Text Indent"/>
    <w:basedOn w:val="1"/>
    <w:next w:val="9"/>
    <w:qFormat/>
    <w:uiPriority w:val="99"/>
    <w:pPr>
      <w:widowControl/>
      <w:spacing w:after="120" w:line="240" w:lineRule="auto"/>
      <w:ind w:left="420" w:leftChars="200"/>
      <w:jc w:val="left"/>
    </w:pPr>
    <w:rPr>
      <w:rFonts w:ascii="Times New Roman" w:hAnsi="Times New Roman" w:eastAsia="宋体" w:cs="Times New Roman"/>
      <w:kern w:val="0"/>
      <w:sz w:val="20"/>
      <w:szCs w:val="20"/>
    </w:rPr>
  </w:style>
  <w:style w:type="paragraph" w:customStyle="1" w:styleId="9">
    <w:name w:val="Default"/>
    <w:next w:val="1"/>
    <w:link w:val="111"/>
    <w:autoRedefine/>
    <w:qFormat/>
    <w:uiPriority w:val="0"/>
    <w:pPr>
      <w:widowControl w:val="0"/>
      <w:autoSpaceDE w:val="0"/>
      <w:autoSpaceDN w:val="0"/>
      <w:spacing w:line="480" w:lineRule="auto"/>
    </w:pPr>
    <w:rPr>
      <w:rFonts w:ascii="宋体" w:hAnsi="Times New Roman" w:eastAsia="宋体" w:cs="Times New Roman"/>
      <w:color w:val="000000"/>
      <w:sz w:val="24"/>
      <w:szCs w:val="24"/>
      <w:lang w:val="en-US" w:eastAsia="zh-CN" w:bidi="ar-SA"/>
    </w:rPr>
  </w:style>
  <w:style w:type="paragraph" w:styleId="10">
    <w:name w:val="Message Header"/>
    <w:basedOn w:val="1"/>
    <w:autoRedefine/>
    <w:qFormat/>
    <w:uiPriority w:val="0"/>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rPr>
  </w:style>
  <w:style w:type="paragraph" w:styleId="11">
    <w:name w:val="Body Text First Indent 2"/>
    <w:basedOn w:val="8"/>
    <w:next w:val="1"/>
    <w:qFormat/>
    <w:uiPriority w:val="0"/>
    <w:pPr>
      <w:widowControl/>
      <w:spacing w:before="100" w:beforeAutospacing="1" w:after="120"/>
      <w:ind w:left="420" w:firstLine="420"/>
      <w:jc w:val="left"/>
    </w:pPr>
    <w:rPr>
      <w:rFonts w:ascii="Times New Roman" w:hAnsi="Times New Roman" w:eastAsia="Arial Unicode MS" w:cs="Times New Roman"/>
      <w:color w:val="000000"/>
      <w:kern w:val="0"/>
      <w:sz w:val="20"/>
      <w:szCs w:val="20"/>
    </w:rPr>
  </w:style>
  <w:style w:type="character" w:styleId="14">
    <w:name w:val="Strong"/>
    <w:basedOn w:val="13"/>
    <w:autoRedefine/>
    <w:qFormat/>
    <w:uiPriority w:val="0"/>
    <w:rPr>
      <w:b/>
      <w:bCs/>
    </w:rPr>
  </w:style>
  <w:style w:type="character" w:styleId="15">
    <w:name w:val="FollowedHyperlink"/>
    <w:basedOn w:val="13"/>
    <w:autoRedefine/>
    <w:qFormat/>
    <w:uiPriority w:val="0"/>
    <w:rPr>
      <w:color w:val="800080"/>
      <w:u w:val="none"/>
    </w:rPr>
  </w:style>
  <w:style w:type="character" w:styleId="16">
    <w:name w:val="Emphasis"/>
    <w:basedOn w:val="13"/>
    <w:autoRedefine/>
    <w:qFormat/>
    <w:uiPriority w:val="0"/>
    <w:rPr>
      <w:b/>
      <w:bCs/>
    </w:rPr>
  </w:style>
  <w:style w:type="character" w:styleId="17">
    <w:name w:val="HTML Definition"/>
    <w:basedOn w:val="13"/>
    <w:autoRedefine/>
    <w:qFormat/>
    <w:uiPriority w:val="0"/>
  </w:style>
  <w:style w:type="character" w:styleId="18">
    <w:name w:val="HTML Typewriter"/>
    <w:basedOn w:val="13"/>
    <w:autoRedefine/>
    <w:qFormat/>
    <w:uiPriority w:val="0"/>
    <w:rPr>
      <w:rFonts w:hint="default" w:ascii="monospace" w:hAnsi="monospace" w:eastAsia="monospace" w:cs="monospace"/>
      <w:sz w:val="20"/>
    </w:rPr>
  </w:style>
  <w:style w:type="character" w:styleId="19">
    <w:name w:val="HTML Acronym"/>
    <w:basedOn w:val="13"/>
    <w:autoRedefine/>
    <w:qFormat/>
    <w:uiPriority w:val="0"/>
  </w:style>
  <w:style w:type="character" w:styleId="20">
    <w:name w:val="HTML Variable"/>
    <w:basedOn w:val="13"/>
    <w:autoRedefine/>
    <w:qFormat/>
    <w:uiPriority w:val="0"/>
  </w:style>
  <w:style w:type="character" w:styleId="21">
    <w:name w:val="Hyperlink"/>
    <w:basedOn w:val="13"/>
    <w:autoRedefine/>
    <w:qFormat/>
    <w:uiPriority w:val="0"/>
    <w:rPr>
      <w:color w:val="0000FF"/>
      <w:u w:val="none"/>
    </w:rPr>
  </w:style>
  <w:style w:type="character" w:styleId="22">
    <w:name w:val="HTML Code"/>
    <w:basedOn w:val="13"/>
    <w:autoRedefine/>
    <w:qFormat/>
    <w:uiPriority w:val="0"/>
    <w:rPr>
      <w:rFonts w:hint="default" w:ascii="monospace" w:hAnsi="monospace" w:eastAsia="monospace" w:cs="monospace"/>
      <w:sz w:val="20"/>
      <w:shd w:val="clear" w:fill="FFFFFF"/>
    </w:rPr>
  </w:style>
  <w:style w:type="character" w:styleId="23">
    <w:name w:val="HTML Cite"/>
    <w:basedOn w:val="13"/>
    <w:autoRedefine/>
    <w:qFormat/>
    <w:uiPriority w:val="0"/>
  </w:style>
  <w:style w:type="character" w:styleId="24">
    <w:name w:val="HTML Keyboard"/>
    <w:basedOn w:val="13"/>
    <w:autoRedefine/>
    <w:qFormat/>
    <w:uiPriority w:val="0"/>
    <w:rPr>
      <w:rFonts w:hint="default" w:ascii="monospace" w:hAnsi="monospace" w:eastAsia="monospace" w:cs="monospace"/>
      <w:sz w:val="20"/>
    </w:rPr>
  </w:style>
  <w:style w:type="character" w:styleId="25">
    <w:name w:val="HTML Sample"/>
    <w:basedOn w:val="13"/>
    <w:autoRedefine/>
    <w:qFormat/>
    <w:uiPriority w:val="0"/>
    <w:rPr>
      <w:rFonts w:ascii="monospace" w:hAnsi="monospace" w:eastAsia="monospace" w:cs="monospace"/>
    </w:rPr>
  </w:style>
  <w:style w:type="paragraph" w:customStyle="1" w:styleId="26">
    <w:name w:val="标题 11"/>
    <w:basedOn w:val="1"/>
    <w:link w:val="37"/>
    <w:autoRedefine/>
    <w:qFormat/>
    <w:uiPriority w:val="0"/>
    <w:pPr>
      <w:keepNext/>
      <w:tabs>
        <w:tab w:val="left" w:pos="420"/>
      </w:tabs>
      <w:spacing w:line="360" w:lineRule="auto"/>
      <w:jc w:val="left"/>
      <w:outlineLvl w:val="0"/>
    </w:pPr>
    <w:rPr>
      <w:rFonts w:eastAsia="黑体"/>
      <w:b/>
      <w:sz w:val="28"/>
      <w:szCs w:val="22"/>
    </w:rPr>
  </w:style>
  <w:style w:type="paragraph" w:customStyle="1" w:styleId="27">
    <w:name w:val="标题 21"/>
    <w:basedOn w:val="1"/>
    <w:link w:val="38"/>
    <w:autoRedefine/>
    <w:qFormat/>
    <w:uiPriority w:val="0"/>
    <w:pPr>
      <w:keepNext/>
      <w:keepLines/>
      <w:spacing w:before="260" w:after="260" w:line="416" w:lineRule="auto"/>
      <w:outlineLvl w:val="1"/>
    </w:pPr>
    <w:rPr>
      <w:rFonts w:ascii="Arial" w:hAnsi="Arial" w:eastAsia="黑体"/>
      <w:b/>
      <w:bCs/>
      <w:sz w:val="32"/>
      <w:szCs w:val="32"/>
    </w:rPr>
  </w:style>
  <w:style w:type="paragraph" w:customStyle="1" w:styleId="28">
    <w:name w:val="标题 31"/>
    <w:basedOn w:val="1"/>
    <w:link w:val="39"/>
    <w:autoRedefine/>
    <w:qFormat/>
    <w:uiPriority w:val="0"/>
    <w:pPr>
      <w:keepNext/>
      <w:keepLines/>
      <w:spacing w:line="360" w:lineRule="auto"/>
      <w:outlineLvl w:val="2"/>
    </w:pPr>
    <w:rPr>
      <w:b/>
      <w:bCs/>
      <w:sz w:val="24"/>
      <w:szCs w:val="32"/>
    </w:rPr>
  </w:style>
  <w:style w:type="paragraph" w:customStyle="1" w:styleId="29">
    <w:name w:val="标题 41"/>
    <w:basedOn w:val="1"/>
    <w:link w:val="40"/>
    <w:autoRedefine/>
    <w:qFormat/>
    <w:uiPriority w:val="0"/>
    <w:pPr>
      <w:keepNext/>
      <w:tabs>
        <w:tab w:val="left" w:pos="864"/>
      </w:tabs>
      <w:jc w:val="left"/>
      <w:outlineLvl w:val="3"/>
    </w:pPr>
    <w:rPr>
      <w:rFonts w:ascii="黑体"/>
      <w:b/>
      <w:bCs/>
    </w:rPr>
  </w:style>
  <w:style w:type="paragraph" w:customStyle="1" w:styleId="30">
    <w:name w:val="标题 51"/>
    <w:basedOn w:val="1"/>
    <w:link w:val="41"/>
    <w:autoRedefine/>
    <w:qFormat/>
    <w:uiPriority w:val="0"/>
    <w:pPr>
      <w:keepNext/>
      <w:keepLines/>
      <w:spacing w:before="280" w:after="290" w:line="372" w:lineRule="auto"/>
      <w:outlineLvl w:val="4"/>
    </w:pPr>
    <w:rPr>
      <w:rFonts w:ascii="Calibri" w:hAnsi="Calibri"/>
      <w:b/>
      <w:bCs/>
      <w:sz w:val="28"/>
      <w:szCs w:val="28"/>
    </w:rPr>
  </w:style>
  <w:style w:type="paragraph" w:customStyle="1" w:styleId="31">
    <w:name w:val="标题 61"/>
    <w:basedOn w:val="1"/>
    <w:link w:val="42"/>
    <w:autoRedefine/>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kern w:val="0"/>
      <w:sz w:val="24"/>
    </w:rPr>
  </w:style>
  <w:style w:type="paragraph" w:customStyle="1" w:styleId="32">
    <w:name w:val="标题 71"/>
    <w:basedOn w:val="1"/>
    <w:link w:val="43"/>
    <w:autoRedefine/>
    <w:qFormat/>
    <w:uiPriority w:val="0"/>
    <w:pPr>
      <w:keepNext/>
      <w:keepLines/>
      <w:widowControl/>
      <w:tabs>
        <w:tab w:val="left" w:pos="2520"/>
      </w:tabs>
      <w:spacing w:before="240" w:after="64" w:line="317" w:lineRule="auto"/>
      <w:ind w:left="1296" w:hanging="1296"/>
      <w:jc w:val="left"/>
      <w:outlineLvl w:val="6"/>
    </w:pPr>
    <w:rPr>
      <w:b/>
      <w:bCs/>
      <w:kern w:val="0"/>
      <w:sz w:val="24"/>
    </w:rPr>
  </w:style>
  <w:style w:type="paragraph" w:customStyle="1" w:styleId="33">
    <w:name w:val="标题 81"/>
    <w:basedOn w:val="1"/>
    <w:link w:val="44"/>
    <w:autoRedefine/>
    <w:qFormat/>
    <w:uiPriority w:val="0"/>
    <w:pPr>
      <w:keepNext/>
      <w:keepLines/>
      <w:widowControl/>
      <w:tabs>
        <w:tab w:val="left" w:pos="1440"/>
      </w:tabs>
      <w:spacing w:before="240" w:after="64" w:line="317" w:lineRule="auto"/>
      <w:ind w:left="1440" w:hanging="1440"/>
      <w:jc w:val="left"/>
      <w:outlineLvl w:val="7"/>
    </w:pPr>
    <w:rPr>
      <w:rFonts w:ascii="Arial" w:hAnsi="Arial" w:eastAsia="黑体"/>
      <w:kern w:val="0"/>
      <w:sz w:val="24"/>
    </w:rPr>
  </w:style>
  <w:style w:type="paragraph" w:customStyle="1" w:styleId="34">
    <w:name w:val="标题 91"/>
    <w:basedOn w:val="1"/>
    <w:link w:val="45"/>
    <w:autoRedefine/>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szCs w:val="21"/>
    </w:rPr>
  </w:style>
  <w:style w:type="character" w:customStyle="1" w:styleId="35">
    <w:name w:val="默认段落字体1"/>
    <w:link w:val="1"/>
    <w:autoRedefine/>
    <w:qFormat/>
    <w:uiPriority w:val="0"/>
  </w:style>
  <w:style w:type="table" w:customStyle="1" w:styleId="36">
    <w:name w:val="普通表格1"/>
    <w:autoRedefine/>
    <w:qFormat/>
    <w:uiPriority w:val="0"/>
  </w:style>
  <w:style w:type="character" w:customStyle="1" w:styleId="37">
    <w:name w:val="标题 1 Char"/>
    <w:link w:val="26"/>
    <w:autoRedefine/>
    <w:qFormat/>
    <w:uiPriority w:val="0"/>
    <w:rPr>
      <w:rFonts w:eastAsia="黑体"/>
      <w:b/>
      <w:kern w:val="2"/>
      <w:sz w:val="28"/>
      <w:szCs w:val="22"/>
    </w:rPr>
  </w:style>
  <w:style w:type="character" w:customStyle="1" w:styleId="38">
    <w:name w:val="标题 2 Char"/>
    <w:link w:val="27"/>
    <w:autoRedefine/>
    <w:qFormat/>
    <w:uiPriority w:val="0"/>
    <w:rPr>
      <w:rFonts w:ascii="Arial" w:hAnsi="Arial" w:eastAsia="黑体"/>
      <w:b/>
      <w:bCs/>
      <w:kern w:val="2"/>
      <w:sz w:val="32"/>
      <w:szCs w:val="32"/>
    </w:rPr>
  </w:style>
  <w:style w:type="character" w:customStyle="1" w:styleId="39">
    <w:name w:val="标题 3 Char"/>
    <w:link w:val="28"/>
    <w:autoRedefine/>
    <w:qFormat/>
    <w:uiPriority w:val="0"/>
    <w:rPr>
      <w:b/>
      <w:bCs/>
      <w:kern w:val="2"/>
      <w:sz w:val="24"/>
      <w:szCs w:val="32"/>
    </w:rPr>
  </w:style>
  <w:style w:type="character" w:customStyle="1" w:styleId="40">
    <w:name w:val="标题 4 Char"/>
    <w:link w:val="29"/>
    <w:autoRedefine/>
    <w:qFormat/>
    <w:uiPriority w:val="0"/>
    <w:rPr>
      <w:rFonts w:ascii="黑体"/>
      <w:b/>
      <w:bCs/>
      <w:kern w:val="2"/>
      <w:sz w:val="21"/>
      <w:szCs w:val="24"/>
    </w:rPr>
  </w:style>
  <w:style w:type="character" w:customStyle="1" w:styleId="41">
    <w:name w:val="标题 5 Char"/>
    <w:link w:val="30"/>
    <w:autoRedefine/>
    <w:qFormat/>
    <w:uiPriority w:val="0"/>
    <w:rPr>
      <w:rFonts w:ascii="Calibri" w:hAnsi="Calibri"/>
      <w:b/>
      <w:bCs/>
      <w:kern w:val="2"/>
      <w:sz w:val="28"/>
      <w:szCs w:val="28"/>
    </w:rPr>
  </w:style>
  <w:style w:type="character" w:customStyle="1" w:styleId="42">
    <w:name w:val="标题 6 Char"/>
    <w:link w:val="31"/>
    <w:autoRedefine/>
    <w:qFormat/>
    <w:uiPriority w:val="0"/>
    <w:rPr>
      <w:rFonts w:ascii="Arial" w:hAnsi="Arial" w:eastAsia="黑体"/>
      <w:b/>
      <w:bCs/>
      <w:sz w:val="24"/>
      <w:szCs w:val="24"/>
    </w:rPr>
  </w:style>
  <w:style w:type="character" w:customStyle="1" w:styleId="43">
    <w:name w:val="标题 7 Char"/>
    <w:link w:val="32"/>
    <w:autoRedefine/>
    <w:qFormat/>
    <w:uiPriority w:val="0"/>
    <w:rPr>
      <w:b/>
      <w:bCs/>
      <w:sz w:val="24"/>
      <w:szCs w:val="24"/>
    </w:rPr>
  </w:style>
  <w:style w:type="character" w:customStyle="1" w:styleId="44">
    <w:name w:val="标题 8 Char"/>
    <w:link w:val="33"/>
    <w:autoRedefine/>
    <w:qFormat/>
    <w:uiPriority w:val="0"/>
    <w:rPr>
      <w:rFonts w:ascii="Arial" w:hAnsi="Arial" w:eastAsia="黑体"/>
      <w:sz w:val="24"/>
      <w:szCs w:val="24"/>
    </w:rPr>
  </w:style>
  <w:style w:type="character" w:customStyle="1" w:styleId="45">
    <w:name w:val="标题 9 Char"/>
    <w:link w:val="34"/>
    <w:autoRedefine/>
    <w:qFormat/>
    <w:uiPriority w:val="0"/>
    <w:rPr>
      <w:rFonts w:ascii="Arial" w:hAnsi="Arial" w:eastAsia="黑体"/>
      <w:sz w:val="21"/>
      <w:szCs w:val="21"/>
    </w:rPr>
  </w:style>
  <w:style w:type="paragraph" w:customStyle="1" w:styleId="46">
    <w:name w:val="目录 71"/>
    <w:basedOn w:val="1"/>
    <w:autoRedefine/>
    <w:qFormat/>
    <w:uiPriority w:val="0"/>
    <w:pPr>
      <w:ind w:left="1260"/>
      <w:jc w:val="left"/>
    </w:pPr>
    <w:rPr>
      <w:sz w:val="18"/>
      <w:szCs w:val="18"/>
    </w:rPr>
  </w:style>
  <w:style w:type="paragraph" w:customStyle="1" w:styleId="47">
    <w:name w:val="正文缩进1"/>
    <w:basedOn w:val="1"/>
    <w:link w:val="48"/>
    <w:autoRedefine/>
    <w:qFormat/>
    <w:uiPriority w:val="0"/>
    <w:pPr>
      <w:ind w:firstLine="420"/>
    </w:pPr>
    <w:rPr>
      <w:rFonts w:ascii="Calibri" w:hAnsi="Calibri"/>
      <w:szCs w:val="22"/>
    </w:rPr>
  </w:style>
  <w:style w:type="character" w:customStyle="1" w:styleId="48">
    <w:name w:val="正文缩进 Char"/>
    <w:link w:val="47"/>
    <w:autoRedefine/>
    <w:qFormat/>
    <w:uiPriority w:val="0"/>
    <w:rPr>
      <w:rFonts w:ascii="Calibri" w:hAnsi="Calibri"/>
      <w:kern w:val="2"/>
      <w:sz w:val="21"/>
      <w:szCs w:val="22"/>
    </w:rPr>
  </w:style>
  <w:style w:type="paragraph" w:customStyle="1" w:styleId="49">
    <w:name w:val="文档结构图1"/>
    <w:basedOn w:val="1"/>
    <w:link w:val="50"/>
    <w:autoRedefine/>
    <w:qFormat/>
    <w:uiPriority w:val="0"/>
    <w:pPr>
      <w:shd w:val="clear" w:color="auto" w:fill="000080"/>
    </w:pPr>
    <w:rPr>
      <w:kern w:val="0"/>
      <w:sz w:val="20"/>
      <w:shd w:val="clear" w:color="auto" w:fill="000080"/>
    </w:rPr>
  </w:style>
  <w:style w:type="character" w:customStyle="1" w:styleId="50">
    <w:name w:val="文档结构图 Char"/>
    <w:link w:val="49"/>
    <w:autoRedefine/>
    <w:qFormat/>
    <w:uiPriority w:val="0"/>
    <w:rPr>
      <w:szCs w:val="24"/>
      <w:shd w:val="clear" w:color="auto" w:fill="000080"/>
    </w:rPr>
  </w:style>
  <w:style w:type="paragraph" w:customStyle="1" w:styleId="51">
    <w:name w:val="引文目录标题1"/>
    <w:basedOn w:val="1"/>
    <w:autoRedefine/>
    <w:qFormat/>
    <w:uiPriority w:val="0"/>
    <w:pPr>
      <w:spacing w:before="120"/>
    </w:pPr>
    <w:rPr>
      <w:rFonts w:ascii="Arial" w:hAnsi="Arial"/>
      <w:sz w:val="24"/>
    </w:rPr>
  </w:style>
  <w:style w:type="paragraph" w:customStyle="1" w:styleId="52">
    <w:name w:val="批注文字1"/>
    <w:basedOn w:val="1"/>
    <w:link w:val="53"/>
    <w:autoRedefine/>
    <w:qFormat/>
    <w:uiPriority w:val="0"/>
    <w:pPr>
      <w:jc w:val="left"/>
    </w:pPr>
    <w:rPr>
      <w:kern w:val="0"/>
      <w:sz w:val="20"/>
    </w:rPr>
  </w:style>
  <w:style w:type="character" w:customStyle="1" w:styleId="53">
    <w:name w:val="批注文字 Char1"/>
    <w:link w:val="52"/>
    <w:autoRedefine/>
    <w:qFormat/>
    <w:uiPriority w:val="0"/>
    <w:rPr>
      <w:szCs w:val="24"/>
    </w:rPr>
  </w:style>
  <w:style w:type="paragraph" w:customStyle="1" w:styleId="54">
    <w:name w:val="正文文本 31"/>
    <w:basedOn w:val="1"/>
    <w:link w:val="55"/>
    <w:autoRedefine/>
    <w:qFormat/>
    <w:uiPriority w:val="0"/>
    <w:rPr>
      <w:rFonts w:ascii="宋体"/>
      <w:kern w:val="0"/>
      <w:sz w:val="24"/>
      <w:szCs w:val="20"/>
    </w:rPr>
  </w:style>
  <w:style w:type="character" w:customStyle="1" w:styleId="55">
    <w:name w:val="正文文本 3 Char"/>
    <w:link w:val="54"/>
    <w:autoRedefine/>
    <w:qFormat/>
    <w:uiPriority w:val="0"/>
    <w:rPr>
      <w:rFonts w:ascii="宋体"/>
      <w:sz w:val="24"/>
    </w:rPr>
  </w:style>
  <w:style w:type="paragraph" w:customStyle="1" w:styleId="56">
    <w:name w:val="正文文本1"/>
    <w:basedOn w:val="1"/>
    <w:link w:val="57"/>
    <w:autoRedefine/>
    <w:qFormat/>
    <w:uiPriority w:val="0"/>
    <w:pPr>
      <w:spacing w:after="120"/>
    </w:pPr>
    <w:rPr>
      <w:kern w:val="0"/>
      <w:sz w:val="20"/>
    </w:rPr>
  </w:style>
  <w:style w:type="character" w:customStyle="1" w:styleId="57">
    <w:name w:val="正文文本 Char"/>
    <w:link w:val="56"/>
    <w:autoRedefine/>
    <w:qFormat/>
    <w:uiPriority w:val="0"/>
    <w:rPr>
      <w:szCs w:val="24"/>
    </w:rPr>
  </w:style>
  <w:style w:type="paragraph" w:customStyle="1" w:styleId="58">
    <w:name w:val="正文文本缩进1"/>
    <w:basedOn w:val="1"/>
    <w:autoRedefine/>
    <w:qFormat/>
    <w:uiPriority w:val="0"/>
    <w:pPr>
      <w:spacing w:before="100" w:beforeAutospacing="1" w:after="120"/>
      <w:ind w:left="420" w:leftChars="200"/>
    </w:pPr>
    <w:rPr>
      <w:sz w:val="20"/>
      <w:szCs w:val="20"/>
    </w:rPr>
  </w:style>
  <w:style w:type="paragraph" w:customStyle="1" w:styleId="59">
    <w:name w:val="索引 41"/>
    <w:basedOn w:val="1"/>
    <w:autoRedefine/>
    <w:qFormat/>
    <w:uiPriority w:val="0"/>
    <w:pPr>
      <w:ind w:left="600" w:leftChars="600"/>
    </w:pPr>
  </w:style>
  <w:style w:type="paragraph" w:customStyle="1" w:styleId="60">
    <w:name w:val="目录 51"/>
    <w:basedOn w:val="1"/>
    <w:autoRedefine/>
    <w:qFormat/>
    <w:uiPriority w:val="0"/>
    <w:pPr>
      <w:ind w:left="840"/>
      <w:jc w:val="left"/>
    </w:pPr>
    <w:rPr>
      <w:sz w:val="18"/>
      <w:szCs w:val="18"/>
    </w:rPr>
  </w:style>
  <w:style w:type="paragraph" w:customStyle="1" w:styleId="61">
    <w:name w:val="目录 31"/>
    <w:basedOn w:val="1"/>
    <w:autoRedefine/>
    <w:qFormat/>
    <w:uiPriority w:val="0"/>
    <w:pPr>
      <w:ind w:left="420"/>
      <w:jc w:val="left"/>
    </w:pPr>
    <w:rPr>
      <w:i/>
      <w:iCs/>
      <w:sz w:val="20"/>
      <w:szCs w:val="20"/>
    </w:rPr>
  </w:style>
  <w:style w:type="paragraph" w:customStyle="1" w:styleId="62">
    <w:name w:val="纯文本11"/>
    <w:basedOn w:val="1"/>
    <w:link w:val="63"/>
    <w:autoRedefine/>
    <w:qFormat/>
    <w:uiPriority w:val="0"/>
    <w:rPr>
      <w:rFonts w:ascii="宋体" w:hAnsi="Courier New"/>
      <w:kern w:val="0"/>
      <w:sz w:val="20"/>
      <w:szCs w:val="21"/>
    </w:rPr>
  </w:style>
  <w:style w:type="character" w:customStyle="1" w:styleId="63">
    <w:name w:val="纯文本 Char1"/>
    <w:link w:val="62"/>
    <w:autoRedefine/>
    <w:qFormat/>
    <w:uiPriority w:val="0"/>
    <w:rPr>
      <w:rFonts w:ascii="宋体" w:hAnsi="Courier New"/>
      <w:szCs w:val="21"/>
    </w:rPr>
  </w:style>
  <w:style w:type="paragraph" w:customStyle="1" w:styleId="64">
    <w:name w:val="目录 81"/>
    <w:basedOn w:val="1"/>
    <w:autoRedefine/>
    <w:qFormat/>
    <w:uiPriority w:val="0"/>
    <w:pPr>
      <w:ind w:left="1470"/>
      <w:jc w:val="left"/>
    </w:pPr>
    <w:rPr>
      <w:sz w:val="18"/>
      <w:szCs w:val="18"/>
    </w:rPr>
  </w:style>
  <w:style w:type="paragraph" w:customStyle="1" w:styleId="65">
    <w:name w:val="日期1"/>
    <w:basedOn w:val="1"/>
    <w:link w:val="66"/>
    <w:autoRedefine/>
    <w:qFormat/>
    <w:uiPriority w:val="0"/>
    <w:pPr>
      <w:ind w:left="100" w:leftChars="2500"/>
    </w:pPr>
    <w:rPr>
      <w:kern w:val="0"/>
      <w:sz w:val="20"/>
    </w:rPr>
  </w:style>
  <w:style w:type="character" w:customStyle="1" w:styleId="66">
    <w:name w:val="日期 Char"/>
    <w:link w:val="65"/>
    <w:autoRedefine/>
    <w:qFormat/>
    <w:uiPriority w:val="0"/>
    <w:rPr>
      <w:szCs w:val="24"/>
    </w:rPr>
  </w:style>
  <w:style w:type="paragraph" w:customStyle="1" w:styleId="67">
    <w:name w:val="正文文本缩进 21"/>
    <w:basedOn w:val="1"/>
    <w:link w:val="68"/>
    <w:autoRedefine/>
    <w:qFormat/>
    <w:uiPriority w:val="0"/>
    <w:pPr>
      <w:widowControl/>
      <w:spacing w:after="120" w:line="480" w:lineRule="auto"/>
      <w:ind w:left="420" w:leftChars="200"/>
      <w:jc w:val="left"/>
    </w:pPr>
    <w:rPr>
      <w:kern w:val="0"/>
      <w:sz w:val="24"/>
    </w:rPr>
  </w:style>
  <w:style w:type="character" w:customStyle="1" w:styleId="68">
    <w:name w:val="正文文本缩进 2 Char"/>
    <w:link w:val="67"/>
    <w:autoRedefine/>
    <w:qFormat/>
    <w:uiPriority w:val="0"/>
    <w:rPr>
      <w:sz w:val="24"/>
      <w:szCs w:val="24"/>
    </w:rPr>
  </w:style>
  <w:style w:type="paragraph" w:customStyle="1" w:styleId="69">
    <w:name w:val="批注框文本1"/>
    <w:basedOn w:val="1"/>
    <w:link w:val="70"/>
    <w:autoRedefine/>
    <w:qFormat/>
    <w:uiPriority w:val="0"/>
    <w:rPr>
      <w:kern w:val="0"/>
      <w:sz w:val="18"/>
      <w:szCs w:val="18"/>
    </w:rPr>
  </w:style>
  <w:style w:type="character" w:customStyle="1" w:styleId="70">
    <w:name w:val="批注框文本 Char"/>
    <w:link w:val="69"/>
    <w:autoRedefine/>
    <w:qFormat/>
    <w:uiPriority w:val="0"/>
    <w:rPr>
      <w:sz w:val="18"/>
      <w:szCs w:val="18"/>
    </w:rPr>
  </w:style>
  <w:style w:type="paragraph" w:customStyle="1" w:styleId="71">
    <w:name w:val="页脚1"/>
    <w:basedOn w:val="1"/>
    <w:link w:val="72"/>
    <w:autoRedefine/>
    <w:qFormat/>
    <w:uiPriority w:val="0"/>
    <w:pPr>
      <w:tabs>
        <w:tab w:val="center" w:pos="4153"/>
        <w:tab w:val="right" w:pos="8306"/>
      </w:tabs>
      <w:snapToGrid w:val="0"/>
      <w:jc w:val="left"/>
    </w:pPr>
    <w:rPr>
      <w:kern w:val="0"/>
      <w:sz w:val="18"/>
      <w:szCs w:val="18"/>
    </w:rPr>
  </w:style>
  <w:style w:type="character" w:customStyle="1" w:styleId="72">
    <w:name w:val="页脚 Char"/>
    <w:link w:val="71"/>
    <w:autoRedefine/>
    <w:qFormat/>
    <w:uiPriority w:val="0"/>
    <w:rPr>
      <w:sz w:val="18"/>
      <w:szCs w:val="18"/>
    </w:rPr>
  </w:style>
  <w:style w:type="paragraph" w:customStyle="1" w:styleId="73">
    <w:name w:val="寄信人地址1"/>
    <w:basedOn w:val="1"/>
    <w:autoRedefine/>
    <w:qFormat/>
    <w:uiPriority w:val="0"/>
    <w:pPr>
      <w:snapToGrid w:val="0"/>
    </w:pPr>
    <w:rPr>
      <w:rFonts w:ascii="Arial" w:hAnsi="Arial"/>
    </w:rPr>
  </w:style>
  <w:style w:type="paragraph" w:customStyle="1" w:styleId="74">
    <w:name w:val="页眉1"/>
    <w:basedOn w:val="1"/>
    <w:link w:val="75"/>
    <w:autoRedefine/>
    <w:qFormat/>
    <w:uiPriority w:val="0"/>
    <w:pPr>
      <w:pBdr>
        <w:bottom w:val="single" w:color="000000" w:sz="6" w:space="1"/>
      </w:pBdr>
      <w:tabs>
        <w:tab w:val="center" w:pos="4153"/>
        <w:tab w:val="right" w:pos="8306"/>
      </w:tabs>
      <w:snapToGrid w:val="0"/>
      <w:jc w:val="center"/>
    </w:pPr>
    <w:rPr>
      <w:kern w:val="0"/>
      <w:sz w:val="18"/>
      <w:szCs w:val="18"/>
    </w:rPr>
  </w:style>
  <w:style w:type="character" w:customStyle="1" w:styleId="75">
    <w:name w:val="页眉 Char"/>
    <w:link w:val="74"/>
    <w:autoRedefine/>
    <w:qFormat/>
    <w:uiPriority w:val="0"/>
    <w:rPr>
      <w:sz w:val="18"/>
      <w:szCs w:val="18"/>
    </w:rPr>
  </w:style>
  <w:style w:type="paragraph" w:customStyle="1" w:styleId="76">
    <w:name w:val="目录 11"/>
    <w:basedOn w:val="1"/>
    <w:autoRedefine/>
    <w:qFormat/>
    <w:uiPriority w:val="0"/>
    <w:pPr>
      <w:spacing w:before="120" w:after="120"/>
      <w:jc w:val="left"/>
    </w:pPr>
    <w:rPr>
      <w:b/>
      <w:bCs/>
      <w:caps/>
      <w:sz w:val="20"/>
      <w:szCs w:val="20"/>
    </w:rPr>
  </w:style>
  <w:style w:type="paragraph" w:customStyle="1" w:styleId="77">
    <w:name w:val="目录 41"/>
    <w:basedOn w:val="1"/>
    <w:autoRedefine/>
    <w:qFormat/>
    <w:uiPriority w:val="0"/>
    <w:pPr>
      <w:ind w:left="630"/>
      <w:jc w:val="left"/>
    </w:pPr>
    <w:rPr>
      <w:sz w:val="18"/>
      <w:szCs w:val="18"/>
    </w:rPr>
  </w:style>
  <w:style w:type="paragraph" w:customStyle="1" w:styleId="78">
    <w:name w:val="副标题1"/>
    <w:basedOn w:val="1"/>
    <w:link w:val="79"/>
    <w:autoRedefine/>
    <w:qFormat/>
    <w:uiPriority w:val="0"/>
    <w:pPr>
      <w:spacing w:before="240" w:after="60" w:line="312" w:lineRule="auto"/>
      <w:jc w:val="center"/>
      <w:outlineLvl w:val="1"/>
    </w:pPr>
    <w:rPr>
      <w:rFonts w:ascii="Cambria" w:hAnsi="Cambria"/>
      <w:b/>
      <w:bCs/>
      <w:kern w:val="28"/>
      <w:sz w:val="32"/>
      <w:szCs w:val="32"/>
    </w:rPr>
  </w:style>
  <w:style w:type="character" w:customStyle="1" w:styleId="79">
    <w:name w:val="副标题 Char"/>
    <w:link w:val="78"/>
    <w:autoRedefine/>
    <w:qFormat/>
    <w:uiPriority w:val="0"/>
    <w:rPr>
      <w:rFonts w:ascii="Cambria" w:hAnsi="Cambria"/>
      <w:b/>
      <w:bCs/>
      <w:kern w:val="28"/>
      <w:sz w:val="32"/>
      <w:szCs w:val="32"/>
    </w:rPr>
  </w:style>
  <w:style w:type="paragraph" w:customStyle="1" w:styleId="80">
    <w:name w:val="脚注文本1"/>
    <w:basedOn w:val="1"/>
    <w:autoRedefine/>
    <w:qFormat/>
    <w:uiPriority w:val="0"/>
    <w:rPr>
      <w:kern w:val="0"/>
      <w:sz w:val="20"/>
      <w:szCs w:val="20"/>
    </w:rPr>
  </w:style>
  <w:style w:type="paragraph" w:customStyle="1" w:styleId="81">
    <w:name w:val="目录 61"/>
    <w:basedOn w:val="1"/>
    <w:autoRedefine/>
    <w:qFormat/>
    <w:uiPriority w:val="0"/>
    <w:pPr>
      <w:ind w:left="1050"/>
      <w:jc w:val="left"/>
    </w:pPr>
    <w:rPr>
      <w:sz w:val="18"/>
      <w:szCs w:val="18"/>
    </w:rPr>
  </w:style>
  <w:style w:type="paragraph" w:customStyle="1" w:styleId="82">
    <w:name w:val="正文文本缩进 31"/>
    <w:basedOn w:val="1"/>
    <w:link w:val="83"/>
    <w:autoRedefine/>
    <w:qFormat/>
    <w:uiPriority w:val="0"/>
    <w:pPr>
      <w:spacing w:after="120"/>
      <w:ind w:left="420" w:leftChars="200"/>
    </w:pPr>
    <w:rPr>
      <w:kern w:val="0"/>
      <w:sz w:val="16"/>
      <w:szCs w:val="20"/>
    </w:rPr>
  </w:style>
  <w:style w:type="character" w:customStyle="1" w:styleId="83">
    <w:name w:val="正文文本缩进 3 Char"/>
    <w:link w:val="82"/>
    <w:autoRedefine/>
    <w:qFormat/>
    <w:uiPriority w:val="0"/>
    <w:rPr>
      <w:sz w:val="16"/>
    </w:rPr>
  </w:style>
  <w:style w:type="paragraph" w:customStyle="1" w:styleId="84">
    <w:name w:val="目录 21"/>
    <w:basedOn w:val="1"/>
    <w:autoRedefine/>
    <w:qFormat/>
    <w:uiPriority w:val="0"/>
    <w:pPr>
      <w:ind w:left="210"/>
      <w:jc w:val="left"/>
    </w:pPr>
    <w:rPr>
      <w:sz w:val="20"/>
      <w:szCs w:val="20"/>
    </w:rPr>
  </w:style>
  <w:style w:type="paragraph" w:customStyle="1" w:styleId="85">
    <w:name w:val="目录 91"/>
    <w:basedOn w:val="1"/>
    <w:autoRedefine/>
    <w:qFormat/>
    <w:uiPriority w:val="0"/>
    <w:pPr>
      <w:ind w:left="1680"/>
      <w:jc w:val="left"/>
    </w:pPr>
    <w:rPr>
      <w:sz w:val="18"/>
      <w:szCs w:val="18"/>
    </w:rPr>
  </w:style>
  <w:style w:type="paragraph" w:customStyle="1" w:styleId="86">
    <w:name w:val="信息标题11"/>
    <w:basedOn w:val="1"/>
    <w:link w:val="87"/>
    <w:autoRedefine/>
    <w:qFormat/>
    <w:uiPriority w:val="0"/>
    <w:pPr>
      <w:pBdr>
        <w:top w:val="single" w:color="000000" w:sz="6" w:space="1"/>
        <w:left w:val="single" w:color="000000" w:sz="6" w:space="1"/>
        <w:bottom w:val="single" w:color="000000" w:sz="6" w:space="1"/>
        <w:right w:val="single" w:color="000000" w:sz="6" w:space="1"/>
      </w:pBdr>
      <w:shd w:val="clear" w:color="auto" w:fill="7F7F7F"/>
      <w:spacing w:before="100" w:beforeAutospacing="1" w:after="100" w:afterAutospacing="1"/>
      <w:ind w:left="1080" w:leftChars="500" w:hanging="1080" w:hangingChars="500"/>
    </w:pPr>
    <w:rPr>
      <w:rFonts w:ascii="Cambria" w:hAnsi="Cambria"/>
      <w:sz w:val="24"/>
    </w:rPr>
  </w:style>
  <w:style w:type="character" w:customStyle="1" w:styleId="87">
    <w:name w:val="信息标题 Char"/>
    <w:link w:val="86"/>
    <w:autoRedefine/>
    <w:qFormat/>
    <w:uiPriority w:val="0"/>
    <w:rPr>
      <w:rFonts w:ascii="Cambria" w:hAnsi="Cambria"/>
      <w:kern w:val="2"/>
      <w:sz w:val="24"/>
      <w:szCs w:val="24"/>
      <w:shd w:val="clear" w:color="auto" w:fill="7F7F7F"/>
    </w:rPr>
  </w:style>
  <w:style w:type="paragraph" w:customStyle="1" w:styleId="88">
    <w:name w:val="HTML 预设格式1"/>
    <w:basedOn w:val="1"/>
    <w:link w:val="89"/>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character" w:customStyle="1" w:styleId="89">
    <w:name w:val="HTML 预设格式 Char"/>
    <w:link w:val="88"/>
    <w:autoRedefine/>
    <w:qFormat/>
    <w:uiPriority w:val="0"/>
    <w:rPr>
      <w:rFonts w:ascii="Arial" w:hAnsi="Arial"/>
      <w:sz w:val="24"/>
      <w:szCs w:val="24"/>
    </w:rPr>
  </w:style>
  <w:style w:type="paragraph" w:customStyle="1" w:styleId="90">
    <w:name w:val="普通(网站)1"/>
    <w:basedOn w:val="1"/>
    <w:autoRedefine/>
    <w:qFormat/>
    <w:uiPriority w:val="0"/>
    <w:pPr>
      <w:widowControl/>
      <w:spacing w:before="100" w:beforeAutospacing="1" w:after="100" w:afterAutospacing="1"/>
      <w:jc w:val="left"/>
    </w:pPr>
    <w:rPr>
      <w:rFonts w:ascii="宋体" w:hAnsi="宋体"/>
      <w:kern w:val="0"/>
      <w:sz w:val="24"/>
    </w:rPr>
  </w:style>
  <w:style w:type="paragraph" w:customStyle="1" w:styleId="91">
    <w:name w:val="标题1"/>
    <w:basedOn w:val="1"/>
    <w:link w:val="92"/>
    <w:autoRedefine/>
    <w:qFormat/>
    <w:uiPriority w:val="0"/>
    <w:pPr>
      <w:spacing w:before="240" w:after="60" w:line="420" w:lineRule="atLeast"/>
      <w:jc w:val="center"/>
      <w:outlineLvl w:val="0"/>
    </w:pPr>
    <w:rPr>
      <w:rFonts w:ascii="Arial" w:hAnsi="Arial"/>
      <w:b/>
      <w:kern w:val="0"/>
      <w:sz w:val="32"/>
      <w:szCs w:val="20"/>
    </w:rPr>
  </w:style>
  <w:style w:type="character" w:customStyle="1" w:styleId="92">
    <w:name w:val="标题 Char"/>
    <w:link w:val="91"/>
    <w:autoRedefine/>
    <w:qFormat/>
    <w:uiPriority w:val="0"/>
    <w:rPr>
      <w:rFonts w:ascii="Arial" w:hAnsi="Arial"/>
      <w:b/>
      <w:sz w:val="32"/>
    </w:rPr>
  </w:style>
  <w:style w:type="paragraph" w:customStyle="1" w:styleId="93">
    <w:name w:val="批注主题1"/>
    <w:basedOn w:val="52"/>
    <w:link w:val="94"/>
    <w:autoRedefine/>
    <w:qFormat/>
    <w:uiPriority w:val="0"/>
    <w:rPr>
      <w:b/>
      <w:bCs/>
    </w:rPr>
  </w:style>
  <w:style w:type="character" w:customStyle="1" w:styleId="94">
    <w:name w:val="批注主题 Char"/>
    <w:link w:val="93"/>
    <w:autoRedefine/>
    <w:qFormat/>
    <w:uiPriority w:val="0"/>
    <w:rPr>
      <w:b/>
      <w:bCs/>
      <w:szCs w:val="24"/>
    </w:rPr>
  </w:style>
  <w:style w:type="paragraph" w:customStyle="1" w:styleId="95">
    <w:name w:val="正文首行缩进1"/>
    <w:basedOn w:val="56"/>
    <w:autoRedefine/>
    <w:qFormat/>
    <w:uiPriority w:val="0"/>
    <w:pPr>
      <w:ind w:firstLine="420"/>
    </w:pPr>
    <w:rPr>
      <w:sz w:val="32"/>
    </w:rPr>
  </w:style>
  <w:style w:type="paragraph" w:customStyle="1" w:styleId="96">
    <w:name w:val="正文首行缩进 21"/>
    <w:basedOn w:val="58"/>
    <w:autoRedefine/>
    <w:qFormat/>
    <w:uiPriority w:val="0"/>
    <w:pPr>
      <w:keepNext w:val="0"/>
      <w:keepLines w:val="0"/>
      <w:widowControl/>
      <w:suppressLineNumbers w:val="0"/>
      <w:spacing w:before="100" w:beforeAutospacing="1" w:after="100" w:afterAutospacing="1"/>
      <w:ind w:left="420" w:leftChars="200" w:right="0" w:firstLine="200" w:firstLineChars="200"/>
      <w:jc w:val="left"/>
    </w:pPr>
    <w:rPr>
      <w:rFonts w:ascii="Times New Roman" w:hAnsi="Times New Roman" w:eastAsia="宋体"/>
      <w:kern w:val="2"/>
      <w:sz w:val="28"/>
      <w:szCs w:val="28"/>
      <w:lang w:val="en-US" w:eastAsia="zh-CN" w:bidi="ar"/>
    </w:rPr>
  </w:style>
  <w:style w:type="character" w:customStyle="1" w:styleId="97">
    <w:name w:val="要点1"/>
    <w:link w:val="1"/>
    <w:autoRedefine/>
    <w:qFormat/>
    <w:uiPriority w:val="0"/>
    <w:rPr>
      <w:b/>
      <w:bCs/>
    </w:rPr>
  </w:style>
  <w:style w:type="character" w:customStyle="1" w:styleId="98">
    <w:name w:val="页码1"/>
    <w:link w:val="1"/>
    <w:autoRedefine/>
    <w:qFormat/>
    <w:uiPriority w:val="0"/>
  </w:style>
  <w:style w:type="character" w:customStyle="1" w:styleId="99">
    <w:name w:val="已访问的超链接1"/>
    <w:link w:val="1"/>
    <w:autoRedefine/>
    <w:qFormat/>
    <w:uiPriority w:val="0"/>
    <w:rPr>
      <w:color w:val="800080"/>
      <w:u w:val="none"/>
    </w:rPr>
  </w:style>
  <w:style w:type="character" w:customStyle="1" w:styleId="100">
    <w:name w:val="强调1"/>
    <w:link w:val="1"/>
    <w:autoRedefine/>
    <w:qFormat/>
    <w:uiPriority w:val="0"/>
  </w:style>
  <w:style w:type="character" w:customStyle="1" w:styleId="101">
    <w:name w:val="HTML 定义1"/>
    <w:link w:val="1"/>
    <w:autoRedefine/>
    <w:qFormat/>
    <w:uiPriority w:val="0"/>
  </w:style>
  <w:style w:type="character" w:customStyle="1" w:styleId="102">
    <w:name w:val="HTML 打字机1"/>
    <w:link w:val="1"/>
    <w:autoRedefine/>
    <w:qFormat/>
    <w:uiPriority w:val="0"/>
    <w:rPr>
      <w:rFonts w:ascii="monospace" w:hAnsi="monospace" w:eastAsia="monospace"/>
      <w:sz w:val="20"/>
    </w:rPr>
  </w:style>
  <w:style w:type="character" w:customStyle="1" w:styleId="103">
    <w:name w:val="HTML 缩写1"/>
    <w:basedOn w:val="35"/>
    <w:link w:val="1"/>
    <w:autoRedefine/>
    <w:qFormat/>
    <w:uiPriority w:val="0"/>
  </w:style>
  <w:style w:type="character" w:customStyle="1" w:styleId="104">
    <w:name w:val="HTML 变量1"/>
    <w:link w:val="1"/>
    <w:autoRedefine/>
    <w:qFormat/>
    <w:uiPriority w:val="0"/>
  </w:style>
  <w:style w:type="character" w:customStyle="1" w:styleId="105">
    <w:name w:val="超链接1"/>
    <w:link w:val="1"/>
    <w:autoRedefine/>
    <w:qFormat/>
    <w:uiPriority w:val="0"/>
    <w:rPr>
      <w:color w:val="0000FF"/>
      <w:u w:val="none"/>
    </w:rPr>
  </w:style>
  <w:style w:type="character" w:customStyle="1" w:styleId="106">
    <w:name w:val="HTML 代码1"/>
    <w:link w:val="1"/>
    <w:autoRedefine/>
    <w:qFormat/>
    <w:uiPriority w:val="0"/>
    <w:rPr>
      <w:rFonts w:ascii="monospace" w:hAnsi="monospace" w:eastAsia="monospace"/>
      <w:sz w:val="20"/>
    </w:rPr>
  </w:style>
  <w:style w:type="character" w:customStyle="1" w:styleId="107">
    <w:name w:val="批注引用1"/>
    <w:link w:val="1"/>
    <w:autoRedefine/>
    <w:qFormat/>
    <w:uiPriority w:val="0"/>
    <w:rPr>
      <w:sz w:val="21"/>
      <w:szCs w:val="21"/>
    </w:rPr>
  </w:style>
  <w:style w:type="character" w:customStyle="1" w:styleId="108">
    <w:name w:val="HTML 引文1"/>
    <w:link w:val="1"/>
    <w:autoRedefine/>
    <w:qFormat/>
    <w:uiPriority w:val="0"/>
  </w:style>
  <w:style w:type="character" w:customStyle="1" w:styleId="109">
    <w:name w:val="HTML 键盘1"/>
    <w:link w:val="1"/>
    <w:autoRedefine/>
    <w:qFormat/>
    <w:uiPriority w:val="0"/>
    <w:rPr>
      <w:rFonts w:ascii="monospace" w:hAnsi="monospace" w:eastAsia="monospace"/>
      <w:sz w:val="20"/>
    </w:rPr>
  </w:style>
  <w:style w:type="character" w:customStyle="1" w:styleId="110">
    <w:name w:val="HTML 样本1"/>
    <w:link w:val="1"/>
    <w:autoRedefine/>
    <w:qFormat/>
    <w:uiPriority w:val="0"/>
    <w:rPr>
      <w:rFonts w:ascii="monospace" w:hAnsi="monospace" w:eastAsia="monospace"/>
    </w:rPr>
  </w:style>
  <w:style w:type="character" w:customStyle="1" w:styleId="111">
    <w:name w:val="Default Char Char"/>
    <w:link w:val="9"/>
    <w:autoRedefine/>
    <w:qFormat/>
    <w:uiPriority w:val="0"/>
    <w:rPr>
      <w:rFonts w:ascii="宋体"/>
      <w:color w:val="000000"/>
      <w:sz w:val="24"/>
      <w:szCs w:val="24"/>
      <w:lang w:val="en-US" w:eastAsia="zh-CN" w:bidi="ar-SA"/>
    </w:rPr>
  </w:style>
  <w:style w:type="paragraph" w:customStyle="1" w:styleId="112">
    <w:name w:val="大标题"/>
    <w:basedOn w:val="1"/>
    <w:autoRedefine/>
    <w:qFormat/>
    <w:uiPriority w:val="0"/>
    <w:pPr>
      <w:pageBreakBefore/>
      <w:spacing w:after="200" w:line="720" w:lineRule="auto"/>
      <w:jc w:val="center"/>
      <w:outlineLvl w:val="0"/>
    </w:pPr>
    <w:rPr>
      <w:rFonts w:ascii="黑体" w:hAnsi="Calibri" w:eastAsia="黑体"/>
      <w:sz w:val="32"/>
      <w:szCs w:val="30"/>
      <w:lang w:eastAsia="en-US" w:bidi="en-US"/>
    </w:rPr>
  </w:style>
  <w:style w:type="paragraph" w:customStyle="1" w:styleId="113">
    <w:name w:val="信息标题1"/>
    <w:basedOn w:val="1"/>
    <w:autoRedefine/>
    <w:qFormat/>
    <w:uiPriority w:val="0"/>
    <w:pPr>
      <w:pBdr>
        <w:top w:val="single" w:color="000000" w:sz="6" w:space="1"/>
        <w:left w:val="single" w:color="000000" w:sz="6" w:space="1"/>
        <w:bottom w:val="single" w:color="000000" w:sz="6" w:space="1"/>
        <w:right w:val="single" w:color="000000" w:sz="6" w:space="1"/>
      </w:pBdr>
      <w:shd w:val="pct20" w:color="auto" w:fill="auto"/>
      <w:ind w:left="1080" w:leftChars="500" w:hanging="1080" w:hangingChars="500"/>
    </w:pPr>
    <w:rPr>
      <w:rFonts w:ascii="Cambria" w:hAnsi="Cambria"/>
      <w:shd w:val="pct20" w:color="auto" w:fill="auto"/>
    </w:rPr>
  </w:style>
  <w:style w:type="character" w:customStyle="1" w:styleId="114">
    <w:name w:val="layui-this4"/>
    <w:link w:val="1"/>
    <w:autoRedefine/>
    <w:qFormat/>
    <w:uiPriority w:val="0"/>
    <w:rPr>
      <w:bdr w:val="single" w:color="000000" w:sz="6" w:space="0"/>
      <w:shd w:val="clear" w:color="auto" w:fill="FFFFFF"/>
    </w:rPr>
  </w:style>
  <w:style w:type="character" w:customStyle="1" w:styleId="115">
    <w:name w:val="Intense Quote Char"/>
    <w:link w:val="1"/>
    <w:autoRedefine/>
    <w:qFormat/>
    <w:uiPriority w:val="0"/>
    <w:rPr>
      <w:b/>
      <w:i/>
      <w:color w:val="4F81BD"/>
      <w:kern w:val="2"/>
      <w:sz w:val="22"/>
    </w:rPr>
  </w:style>
  <w:style w:type="character" w:customStyle="1" w:styleId="116">
    <w:name w:val="样式 标书正文 + 下划线 Char"/>
    <w:link w:val="1"/>
    <w:autoRedefine/>
    <w:qFormat/>
    <w:uiPriority w:val="0"/>
    <w:rPr>
      <w:rFonts w:eastAsia="Times New Roman"/>
      <w:kern w:val="2"/>
      <w:sz w:val="28"/>
      <w:u w:val="single"/>
      <w:lang w:val="en-US" w:eastAsia="zh-CN"/>
    </w:rPr>
  </w:style>
  <w:style w:type="character" w:customStyle="1" w:styleId="117">
    <w:name w:val="mail-contents"/>
    <w:link w:val="1"/>
    <w:autoRedefine/>
    <w:qFormat/>
    <w:uiPriority w:val="0"/>
  </w:style>
  <w:style w:type="character" w:customStyle="1" w:styleId="118">
    <w:name w:val="hover"/>
    <w:link w:val="1"/>
    <w:autoRedefine/>
    <w:qFormat/>
    <w:uiPriority w:val="0"/>
  </w:style>
  <w:style w:type="character" w:customStyle="1" w:styleId="119">
    <w:name w:val="日期 Char2"/>
    <w:link w:val="1"/>
    <w:autoRedefine/>
    <w:semiHidden/>
    <w:qFormat/>
    <w:uiPriority w:val="0"/>
    <w:rPr>
      <w:kern w:val="2"/>
      <w:sz w:val="21"/>
      <w:szCs w:val="24"/>
    </w:rPr>
  </w:style>
  <w:style w:type="character" w:customStyle="1" w:styleId="120">
    <w:name w:val="标题 Char1"/>
    <w:link w:val="1"/>
    <w:autoRedefine/>
    <w:qFormat/>
    <w:uiPriority w:val="0"/>
    <w:rPr>
      <w:rFonts w:ascii="Cambria" w:hAnsi="Cambria" w:eastAsia="宋体"/>
      <w:b/>
      <w:bCs/>
      <w:sz w:val="32"/>
      <w:szCs w:val="32"/>
    </w:rPr>
  </w:style>
  <w:style w:type="character" w:customStyle="1" w:styleId="121">
    <w:name w:val="icon_ds1"/>
    <w:link w:val="1"/>
    <w:autoRedefine/>
    <w:qFormat/>
    <w:uiPriority w:val="0"/>
    <w:rPr>
      <w:sz w:val="21"/>
      <w:szCs w:val="21"/>
    </w:rPr>
  </w:style>
  <w:style w:type="character" w:customStyle="1" w:styleId="122">
    <w:name w:val="layui-this"/>
    <w:link w:val="1"/>
    <w:autoRedefine/>
    <w:qFormat/>
    <w:uiPriority w:val="0"/>
    <w:rPr>
      <w:bdr w:val="single" w:color="000000" w:sz="6" w:space="0"/>
      <w:shd w:val="clear" w:color="auto" w:fill="FFFFFF"/>
    </w:rPr>
  </w:style>
  <w:style w:type="character" w:customStyle="1" w:styleId="123">
    <w:name w:val="批注文字 Char2"/>
    <w:link w:val="1"/>
    <w:autoRedefine/>
    <w:semiHidden/>
    <w:qFormat/>
    <w:uiPriority w:val="0"/>
    <w:rPr>
      <w:kern w:val="2"/>
      <w:sz w:val="21"/>
      <w:szCs w:val="24"/>
    </w:rPr>
  </w:style>
  <w:style w:type="character" w:customStyle="1" w:styleId="124">
    <w:name w:val="明显引用 Char"/>
    <w:link w:val="125"/>
    <w:autoRedefine/>
    <w:qFormat/>
    <w:uiPriority w:val="0"/>
    <w:rPr>
      <w:b/>
      <w:bCs/>
      <w:i/>
      <w:iCs/>
      <w:color w:val="4F81BD"/>
    </w:rPr>
  </w:style>
  <w:style w:type="paragraph" w:customStyle="1" w:styleId="125">
    <w:name w:val="明显引用1"/>
    <w:basedOn w:val="1"/>
    <w:link w:val="124"/>
    <w:autoRedefine/>
    <w:qFormat/>
    <w:uiPriority w:val="0"/>
    <w:pPr>
      <w:pBdr>
        <w:bottom w:val="single" w:color="4F81BD" w:sz="4" w:space="4"/>
      </w:pBdr>
      <w:spacing w:before="200" w:after="280"/>
      <w:ind w:left="936" w:right="936"/>
    </w:pPr>
    <w:rPr>
      <w:b/>
      <w:bCs/>
      <w:i/>
      <w:iCs/>
      <w:color w:val="4F81BD"/>
      <w:kern w:val="0"/>
      <w:sz w:val="20"/>
      <w:szCs w:val="20"/>
    </w:rPr>
  </w:style>
  <w:style w:type="character" w:customStyle="1" w:styleId="126">
    <w:name w:val="批注文字 Char"/>
    <w:link w:val="1"/>
    <w:autoRedefine/>
    <w:qFormat/>
    <w:uiPriority w:val="0"/>
    <w:rPr>
      <w:rFonts w:eastAsia="宋体"/>
      <w:kern w:val="2"/>
      <w:sz w:val="21"/>
      <w:szCs w:val="24"/>
      <w:lang w:val="en-US" w:eastAsia="zh-CN" w:bidi="ar-SA"/>
    </w:rPr>
  </w:style>
  <w:style w:type="character" w:customStyle="1" w:styleId="127">
    <w:name w:val="页眉 Char1"/>
    <w:link w:val="1"/>
    <w:autoRedefine/>
    <w:semiHidden/>
    <w:qFormat/>
    <w:uiPriority w:val="0"/>
    <w:rPr>
      <w:kern w:val="2"/>
      <w:sz w:val="18"/>
      <w:szCs w:val="18"/>
    </w:rPr>
  </w:style>
  <w:style w:type="character" w:customStyle="1" w:styleId="128">
    <w:name w:val="批注框文本 Char2"/>
    <w:link w:val="1"/>
    <w:autoRedefine/>
    <w:semiHidden/>
    <w:qFormat/>
    <w:uiPriority w:val="0"/>
    <w:rPr>
      <w:kern w:val="2"/>
      <w:sz w:val="18"/>
      <w:szCs w:val="18"/>
    </w:rPr>
  </w:style>
  <w:style w:type="character" w:customStyle="1" w:styleId="129">
    <w:name w:val="Quote Char"/>
    <w:link w:val="1"/>
    <w:autoRedefine/>
    <w:qFormat/>
    <w:uiPriority w:val="0"/>
    <w:rPr>
      <w:i/>
      <w:color w:val="000000"/>
      <w:kern w:val="2"/>
      <w:sz w:val="22"/>
    </w:rPr>
  </w:style>
  <w:style w:type="character" w:customStyle="1" w:styleId="130">
    <w:name w:val="hover17"/>
    <w:link w:val="1"/>
    <w:autoRedefine/>
    <w:qFormat/>
    <w:uiPriority w:val="0"/>
  </w:style>
  <w:style w:type="character" w:customStyle="1" w:styleId="131">
    <w:name w:val="hover3"/>
    <w:link w:val="1"/>
    <w:autoRedefine/>
    <w:qFormat/>
    <w:uiPriority w:val="0"/>
  </w:style>
  <w:style w:type="character" w:customStyle="1" w:styleId="132">
    <w:name w:val="hover35"/>
    <w:link w:val="1"/>
    <w:autoRedefine/>
    <w:qFormat/>
    <w:uiPriority w:val="0"/>
    <w:rPr>
      <w:color w:val="5FB878"/>
    </w:rPr>
  </w:style>
  <w:style w:type="character" w:customStyle="1" w:styleId="133">
    <w:name w:val="页脚 Char1"/>
    <w:link w:val="1"/>
    <w:autoRedefine/>
    <w:semiHidden/>
    <w:qFormat/>
    <w:uiPriority w:val="0"/>
    <w:rPr>
      <w:kern w:val="2"/>
      <w:sz w:val="18"/>
      <w:szCs w:val="18"/>
    </w:rPr>
  </w:style>
  <w:style w:type="character" w:customStyle="1" w:styleId="134">
    <w:name w:val="fr"/>
    <w:link w:val="1"/>
    <w:autoRedefine/>
    <w:qFormat/>
    <w:uiPriority w:val="0"/>
  </w:style>
  <w:style w:type="character" w:customStyle="1" w:styleId="135">
    <w:name w:val="正文文本缩进 2 Char2"/>
    <w:link w:val="1"/>
    <w:autoRedefine/>
    <w:semiHidden/>
    <w:qFormat/>
    <w:uiPriority w:val="0"/>
    <w:rPr>
      <w:kern w:val="2"/>
      <w:sz w:val="21"/>
      <w:szCs w:val="24"/>
    </w:rPr>
  </w:style>
  <w:style w:type="character" w:customStyle="1" w:styleId="136">
    <w:name w:val="HTML 预设格式 Char2"/>
    <w:link w:val="1"/>
    <w:autoRedefine/>
    <w:semiHidden/>
    <w:qFormat/>
    <w:uiPriority w:val="0"/>
    <w:rPr>
      <w:rFonts w:ascii="Courier New" w:hAnsi="Courier New"/>
      <w:kern w:val="2"/>
    </w:rPr>
  </w:style>
  <w:style w:type="character" w:customStyle="1" w:styleId="137">
    <w:name w:val="hover36"/>
    <w:link w:val="1"/>
    <w:autoRedefine/>
    <w:qFormat/>
    <w:uiPriority w:val="0"/>
    <w:rPr>
      <w:color w:val="FFFFFF"/>
    </w:rPr>
  </w:style>
  <w:style w:type="character" w:customStyle="1" w:styleId="138">
    <w:name w:val="明显引用 Char1"/>
    <w:link w:val="1"/>
    <w:autoRedefine/>
    <w:qFormat/>
    <w:uiPriority w:val="0"/>
    <w:rPr>
      <w:rFonts w:ascii="Times New Roman" w:hAnsi="Times New Roman" w:eastAsia="宋体"/>
      <w:b/>
      <w:bCs/>
      <w:i/>
      <w:iCs/>
      <w:color w:val="4F81BD"/>
      <w:szCs w:val="24"/>
    </w:rPr>
  </w:style>
  <w:style w:type="character" w:customStyle="1" w:styleId="139">
    <w:name w:val="first-child"/>
    <w:link w:val="1"/>
    <w:autoRedefine/>
    <w:qFormat/>
    <w:uiPriority w:val="0"/>
  </w:style>
  <w:style w:type="character" w:customStyle="1" w:styleId="140">
    <w:name w:val="标题4 Char Char"/>
    <w:link w:val="141"/>
    <w:autoRedefine/>
    <w:qFormat/>
    <w:uiPriority w:val="0"/>
    <w:rPr>
      <w:rFonts w:ascii="Arial" w:hAnsi="Arial"/>
      <w:b/>
      <w:bCs/>
      <w:sz w:val="24"/>
      <w:szCs w:val="32"/>
    </w:rPr>
  </w:style>
  <w:style w:type="paragraph" w:customStyle="1" w:styleId="141">
    <w:name w:val="标题4"/>
    <w:basedOn w:val="27"/>
    <w:link w:val="140"/>
    <w:autoRedefine/>
    <w:qFormat/>
    <w:uiPriority w:val="0"/>
    <w:pPr>
      <w:spacing w:line="413" w:lineRule="auto"/>
    </w:pPr>
    <w:rPr>
      <w:rFonts w:eastAsia="宋体"/>
      <w:kern w:val="0"/>
      <w:sz w:val="24"/>
    </w:rPr>
  </w:style>
  <w:style w:type="character" w:customStyle="1" w:styleId="142">
    <w:name w:val="hover34"/>
    <w:link w:val="1"/>
    <w:autoRedefine/>
    <w:qFormat/>
    <w:uiPriority w:val="0"/>
    <w:rPr>
      <w:color w:val="5FB878"/>
    </w:rPr>
  </w:style>
  <w:style w:type="character" w:customStyle="1" w:styleId="143">
    <w:name w:val="Char Char16"/>
    <w:link w:val="1"/>
    <w:autoRedefine/>
    <w:qFormat/>
    <w:uiPriority w:val="0"/>
    <w:rPr>
      <w:rFonts w:eastAsia="宋体"/>
      <w:b/>
      <w:kern w:val="2"/>
      <w:sz w:val="32"/>
      <w:lang w:val="en-US" w:eastAsia="zh-CN"/>
    </w:rPr>
  </w:style>
  <w:style w:type="character" w:customStyle="1" w:styleId="144">
    <w:name w:val="引用 Char"/>
    <w:link w:val="145"/>
    <w:autoRedefine/>
    <w:qFormat/>
    <w:uiPriority w:val="0"/>
    <w:rPr>
      <w:i/>
      <w:iCs/>
      <w:color w:val="000000"/>
    </w:rPr>
  </w:style>
  <w:style w:type="paragraph" w:customStyle="1" w:styleId="145">
    <w:name w:val="引用1"/>
    <w:basedOn w:val="1"/>
    <w:link w:val="144"/>
    <w:autoRedefine/>
    <w:qFormat/>
    <w:uiPriority w:val="0"/>
    <w:rPr>
      <w:i/>
      <w:iCs/>
      <w:color w:val="000000"/>
      <w:kern w:val="0"/>
      <w:sz w:val="20"/>
      <w:szCs w:val="20"/>
    </w:rPr>
  </w:style>
  <w:style w:type="character" w:customStyle="1" w:styleId="146">
    <w:name w:val="标题5 Char Char"/>
    <w:link w:val="147"/>
    <w:autoRedefine/>
    <w:qFormat/>
    <w:uiPriority w:val="0"/>
    <w:rPr>
      <w:rFonts w:ascii="Arial" w:hAnsi="Arial"/>
      <w:b/>
      <w:bCs/>
      <w:sz w:val="24"/>
      <w:szCs w:val="32"/>
    </w:rPr>
  </w:style>
  <w:style w:type="paragraph" w:customStyle="1" w:styleId="147">
    <w:name w:val="标题5"/>
    <w:basedOn w:val="28"/>
    <w:link w:val="146"/>
    <w:autoRedefine/>
    <w:qFormat/>
    <w:uiPriority w:val="0"/>
    <w:pPr>
      <w:spacing w:before="260" w:after="260" w:line="413" w:lineRule="auto"/>
    </w:pPr>
    <w:rPr>
      <w:rFonts w:ascii="Arial" w:hAnsi="Arial"/>
      <w:kern w:val="0"/>
    </w:rPr>
  </w:style>
  <w:style w:type="character" w:customStyle="1" w:styleId="148">
    <w:name w:val="批注主题 Char2"/>
    <w:link w:val="1"/>
    <w:autoRedefine/>
    <w:semiHidden/>
    <w:qFormat/>
    <w:uiPriority w:val="0"/>
    <w:rPr>
      <w:b/>
      <w:bCs/>
      <w:kern w:val="2"/>
      <w:sz w:val="21"/>
      <w:szCs w:val="24"/>
    </w:rPr>
  </w:style>
  <w:style w:type="character" w:customStyle="1" w:styleId="149">
    <w:name w:val="普通文字 Char Char Char"/>
    <w:link w:val="1"/>
    <w:autoRedefine/>
    <w:qFormat/>
    <w:uiPriority w:val="0"/>
    <w:rPr>
      <w:rFonts w:ascii="宋体" w:hAnsi="宋体" w:eastAsia="仿宋_GB2312"/>
      <w:color w:val="000000"/>
      <w:kern w:val="1"/>
      <w:sz w:val="30"/>
      <w:szCs w:val="22"/>
    </w:rPr>
  </w:style>
  <w:style w:type="character" w:customStyle="1" w:styleId="150">
    <w:name w:val="正文文本 Char2"/>
    <w:link w:val="1"/>
    <w:autoRedefine/>
    <w:semiHidden/>
    <w:qFormat/>
    <w:uiPriority w:val="0"/>
    <w:rPr>
      <w:kern w:val="2"/>
      <w:sz w:val="21"/>
      <w:szCs w:val="24"/>
    </w:rPr>
  </w:style>
  <w:style w:type="character" w:customStyle="1" w:styleId="151">
    <w:name w:val="纯文本 Char"/>
    <w:link w:val="1"/>
    <w:autoRedefine/>
    <w:qFormat/>
    <w:uiPriority w:val="0"/>
    <w:rPr>
      <w:rFonts w:ascii="宋体" w:hAnsi="Courier New" w:eastAsia="宋体"/>
      <w:kern w:val="2"/>
      <w:sz w:val="21"/>
      <w:szCs w:val="21"/>
      <w:lang w:val="en-US" w:eastAsia="zh-CN" w:bidi="ar-SA"/>
    </w:rPr>
  </w:style>
  <w:style w:type="character" w:customStyle="1" w:styleId="152">
    <w:name w:val="xiadan"/>
    <w:link w:val="1"/>
    <w:autoRedefine/>
    <w:qFormat/>
    <w:uiPriority w:val="0"/>
    <w:rPr>
      <w:shd w:val="clear" w:color="auto" w:fill="E4393C"/>
    </w:rPr>
  </w:style>
  <w:style w:type="character" w:customStyle="1" w:styleId="153">
    <w:name w:val="纯文本 Char3"/>
    <w:link w:val="1"/>
    <w:autoRedefine/>
    <w:semiHidden/>
    <w:qFormat/>
    <w:uiPriority w:val="0"/>
    <w:rPr>
      <w:rFonts w:ascii="宋体" w:hAnsi="Courier New"/>
      <w:kern w:val="2"/>
      <w:sz w:val="21"/>
      <w:szCs w:val="21"/>
    </w:rPr>
  </w:style>
  <w:style w:type="character" w:customStyle="1" w:styleId="154">
    <w:name w:val="副标题 Char1"/>
    <w:link w:val="1"/>
    <w:autoRedefine/>
    <w:qFormat/>
    <w:uiPriority w:val="0"/>
    <w:rPr>
      <w:rFonts w:ascii="Cambria" w:hAnsi="Cambria" w:eastAsia="宋体"/>
      <w:b/>
      <w:bCs/>
      <w:kern w:val="28"/>
      <w:sz w:val="32"/>
      <w:szCs w:val="32"/>
    </w:rPr>
  </w:style>
  <w:style w:type="character" w:customStyle="1" w:styleId="155">
    <w:name w:val="hover33"/>
    <w:link w:val="1"/>
    <w:autoRedefine/>
    <w:qFormat/>
    <w:uiPriority w:val="0"/>
    <w:rPr>
      <w:color w:val="FFFFFF"/>
    </w:rPr>
  </w:style>
  <w:style w:type="character" w:customStyle="1" w:styleId="156">
    <w:name w:val="副标题 Char2"/>
    <w:link w:val="1"/>
    <w:autoRedefine/>
    <w:qFormat/>
    <w:uiPriority w:val="0"/>
    <w:rPr>
      <w:rFonts w:ascii="Cambria" w:hAnsi="Cambria"/>
      <w:b/>
      <w:bCs/>
      <w:kern w:val="28"/>
      <w:sz w:val="32"/>
      <w:szCs w:val="32"/>
    </w:rPr>
  </w:style>
  <w:style w:type="character" w:customStyle="1" w:styleId="157">
    <w:name w:val="标题 Char2"/>
    <w:link w:val="1"/>
    <w:autoRedefine/>
    <w:qFormat/>
    <w:uiPriority w:val="0"/>
    <w:rPr>
      <w:rFonts w:ascii="Cambria" w:hAnsi="Cambria"/>
      <w:b/>
      <w:bCs/>
      <w:kern w:val="2"/>
      <w:sz w:val="32"/>
      <w:szCs w:val="32"/>
    </w:rPr>
  </w:style>
  <w:style w:type="character" w:customStyle="1" w:styleId="158">
    <w:name w:val="s5"/>
    <w:link w:val="1"/>
    <w:autoRedefine/>
    <w:qFormat/>
    <w:uiPriority w:val="0"/>
    <w:rPr>
      <w:spacing w:val="125"/>
    </w:rPr>
  </w:style>
  <w:style w:type="character" w:customStyle="1" w:styleId="159">
    <w:name w:val="不明显强调1"/>
    <w:link w:val="1"/>
    <w:autoRedefine/>
    <w:qFormat/>
    <w:uiPriority w:val="0"/>
    <w:rPr>
      <w:i/>
      <w:iCs/>
      <w:color w:val="808080"/>
    </w:rPr>
  </w:style>
  <w:style w:type="character" w:customStyle="1" w:styleId="160">
    <w:name w:val="引用 Char1"/>
    <w:link w:val="1"/>
    <w:autoRedefine/>
    <w:qFormat/>
    <w:uiPriority w:val="0"/>
    <w:rPr>
      <w:rFonts w:ascii="Times New Roman" w:hAnsi="Times New Roman" w:eastAsia="宋体"/>
      <w:i/>
      <w:iCs/>
      <w:color w:val="000000"/>
      <w:szCs w:val="24"/>
    </w:rPr>
  </w:style>
  <w:style w:type="character" w:customStyle="1" w:styleId="161">
    <w:name w:val="文档结构图 Char2"/>
    <w:link w:val="1"/>
    <w:autoRedefine/>
    <w:semiHidden/>
    <w:qFormat/>
    <w:uiPriority w:val="0"/>
    <w:rPr>
      <w:rFonts w:ascii="宋体"/>
      <w:kern w:val="2"/>
      <w:sz w:val="18"/>
      <w:szCs w:val="18"/>
    </w:rPr>
  </w:style>
  <w:style w:type="character" w:customStyle="1" w:styleId="162">
    <w:name w:val="正文文本缩进 3 Char2"/>
    <w:link w:val="1"/>
    <w:autoRedefine/>
    <w:semiHidden/>
    <w:qFormat/>
    <w:uiPriority w:val="0"/>
    <w:rPr>
      <w:kern w:val="2"/>
      <w:sz w:val="16"/>
      <w:szCs w:val="16"/>
    </w:rPr>
  </w:style>
  <w:style w:type="character" w:customStyle="1" w:styleId="163">
    <w:name w:val="hover1"/>
    <w:link w:val="1"/>
    <w:autoRedefine/>
    <w:qFormat/>
    <w:uiPriority w:val="0"/>
    <w:rPr>
      <w:color w:val="2590EB"/>
    </w:rPr>
  </w:style>
  <w:style w:type="character" w:customStyle="1" w:styleId="164">
    <w:name w:val="Char Char2"/>
    <w:link w:val="1"/>
    <w:autoRedefine/>
    <w:qFormat/>
    <w:uiPriority w:val="0"/>
    <w:rPr>
      <w:rFonts w:eastAsia="宋体"/>
      <w:sz w:val="18"/>
      <w:szCs w:val="18"/>
      <w:lang w:val="en-US" w:eastAsia="zh-CN" w:bidi="ar-SA"/>
    </w:rPr>
  </w:style>
  <w:style w:type="character" w:customStyle="1" w:styleId="165">
    <w:name w:val="layui-laypage-curr"/>
    <w:link w:val="1"/>
    <w:autoRedefine/>
    <w:qFormat/>
    <w:uiPriority w:val="0"/>
  </w:style>
  <w:style w:type="character" w:customStyle="1" w:styleId="166">
    <w:name w:val="mini-outputtext1"/>
    <w:link w:val="1"/>
    <w:autoRedefine/>
    <w:qFormat/>
    <w:uiPriority w:val="0"/>
  </w:style>
  <w:style w:type="character" w:customStyle="1" w:styleId="167">
    <w:name w:val="font161"/>
    <w:link w:val="1"/>
    <w:autoRedefine/>
    <w:qFormat/>
    <w:uiPriority w:val="0"/>
    <w:rPr>
      <w:b/>
      <w:bCs/>
      <w:sz w:val="32"/>
      <w:szCs w:val="32"/>
    </w:rPr>
  </w:style>
  <w:style w:type="character" w:customStyle="1" w:styleId="168">
    <w:name w:val="first-child1"/>
    <w:link w:val="1"/>
    <w:autoRedefine/>
    <w:qFormat/>
    <w:uiPriority w:val="0"/>
    <w:rPr>
      <w:color w:val="1F3149"/>
      <w:sz w:val="24"/>
      <w:szCs w:val="24"/>
    </w:rPr>
  </w:style>
  <w:style w:type="character" w:customStyle="1" w:styleId="169">
    <w:name w:val="正文文本 3 Char2"/>
    <w:link w:val="1"/>
    <w:autoRedefine/>
    <w:semiHidden/>
    <w:qFormat/>
    <w:uiPriority w:val="0"/>
    <w:rPr>
      <w:kern w:val="2"/>
      <w:sz w:val="16"/>
      <w:szCs w:val="16"/>
    </w:rPr>
  </w:style>
  <w:style w:type="character" w:customStyle="1" w:styleId="170">
    <w:name w:val="icon_gys"/>
    <w:link w:val="1"/>
    <w:autoRedefine/>
    <w:qFormat/>
    <w:uiPriority w:val="0"/>
    <w:rPr>
      <w:sz w:val="21"/>
      <w:szCs w:val="21"/>
    </w:rPr>
  </w:style>
  <w:style w:type="character" w:customStyle="1" w:styleId="171">
    <w:name w:val="Char Char3"/>
    <w:link w:val="1"/>
    <w:autoRedefine/>
    <w:qFormat/>
    <w:uiPriority w:val="0"/>
    <w:rPr>
      <w:rFonts w:ascii="Arial" w:hAnsi="Arial" w:eastAsia="黑体"/>
      <w:b/>
      <w:kern w:val="2"/>
      <w:sz w:val="32"/>
      <w:lang w:val="en-US" w:eastAsia="zh-CN"/>
    </w:rPr>
  </w:style>
  <w:style w:type="character" w:customStyle="1" w:styleId="172">
    <w:name w:val="hover2"/>
    <w:link w:val="1"/>
    <w:autoRedefine/>
    <w:qFormat/>
    <w:uiPriority w:val="0"/>
    <w:rPr>
      <w:color w:val="2590EB"/>
    </w:rPr>
  </w:style>
  <w:style w:type="character" w:customStyle="1" w:styleId="173">
    <w:name w:val="icon_ds"/>
    <w:link w:val="1"/>
    <w:autoRedefine/>
    <w:qFormat/>
    <w:uiPriority w:val="0"/>
  </w:style>
  <w:style w:type="paragraph" w:customStyle="1" w:styleId="174">
    <w:name w:val="cjk"/>
    <w:basedOn w:val="1"/>
    <w:autoRedefine/>
    <w:qFormat/>
    <w:uiPriority w:val="0"/>
    <w:pPr>
      <w:widowControl/>
      <w:spacing w:before="100" w:beforeAutospacing="1" w:after="100" w:afterAutospacing="1"/>
      <w:jc w:val="left"/>
    </w:pPr>
    <w:rPr>
      <w:rFonts w:ascii="宋体" w:hAnsi="宋体"/>
      <w:kern w:val="0"/>
      <w:sz w:val="24"/>
    </w:rPr>
  </w:style>
  <w:style w:type="paragraph" w:customStyle="1" w:styleId="175">
    <w:name w:val="Char1"/>
    <w:basedOn w:val="1"/>
    <w:autoRedefine/>
    <w:qFormat/>
    <w:uiPriority w:val="0"/>
    <w:pPr>
      <w:widowControl/>
      <w:spacing w:after="160" w:line="240" w:lineRule="exact"/>
      <w:jc w:val="left"/>
    </w:pPr>
    <w:rPr>
      <w:rFonts w:ascii="宋体" w:hAnsi="宋体"/>
      <w:kern w:val="0"/>
      <w:sz w:val="20"/>
      <w:szCs w:val="20"/>
      <w:lang w:eastAsia="en-US"/>
    </w:rPr>
  </w:style>
  <w:style w:type="paragraph" w:customStyle="1" w:styleId="176">
    <w:name w:val="标准"/>
    <w:basedOn w:val="1"/>
    <w:autoRedefine/>
    <w:qFormat/>
    <w:uiPriority w:val="0"/>
    <w:pPr>
      <w:spacing w:line="312" w:lineRule="atLeast"/>
    </w:pPr>
    <w:rPr>
      <w:kern w:val="0"/>
      <w:sz w:val="24"/>
      <w:szCs w:val="20"/>
    </w:rPr>
  </w:style>
  <w:style w:type="paragraph" w:customStyle="1" w:styleId="177">
    <w:name w:val="样式 首行缩进:  2 字符"/>
    <w:basedOn w:val="1"/>
    <w:autoRedefine/>
    <w:qFormat/>
    <w:uiPriority w:val="0"/>
    <w:pPr>
      <w:tabs>
        <w:tab w:val="left" w:leader="middleDot" w:pos="8400"/>
      </w:tabs>
      <w:snapToGrid w:val="0"/>
      <w:spacing w:line="480" w:lineRule="atLeast"/>
      <w:ind w:firstLine="200" w:firstLineChars="200"/>
    </w:pPr>
    <w:rPr>
      <w:rFonts w:hint="eastAsia" w:ascii="宋体"/>
    </w:rPr>
  </w:style>
  <w:style w:type="paragraph" w:customStyle="1" w:styleId="178">
    <w:name w:val="纯文本1"/>
    <w:basedOn w:val="1"/>
    <w:autoRedefine/>
    <w:qFormat/>
    <w:uiPriority w:val="0"/>
    <w:rPr>
      <w:rFonts w:ascii="宋体" w:hAnsi="Courier New"/>
      <w:kern w:val="0"/>
      <w:sz w:val="20"/>
      <w:szCs w:val="20"/>
    </w:rPr>
  </w:style>
  <w:style w:type="paragraph" w:customStyle="1" w:styleId="179">
    <w:name w:val="样式 标题 3 + (中文) 黑体 小四 非加粗 段前: 7.8 磅 段后: 0 磅 行距: 固定值 20 磅"/>
    <w:basedOn w:val="28"/>
    <w:autoRedefine/>
    <w:qFormat/>
    <w:uiPriority w:val="0"/>
    <w:pPr>
      <w:spacing w:line="400" w:lineRule="exact"/>
    </w:pPr>
    <w:rPr>
      <w:rFonts w:eastAsia="黑体"/>
      <w:b w:val="0"/>
      <w:bCs w:val="0"/>
      <w:szCs w:val="20"/>
    </w:rPr>
  </w:style>
  <w:style w:type="paragraph" w:customStyle="1" w:styleId="180">
    <w:name w:val="Char Char Char Char"/>
    <w:basedOn w:val="1"/>
    <w:autoRedefine/>
    <w:qFormat/>
    <w:uiPriority w:val="0"/>
    <w:rPr>
      <w:kern w:val="0"/>
      <w:sz w:val="24"/>
    </w:rPr>
  </w:style>
  <w:style w:type="paragraph" w:customStyle="1" w:styleId="181">
    <w:name w:val="Table Paragraph"/>
    <w:basedOn w:val="1"/>
    <w:autoRedefine/>
    <w:qFormat/>
    <w:uiPriority w:val="0"/>
    <w:rPr>
      <w:rFonts w:ascii="仿宋" w:hAnsi="仿宋" w:eastAsia="仿宋"/>
      <w:szCs w:val="20"/>
      <w:lang w:val="zh-CN" w:bidi="zh-CN"/>
    </w:rPr>
  </w:style>
  <w:style w:type="paragraph" w:customStyle="1" w:styleId="182">
    <w:name w:val="列出段落1"/>
    <w:basedOn w:val="1"/>
    <w:autoRedefine/>
    <w:qFormat/>
    <w:uiPriority w:val="0"/>
    <w:pPr>
      <w:ind w:firstLine="420" w:firstLineChars="200"/>
    </w:pPr>
  </w:style>
  <w:style w:type="paragraph" w:customStyle="1" w:styleId="183">
    <w:name w:val="样式 标题 1 + 黑体 三号 非加粗 居中 段前: 6 磅 段后: 6 磅 行距: 固定值 20 磅"/>
    <w:basedOn w:val="26"/>
    <w:autoRedefine/>
    <w:qFormat/>
    <w:uiPriority w:val="0"/>
    <w:pPr>
      <w:keepLines/>
      <w:tabs>
        <w:tab w:val="clear" w:pos="420"/>
      </w:tabs>
      <w:spacing w:before="120" w:after="120" w:line="400" w:lineRule="exact"/>
      <w:jc w:val="center"/>
    </w:pPr>
    <w:rPr>
      <w:rFonts w:ascii="黑体" w:hAnsi="黑体"/>
      <w:b w:val="0"/>
      <w:kern w:val="44"/>
      <w:sz w:val="32"/>
      <w:szCs w:val="20"/>
    </w:rPr>
  </w:style>
  <w:style w:type="paragraph" w:customStyle="1" w:styleId="184">
    <w:name w:val="TOC 标题1"/>
    <w:basedOn w:val="26"/>
    <w:autoRedefine/>
    <w:qFormat/>
    <w:uiPriority w:val="0"/>
    <w:pPr>
      <w:keepLines/>
      <w:tabs>
        <w:tab w:val="clear" w:pos="420"/>
      </w:tabs>
      <w:spacing w:before="340" w:after="330" w:line="576" w:lineRule="auto"/>
      <w:jc w:val="both"/>
      <w:outlineLvl w:val="9"/>
    </w:pPr>
    <w:rPr>
      <w:rFonts w:ascii="Calibri" w:hAnsi="Calibri" w:eastAsia="宋体"/>
      <w:bCs/>
      <w:kern w:val="44"/>
      <w:sz w:val="44"/>
      <w:szCs w:val="44"/>
    </w:rPr>
  </w:style>
  <w:style w:type="paragraph" w:customStyle="1" w:styleId="185">
    <w:name w:val="正文1"/>
    <w:autoRedefine/>
    <w:qFormat/>
    <w:uiPriority w:val="0"/>
    <w:pPr>
      <w:spacing w:line="480" w:lineRule="auto"/>
      <w:jc w:val="both"/>
    </w:pPr>
    <w:rPr>
      <w:rFonts w:ascii="Times New Roman" w:hAnsi="Times New Roman" w:eastAsia="宋体" w:cs="Times New Roman"/>
      <w:kern w:val="2"/>
      <w:sz w:val="21"/>
      <w:szCs w:val="21"/>
      <w:lang w:val="en-US" w:eastAsia="zh-CN" w:bidi="ar-SA"/>
    </w:rPr>
  </w:style>
  <w:style w:type="paragraph" w:customStyle="1" w:styleId="186">
    <w:name w:val="p0"/>
    <w:basedOn w:val="1"/>
    <w:autoRedefine/>
    <w:qFormat/>
    <w:uiPriority w:val="0"/>
    <w:pPr>
      <w:widowControl/>
      <w:spacing w:before="100" w:beforeAutospacing="1" w:after="100" w:afterAutospacing="1"/>
      <w:jc w:val="left"/>
    </w:pPr>
    <w:rPr>
      <w:rFonts w:ascii="Verdana" w:hAnsi="Verdana"/>
      <w:kern w:val="0"/>
      <w:sz w:val="26"/>
      <w:szCs w:val="26"/>
    </w:rPr>
  </w:style>
  <w:style w:type="paragraph" w:customStyle="1" w:styleId="187">
    <w:name w:val="_Style 10"/>
    <w:basedOn w:val="26"/>
    <w:autoRedefine/>
    <w:qFormat/>
    <w:uiPriority w:val="0"/>
    <w:pPr>
      <w:keepLines/>
      <w:tabs>
        <w:tab w:val="clear" w:pos="420"/>
      </w:tabs>
      <w:spacing w:before="340" w:after="330" w:line="576" w:lineRule="auto"/>
      <w:jc w:val="both"/>
      <w:outlineLvl w:val="9"/>
    </w:pPr>
    <w:rPr>
      <w:rFonts w:ascii="Calibri" w:hAnsi="Calibri" w:eastAsia="宋体"/>
      <w:bCs/>
      <w:kern w:val="44"/>
      <w:sz w:val="44"/>
      <w:szCs w:val="44"/>
    </w:rPr>
  </w:style>
  <w:style w:type="paragraph" w:customStyle="1" w:styleId="188">
    <w:name w:val="zw"/>
    <w:basedOn w:val="1"/>
    <w:autoRedefine/>
    <w:qFormat/>
    <w:uiPriority w:val="0"/>
    <w:pPr>
      <w:widowControl/>
      <w:spacing w:before="100" w:beforeAutospacing="1" w:after="100" w:afterAutospacing="1"/>
      <w:jc w:val="left"/>
    </w:pPr>
    <w:rPr>
      <w:rFonts w:ascii="宋体" w:hAnsi="宋体"/>
      <w:color w:val="000000"/>
      <w:kern w:val="0"/>
      <w:sz w:val="24"/>
    </w:rPr>
  </w:style>
  <w:style w:type="paragraph" w:customStyle="1" w:styleId="189">
    <w:name w:val="_Style 36"/>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90">
    <w:name w:val="样式 标题 2 + Times New Roman 四号 非加粗 段前: 5 磅 段后: 0 磅 行距: 固定值 20..."/>
    <w:basedOn w:val="27"/>
    <w:autoRedefine/>
    <w:qFormat/>
    <w:uiPriority w:val="0"/>
    <w:pPr>
      <w:spacing w:before="100" w:after="0" w:line="400" w:lineRule="exact"/>
    </w:pPr>
    <w:rPr>
      <w:rFonts w:ascii="Times New Roman" w:hAnsi="Times New Roman"/>
      <w:b w:val="0"/>
      <w:bCs w:val="0"/>
      <w:sz w:val="28"/>
      <w:szCs w:val="20"/>
    </w:rPr>
  </w:style>
  <w:style w:type="paragraph" w:customStyle="1" w:styleId="191">
    <w:name w:val="列出段落"/>
    <w:basedOn w:val="1"/>
    <w:autoRedefine/>
    <w:qFormat/>
    <w:uiPriority w:val="0"/>
    <w:pPr>
      <w:ind w:firstLine="420" w:firstLineChars="200"/>
    </w:pPr>
  </w:style>
  <w:style w:type="paragraph" w:customStyle="1" w:styleId="192">
    <w:name w:val="Char Char Char Char1"/>
    <w:basedOn w:val="1"/>
    <w:autoRedefine/>
    <w:qFormat/>
    <w:uiPriority w:val="0"/>
    <w:rPr>
      <w:kern w:val="0"/>
      <w:sz w:val="24"/>
    </w:rPr>
  </w:style>
  <w:style w:type="paragraph" w:customStyle="1" w:styleId="193">
    <w:name w:val="标题 311"/>
    <w:basedOn w:val="1"/>
    <w:autoRedefine/>
    <w:qFormat/>
    <w:uiPriority w:val="0"/>
    <w:pPr>
      <w:autoSpaceDE w:val="0"/>
      <w:autoSpaceDN w:val="0"/>
      <w:spacing w:before="58"/>
      <w:ind w:left="1586"/>
      <w:jc w:val="left"/>
      <w:outlineLvl w:val="3"/>
    </w:pPr>
    <w:rPr>
      <w:rFonts w:ascii="宋体" w:hAnsi="宋体"/>
      <w:b/>
      <w:bCs/>
      <w:kern w:val="0"/>
      <w:sz w:val="30"/>
      <w:szCs w:val="30"/>
      <w:lang w:val="zh-CN" w:bidi="zh-CN"/>
    </w:rPr>
  </w:style>
  <w:style w:type="paragraph" w:customStyle="1" w:styleId="194">
    <w:name w:val="WPSOffice手动目录 1"/>
    <w:autoRedefine/>
    <w:qFormat/>
    <w:uiPriority w:val="0"/>
    <w:pPr>
      <w:spacing w:line="480" w:lineRule="auto"/>
    </w:pPr>
    <w:rPr>
      <w:rFonts w:ascii="Times New Roman" w:hAnsi="Times New Roman" w:eastAsia="宋体" w:cs="Times New Roman"/>
      <w:lang w:val="en-US" w:eastAsia="zh-CN" w:bidi="ar-SA"/>
    </w:rPr>
  </w:style>
  <w:style w:type="character" w:customStyle="1" w:styleId="195">
    <w:name w:val="NormalCharacter"/>
    <w:link w:val="1"/>
    <w:autoRedefine/>
    <w:qFormat/>
    <w:uiPriority w:val="0"/>
  </w:style>
  <w:style w:type="paragraph" w:customStyle="1" w:styleId="196">
    <w:name w:val="TOC 标题"/>
    <w:basedOn w:val="26"/>
    <w:autoRedefine/>
    <w:qFormat/>
    <w:uiPriority w:val="0"/>
    <w:pPr>
      <w:keepLines/>
      <w:widowControl/>
      <w:tabs>
        <w:tab w:val="clear" w:pos="420"/>
      </w:tabs>
      <w:spacing w:before="480" w:line="276" w:lineRule="auto"/>
      <w:outlineLvl w:val="9"/>
    </w:pPr>
    <w:rPr>
      <w:rFonts w:ascii="Cambria" w:hAnsi="Cambria" w:eastAsia="宋体"/>
      <w:bCs/>
      <w:color w:val="365F91"/>
      <w:kern w:val="0"/>
      <w:szCs w:val="28"/>
    </w:rPr>
  </w:style>
  <w:style w:type="character" w:customStyle="1" w:styleId="197">
    <w:name w:val="first-child2"/>
    <w:basedOn w:val="35"/>
    <w:link w:val="1"/>
    <w:autoRedefine/>
    <w:qFormat/>
    <w:uiPriority w:val="0"/>
    <w:rPr>
      <w:color w:val="1F3149"/>
      <w:sz w:val="24"/>
      <w:szCs w:val="24"/>
    </w:rPr>
  </w:style>
  <w:style w:type="table" w:customStyle="1" w:styleId="198">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1.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103</Pages>
  <Words>41253</Words>
  <Characters>44105</Characters>
  <Lines>0</Lines>
  <Paragraphs>0</Paragraphs>
  <TotalTime>11</TotalTime>
  <ScaleCrop>false</ScaleCrop>
  <LinksUpToDate>false</LinksUpToDate>
  <CharactersWithSpaces>44471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2024-02-23T09:32:00Z</dcterms:created>
  <dc:creator>Balalala</dc:creator>
  <cp:lastModifiedBy>Administrator</cp:lastModifiedBy>
  <cp:lastPrinted>2025-08-28T07:45:00Z</cp:lastPrinted>
  <dcterms:modified xsi:type="dcterms:W3CDTF">2025-09-19T10:43:17Z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E00B0B22F239472D853602F5A4E46121_13</vt:lpwstr>
  </property>
  <property fmtid="{D5CDD505-2E9C-101B-9397-08002B2CF9AE}" pid="4" name="KSOTemplateDocerSaveRecord">
    <vt:lpwstr>eyJoZGlkIjoiYjNkYzYzNDBlYmQxMjJlZGM1MTkzNzczODIxNzg1MzUiLCJ1c2VySWQiOiIyMTI2MTg3MTgifQ==</vt:lpwstr>
  </property>
</Properties>
</file>