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92279">
      <w:pPr>
        <w:spacing w:line="360" w:lineRule="auto"/>
        <w:jc w:val="center"/>
        <w:rPr>
          <w:rFonts w:hint="eastAsia" w:asciiTheme="minorEastAsia" w:hAnsiTheme="minorEastAsia" w:eastAsiaTheme="minorEastAsia"/>
          <w:b/>
          <w:color w:val="000000" w:themeColor="text1"/>
          <w:sz w:val="44"/>
          <w:szCs w:val="40"/>
          <w:highlight w:val="none"/>
          <w:lang w:eastAsia="zh-CN"/>
          <w14:textFill>
            <w14:solidFill>
              <w14:schemeClr w14:val="tx1"/>
            </w14:solidFill>
          </w14:textFill>
        </w:rPr>
      </w:pPr>
      <w:r>
        <w:rPr>
          <w:rFonts w:hint="eastAsia" w:asciiTheme="minorEastAsia" w:hAnsiTheme="minorEastAsia" w:eastAsiaTheme="minorEastAsia"/>
          <w:b/>
          <w:color w:val="000000" w:themeColor="text1"/>
          <w:sz w:val="44"/>
          <w:szCs w:val="40"/>
          <w:highlight w:val="none"/>
          <w:lang w:eastAsia="zh-CN"/>
          <w14:textFill>
            <w14:solidFill>
              <w14:schemeClr w14:val="tx1"/>
            </w14:solidFill>
          </w14:textFill>
        </w:rPr>
        <w:t>灵宝市市场监督管理局2025年9月-2026年8月食品及商品质量抽检项目</w:t>
      </w:r>
    </w:p>
    <w:p w14:paraId="5F329A46">
      <w:pPr>
        <w:spacing w:line="560" w:lineRule="exact"/>
        <w:jc w:val="center"/>
        <w:rPr>
          <w:rFonts w:asciiTheme="minorEastAsia" w:hAnsiTheme="minorEastAsia" w:eastAsiaTheme="minorEastAsia"/>
          <w:b/>
          <w:bCs/>
          <w:color w:val="000000" w:themeColor="text1"/>
          <w:sz w:val="24"/>
          <w:highlight w:val="none"/>
          <w:u w:val="single"/>
          <w14:textFill>
            <w14:solidFill>
              <w14:schemeClr w14:val="tx1"/>
            </w14:solidFill>
          </w14:textFill>
        </w:rPr>
      </w:pPr>
    </w:p>
    <w:p w14:paraId="30E1DAAC">
      <w:pPr>
        <w:spacing w:line="560" w:lineRule="exact"/>
        <w:jc w:val="center"/>
        <w:rPr>
          <w:rFonts w:asciiTheme="minorEastAsia" w:hAnsiTheme="minorEastAsia" w:eastAsiaTheme="minorEastAsia"/>
          <w:b/>
          <w:bCs/>
          <w:color w:val="000000" w:themeColor="text1"/>
          <w:sz w:val="24"/>
          <w:highlight w:val="none"/>
          <w:u w:val="single"/>
          <w14:textFill>
            <w14:solidFill>
              <w14:schemeClr w14:val="tx1"/>
            </w14:solidFill>
          </w14:textFill>
        </w:rPr>
      </w:pPr>
      <w:bookmarkStart w:id="289" w:name="_GoBack"/>
      <w:bookmarkEnd w:id="289"/>
    </w:p>
    <w:p w14:paraId="70B39543">
      <w:pPr>
        <w:spacing w:line="560" w:lineRule="exact"/>
        <w:jc w:val="center"/>
        <w:rPr>
          <w:rFonts w:asciiTheme="minorEastAsia" w:hAnsiTheme="minorEastAsia" w:eastAsiaTheme="minorEastAsia"/>
          <w:b/>
          <w:bCs/>
          <w:color w:val="000000" w:themeColor="text1"/>
          <w:sz w:val="24"/>
          <w:highlight w:val="none"/>
          <w:u w:val="single"/>
          <w14:textFill>
            <w14:solidFill>
              <w14:schemeClr w14:val="tx1"/>
            </w14:solidFill>
          </w14:textFill>
        </w:rPr>
      </w:pPr>
    </w:p>
    <w:p w14:paraId="24E7B95A">
      <w:pPr>
        <w:ind w:right="27"/>
        <w:jc w:val="center"/>
        <w:rPr>
          <w:rFonts w:asciiTheme="minorEastAsia" w:hAnsiTheme="minorEastAsia" w:eastAsiaTheme="minorEastAsia"/>
          <w:b/>
          <w:bCs/>
          <w:color w:val="000000" w:themeColor="text1"/>
          <w:sz w:val="72"/>
          <w:szCs w:val="72"/>
          <w:highlight w:val="none"/>
          <w14:textFill>
            <w14:solidFill>
              <w14:schemeClr w14:val="tx1"/>
            </w14:solidFill>
          </w14:textFill>
        </w:rPr>
      </w:pPr>
    </w:p>
    <w:p w14:paraId="32BE1649">
      <w:pPr>
        <w:ind w:right="27"/>
        <w:jc w:val="center"/>
        <w:rPr>
          <w:rFonts w:cs="黑体" w:asciiTheme="minorEastAsia" w:hAnsiTheme="minorEastAsia" w:eastAsiaTheme="minorEastAsia"/>
          <w:b/>
          <w:color w:val="000000" w:themeColor="text1"/>
          <w:sz w:val="72"/>
          <w:szCs w:val="72"/>
          <w:highlight w:val="none"/>
          <w14:textFill>
            <w14:solidFill>
              <w14:schemeClr w14:val="tx1"/>
            </w14:solidFill>
          </w14:textFill>
        </w:rPr>
      </w:pPr>
      <w:r>
        <w:rPr>
          <w:rFonts w:hint="eastAsia" w:asciiTheme="minorEastAsia" w:hAnsiTheme="minorEastAsia" w:eastAsiaTheme="minorEastAsia"/>
          <w:b/>
          <w:bCs/>
          <w:color w:val="000000" w:themeColor="text1"/>
          <w:sz w:val="72"/>
          <w:szCs w:val="72"/>
          <w:highlight w:val="none"/>
          <w14:textFill>
            <w14:solidFill>
              <w14:schemeClr w14:val="tx1"/>
            </w14:solidFill>
          </w14:textFill>
        </w:rPr>
        <w:t>竞争性磋商文件</w:t>
      </w:r>
    </w:p>
    <w:p w14:paraId="0ED916E1">
      <w:pPr>
        <w:spacing w:line="560" w:lineRule="exact"/>
        <w:jc w:val="center"/>
        <w:rPr>
          <w:rFonts w:hint="eastAsia" w:asciiTheme="minorEastAsia" w:hAnsiTheme="minorEastAsia" w:eastAsia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b/>
          <w:bCs/>
          <w:color w:val="000000" w:themeColor="text1"/>
          <w:sz w:val="28"/>
          <w:szCs w:val="28"/>
          <w:highlight w:val="none"/>
          <w14:textFill>
            <w14:solidFill>
              <w14:schemeClr w14:val="tx1"/>
            </w14:solidFill>
          </w14:textFill>
        </w:rPr>
        <w:t>项目编号：</w:t>
      </w:r>
      <w:r>
        <w:rPr>
          <w:rFonts w:hint="eastAsia" w:asciiTheme="minorEastAsia" w:hAnsiTheme="minorEastAsia" w:eastAsiaTheme="minorEastAsia"/>
          <w:b/>
          <w:bCs/>
          <w:color w:val="000000" w:themeColor="text1"/>
          <w:sz w:val="28"/>
          <w:szCs w:val="28"/>
          <w:highlight w:val="none"/>
          <w:lang w:val="en-US" w:eastAsia="zh-CN"/>
          <w14:textFill>
            <w14:solidFill>
              <w14:schemeClr w14:val="tx1"/>
            </w14:solidFill>
          </w14:textFill>
        </w:rPr>
        <w:t>灵宝竞磋采购-2025-146、LBGZ[2025]280-ZC211、HNXSD-2025-0012</w:t>
      </w:r>
      <w:r>
        <w:rPr>
          <w:rFonts w:hint="eastAsia" w:asciiTheme="minorEastAsia" w:hAnsiTheme="minorEastAsia" w:eastAsiaTheme="minorEastAsia"/>
          <w:b/>
          <w:bCs/>
          <w:color w:val="000000" w:themeColor="text1"/>
          <w:sz w:val="28"/>
          <w:szCs w:val="28"/>
          <w:highlight w:val="none"/>
          <w:lang w:eastAsia="zh-CN"/>
          <w14:textFill>
            <w14:solidFill>
              <w14:schemeClr w14:val="tx1"/>
            </w14:solidFill>
          </w14:textFill>
        </w:rPr>
        <w:t>；</w:t>
      </w:r>
    </w:p>
    <w:p w14:paraId="7494604B">
      <w:pPr>
        <w:spacing w:line="560" w:lineRule="exact"/>
        <w:jc w:val="center"/>
        <w:rPr>
          <w:rFonts w:hint="default"/>
          <w:color w:val="000000" w:themeColor="text1"/>
          <w:highlight w:val="none"/>
          <w:lang w:val="en-US" w:eastAsia="zh-CN"/>
          <w14:textFill>
            <w14:solidFill>
              <w14:schemeClr w14:val="tx1"/>
            </w14:solidFill>
          </w14:textFill>
        </w:rPr>
      </w:pPr>
    </w:p>
    <w:p w14:paraId="0F3982BC">
      <w:pPr>
        <w:pStyle w:val="16"/>
        <w:rPr>
          <w:rFonts w:hint="eastAsia"/>
          <w:color w:val="000000" w:themeColor="text1"/>
          <w:highlight w:val="none"/>
          <w:lang w:eastAsia="zh-CN"/>
          <w14:textFill>
            <w14:solidFill>
              <w14:schemeClr w14:val="tx1"/>
            </w14:solidFill>
          </w14:textFill>
        </w:rPr>
      </w:pPr>
    </w:p>
    <w:p w14:paraId="151EA955">
      <w:pPr>
        <w:pStyle w:val="32"/>
        <w:rPr>
          <w:rFonts w:asciiTheme="minorEastAsia" w:hAnsiTheme="minorEastAsia" w:eastAsiaTheme="minorEastAsia"/>
          <w:color w:val="000000" w:themeColor="text1"/>
          <w:highlight w:val="none"/>
          <w14:textFill>
            <w14:solidFill>
              <w14:schemeClr w14:val="tx1"/>
            </w14:solidFill>
          </w14:textFill>
        </w:rPr>
      </w:pPr>
    </w:p>
    <w:p w14:paraId="45D48CD0">
      <w:pPr>
        <w:spacing w:line="560" w:lineRule="exact"/>
        <w:jc w:val="center"/>
        <w:rPr>
          <w:rFonts w:cs="宋体" w:asciiTheme="minorEastAsia" w:hAnsiTheme="minorEastAsia" w:eastAsiaTheme="minorEastAsia"/>
          <w:b/>
          <w:color w:val="000000" w:themeColor="text1"/>
          <w:sz w:val="30"/>
          <w:szCs w:val="30"/>
          <w:highlight w:val="none"/>
          <w14:textFill>
            <w14:solidFill>
              <w14:schemeClr w14:val="tx1"/>
            </w14:solidFill>
          </w14:textFill>
        </w:rPr>
      </w:pPr>
    </w:p>
    <w:p w14:paraId="07592ADD">
      <w:pPr>
        <w:pStyle w:val="6"/>
        <w:rPr>
          <w:rFonts w:asciiTheme="minorEastAsia" w:hAnsiTheme="minorEastAsia" w:eastAsiaTheme="minorEastAsia"/>
          <w:color w:val="000000" w:themeColor="text1"/>
          <w:highlight w:val="none"/>
          <w14:textFill>
            <w14:solidFill>
              <w14:schemeClr w14:val="tx1"/>
            </w14:solidFill>
          </w14:textFill>
        </w:rPr>
      </w:pPr>
    </w:p>
    <w:p w14:paraId="3FA25731"/>
    <w:p w14:paraId="7EE98EAA">
      <w:pPr>
        <w:jc w:val="center"/>
        <w:rPr>
          <w:rFonts w:asciiTheme="minorEastAsia" w:hAnsiTheme="minorEastAsia" w:eastAsiaTheme="minorEastAsia"/>
          <w:b/>
          <w:bCs/>
          <w:color w:val="000000" w:themeColor="text1"/>
          <w:sz w:val="24"/>
          <w:highlight w:val="none"/>
          <w14:textFill>
            <w14:solidFill>
              <w14:schemeClr w14:val="tx1"/>
            </w14:solidFill>
          </w14:textFill>
        </w:rPr>
      </w:pPr>
    </w:p>
    <w:p w14:paraId="6349F956">
      <w:pPr>
        <w:spacing w:line="560" w:lineRule="exact"/>
        <w:jc w:val="center"/>
        <w:rPr>
          <w:rFonts w:asciiTheme="minorEastAsia" w:hAnsiTheme="minorEastAsia" w:eastAsiaTheme="minorEastAsia"/>
          <w:b/>
          <w:bCs/>
          <w:color w:val="000000" w:themeColor="text1"/>
          <w:sz w:val="24"/>
          <w:highlight w:val="none"/>
          <w14:textFill>
            <w14:solidFill>
              <w14:schemeClr w14:val="tx1"/>
            </w14:solidFill>
          </w14:textFill>
        </w:rPr>
      </w:pPr>
    </w:p>
    <w:p w14:paraId="56B30A22">
      <w:pPr>
        <w:spacing w:line="560" w:lineRule="exact"/>
        <w:jc w:val="center"/>
        <w:rPr>
          <w:rFonts w:asciiTheme="minorEastAsia" w:hAnsiTheme="minorEastAsia" w:eastAsiaTheme="minorEastAsia"/>
          <w:b/>
          <w:bCs/>
          <w:color w:val="000000" w:themeColor="text1"/>
          <w:sz w:val="24"/>
          <w:highlight w:val="none"/>
          <w14:textFill>
            <w14:solidFill>
              <w14:schemeClr w14:val="tx1"/>
            </w14:solidFill>
          </w14:textFill>
        </w:rPr>
      </w:pPr>
    </w:p>
    <w:p w14:paraId="58DA501C">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7B405ABD">
      <w:pPr>
        <w:spacing w:line="360" w:lineRule="auto"/>
        <w:ind w:firstLine="1702" w:firstLineChars="565"/>
        <w:rPr>
          <w:rFonts w:asciiTheme="minorEastAsia" w:hAnsiTheme="minorEastAsia" w:eastAsiaTheme="minorEastAsia"/>
          <w:b/>
          <w:color w:val="000000" w:themeColor="text1"/>
          <w:sz w:val="30"/>
          <w:szCs w:val="30"/>
          <w:highlight w:val="none"/>
          <w14:textFill>
            <w14:solidFill>
              <w14:schemeClr w14:val="tx1"/>
            </w14:solidFill>
          </w14:textFill>
        </w:rPr>
      </w:pPr>
      <w:r>
        <w:rPr>
          <w:rFonts w:hint="eastAsia" w:asciiTheme="minorEastAsia" w:hAnsiTheme="minorEastAsia" w:eastAsiaTheme="minorEastAsia"/>
          <w:b/>
          <w:color w:val="000000" w:themeColor="text1"/>
          <w:sz w:val="30"/>
          <w:szCs w:val="30"/>
          <w:highlight w:val="none"/>
          <w14:textFill>
            <w14:solidFill>
              <w14:schemeClr w14:val="tx1"/>
            </w14:solidFill>
          </w14:textFill>
        </w:rPr>
        <w:t>采</w:t>
      </w:r>
      <w:r>
        <w:rPr>
          <w:rFonts w:hint="eastAsia" w:asciiTheme="minorEastAsia" w:hAnsiTheme="minorEastAsia" w:eastAsiaTheme="minorEastAsia"/>
          <w:b/>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0"/>
          <w:szCs w:val="30"/>
          <w:highlight w:val="none"/>
          <w14:textFill>
            <w14:solidFill>
              <w14:schemeClr w14:val="tx1"/>
            </w14:solidFill>
          </w14:textFill>
        </w:rPr>
        <w:t>购</w:t>
      </w:r>
      <w:r>
        <w:rPr>
          <w:rFonts w:hint="eastAsia" w:asciiTheme="minorEastAsia" w:hAnsiTheme="minorEastAsia" w:eastAsiaTheme="minorEastAsia"/>
          <w:b/>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0"/>
          <w:szCs w:val="30"/>
          <w:highlight w:val="none"/>
          <w14:textFill>
            <w14:solidFill>
              <w14:schemeClr w14:val="tx1"/>
            </w14:solidFill>
          </w14:textFill>
        </w:rPr>
        <w:t>人：灵宝市市场监督管理局</w:t>
      </w:r>
    </w:p>
    <w:p w14:paraId="2900ED3B">
      <w:pPr>
        <w:spacing w:line="360" w:lineRule="auto"/>
        <w:ind w:firstLine="1702" w:firstLineChars="565"/>
        <w:rPr>
          <w:rFonts w:hint="eastAsia" w:asciiTheme="minorEastAsia" w:hAnsiTheme="minorEastAsia" w:eastAsiaTheme="minorEastAsia"/>
          <w:b/>
          <w:color w:val="000000" w:themeColor="text1"/>
          <w:sz w:val="30"/>
          <w:szCs w:val="30"/>
          <w:highlight w:val="none"/>
          <w:lang w:eastAsia="zh-CN"/>
          <w14:textFill>
            <w14:solidFill>
              <w14:schemeClr w14:val="tx1"/>
            </w14:solidFill>
          </w14:textFill>
        </w:rPr>
      </w:pPr>
      <w:r>
        <w:rPr>
          <w:rFonts w:hint="eastAsia" w:asciiTheme="minorEastAsia" w:hAnsiTheme="minorEastAsia" w:eastAsiaTheme="minorEastAsia"/>
          <w:b/>
          <w:color w:val="000000" w:themeColor="text1"/>
          <w:sz w:val="30"/>
          <w:szCs w:val="30"/>
          <w:highlight w:val="none"/>
          <w14:textFill>
            <w14:solidFill>
              <w14:schemeClr w14:val="tx1"/>
            </w14:solidFill>
          </w14:textFill>
        </w:rPr>
        <w:t>代理机构：</w:t>
      </w:r>
      <w:r>
        <w:rPr>
          <w:rFonts w:hint="eastAsia" w:asciiTheme="minorEastAsia" w:hAnsiTheme="minorEastAsia" w:eastAsiaTheme="minorEastAsia"/>
          <w:b/>
          <w:color w:val="000000" w:themeColor="text1"/>
          <w:sz w:val="30"/>
          <w:szCs w:val="30"/>
          <w:highlight w:val="none"/>
          <w:lang w:eastAsia="zh-CN"/>
          <w14:textFill>
            <w14:solidFill>
              <w14:schemeClr w14:val="tx1"/>
            </w14:solidFill>
          </w14:textFill>
        </w:rPr>
        <w:t>河南新时代工程管理有限公司</w:t>
      </w:r>
    </w:p>
    <w:p w14:paraId="10D651CC">
      <w:pPr>
        <w:spacing w:line="360" w:lineRule="auto"/>
        <w:ind w:firstLine="1702" w:firstLineChars="565"/>
        <w:rPr>
          <w:rFonts w:asciiTheme="minorEastAsia" w:hAnsiTheme="minorEastAsia" w:eastAsiaTheme="minorEastAsia"/>
          <w:b/>
          <w:color w:val="000000" w:themeColor="text1"/>
          <w:sz w:val="30"/>
          <w:szCs w:val="30"/>
          <w:highlight w:val="none"/>
          <w14:textFill>
            <w14:solidFill>
              <w14:schemeClr w14:val="tx1"/>
            </w14:solidFill>
          </w14:textFill>
        </w:rPr>
      </w:pPr>
      <w:r>
        <w:rPr>
          <w:rFonts w:hint="eastAsia" w:asciiTheme="minorEastAsia" w:hAnsiTheme="minorEastAsia" w:eastAsiaTheme="minorEastAsia"/>
          <w:b/>
          <w:color w:val="000000" w:themeColor="text1"/>
          <w:sz w:val="30"/>
          <w:szCs w:val="30"/>
          <w:highlight w:val="none"/>
          <w14:textFill>
            <w14:solidFill>
              <w14:schemeClr w14:val="tx1"/>
            </w14:solidFill>
          </w14:textFill>
        </w:rPr>
        <w:t>日</w:t>
      </w:r>
      <w:r>
        <w:rPr>
          <w:rFonts w:hint="eastAsia" w:asciiTheme="minorEastAsia" w:hAnsiTheme="minorEastAsia" w:eastAsiaTheme="minorEastAsia"/>
          <w:b/>
          <w:color w:val="000000" w:themeColor="text1"/>
          <w:sz w:val="30"/>
          <w:szCs w:val="30"/>
          <w:highlight w:val="non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0"/>
          <w:szCs w:val="30"/>
          <w:highlight w:val="none"/>
          <w14:textFill>
            <w14:solidFill>
              <w14:schemeClr w14:val="tx1"/>
            </w14:solidFill>
          </w14:textFill>
        </w:rPr>
        <w:t>期：二0二</w:t>
      </w:r>
      <w:r>
        <w:rPr>
          <w:rFonts w:hint="eastAsia" w:asciiTheme="minorEastAsia" w:hAnsiTheme="minorEastAsia" w:eastAsiaTheme="minorEastAsia"/>
          <w:b/>
          <w:color w:val="000000" w:themeColor="text1"/>
          <w:sz w:val="30"/>
          <w:szCs w:val="30"/>
          <w:highlight w:val="none"/>
          <w:lang w:val="en-US" w:eastAsia="zh-CN"/>
          <w14:textFill>
            <w14:solidFill>
              <w14:schemeClr w14:val="tx1"/>
            </w14:solidFill>
          </w14:textFill>
        </w:rPr>
        <w:t>五</w:t>
      </w:r>
      <w:r>
        <w:rPr>
          <w:rFonts w:hint="eastAsia" w:asciiTheme="minorEastAsia" w:hAnsiTheme="minorEastAsia" w:eastAsiaTheme="minorEastAsia"/>
          <w:b/>
          <w:color w:val="000000" w:themeColor="text1"/>
          <w:sz w:val="30"/>
          <w:szCs w:val="30"/>
          <w:highlight w:val="none"/>
          <w14:textFill>
            <w14:solidFill>
              <w14:schemeClr w14:val="tx1"/>
            </w14:solidFill>
          </w14:textFill>
        </w:rPr>
        <w:t>年</w:t>
      </w:r>
      <w:r>
        <w:rPr>
          <w:rFonts w:hint="eastAsia" w:asciiTheme="minorEastAsia" w:hAnsiTheme="minorEastAsia" w:eastAsiaTheme="minorEastAsia"/>
          <w:b/>
          <w:color w:val="000000" w:themeColor="text1"/>
          <w:sz w:val="30"/>
          <w:szCs w:val="30"/>
          <w:highlight w:val="none"/>
          <w:lang w:val="en-US" w:eastAsia="zh-CN"/>
          <w14:textFill>
            <w14:solidFill>
              <w14:schemeClr w14:val="tx1"/>
            </w14:solidFill>
          </w14:textFill>
        </w:rPr>
        <w:t>十</w:t>
      </w:r>
      <w:r>
        <w:rPr>
          <w:rFonts w:hint="eastAsia" w:asciiTheme="minorEastAsia" w:hAnsiTheme="minorEastAsia" w:eastAsiaTheme="minorEastAsia"/>
          <w:b/>
          <w:color w:val="000000" w:themeColor="text1"/>
          <w:sz w:val="30"/>
          <w:szCs w:val="30"/>
          <w:highlight w:val="none"/>
          <w14:textFill>
            <w14:solidFill>
              <w14:schemeClr w14:val="tx1"/>
            </w14:solidFill>
          </w14:textFill>
        </w:rPr>
        <w:t>月</w:t>
      </w:r>
    </w:p>
    <w:p w14:paraId="42F3E9CF">
      <w:pPr>
        <w:spacing w:line="360" w:lineRule="auto"/>
        <w:rPr>
          <w:rFonts w:asciiTheme="minorEastAsia" w:hAnsiTheme="minorEastAsia" w:eastAsiaTheme="minorEastAsia"/>
          <w:b/>
          <w:bCs/>
          <w:color w:val="000000" w:themeColor="text1"/>
          <w:kern w:val="44"/>
          <w:sz w:val="24"/>
          <w:highlight w:val="none"/>
          <w14:textFill>
            <w14:solidFill>
              <w14:schemeClr w14:val="tx1"/>
            </w14:solidFill>
          </w14:textFill>
        </w:rPr>
        <w:sectPr>
          <w:footerReference r:id="rId3" w:type="first"/>
          <w:pgSz w:w="11850" w:h="16783"/>
          <w:pgMar w:top="1418" w:right="1588" w:bottom="1418" w:left="1588" w:header="851" w:footer="992" w:gutter="0"/>
          <w:cols w:space="720" w:num="1"/>
        </w:sectPr>
      </w:pPr>
    </w:p>
    <w:p w14:paraId="23484245">
      <w:pPr>
        <w:spacing w:line="480" w:lineRule="auto"/>
        <w:jc w:val="center"/>
        <w:rPr>
          <w:color w:val="000000" w:themeColor="text1"/>
          <w:highlight w:val="none"/>
          <w14:textFill>
            <w14:solidFill>
              <w14:schemeClr w14:val="tx1"/>
            </w14:solidFill>
          </w14:textFill>
        </w:rPr>
      </w:pPr>
      <w:bookmarkStart w:id="0" w:name="_Toc246996898"/>
      <w:bookmarkEnd w:id="0"/>
      <w:bookmarkStart w:id="1" w:name="_Toc296602400"/>
      <w:bookmarkEnd w:id="1"/>
      <w:bookmarkStart w:id="2" w:name="_Toc247085669"/>
      <w:bookmarkEnd w:id="2"/>
      <w:bookmarkStart w:id="3" w:name="_Toc456164339"/>
      <w:bookmarkStart w:id="4" w:name="_Toc152042287"/>
      <w:bookmarkStart w:id="5" w:name="_Toc246996157"/>
      <w:bookmarkStart w:id="6" w:name="_Toc144974479"/>
      <w:bookmarkStart w:id="7" w:name="_Toc152045511"/>
      <w:bookmarkStart w:id="8" w:name="_Toc247085671"/>
      <w:bookmarkStart w:id="9" w:name="_Toc179632527"/>
      <w:bookmarkStart w:id="10" w:name="_Toc247096243"/>
      <w:bookmarkStart w:id="11" w:name="_Toc246996900"/>
      <w:r>
        <w:rPr>
          <w:rFonts w:hint="eastAsia" w:asciiTheme="minorEastAsia" w:hAnsiTheme="minorEastAsia" w:eastAsiaTheme="minorEastAsia"/>
          <w:color w:val="000000" w:themeColor="text1"/>
          <w:sz w:val="28"/>
          <w:szCs w:val="28"/>
          <w:highlight w:val="none"/>
          <w14:textFill>
            <w14:solidFill>
              <w14:schemeClr w14:val="tx1"/>
            </w14:solidFill>
          </w14:textFill>
        </w:rPr>
        <w:t>目   录</w:t>
      </w:r>
      <w:bookmarkEnd w:id="3"/>
      <w:r>
        <w:rPr>
          <w:rFonts w:cs="宋体" w:asciiTheme="minorEastAsia" w:hAnsiTheme="minorEastAsia" w:eastAsiaTheme="minorEastAsia"/>
          <w:color w:val="000000" w:themeColor="text1"/>
          <w:sz w:val="32"/>
          <w:szCs w:val="32"/>
          <w:highlight w:val="none"/>
          <w14:textFill>
            <w14:solidFill>
              <w14:schemeClr w14:val="tx1"/>
            </w14:solidFill>
          </w14:textFill>
        </w:rPr>
        <w:fldChar w:fldCharType="begin"/>
      </w:r>
      <w:r>
        <w:rPr>
          <w:rFonts w:cs="宋体" w:asciiTheme="minorEastAsia" w:hAnsiTheme="minorEastAsia" w:eastAsiaTheme="minorEastAsia"/>
          <w:color w:val="000000" w:themeColor="text1"/>
          <w:sz w:val="32"/>
          <w:szCs w:val="32"/>
          <w:highlight w:val="none"/>
          <w14:textFill>
            <w14:solidFill>
              <w14:schemeClr w14:val="tx1"/>
            </w14:solidFill>
          </w14:textFill>
        </w:rPr>
        <w:instrText xml:space="preserve"> TOC \o "1-2" \h \z \u </w:instrText>
      </w:r>
      <w:r>
        <w:rPr>
          <w:rFonts w:cs="宋体" w:asciiTheme="minorEastAsia" w:hAnsiTheme="minorEastAsia" w:eastAsiaTheme="minorEastAsia"/>
          <w:color w:val="000000" w:themeColor="text1"/>
          <w:sz w:val="32"/>
          <w:szCs w:val="32"/>
          <w:highlight w:val="none"/>
          <w14:textFill>
            <w14:solidFill>
              <w14:schemeClr w14:val="tx1"/>
            </w14:solidFill>
          </w14:textFill>
        </w:rPr>
        <w:fldChar w:fldCharType="separate"/>
      </w:r>
    </w:p>
    <w:p w14:paraId="3A4DB3D4">
      <w:pPr>
        <w:pStyle w:val="14"/>
        <w:tabs>
          <w:tab w:val="right" w:leader="dot" w:pos="8664"/>
        </w:tabs>
        <w:spacing w:line="480" w:lineRule="auto"/>
        <w:rPr>
          <w:rFonts w:ascii="宋体" w:hAnsi="宋体" w:cstheme="minorBidi"/>
          <w:b w:val="0"/>
          <w:bCs w:val="0"/>
          <w: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"_Toc173510805"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 w:val="24"/>
          <w:szCs w:val="24"/>
          <w:highlight w:val="none"/>
          <w14:textFill>
            <w14:solidFill>
              <w14:schemeClr w14:val="tx1"/>
            </w14:solidFill>
          </w14:textFill>
        </w:rPr>
        <w:t>第一章</w:t>
      </w:r>
      <w:r>
        <w:rPr>
          <w:rStyle w:val="26"/>
          <w:rFonts w:ascii="宋体" w:hAnsi="宋体"/>
          <w:color w:val="000000" w:themeColor="text1"/>
          <w:sz w:val="24"/>
          <w:szCs w:val="24"/>
          <w:highlight w:val="none"/>
          <w14:textFill>
            <w14:solidFill>
              <w14:schemeClr w14:val="tx1"/>
            </w14:solidFill>
          </w14:textFill>
        </w:rPr>
        <w:t xml:space="preserve"> </w:t>
      </w:r>
      <w:r>
        <w:rPr>
          <w:rStyle w:val="26"/>
          <w:rFonts w:hint="eastAsia" w:ascii="宋体" w:hAnsi="宋体"/>
          <w:color w:val="000000" w:themeColor="text1"/>
          <w:sz w:val="24"/>
          <w:szCs w:val="24"/>
          <w:highlight w:val="none"/>
          <w14:textFill>
            <w14:solidFill>
              <w14:schemeClr w14:val="tx1"/>
            </w14:solidFill>
          </w14:textFill>
        </w:rPr>
        <w:t>竞争性磋商公告</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_Toc173510805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5E891CD8">
      <w:pPr>
        <w:pStyle w:val="14"/>
        <w:tabs>
          <w:tab w:val="right" w:leader="dot" w:pos="8664"/>
        </w:tabs>
        <w:spacing w:line="480" w:lineRule="auto"/>
        <w:rPr>
          <w:rFonts w:ascii="宋体" w:hAnsi="宋体" w:cstheme="minorBidi"/>
          <w:b w:val="0"/>
          <w:bCs w:val="0"/>
          <w: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"_Toc173510806"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 w:val="24"/>
          <w:szCs w:val="24"/>
          <w:highlight w:val="none"/>
          <w14:textFill>
            <w14:solidFill>
              <w14:schemeClr w14:val="tx1"/>
            </w14:solidFill>
          </w14:textFill>
        </w:rPr>
        <w:t>第二章</w:t>
      </w:r>
      <w:r>
        <w:rPr>
          <w:rStyle w:val="26"/>
          <w:rFonts w:ascii="宋体" w:hAnsi="宋体"/>
          <w:color w:val="000000" w:themeColor="text1"/>
          <w:sz w:val="24"/>
          <w:szCs w:val="24"/>
          <w:highlight w:val="none"/>
          <w14:textFill>
            <w14:solidFill>
              <w14:schemeClr w14:val="tx1"/>
            </w14:solidFill>
          </w14:textFill>
        </w:rPr>
        <w:t xml:space="preserve"> </w:t>
      </w:r>
      <w:r>
        <w:rPr>
          <w:rStyle w:val="26"/>
          <w:rFonts w:hint="eastAsia" w:ascii="宋体" w:hAnsi="宋体"/>
          <w:color w:val="000000" w:themeColor="text1"/>
          <w:sz w:val="24"/>
          <w:szCs w:val="24"/>
          <w:highlight w:val="none"/>
          <w14:textFill>
            <w14:solidFill>
              <w14:schemeClr w14:val="tx1"/>
            </w14:solidFill>
          </w14:textFill>
        </w:rPr>
        <w:t>供应商须知</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_Toc173510806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4D80B01A">
      <w:pPr>
        <w:pStyle w:val="14"/>
        <w:tabs>
          <w:tab w:val="right" w:leader="dot" w:pos="8664"/>
        </w:tabs>
        <w:spacing w:line="480" w:lineRule="auto"/>
        <w:rPr>
          <w:rFonts w:ascii="宋体" w:hAnsi="宋体" w:cstheme="minorBidi"/>
          <w:b w:val="0"/>
          <w:bCs w:val="0"/>
          <w: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"_Toc173510807"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kern w:val="44"/>
          <w:sz w:val="24"/>
          <w:szCs w:val="24"/>
          <w:highlight w:val="none"/>
          <w14:textFill>
            <w14:solidFill>
              <w14:schemeClr w14:val="tx1"/>
            </w14:solidFill>
          </w14:textFill>
        </w:rPr>
        <w:t>第三章</w:t>
      </w:r>
      <w:r>
        <w:rPr>
          <w:rStyle w:val="26"/>
          <w:rFonts w:ascii="宋体" w:hAnsi="宋体"/>
          <w:color w:val="000000" w:themeColor="text1"/>
          <w:kern w:val="44"/>
          <w:sz w:val="24"/>
          <w:szCs w:val="24"/>
          <w:highlight w:val="none"/>
          <w14:textFill>
            <w14:solidFill>
              <w14:schemeClr w14:val="tx1"/>
            </w14:solidFill>
          </w14:textFill>
        </w:rPr>
        <w:t xml:space="preserve"> </w:t>
      </w:r>
      <w:r>
        <w:rPr>
          <w:rStyle w:val="26"/>
          <w:rFonts w:hint="eastAsia" w:ascii="宋体" w:hAnsi="宋体"/>
          <w:color w:val="000000" w:themeColor="text1"/>
          <w:kern w:val="44"/>
          <w:sz w:val="24"/>
          <w:szCs w:val="24"/>
          <w:highlight w:val="none"/>
          <w14:textFill>
            <w14:solidFill>
              <w14:schemeClr w14:val="tx1"/>
            </w14:solidFill>
          </w14:textFill>
        </w:rPr>
        <w:t>服务内容与相关要求</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_Toc173510807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27</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40B7EAD1">
      <w:pPr>
        <w:pStyle w:val="14"/>
        <w:tabs>
          <w:tab w:val="right" w:leader="dot" w:pos="8664"/>
        </w:tabs>
        <w:spacing w:line="480" w:lineRule="auto"/>
        <w:rPr>
          <w:rFonts w:ascii="宋体" w:hAnsi="宋体" w:cstheme="minorBidi"/>
          <w:b w:val="0"/>
          <w:bCs w:val="0"/>
          <w: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"_Toc173510808"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 w:val="24"/>
          <w:szCs w:val="24"/>
          <w:highlight w:val="none"/>
          <w14:textFill>
            <w14:solidFill>
              <w14:schemeClr w14:val="tx1"/>
            </w14:solidFill>
          </w14:textFill>
        </w:rPr>
        <w:t>第四章</w:t>
      </w:r>
      <w:r>
        <w:rPr>
          <w:rStyle w:val="26"/>
          <w:rFonts w:ascii="宋体" w:hAnsi="宋体"/>
          <w:color w:val="000000" w:themeColor="text1"/>
          <w:sz w:val="24"/>
          <w:szCs w:val="24"/>
          <w:highlight w:val="none"/>
          <w14:textFill>
            <w14:solidFill>
              <w14:schemeClr w14:val="tx1"/>
            </w14:solidFill>
          </w14:textFill>
        </w:rPr>
        <w:t xml:space="preserve"> </w:t>
      </w:r>
      <w:r>
        <w:rPr>
          <w:rStyle w:val="26"/>
          <w:rFonts w:hint="eastAsia" w:ascii="宋体" w:hAnsi="宋体"/>
          <w:color w:val="000000" w:themeColor="text1"/>
          <w:sz w:val="24"/>
          <w:szCs w:val="24"/>
          <w:highlight w:val="none"/>
          <w14:textFill>
            <w14:solidFill>
              <w14:schemeClr w14:val="tx1"/>
            </w14:solidFill>
          </w14:textFill>
        </w:rPr>
        <w:t>评审办法</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_Toc173510808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43</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23F05BD8">
      <w:pPr>
        <w:pStyle w:val="14"/>
        <w:tabs>
          <w:tab w:val="right" w:leader="dot" w:pos="8664"/>
        </w:tabs>
        <w:spacing w:line="480" w:lineRule="auto"/>
        <w:rPr>
          <w:rFonts w:ascii="宋体" w:hAnsi="宋体" w:cstheme="minorBidi"/>
          <w:b w:val="0"/>
          <w:bCs w:val="0"/>
          <w: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"_Toc173510809"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 w:val="24"/>
          <w:szCs w:val="24"/>
          <w:highlight w:val="none"/>
          <w14:textFill>
            <w14:solidFill>
              <w14:schemeClr w14:val="tx1"/>
            </w14:solidFill>
          </w14:textFill>
        </w:rPr>
        <w:t>第五章</w:t>
      </w:r>
      <w:r>
        <w:rPr>
          <w:rStyle w:val="26"/>
          <w:rFonts w:ascii="宋体" w:hAnsi="宋体"/>
          <w:color w:val="000000" w:themeColor="text1"/>
          <w:sz w:val="24"/>
          <w:szCs w:val="24"/>
          <w:highlight w:val="none"/>
          <w14:textFill>
            <w14:solidFill>
              <w14:schemeClr w14:val="tx1"/>
            </w14:solidFill>
          </w14:textFill>
        </w:rPr>
        <w:t xml:space="preserve"> </w:t>
      </w:r>
      <w:r>
        <w:rPr>
          <w:rStyle w:val="26"/>
          <w:rFonts w:hint="eastAsia" w:ascii="宋体" w:hAnsi="宋体"/>
          <w:color w:val="000000" w:themeColor="text1"/>
          <w:sz w:val="24"/>
          <w:szCs w:val="24"/>
          <w:highlight w:val="none"/>
          <w14:textFill>
            <w14:solidFill>
              <w14:schemeClr w14:val="tx1"/>
            </w14:solidFill>
          </w14:textFill>
        </w:rPr>
        <w:t>合同主要条款及格式</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_Toc173510809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58</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0A4594F9">
      <w:pPr>
        <w:pStyle w:val="14"/>
        <w:tabs>
          <w:tab w:val="right" w:leader="dot" w:pos="8664"/>
        </w:tabs>
        <w:spacing w:line="480" w:lineRule="auto"/>
        <w:rPr>
          <w:rFonts w:ascii="宋体" w:hAnsi="宋体" w:cstheme="minorBidi"/>
          <w:b w:val="0"/>
          <w:bCs w:val="0"/>
          <w: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"_Toc173510810" </w:instrText>
      </w:r>
      <w:r>
        <w:rPr>
          <w:color w:val="000000" w:themeColor="text1"/>
          <w:highlight w:val="none"/>
          <w14:textFill>
            <w14:solidFill>
              <w14:schemeClr w14:val="tx1"/>
            </w14:solidFill>
          </w14:textFill>
        </w:rPr>
        <w:fldChar w:fldCharType="separate"/>
      </w:r>
      <w:r>
        <w:rPr>
          <w:rStyle w:val="26"/>
          <w:rFonts w:hint="eastAsia" w:ascii="宋体" w:hAnsi="宋体"/>
          <w:color w:val="000000" w:themeColor="text1"/>
          <w:sz w:val="24"/>
          <w:szCs w:val="24"/>
          <w:highlight w:val="none"/>
          <w14:textFill>
            <w14:solidFill>
              <w14:schemeClr w14:val="tx1"/>
            </w14:solidFill>
          </w14:textFill>
        </w:rPr>
        <w:t>第六章</w:t>
      </w:r>
      <w:r>
        <w:rPr>
          <w:rStyle w:val="26"/>
          <w:rFonts w:ascii="宋体" w:hAnsi="宋体"/>
          <w:color w:val="000000" w:themeColor="text1"/>
          <w:sz w:val="24"/>
          <w:szCs w:val="24"/>
          <w:highlight w:val="none"/>
          <w14:textFill>
            <w14:solidFill>
              <w14:schemeClr w14:val="tx1"/>
            </w14:solidFill>
          </w14:textFill>
        </w:rPr>
        <w:t xml:space="preserve"> </w:t>
      </w:r>
      <w:r>
        <w:rPr>
          <w:rStyle w:val="26"/>
          <w:rFonts w:hint="eastAsia" w:ascii="宋体" w:hAnsi="宋体"/>
          <w:color w:val="000000" w:themeColor="text1"/>
          <w:sz w:val="24"/>
          <w:szCs w:val="24"/>
          <w:highlight w:val="none"/>
          <w14:textFill>
            <w14:solidFill>
              <w14:schemeClr w14:val="tx1"/>
            </w14:solidFill>
          </w14:textFill>
        </w:rPr>
        <w:t>磋商响应文件格式</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_Toc173510810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62</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048D56E3">
      <w:pPr>
        <w:pStyle w:val="15"/>
        <w:tabs>
          <w:tab w:val="right" w:leader="dot" w:pos="8664"/>
        </w:tabs>
        <w:spacing w:line="480" w:lineRule="auto"/>
        <w:rPr>
          <w:rFonts w:ascii="宋体" w:hAnsi="宋体" w:cstheme="minorBidi"/>
          <w:small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"_Toc173510811" </w:instrText>
      </w:r>
      <w:r>
        <w:rPr>
          <w:color w:val="000000" w:themeColor="text1"/>
          <w:highlight w:val="none"/>
          <w14:textFill>
            <w14:solidFill>
              <w14:schemeClr w14:val="tx1"/>
            </w14:solidFill>
          </w14:textFill>
        </w:rPr>
        <w:fldChar w:fldCharType="separate"/>
      </w:r>
      <w:r>
        <w:rPr>
          <w:rStyle w:val="26"/>
          <w:rFonts w:hint="eastAsia" w:ascii="宋体" w:hAnsi="宋体" w:cs="宋体-PUA"/>
          <w:color w:val="000000" w:themeColor="text1"/>
          <w:sz w:val="24"/>
          <w:szCs w:val="24"/>
          <w:highlight w:val="none"/>
          <w14:textFill>
            <w14:solidFill>
              <w14:schemeClr w14:val="tx1"/>
            </w14:solidFill>
          </w14:textFill>
        </w:rPr>
        <w:t>一、报价函及报价函附表</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_Toc173510811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64</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48245E21">
      <w:pPr>
        <w:pStyle w:val="15"/>
        <w:tabs>
          <w:tab w:val="right" w:leader="dot" w:pos="8664"/>
        </w:tabs>
        <w:spacing w:line="480" w:lineRule="auto"/>
        <w:rPr>
          <w:rFonts w:ascii="宋体" w:hAnsi="宋体" w:cstheme="minorBidi"/>
          <w:small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"_Toc173510812" </w:instrText>
      </w:r>
      <w:r>
        <w:rPr>
          <w:color w:val="000000" w:themeColor="text1"/>
          <w:highlight w:val="none"/>
          <w14:textFill>
            <w14:solidFill>
              <w14:schemeClr w14:val="tx1"/>
            </w14:solidFill>
          </w14:textFill>
        </w:rPr>
        <w:fldChar w:fldCharType="separate"/>
      </w:r>
      <w:r>
        <w:rPr>
          <w:rStyle w:val="26"/>
          <w:rFonts w:hint="eastAsia" w:ascii="宋体" w:hAnsi="宋体" w:cs="宋体-PUA"/>
          <w:color w:val="000000" w:themeColor="text1"/>
          <w:sz w:val="24"/>
          <w:szCs w:val="24"/>
          <w:highlight w:val="none"/>
          <w14:textFill>
            <w14:solidFill>
              <w14:schemeClr w14:val="tx1"/>
            </w14:solidFill>
          </w14:textFill>
        </w:rPr>
        <w:t>二、法定代表人身份证明及授权委托书</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_Toc173510812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66</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2D566E43">
      <w:pPr>
        <w:pStyle w:val="15"/>
        <w:tabs>
          <w:tab w:val="right" w:leader="dot" w:pos="8664"/>
        </w:tabs>
        <w:spacing w:line="480" w:lineRule="auto"/>
        <w:rPr>
          <w:rFonts w:ascii="宋体" w:hAnsi="宋体" w:cstheme="minorBidi"/>
          <w:small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"_Toc173510813" </w:instrText>
      </w:r>
      <w:r>
        <w:rPr>
          <w:color w:val="000000" w:themeColor="text1"/>
          <w:highlight w:val="none"/>
          <w14:textFill>
            <w14:solidFill>
              <w14:schemeClr w14:val="tx1"/>
            </w14:solidFill>
          </w14:textFill>
        </w:rPr>
        <w:fldChar w:fldCharType="separate"/>
      </w:r>
      <w:r>
        <w:rPr>
          <w:rStyle w:val="26"/>
          <w:rFonts w:hint="eastAsia" w:ascii="宋体" w:hAnsi="宋体" w:cs="宋体-PUA"/>
          <w:color w:val="000000" w:themeColor="text1"/>
          <w:sz w:val="24"/>
          <w:szCs w:val="24"/>
          <w:highlight w:val="none"/>
          <w14:textFill>
            <w14:solidFill>
              <w14:schemeClr w14:val="tx1"/>
            </w14:solidFill>
          </w14:textFill>
        </w:rPr>
        <w:t>三、磋商承诺函</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_Toc173510813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68</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5C90560D">
      <w:pPr>
        <w:pStyle w:val="15"/>
        <w:tabs>
          <w:tab w:val="right" w:leader="dot" w:pos="8664"/>
        </w:tabs>
        <w:spacing w:line="480" w:lineRule="auto"/>
        <w:rPr>
          <w:rFonts w:ascii="宋体" w:hAnsi="宋体" w:cstheme="minorBidi"/>
          <w:small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"_Toc173510814" </w:instrText>
      </w:r>
      <w:r>
        <w:rPr>
          <w:color w:val="000000" w:themeColor="text1"/>
          <w:highlight w:val="none"/>
          <w14:textFill>
            <w14:solidFill>
              <w14:schemeClr w14:val="tx1"/>
            </w14:solidFill>
          </w14:textFill>
        </w:rPr>
        <w:fldChar w:fldCharType="separate"/>
      </w:r>
      <w:r>
        <w:rPr>
          <w:rStyle w:val="26"/>
          <w:rFonts w:hint="eastAsia" w:ascii="宋体" w:hAnsi="宋体" w:cs="宋体-PUA"/>
          <w:color w:val="000000" w:themeColor="text1"/>
          <w:sz w:val="24"/>
          <w:szCs w:val="24"/>
          <w:highlight w:val="none"/>
          <w14:textFill>
            <w14:solidFill>
              <w14:schemeClr w14:val="tx1"/>
            </w14:solidFill>
          </w14:textFill>
        </w:rPr>
        <w:t>四、 资格审查</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_Toc173510814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69</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3B59E2F0">
      <w:pPr>
        <w:pStyle w:val="15"/>
        <w:tabs>
          <w:tab w:val="right" w:leader="dot" w:pos="8664"/>
        </w:tabs>
        <w:spacing w:line="480" w:lineRule="auto"/>
        <w:rPr>
          <w:rFonts w:ascii="宋体" w:hAnsi="宋体" w:cstheme="minorBidi"/>
          <w:small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"_Toc173510815" </w:instrText>
      </w:r>
      <w:r>
        <w:rPr>
          <w:color w:val="000000" w:themeColor="text1"/>
          <w:highlight w:val="none"/>
          <w14:textFill>
            <w14:solidFill>
              <w14:schemeClr w14:val="tx1"/>
            </w14:solidFill>
          </w14:textFill>
        </w:rPr>
        <w:fldChar w:fldCharType="separate"/>
      </w:r>
      <w:r>
        <w:rPr>
          <w:rStyle w:val="26"/>
          <w:rFonts w:hint="eastAsia" w:ascii="宋体" w:hAnsi="宋体" w:cs="宋体-PUA"/>
          <w:color w:val="000000" w:themeColor="text1"/>
          <w:sz w:val="24"/>
          <w:szCs w:val="24"/>
          <w:highlight w:val="none"/>
          <w14:textFill>
            <w14:solidFill>
              <w14:schemeClr w14:val="tx1"/>
            </w14:solidFill>
          </w14:textFill>
        </w:rPr>
        <w:t>五、 技术及商务标</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_Toc173510815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72</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30B5050F">
      <w:pPr>
        <w:pStyle w:val="15"/>
        <w:tabs>
          <w:tab w:val="right" w:leader="dot" w:pos="8664"/>
        </w:tabs>
        <w:spacing w:line="480" w:lineRule="auto"/>
        <w:rPr>
          <w:rFonts w:ascii="宋体" w:hAnsi="宋体" w:cstheme="minorBidi"/>
          <w:smallCaps w:val="0"/>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"_Toc173510816" </w:instrText>
      </w:r>
      <w:r>
        <w:rPr>
          <w:color w:val="000000" w:themeColor="text1"/>
          <w:highlight w:val="none"/>
          <w14:textFill>
            <w14:solidFill>
              <w14:schemeClr w14:val="tx1"/>
            </w14:solidFill>
          </w14:textFill>
        </w:rPr>
        <w:fldChar w:fldCharType="separate"/>
      </w:r>
      <w:r>
        <w:rPr>
          <w:rStyle w:val="26"/>
          <w:rFonts w:hint="eastAsia" w:ascii="宋体" w:hAnsi="宋体" w:cs="宋体-PUA"/>
          <w:color w:val="000000" w:themeColor="text1"/>
          <w:sz w:val="24"/>
          <w:szCs w:val="24"/>
          <w:highlight w:val="none"/>
          <w14:textFill>
            <w14:solidFill>
              <w14:schemeClr w14:val="tx1"/>
            </w14:solidFill>
          </w14:textFill>
        </w:rPr>
        <w:t>六、其他材料</w:t>
      </w:r>
      <w:r>
        <w:rPr>
          <w:rFonts w:ascii="宋体" w:hAnsi="宋体"/>
          <w:color w:val="000000" w:themeColor="text1"/>
          <w:sz w:val="24"/>
          <w:szCs w:val="24"/>
          <w:highlight w:val="none"/>
          <w14:textFill>
            <w14:solidFill>
              <w14:schemeClr w14:val="tx1"/>
            </w14:solidFill>
          </w14:textFill>
        </w:rPr>
        <w:tab/>
      </w: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 PAGEREF _Toc173510816 \h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4"/>
          <w:szCs w:val="24"/>
          <w:highlight w:val="none"/>
          <w14:textFill>
            <w14:solidFill>
              <w14:schemeClr w14:val="tx1"/>
            </w14:solidFill>
          </w14:textFill>
        </w:rPr>
        <w:t>83</w:t>
      </w:r>
      <w:r>
        <w:rPr>
          <w:rFonts w:ascii="宋体" w:hAnsi="宋体"/>
          <w:color w:val="000000" w:themeColor="text1"/>
          <w:sz w:val="24"/>
          <w:szCs w:val="24"/>
          <w:highlight w:val="none"/>
          <w14:textFill>
            <w14:solidFill>
              <w14:schemeClr w14:val="tx1"/>
            </w14:solidFill>
          </w14:textFill>
        </w:rPr>
        <w:fldChar w:fldCharType="end"/>
      </w:r>
      <w:r>
        <w:rPr>
          <w:rFonts w:ascii="宋体" w:hAnsi="宋体"/>
          <w:color w:val="000000" w:themeColor="text1"/>
          <w:sz w:val="24"/>
          <w:szCs w:val="24"/>
          <w:highlight w:val="none"/>
          <w14:textFill>
            <w14:solidFill>
              <w14:schemeClr w14:val="tx1"/>
            </w14:solidFill>
          </w14:textFill>
        </w:rPr>
        <w:fldChar w:fldCharType="end"/>
      </w:r>
    </w:p>
    <w:p w14:paraId="65FAC79F">
      <w:pPr>
        <w:spacing w:line="480" w:lineRule="auto"/>
        <w:jc w:val="center"/>
        <w:rPr>
          <w:rFonts w:cs="宋体" w:asciiTheme="minorEastAsia" w:hAnsiTheme="minorEastAsia" w:eastAsiaTheme="minorEastAsia"/>
          <w:color w:val="000000" w:themeColor="text1"/>
          <w:sz w:val="28"/>
          <w:szCs w:val="28"/>
          <w:highlight w:val="none"/>
          <w14:textFill>
            <w14:solidFill>
              <w14:schemeClr w14:val="tx1"/>
            </w14:solidFill>
          </w14:textFill>
        </w:rPr>
      </w:pPr>
      <w:r>
        <w:rPr>
          <w:rFonts w:cs="宋体" w:asciiTheme="minorEastAsia" w:hAnsiTheme="minorEastAsia" w:eastAsiaTheme="minorEastAsia"/>
          <w:color w:val="000000" w:themeColor="text1"/>
          <w:sz w:val="32"/>
          <w:szCs w:val="32"/>
          <w:highlight w:val="none"/>
          <w14:textFill>
            <w14:solidFill>
              <w14:schemeClr w14:val="tx1"/>
            </w14:solidFill>
          </w14:textFill>
        </w:rPr>
        <w:fldChar w:fldCharType="end"/>
      </w:r>
    </w:p>
    <w:p w14:paraId="6347AE6C">
      <w:pPr>
        <w:rPr>
          <w:rFonts w:asciiTheme="minorEastAsia" w:hAnsiTheme="minorEastAsia" w:eastAsiaTheme="minorEastAsia"/>
          <w:color w:val="000000" w:themeColor="text1"/>
          <w:sz w:val="24"/>
          <w:highlight w:val="none"/>
          <w14:textFill>
            <w14:solidFill>
              <w14:schemeClr w14:val="tx1"/>
            </w14:solidFill>
          </w14:textFill>
        </w:rPr>
      </w:pPr>
    </w:p>
    <w:p w14:paraId="4F3A6E30">
      <w:pPr>
        <w:widowControl/>
        <w:spacing w:line="360" w:lineRule="auto"/>
        <w:jc w:val="left"/>
        <w:rPr>
          <w:rFonts w:cs="宋体" w:asciiTheme="minorEastAsia" w:hAnsiTheme="minorEastAsia" w:eastAsiaTheme="minorEastAsia"/>
          <w:b/>
          <w:smallCaps/>
          <w:color w:val="000000" w:themeColor="text1"/>
          <w:sz w:val="24"/>
          <w:highlight w:val="none"/>
          <w14:textFill>
            <w14:solidFill>
              <w14:schemeClr w14:val="tx1"/>
            </w14:solidFill>
          </w14:textFill>
        </w:rPr>
        <w:sectPr>
          <w:pgSz w:w="11850" w:h="16783"/>
          <w:pgMar w:top="1135" w:right="1588" w:bottom="993" w:left="1588" w:header="567" w:footer="992" w:gutter="0"/>
          <w:pgNumType w:fmt="upperRoman" w:start="1"/>
          <w:cols w:space="720" w:num="1"/>
        </w:sectPr>
      </w:pPr>
      <w:r>
        <w:rPr>
          <w:rFonts w:hint="eastAsia" w:cs="宋体" w:asciiTheme="minorEastAsia" w:hAnsiTheme="minorEastAsia" w:eastAsiaTheme="minorEastAsia"/>
          <w:b/>
          <w:smallCaps/>
          <w:color w:val="000000" w:themeColor="text1"/>
          <w:sz w:val="24"/>
          <w:highlight w:val="none"/>
          <w14:textFill>
            <w14:solidFill>
              <w14:schemeClr w14:val="tx1"/>
            </w14:solidFill>
          </w14:textFill>
        </w:rPr>
        <w:t xml:space="preserve">  </w:t>
      </w:r>
    </w:p>
    <w:bookmarkEnd w:id="4"/>
    <w:bookmarkEnd w:id="5"/>
    <w:bookmarkEnd w:id="6"/>
    <w:bookmarkEnd w:id="7"/>
    <w:bookmarkEnd w:id="8"/>
    <w:bookmarkEnd w:id="9"/>
    <w:bookmarkEnd w:id="10"/>
    <w:bookmarkEnd w:id="11"/>
    <w:p w14:paraId="5F89427C">
      <w:pPr>
        <w:pStyle w:val="2"/>
        <w:spacing w:line="240" w:lineRule="auto"/>
        <w:ind w:left="360"/>
        <w:jc w:val="center"/>
        <w:rPr>
          <w:rFonts w:asciiTheme="minorEastAsia" w:hAnsiTheme="minorEastAsia" w:eastAsiaTheme="minorEastAsia"/>
          <w:color w:val="000000" w:themeColor="text1"/>
          <w:sz w:val="24"/>
          <w:szCs w:val="24"/>
          <w:highlight w:val="none"/>
          <w14:textFill>
            <w14:solidFill>
              <w14:schemeClr w14:val="tx1"/>
            </w14:solidFill>
          </w14:textFill>
        </w:rPr>
      </w:pPr>
      <w:bookmarkStart w:id="12" w:name="_Toc484276227"/>
      <w:bookmarkStart w:id="13" w:name="_Toc47970967"/>
      <w:bookmarkStart w:id="14" w:name="_Toc30423"/>
      <w:bookmarkStart w:id="15" w:name="_Toc171608853"/>
      <w:bookmarkStart w:id="16" w:name="_Toc173510805"/>
      <w:bookmarkStart w:id="17" w:name="_Toc484115837"/>
      <w:bookmarkStart w:id="18" w:name="_Toc171612792"/>
      <w:bookmarkStart w:id="19" w:name="_Toc101344059"/>
      <w:r>
        <w:rPr>
          <w:rFonts w:hint="eastAsia" w:asciiTheme="minorEastAsia" w:hAnsiTheme="minorEastAsia" w:eastAsiaTheme="minorEastAsia"/>
          <w:color w:val="000000" w:themeColor="text1"/>
          <w:sz w:val="24"/>
          <w:szCs w:val="24"/>
          <w:highlight w:val="none"/>
          <w14:textFill>
            <w14:solidFill>
              <w14:schemeClr w14:val="tx1"/>
            </w14:solidFill>
          </w14:textFill>
        </w:rPr>
        <w:t>第一章 竞争性磋商公告</w:t>
      </w:r>
      <w:bookmarkEnd w:id="12"/>
      <w:bookmarkEnd w:id="13"/>
      <w:bookmarkEnd w:id="14"/>
      <w:bookmarkEnd w:id="15"/>
      <w:bookmarkEnd w:id="16"/>
      <w:bookmarkEnd w:id="17"/>
      <w:bookmarkEnd w:id="18"/>
      <w:bookmarkEnd w:id="19"/>
    </w:p>
    <w:p w14:paraId="0A8086F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bookmarkStart w:id="20" w:name="_Toc246996173"/>
      <w:bookmarkStart w:id="21" w:name="_Toc152045527"/>
      <w:bookmarkStart w:id="22" w:name="_Toc152042303"/>
      <w:bookmarkStart w:id="23" w:name="_Toc179632544"/>
      <w:bookmarkStart w:id="24" w:name="_Toc144974495"/>
      <w:bookmarkStart w:id="25" w:name="_Toc247085687"/>
      <w:bookmarkStart w:id="26" w:name="_Toc27041"/>
      <w:bookmarkStart w:id="27" w:name="_Toc43652626"/>
      <w:bookmarkStart w:id="28" w:name="_Toc246996916"/>
      <w:r>
        <w:rPr>
          <w:rFonts w:hint="eastAsia" w:asciiTheme="minorEastAsia" w:hAnsiTheme="minorEastAsia" w:eastAsiaTheme="minorEastAsia"/>
          <w:color w:val="000000" w:themeColor="text1"/>
          <w:sz w:val="24"/>
          <w:highlight w:val="none"/>
          <w:lang w:eastAsia="zh-CN"/>
          <w14:textFill>
            <w14:solidFill>
              <w14:schemeClr w14:val="tx1"/>
            </w14:solidFill>
          </w14:textFill>
        </w:rPr>
        <w:t>河南新时代工程管理有限公司</w:t>
      </w:r>
      <w:r>
        <w:rPr>
          <w:rFonts w:hint="eastAsia" w:asciiTheme="minorEastAsia" w:hAnsiTheme="minorEastAsia" w:eastAsiaTheme="minorEastAsia"/>
          <w:color w:val="000000" w:themeColor="text1"/>
          <w:sz w:val="24"/>
          <w:highlight w:val="none"/>
          <w14:textFill>
            <w14:solidFill>
              <w14:schemeClr w14:val="tx1"/>
            </w14:solidFill>
          </w14:textFill>
        </w:rPr>
        <w:t>受灵宝市市场监督管理局的委托，就</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灵宝市市场监督管理局2025年9月-2026年8月食品及商品质量抽检项目</w:t>
      </w:r>
      <w:r>
        <w:rPr>
          <w:rFonts w:hint="eastAsia" w:asciiTheme="minorEastAsia" w:hAnsiTheme="minorEastAsia" w:eastAsiaTheme="minorEastAsia"/>
          <w:color w:val="000000" w:themeColor="text1"/>
          <w:sz w:val="24"/>
          <w:highlight w:val="none"/>
          <w14:textFill>
            <w14:solidFill>
              <w14:schemeClr w14:val="tx1"/>
            </w14:solidFill>
          </w14:textFill>
        </w:rPr>
        <w:t>进行竞争性磋商采购，欢迎符合资格条件的供应商参加。</w:t>
      </w:r>
    </w:p>
    <w:p w14:paraId="7E1C4AA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一、项目概况</w:t>
      </w:r>
    </w:p>
    <w:p w14:paraId="2F3D954A">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1.采购人：灵宝市市场监督管理局</w:t>
      </w:r>
    </w:p>
    <w:p w14:paraId="0DF458DD">
      <w:pPr>
        <w:spacing w:line="360" w:lineRule="auto"/>
        <w:ind w:firstLine="480" w:firstLineChars="200"/>
        <w:jc w:val="left"/>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2.项目名称：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灵宝市市场监督管理局2025年9月-2026年8月食品及商品质量抽检项目；</w:t>
      </w:r>
    </w:p>
    <w:p w14:paraId="6DBE21FE">
      <w:pPr>
        <w:spacing w:line="360" w:lineRule="auto"/>
        <w:ind w:firstLine="480" w:firstLineChars="200"/>
        <w:jc w:val="left"/>
        <w:rPr>
          <w:rFonts w:hint="default"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3.项目编号：</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灵宝竞磋采购-2025-146、LBGZ[2025]280-ZC211、HNXSD-2025-0012</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1A742A65">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4.标段划分：本项目共分为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个标段；</w:t>
      </w:r>
    </w:p>
    <w:p w14:paraId="1B590A5B">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5.采购内容：包含</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技术测试和分析服务，按照采购人要求，完成</w:t>
      </w:r>
      <w:r>
        <w:rPr>
          <w:rFonts w:hint="eastAsia" w:cs="宋体" w:asciiTheme="minorEastAsia" w:hAnsiTheme="minorEastAsia" w:eastAsiaTheme="minorEastAsia"/>
          <w:b w:val="0"/>
          <w:bCs w:val="0"/>
          <w:color w:val="000000" w:themeColor="text1"/>
          <w:kern w:val="0"/>
          <w:sz w:val="24"/>
          <w:highlight w:val="none"/>
          <w14:textFill>
            <w14:solidFill>
              <w14:schemeClr w14:val="tx1"/>
            </w14:solidFill>
          </w14:textFill>
        </w:rPr>
        <w:t>对应区域食品、</w:t>
      </w:r>
      <w:r>
        <w:rPr>
          <w:rFonts w:hint="eastAsia" w:cs="宋体" w:asciiTheme="minorEastAsia" w:hAnsiTheme="minorEastAsia" w:eastAsiaTheme="minorEastAsia"/>
          <w:b w:val="0"/>
          <w:bCs w:val="0"/>
          <w:color w:val="000000" w:themeColor="text1"/>
          <w:kern w:val="0"/>
          <w:sz w:val="24"/>
          <w:highlight w:val="none"/>
          <w:lang w:val="en-US" w:eastAsia="zh-CN"/>
          <w14:textFill>
            <w14:solidFill>
              <w14:schemeClr w14:val="tx1"/>
            </w14:solidFill>
          </w14:textFill>
        </w:rPr>
        <w:t>产品</w:t>
      </w:r>
      <w:r>
        <w:rPr>
          <w:rFonts w:hint="eastAsia" w:cs="宋体" w:asciiTheme="minorEastAsia" w:hAnsiTheme="minorEastAsia" w:eastAsiaTheme="minorEastAsia"/>
          <w:b w:val="0"/>
          <w:bCs w:val="0"/>
          <w:color w:val="000000" w:themeColor="text1"/>
          <w:kern w:val="0"/>
          <w:sz w:val="24"/>
          <w:highlight w:val="none"/>
          <w14:textFill>
            <w14:solidFill>
              <w14:schemeClr w14:val="tx1"/>
            </w14:solidFill>
          </w14:textFill>
        </w:rPr>
        <w:t>安</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全监督抽检工作（对抽样品种进行检验、质量分析、信息上报等相关配套服务）及为采购单位提供免费技能培训服务</w:t>
      </w:r>
      <w:r>
        <w:rPr>
          <w:rFonts w:hint="eastAsia" w:asciiTheme="minorEastAsia" w:hAnsiTheme="minorEastAsia" w:eastAsiaTheme="minorEastAsia"/>
          <w:color w:val="000000" w:themeColor="text1"/>
          <w:sz w:val="24"/>
          <w:highlight w:val="none"/>
          <w14:textFill>
            <w14:solidFill>
              <w14:schemeClr w14:val="tx1"/>
            </w14:solidFill>
          </w14:textFill>
        </w:rPr>
        <w:t>（具体要求详见本项目竞争性磋商文件第三章服务内容及相关要求）；</w:t>
      </w:r>
    </w:p>
    <w:p w14:paraId="5D8AE772">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6.预算金额：</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1300000.00元</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68B3319C">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7.资金来源：财政资金，已落实；</w:t>
      </w:r>
    </w:p>
    <w:p w14:paraId="15A8864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8.服务标准：符合国家及行业标准并满足采购人使用要求；</w:t>
      </w:r>
    </w:p>
    <w:p w14:paraId="49B72EC6">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9.服务期限：自合同签订生效之日起1年；</w:t>
      </w:r>
    </w:p>
    <w:p w14:paraId="288E0610">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10.服务地点：采购人指定地点；</w:t>
      </w:r>
    </w:p>
    <w:p w14:paraId="74DA08CF">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r>
        <w:rPr>
          <w:rFonts w:hint="eastAsia" w:ascii="宋体" w:hAnsi="宋体" w:eastAsia="宋体" w:cs="宋体"/>
          <w:color w:val="auto"/>
          <w:sz w:val="24"/>
          <w:highlight w:val="none"/>
          <w:lang w:val="en-US" w:eastAsia="zh-CN"/>
        </w:rPr>
        <w:t>落实政府采购政策需满足的资格要求：本项目非专门面向中小企业、监狱企业及残疾人福利性单位采购项目，执行促进中小型企业发展政策（残疾人福利性企业、监狱企业视同小微企业）、优先采购节能环保产品等政府采购政策</w:t>
      </w:r>
      <w:r>
        <w:rPr>
          <w:rFonts w:hint="eastAsia" w:ascii="宋体" w:hAnsi="宋体" w:cs="宋体"/>
          <w:color w:val="auto"/>
          <w:sz w:val="24"/>
          <w:highlight w:val="none"/>
          <w:lang w:val="en-US" w:eastAsia="zh-CN"/>
        </w:rPr>
        <w:t>。</w:t>
      </w:r>
    </w:p>
    <w:p w14:paraId="7178D457">
      <w:pPr>
        <w:spacing w:line="360" w:lineRule="auto"/>
        <w:ind w:firstLine="480" w:firstLineChars="200"/>
        <w:jc w:val="left"/>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二、供应商资格要求</w:t>
      </w:r>
    </w:p>
    <w:p w14:paraId="423D56EB">
      <w:pPr>
        <w:pStyle w:val="16"/>
        <w:spacing w:after="0"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满足《中华人民共和国政府采购法》第二十二条的规定并同时具备下列条件</w:t>
      </w:r>
      <w:r>
        <w:rPr>
          <w:rFonts w:hint="eastAsia" w:ascii="宋体" w:hAnsi="宋体"/>
          <w:color w:val="000000" w:themeColor="text1"/>
          <w:sz w:val="24"/>
          <w:szCs w:val="24"/>
          <w:highlight w:val="none"/>
          <w:lang w:eastAsia="zh-CN"/>
          <w14:textFill>
            <w14:solidFill>
              <w14:schemeClr w14:val="tx1"/>
            </w14:solidFill>
          </w14:textFill>
        </w:rPr>
        <w:t>：</w:t>
      </w:r>
    </w:p>
    <w:p w14:paraId="376E79E7">
      <w:pPr>
        <w:pStyle w:val="16"/>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1、供应商须具有有效的营业执照、税务登记证、组织机构代码证或“三证合一”的营业执照；</w:t>
      </w:r>
    </w:p>
    <w:p w14:paraId="22303254">
      <w:pPr>
        <w:pStyle w:val="16"/>
        <w:spacing w:after="0"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2、有效期内的CMA证书（其中CMA资质附表中要同时具备食品及工业品检测能力</w:t>
      </w:r>
      <w:r>
        <w:rPr>
          <w:rFonts w:hint="eastAsia" w:ascii="宋体" w:hAnsi="宋体"/>
          <w:b/>
          <w:bCs/>
          <w:color w:val="000000" w:themeColor="text1"/>
          <w:sz w:val="24"/>
          <w:szCs w:val="24"/>
          <w:highlight w:val="none"/>
          <w14:textFill>
            <w14:solidFill>
              <w14:schemeClr w14:val="tx1"/>
            </w14:solidFill>
          </w14:textFill>
        </w:rPr>
        <w:t>（注：本项目服务目录中所有产品检测覆盖率达80%以上并提供CMA能力附表）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3669778D">
      <w:pPr>
        <w:spacing w:line="360" w:lineRule="auto"/>
        <w:ind w:firstLine="480" w:firstLineChars="200"/>
        <w:jc w:val="left"/>
        <w:rPr>
          <w:rFonts w:asciiTheme="minorEastAsia" w:hAnsiTheme="minorEastAsia" w:eastAsiaTheme="minorEastAsia"/>
          <w:color w:val="000000" w:themeColor="text1"/>
          <w:sz w:val="24"/>
          <w:highlight w:val="none"/>
          <w:cs/>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、具有履行本项目采购内容所必须的设备和专业技术服务能力(提供证明材料或承诺书)；</w:t>
      </w:r>
    </w:p>
    <w:p w14:paraId="3F2F00BC">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、具有依法缴纳税收（提供202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年01月以来</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w:t>
      </w:r>
      <w:r>
        <w:rPr>
          <w:rFonts w:hint="eastAsia" w:asciiTheme="minorEastAsia" w:hAnsiTheme="minorEastAsia" w:eastAsiaTheme="minorEastAsia"/>
          <w:color w:val="000000" w:themeColor="text1"/>
          <w:sz w:val="24"/>
          <w:highlight w:val="none"/>
          <w14:textFill>
            <w14:solidFill>
              <w14:schemeClr w14:val="tx1"/>
            </w14:solidFill>
          </w14:textFill>
        </w:rPr>
        <w:t>月的税收缴纳证明材料；注：依法免税的，应提供税务部门出具的依法免税证明材料）和社会保障资金（提供</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color w:val="000000" w:themeColor="text1"/>
          <w:sz w:val="24"/>
          <w:highlight w:val="none"/>
          <w14:textFill>
            <w14:solidFill>
              <w14:schemeClr w14:val="tx1"/>
            </w14:solidFill>
          </w14:textFill>
        </w:rPr>
        <w:t>年01月以来项目负责人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任意一个月</w:t>
      </w:r>
      <w:r>
        <w:rPr>
          <w:rFonts w:hint="eastAsia" w:asciiTheme="minorEastAsia" w:hAnsiTheme="minorEastAsia" w:eastAsiaTheme="minorEastAsia"/>
          <w:color w:val="000000" w:themeColor="text1"/>
          <w:sz w:val="24"/>
          <w:highlight w:val="none"/>
          <w14:textFill>
            <w14:solidFill>
              <w14:schemeClr w14:val="tx1"/>
            </w14:solidFill>
          </w14:textFill>
        </w:rPr>
        <w:t>的社保证明材料）；</w:t>
      </w:r>
    </w:p>
    <w:p w14:paraId="0A294AC9">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、具有良好的商业信誉和健全的财务会计制度，提供近三年经审计的财务报告（或财务报表）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新成立公司无审计报告应附最新的财务报表说明；</w:t>
      </w:r>
    </w:p>
    <w:p w14:paraId="215C4DDA">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、参加政府采购活动前3年内无行贿犯罪记录；（提供《中国裁判文书网》查询结果网页截图或企业自行承诺的无行贿犯罪承诺书，查询&lt;承诺&gt;对象为“企业，法定代表人，项目负责人”）；</w:t>
      </w:r>
    </w:p>
    <w:p w14:paraId="4D948DA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、参加政府采购活动前3年内无商业贿赂、不正当竞争行为、骗取中标、严重违约及重大质量等问题，（供应商须自行出具承诺书）；</w:t>
      </w:r>
    </w:p>
    <w:p w14:paraId="3520B44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719E7638">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单位负责人为同一人或者存在控股、管理关系的不同单位，不得参加同一标段投标或者未划分标段的同一招标项目投标,提供投标企业在“国家企业信用信息公示系统”中公示的公司信息、股东或投资人信息”。</w:t>
      </w:r>
    </w:p>
    <w:p w14:paraId="54ECFD61">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、本项目不接受联合体投标；</w:t>
      </w:r>
    </w:p>
    <w:p w14:paraId="0DA547B0">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三、竞争性磋商文件的获取</w:t>
      </w:r>
    </w:p>
    <w:p w14:paraId="1962BC65">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bCs/>
          <w:color w:val="000000" w:themeColor="text1"/>
          <w:sz w:val="24"/>
          <w:highlight w:val="none"/>
          <w14:textFill>
            <w14:solidFill>
              <w14:schemeClr w14:val="tx1"/>
            </w14:solidFill>
          </w14:textFill>
        </w:rPr>
        <w:t>方式：本项目没有报名环节，供应商凭CA数字证书通过三门峡市公共资源交易中心网（网址：</w:t>
      </w:r>
      <w:r>
        <w:rPr>
          <w:rFonts w:asciiTheme="minorEastAsia" w:hAnsiTheme="minorEastAsia" w:eastAsiaTheme="minorEastAsia"/>
          <w:bCs/>
          <w:color w:val="000000" w:themeColor="text1"/>
          <w:sz w:val="24"/>
          <w:highlight w:val="none"/>
          <w14:textFill>
            <w14:solidFill>
              <w14:schemeClr w14:val="tx1"/>
            </w14:solidFill>
          </w14:textFill>
        </w:rPr>
        <w:t>http://gzjy.smx.gov.cn</w:t>
      </w:r>
      <w:r>
        <w:rPr>
          <w:rFonts w:hint="eastAsia" w:asciiTheme="minorEastAsia" w:hAnsiTheme="minorEastAsia" w:eastAsiaTheme="minorEastAsia"/>
          <w:bCs/>
          <w:color w:val="000000" w:themeColor="text1"/>
          <w:sz w:val="24"/>
          <w:highlight w:val="none"/>
          <w14:textFill>
            <w14:solidFill>
              <w14:schemeClr w14:val="tx1"/>
            </w14:solidFill>
          </w14:textFill>
        </w:rPr>
        <w:t>），点击交易平台选择</w:t>
      </w:r>
      <w:r>
        <w:rPr>
          <w:rFonts w:hint="eastAsia" w:asciiTheme="minorEastAsia" w:hAnsiTheme="minorEastAsia" w:eastAsiaTheme="minorEastAsia"/>
          <w:color w:val="000000" w:themeColor="text1"/>
          <w:sz w:val="24"/>
          <w:highlight w:val="none"/>
          <w14:textFill>
            <w14:solidFill>
              <w14:schemeClr w14:val="tx1"/>
            </w14:solidFill>
          </w14:textFill>
        </w:rPr>
        <w:t>“市场主体登录”，在所参与项目右侧点击参与投标，即可直接下载本项目磋商文件。</w:t>
      </w:r>
    </w:p>
    <w:p w14:paraId="7260B02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办理CA证书：http://www.smxgzjy.org/bwstb/23330.jhtml</w:t>
      </w:r>
    </w:p>
    <w:p w14:paraId="461B97B7">
      <w:pPr>
        <w:spacing w:line="360" w:lineRule="auto"/>
        <w:ind w:firstLine="480" w:firstLineChars="200"/>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2.时间：</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bCs/>
          <w:color w:val="000000" w:themeColor="text1"/>
          <w:sz w:val="24"/>
          <w:highlight w:val="none"/>
          <w14:textFill>
            <w14:solidFill>
              <w14:schemeClr w14:val="tx1"/>
            </w14:solidFill>
          </w14:textFill>
        </w:rPr>
        <w:t>日</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bCs/>
          <w:color w:val="000000" w:themeColor="text1"/>
          <w:sz w:val="24"/>
          <w:highlight w:val="none"/>
          <w14:textFill>
            <w14:solidFill>
              <w14:schemeClr w14:val="tx1"/>
            </w14:solidFill>
          </w14:textFill>
        </w:rPr>
        <w:t>时</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14:textFill>
            <w14:solidFill>
              <w14:schemeClr w14:val="tx1"/>
            </w14:solidFill>
          </w14:textFill>
        </w:rPr>
        <w:t>分至</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bCs/>
          <w:color w:val="000000" w:themeColor="text1"/>
          <w:sz w:val="24"/>
          <w:highlight w:val="none"/>
          <w14:textFill>
            <w14:solidFill>
              <w14:schemeClr w14:val="tx1"/>
            </w14:solidFill>
          </w14:textFill>
        </w:rPr>
        <w:t>日</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14:textFill>
            <w14:solidFill>
              <w14:schemeClr w14:val="tx1"/>
            </w14:solidFill>
          </w14:textFill>
        </w:rPr>
        <w:t>时</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14:textFill>
            <w14:solidFill>
              <w14:schemeClr w14:val="tx1"/>
            </w14:solidFill>
          </w14:textFill>
        </w:rPr>
        <w:t>分。</w:t>
      </w:r>
    </w:p>
    <w:p w14:paraId="22612D48">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3.本项目采用全电子化招标，不再收取竞争性磋商文件费。</w:t>
      </w:r>
    </w:p>
    <w:p w14:paraId="19C13EE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75DDCAD9">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四、磋商响应资料的提交</w:t>
      </w:r>
    </w:p>
    <w:p w14:paraId="17A5972F">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14:paraId="756E9730">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五、磋商保证金</w:t>
      </w:r>
    </w:p>
    <w:p w14:paraId="5859AD4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按照《河南省财政厅关于优化政府采购营商环境有关问题的通知》（豫财购[2019]4号文）的要求本项目不再收取磋商保证金。</w:t>
      </w:r>
    </w:p>
    <w:p w14:paraId="0D700D66">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六、磋商文件的递交</w:t>
      </w:r>
    </w:p>
    <w:p w14:paraId="546D2A2B">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1、磋商文件递交的截止时间（开标时间）为</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bCs/>
          <w:color w:val="000000" w:themeColor="text1"/>
          <w:sz w:val="24"/>
          <w:highlight w:val="none"/>
          <w14:textFill>
            <w14:solidFill>
              <w14:schemeClr w14:val="tx1"/>
            </w14:solidFill>
          </w14:textFill>
        </w:rPr>
        <w:t>年</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bCs/>
          <w:color w:val="000000" w:themeColor="text1"/>
          <w:sz w:val="24"/>
          <w:highlight w:val="none"/>
          <w14:textFill>
            <w14:solidFill>
              <w14:schemeClr w14:val="tx1"/>
            </w14:solidFill>
          </w14:textFill>
        </w:rPr>
        <w:t>月</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bCs/>
          <w:color w:val="000000" w:themeColor="text1"/>
          <w:sz w:val="24"/>
          <w:highlight w:val="none"/>
          <w14:textFill>
            <w14:solidFill>
              <w14:schemeClr w14:val="tx1"/>
            </w14:solidFill>
          </w14:textFill>
        </w:rPr>
        <w:t>日</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09</w:t>
      </w:r>
      <w:r>
        <w:rPr>
          <w:rFonts w:hint="eastAsia" w:asciiTheme="minorEastAsia" w:hAnsiTheme="minorEastAsia" w:eastAsiaTheme="minorEastAsia"/>
          <w:bCs/>
          <w:color w:val="000000" w:themeColor="text1"/>
          <w:sz w:val="24"/>
          <w:highlight w:val="none"/>
          <w14:textFill>
            <w14:solidFill>
              <w14:schemeClr w14:val="tx1"/>
            </w14:solidFill>
          </w14:textFill>
        </w:rPr>
        <w:t>时</w:t>
      </w: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00</w:t>
      </w:r>
      <w:r>
        <w:rPr>
          <w:rFonts w:hint="eastAsia" w:asciiTheme="minorEastAsia" w:hAnsiTheme="minorEastAsia" w:eastAsiaTheme="minorEastAsia"/>
          <w:bCs/>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3D3C5906">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2、开标地点：灵宝市公共资源交易中心十二楼第</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highlight w:val="none"/>
          <w14:textFill>
            <w14:solidFill>
              <w14:schemeClr w14:val="tx1"/>
            </w14:solidFill>
          </w14:textFill>
        </w:rPr>
        <w:t>开标室；</w:t>
      </w:r>
    </w:p>
    <w:p w14:paraId="3D83F41F">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3、评标地点：灵宝市公共资源交易中心十二楼第</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三</w:t>
      </w:r>
      <w:r>
        <w:rPr>
          <w:rFonts w:hint="eastAsia" w:cs="宋体" w:asciiTheme="minorEastAsia" w:hAnsiTheme="minorEastAsia" w:eastAsiaTheme="minorEastAsia"/>
          <w:color w:val="000000" w:themeColor="text1"/>
          <w:sz w:val="24"/>
          <w:highlight w:val="none"/>
          <w14:textFill>
            <w14:solidFill>
              <w14:schemeClr w14:val="tx1"/>
            </w14:solidFill>
          </w14:textFill>
        </w:rPr>
        <w:t>评标室；</w:t>
      </w:r>
    </w:p>
    <w:p w14:paraId="37703149">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七、其他事项</w:t>
      </w:r>
    </w:p>
    <w:p w14:paraId="32C6930E">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1、供应商应仔细阅读操作手册，在本公告中要求的截止时间前完成磋商文件下载等工作。因供应商操作不当等问题造成的无法下载磋商文件、无法投标等一切后果，由供应商自行承担。</w:t>
      </w:r>
    </w:p>
    <w:p w14:paraId="303F9A1D">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2、投标所发生的一切费用由各供应商自行承担，并承担相应的风险和责任。</w:t>
      </w:r>
    </w:p>
    <w:p w14:paraId="06EB021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3、供应商递交的资料和响应文件不论中标与否均不予退还。</w:t>
      </w:r>
    </w:p>
    <w:p w14:paraId="2BCB7CC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4、我单位（采购人）严格按三财购（2021）9 号文要求的时限发布结果公告，发出成交通知书，签订采购合同，上传采购合同。</w:t>
      </w:r>
    </w:p>
    <w:p w14:paraId="55E9127C">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5、根据优化营商环境的要求，评标时以响应文件为准：</w:t>
      </w:r>
    </w:p>
    <w:p w14:paraId="5C73DC17">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（1）资格评（预）审部分：资格评（预）以响应文件为准，其上传资料真实性由供应商自行承担，同时，供应商要完善主体库。</w:t>
      </w:r>
    </w:p>
    <w:p w14:paraId="2CA0595A">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（2）评标打分部分：评标打分部分仍按照100分制原则进行，涉及到资格审查、企业荣誉、人员业绩、企业业绩等计分部分时，以投标单位自行上传到响应文件中的相应内容为准。</w:t>
      </w:r>
    </w:p>
    <w:p w14:paraId="7CE6ECF2">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3C9BFB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八、发布公告的媒介</w:t>
      </w:r>
    </w:p>
    <w:p w14:paraId="0151DB82">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本次磋商公告同时在《河南省政府采购网》、《三门峡市公共资源交易中心网》、《中国采购与招标网》上发布。</w:t>
      </w:r>
    </w:p>
    <w:p w14:paraId="4269A9A3">
      <w:pPr>
        <w:numPr>
          <w:ilvl w:val="0"/>
          <w:numId w:val="1"/>
        </w:numPr>
        <w:spacing w:line="360" w:lineRule="auto"/>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联系方式</w:t>
      </w:r>
    </w:p>
    <w:p w14:paraId="254748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监督单位：灵宝市财政局政府采购监督管理科</w:t>
      </w:r>
    </w:p>
    <w:p w14:paraId="0D0601B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联系方式：0398-8852670</w:t>
      </w:r>
    </w:p>
    <w:p w14:paraId="311BA6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000000" w:themeColor="text1"/>
          <w:kern w:val="0"/>
          <w:sz w:val="24"/>
          <w:highlight w:val="none"/>
          <w:lang w:val="en-US"/>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监督单位：中 共灵宝市市场监督管理局党组</w:t>
      </w:r>
    </w:p>
    <w:p w14:paraId="72D177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电话：0398-8661881</w:t>
      </w:r>
    </w:p>
    <w:p w14:paraId="0EF5E45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采购人：灵宝市市场监督管理局</w:t>
      </w:r>
    </w:p>
    <w:p w14:paraId="299BB4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地址：灵宝市富士路中段</w:t>
      </w:r>
    </w:p>
    <w:p w14:paraId="3603F6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联系人：</w:t>
      </w: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刘先生</w:t>
      </w:r>
    </w:p>
    <w:p w14:paraId="39638A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联系电话：03988661618</w:t>
      </w:r>
    </w:p>
    <w:p w14:paraId="21995EC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eastAsiaTheme="minorEastAsia"/>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地  址：</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河南省郑州市金水区农业路东16号省汇中心A座15A01</w:t>
      </w:r>
    </w:p>
    <w:p w14:paraId="7ABBC0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 系 人：</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张女士</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 xml:space="preserve">      </w:t>
      </w:r>
    </w:p>
    <w:p w14:paraId="5A2D78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联系电话：</w:t>
      </w: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19839811108</w:t>
      </w:r>
    </w:p>
    <w:p w14:paraId="34E30249">
      <w:pPr>
        <w:pStyle w:val="8"/>
        <w:ind w:right="164" w:firstLine="560"/>
        <w:rPr>
          <w:rFonts w:asciiTheme="minorEastAsia" w:hAnsiTheme="minorEastAsia" w:eastAsiaTheme="minorEastAsia"/>
          <w:color w:val="000000" w:themeColor="text1"/>
          <w:highlight w:val="none"/>
          <w14:textFill>
            <w14:solidFill>
              <w14:schemeClr w14:val="tx1"/>
            </w14:solidFill>
          </w14:textFill>
        </w:rPr>
      </w:pPr>
    </w:p>
    <w:p w14:paraId="32D5DEFE">
      <w:pPr>
        <w:rPr>
          <w:rFonts w:asciiTheme="minorEastAsia" w:hAnsiTheme="minorEastAsia" w:eastAsiaTheme="minorEastAsia"/>
          <w:color w:val="000000" w:themeColor="text1"/>
          <w:highlight w:val="none"/>
          <w14:textFill>
            <w14:solidFill>
              <w14:schemeClr w14:val="tx1"/>
            </w14:solidFill>
          </w14:textFill>
        </w:rPr>
      </w:pPr>
    </w:p>
    <w:p w14:paraId="22E4C5A7">
      <w:pPr>
        <w:pStyle w:val="16"/>
        <w:ind w:firstLine="200"/>
        <w:rPr>
          <w:rFonts w:asciiTheme="minorEastAsia" w:hAnsiTheme="minorEastAsia" w:eastAsiaTheme="minorEastAsia"/>
          <w:color w:val="000000" w:themeColor="text1"/>
          <w:highlight w:val="none"/>
          <w14:textFill>
            <w14:solidFill>
              <w14:schemeClr w14:val="tx1"/>
            </w14:solidFill>
          </w14:textFill>
        </w:rPr>
      </w:pPr>
    </w:p>
    <w:p w14:paraId="6601614D">
      <w:pPr>
        <w:pStyle w:val="8"/>
        <w:ind w:right="164" w:firstLine="560"/>
        <w:rPr>
          <w:rFonts w:asciiTheme="minorEastAsia" w:hAnsiTheme="minorEastAsia" w:eastAsiaTheme="minorEastAsia"/>
          <w:color w:val="000000" w:themeColor="text1"/>
          <w:highlight w:val="none"/>
          <w14:textFill>
            <w14:solidFill>
              <w14:schemeClr w14:val="tx1"/>
            </w14:solidFill>
          </w14:textFill>
        </w:rPr>
      </w:pPr>
    </w:p>
    <w:p w14:paraId="607FE6E1">
      <w:pPr>
        <w:rPr>
          <w:rFonts w:asciiTheme="minorEastAsia" w:hAnsiTheme="minorEastAsia" w:eastAsiaTheme="minorEastAsia"/>
          <w:color w:val="000000" w:themeColor="text1"/>
          <w:highlight w:val="none"/>
          <w14:textFill>
            <w14:solidFill>
              <w14:schemeClr w14:val="tx1"/>
            </w14:solidFill>
          </w14:textFill>
        </w:rPr>
      </w:pPr>
    </w:p>
    <w:p w14:paraId="0F7AB9AA">
      <w:pPr>
        <w:pStyle w:val="16"/>
        <w:ind w:firstLine="200"/>
        <w:rPr>
          <w:rFonts w:asciiTheme="minorEastAsia" w:hAnsiTheme="minorEastAsia" w:eastAsiaTheme="minorEastAsia"/>
          <w:color w:val="000000" w:themeColor="text1"/>
          <w:highlight w:val="none"/>
          <w14:textFill>
            <w14:solidFill>
              <w14:schemeClr w14:val="tx1"/>
            </w14:solidFill>
          </w14:textFill>
        </w:rPr>
      </w:pPr>
    </w:p>
    <w:p w14:paraId="7FE2D9C6">
      <w:pPr>
        <w:pStyle w:val="8"/>
        <w:ind w:right="164" w:firstLine="560"/>
        <w:rPr>
          <w:rFonts w:asciiTheme="minorEastAsia" w:hAnsiTheme="minorEastAsia" w:eastAsiaTheme="minorEastAsia"/>
          <w:color w:val="000000" w:themeColor="text1"/>
          <w:highlight w:val="none"/>
          <w14:textFill>
            <w14:solidFill>
              <w14:schemeClr w14:val="tx1"/>
            </w14:solidFill>
          </w14:textFill>
        </w:rPr>
      </w:pPr>
    </w:p>
    <w:bookmarkEnd w:id="20"/>
    <w:bookmarkEnd w:id="21"/>
    <w:bookmarkEnd w:id="22"/>
    <w:bookmarkEnd w:id="23"/>
    <w:bookmarkEnd w:id="24"/>
    <w:bookmarkEnd w:id="25"/>
    <w:bookmarkEnd w:id="26"/>
    <w:bookmarkEnd w:id="27"/>
    <w:bookmarkEnd w:id="28"/>
    <w:p w14:paraId="7A6B2098">
      <w:pPr>
        <w:rPr>
          <w:rFonts w:hint="eastAsia" w:asciiTheme="minorEastAsia" w:hAnsiTheme="minorEastAsia" w:eastAsiaTheme="minorEastAsia"/>
          <w:bCs/>
          <w:color w:val="000000" w:themeColor="text1"/>
          <w:sz w:val="24"/>
          <w:highlight w:val="none"/>
          <w14:textFill>
            <w14:solidFill>
              <w14:schemeClr w14:val="tx1"/>
            </w14:solidFill>
          </w14:textFill>
        </w:rPr>
      </w:pPr>
      <w:bookmarkStart w:id="29" w:name="_Toc171608855"/>
      <w:bookmarkStart w:id="30" w:name="_Toc101344061"/>
      <w:bookmarkStart w:id="31" w:name="_Toc533503498"/>
      <w:bookmarkStart w:id="32" w:name="_Toc43652627"/>
      <w:bookmarkStart w:id="33" w:name="_Toc466303888"/>
      <w:bookmarkStart w:id="34" w:name="_Toc26346"/>
      <w:bookmarkStart w:id="35" w:name="_Toc13269"/>
      <w:bookmarkStart w:id="36" w:name="_Toc184635070"/>
    </w:p>
    <w:p w14:paraId="1C3D8050">
      <w:pPr>
        <w:rPr>
          <w:rFonts w:hint="eastAsia" w:asciiTheme="minorEastAsia" w:hAnsiTheme="minorEastAsia" w:eastAsiaTheme="minorEastAsia"/>
          <w:bCs/>
          <w:color w:val="000000" w:themeColor="text1"/>
          <w:sz w:val="24"/>
          <w:highlight w:val="none"/>
          <w14:textFill>
            <w14:solidFill>
              <w14:schemeClr w14:val="tx1"/>
            </w14:solidFill>
          </w14:textFill>
        </w:rPr>
      </w:pPr>
    </w:p>
    <w:p w14:paraId="50AE8D34">
      <w:pPr>
        <w:rPr>
          <w:rFonts w:hint="eastAsia" w:asciiTheme="minorEastAsia" w:hAnsiTheme="minorEastAsia" w:eastAsiaTheme="minorEastAsia"/>
          <w:bCs/>
          <w:color w:val="000000" w:themeColor="text1"/>
          <w:sz w:val="24"/>
          <w:highlight w:val="none"/>
          <w14:textFill>
            <w14:solidFill>
              <w14:schemeClr w14:val="tx1"/>
            </w14:solidFill>
          </w14:textFill>
        </w:rPr>
      </w:pPr>
    </w:p>
    <w:p w14:paraId="3D687696">
      <w:pPr>
        <w:rPr>
          <w:rFonts w:hint="eastAsia" w:asciiTheme="minorEastAsia" w:hAnsiTheme="minorEastAsia" w:eastAsiaTheme="minorEastAsia"/>
          <w:bCs/>
          <w:color w:val="000000" w:themeColor="text1"/>
          <w:sz w:val="24"/>
          <w:highlight w:val="none"/>
          <w14:textFill>
            <w14:solidFill>
              <w14:schemeClr w14:val="tx1"/>
            </w14:solidFill>
          </w14:textFill>
        </w:rPr>
      </w:pPr>
    </w:p>
    <w:p w14:paraId="3D481268">
      <w:pPr>
        <w:pStyle w:val="2"/>
        <w:spacing w:line="240" w:lineRule="auto"/>
        <w:jc w:val="center"/>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第二章 供应商须知</w:t>
      </w:r>
    </w:p>
    <w:p w14:paraId="14CFEC3C">
      <w:pPr>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供应商须知前附表</w:t>
      </w:r>
      <w:bookmarkEnd w:id="29"/>
      <w:bookmarkEnd w:id="30"/>
      <w:bookmarkEnd w:id="31"/>
      <w:bookmarkEnd w:id="32"/>
    </w:p>
    <w:tbl>
      <w:tblPr>
        <w:tblStyle w:val="17"/>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2353"/>
        <w:gridCol w:w="6155"/>
      </w:tblGrid>
      <w:tr w14:paraId="0F90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33" w:type="dxa"/>
            <w:vAlign w:val="center"/>
          </w:tcPr>
          <w:p w14:paraId="5B93FF5A">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条款号</w:t>
            </w:r>
          </w:p>
        </w:tc>
        <w:tc>
          <w:tcPr>
            <w:tcW w:w="2353" w:type="dxa"/>
            <w:vAlign w:val="center"/>
          </w:tcPr>
          <w:p w14:paraId="47A837C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条 款 名 称</w:t>
            </w:r>
          </w:p>
        </w:tc>
        <w:tc>
          <w:tcPr>
            <w:tcW w:w="6155" w:type="dxa"/>
            <w:vAlign w:val="center"/>
          </w:tcPr>
          <w:p w14:paraId="567A9A8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编 列 内 容</w:t>
            </w:r>
          </w:p>
        </w:tc>
      </w:tr>
      <w:tr w14:paraId="773E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333" w:type="dxa"/>
            <w:vAlign w:val="center"/>
          </w:tcPr>
          <w:p w14:paraId="6A8E1B7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w:t>
            </w:r>
          </w:p>
        </w:tc>
        <w:tc>
          <w:tcPr>
            <w:tcW w:w="2353" w:type="dxa"/>
            <w:vAlign w:val="center"/>
          </w:tcPr>
          <w:p w14:paraId="51A6762F">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监督单位</w:t>
            </w:r>
          </w:p>
        </w:tc>
        <w:tc>
          <w:tcPr>
            <w:tcW w:w="6155" w:type="dxa"/>
            <w:vAlign w:val="center"/>
          </w:tcPr>
          <w:p w14:paraId="02F5F16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监督单位：灵宝市财政局政府采购监督管理科</w:t>
            </w:r>
          </w:p>
          <w:p w14:paraId="53CBF8C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联系方式：0398-8852670</w:t>
            </w:r>
          </w:p>
          <w:p w14:paraId="30D5FD30">
            <w:pPr>
              <w:spacing w:line="360" w:lineRule="auto"/>
              <w:rPr>
                <w:rFonts w:hint="eastAsia"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监督单位：中</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共灵宝市市场监督管理局党组</w:t>
            </w:r>
          </w:p>
          <w:p w14:paraId="7F23BA85">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电话：0398-8661881</w:t>
            </w:r>
          </w:p>
        </w:tc>
      </w:tr>
      <w:tr w14:paraId="6A0F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1333" w:type="dxa"/>
            <w:vAlign w:val="center"/>
          </w:tcPr>
          <w:p w14:paraId="7CDFE68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w:t>
            </w:r>
          </w:p>
        </w:tc>
        <w:tc>
          <w:tcPr>
            <w:tcW w:w="2353" w:type="dxa"/>
            <w:vAlign w:val="center"/>
          </w:tcPr>
          <w:p w14:paraId="5E755B8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w:t>
            </w:r>
          </w:p>
        </w:tc>
        <w:tc>
          <w:tcPr>
            <w:tcW w:w="6155" w:type="dxa"/>
            <w:vAlign w:val="center"/>
          </w:tcPr>
          <w:p w14:paraId="3415CA7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采购人：灵宝市市场监督管理局</w:t>
            </w:r>
          </w:p>
          <w:p w14:paraId="4C02439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地址：灵宝市富士路中段</w:t>
            </w:r>
          </w:p>
          <w:p w14:paraId="51A6D840">
            <w:p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lang w:val="en-US" w:eastAsia="zh-CN"/>
                <w14:textFill>
                  <w14:solidFill>
                    <w14:schemeClr w14:val="tx1"/>
                  </w14:solidFill>
                </w14:textFill>
              </w:rPr>
              <w:t>刘先生</w:t>
            </w:r>
          </w:p>
          <w:p w14:paraId="00A0E4C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联系电话：03988661618</w:t>
            </w:r>
          </w:p>
        </w:tc>
      </w:tr>
      <w:tr w14:paraId="4270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33" w:type="dxa"/>
            <w:vAlign w:val="center"/>
          </w:tcPr>
          <w:p w14:paraId="116E640F">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w:t>
            </w:r>
          </w:p>
        </w:tc>
        <w:tc>
          <w:tcPr>
            <w:tcW w:w="2353" w:type="dxa"/>
            <w:vAlign w:val="center"/>
          </w:tcPr>
          <w:p w14:paraId="2EB6B43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w:t>
            </w:r>
          </w:p>
        </w:tc>
        <w:tc>
          <w:tcPr>
            <w:tcW w:w="6155" w:type="dxa"/>
            <w:vAlign w:val="center"/>
          </w:tcPr>
          <w:p w14:paraId="18F30088">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w:t>
            </w:r>
            <w:r>
              <w:rPr>
                <w:rFonts w:hint="eastAsia" w:ascii="宋体" w:hAnsi="宋体" w:cs="宋体"/>
                <w:color w:val="000000" w:themeColor="text1"/>
                <w:sz w:val="24"/>
                <w:highlight w:val="none"/>
                <w:lang w:eastAsia="zh-CN"/>
                <w14:textFill>
                  <w14:solidFill>
                    <w14:schemeClr w14:val="tx1"/>
                  </w14:solidFill>
                </w14:textFill>
              </w:rPr>
              <w:t>河南新时代工程管理有限公司</w:t>
            </w:r>
          </w:p>
          <w:p w14:paraId="0956DDD5">
            <w:pPr>
              <w:spacing w:line="360" w:lineRule="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河南省郑州市金水区农业路东16号省汇中心A座15A01</w:t>
            </w:r>
          </w:p>
          <w:p w14:paraId="6E3F751F">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 系 人：</w:t>
            </w:r>
            <w:r>
              <w:rPr>
                <w:rFonts w:hint="eastAsia" w:ascii="宋体" w:hAnsi="宋体" w:cs="宋体"/>
                <w:color w:val="000000" w:themeColor="text1"/>
                <w:sz w:val="24"/>
                <w:highlight w:val="none"/>
                <w:lang w:eastAsia="zh-CN"/>
                <w14:textFill>
                  <w14:solidFill>
                    <w14:schemeClr w14:val="tx1"/>
                  </w14:solidFill>
                </w14:textFill>
              </w:rPr>
              <w:t>张女士</w:t>
            </w:r>
            <w:r>
              <w:rPr>
                <w:rFonts w:hint="eastAsia" w:ascii="宋体" w:hAnsi="宋体" w:cs="宋体"/>
                <w:color w:val="000000" w:themeColor="text1"/>
                <w:sz w:val="24"/>
                <w:highlight w:val="none"/>
                <w14:textFill>
                  <w14:solidFill>
                    <w14:schemeClr w14:val="tx1"/>
                  </w14:solidFill>
                </w14:textFill>
              </w:rPr>
              <w:t xml:space="preserve">      </w:t>
            </w:r>
          </w:p>
          <w:p w14:paraId="766E1DB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lang w:eastAsia="zh-CN"/>
                <w14:textFill>
                  <w14:solidFill>
                    <w14:schemeClr w14:val="tx1"/>
                  </w14:solidFill>
                </w14:textFill>
              </w:rPr>
              <w:t>19839811108</w:t>
            </w:r>
          </w:p>
        </w:tc>
      </w:tr>
      <w:tr w14:paraId="468C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33" w:type="dxa"/>
            <w:vAlign w:val="center"/>
          </w:tcPr>
          <w:p w14:paraId="5150F05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p>
        </w:tc>
        <w:tc>
          <w:tcPr>
            <w:tcW w:w="2353" w:type="dxa"/>
            <w:vAlign w:val="center"/>
          </w:tcPr>
          <w:p w14:paraId="642C7AA8">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6155" w:type="dxa"/>
            <w:vAlign w:val="center"/>
          </w:tcPr>
          <w:p w14:paraId="1B61CB6A">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灵宝市市场监督管理局2025年9月-2026年8月食品及商品质量抽检项目</w:t>
            </w:r>
          </w:p>
        </w:tc>
      </w:tr>
      <w:tr w14:paraId="6F67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3" w:type="dxa"/>
            <w:vAlign w:val="center"/>
          </w:tcPr>
          <w:p w14:paraId="3F0E33D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w:t>
            </w:r>
          </w:p>
        </w:tc>
        <w:tc>
          <w:tcPr>
            <w:tcW w:w="2353" w:type="dxa"/>
            <w:vAlign w:val="center"/>
          </w:tcPr>
          <w:p w14:paraId="06ED31D6">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资金来源及落实情况</w:t>
            </w:r>
          </w:p>
        </w:tc>
        <w:tc>
          <w:tcPr>
            <w:tcW w:w="6155" w:type="dxa"/>
            <w:vAlign w:val="center"/>
          </w:tcPr>
          <w:p w14:paraId="3AB59A2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财政资金，已落实；</w:t>
            </w:r>
          </w:p>
        </w:tc>
      </w:tr>
      <w:tr w14:paraId="4CAA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33" w:type="dxa"/>
            <w:vAlign w:val="center"/>
          </w:tcPr>
          <w:p w14:paraId="72E2BB8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w:t>
            </w:r>
          </w:p>
        </w:tc>
        <w:tc>
          <w:tcPr>
            <w:tcW w:w="2353" w:type="dxa"/>
            <w:vAlign w:val="center"/>
          </w:tcPr>
          <w:p w14:paraId="7E3FCFE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服务地点</w:t>
            </w:r>
          </w:p>
        </w:tc>
        <w:tc>
          <w:tcPr>
            <w:tcW w:w="6155" w:type="dxa"/>
            <w:vAlign w:val="center"/>
          </w:tcPr>
          <w:p w14:paraId="72E0CCC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采购人指定地点；</w:t>
            </w:r>
          </w:p>
        </w:tc>
      </w:tr>
      <w:tr w14:paraId="45DB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33" w:type="dxa"/>
            <w:vAlign w:val="center"/>
          </w:tcPr>
          <w:p w14:paraId="69145A5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w:t>
            </w:r>
          </w:p>
        </w:tc>
        <w:tc>
          <w:tcPr>
            <w:tcW w:w="2353" w:type="dxa"/>
            <w:vAlign w:val="center"/>
          </w:tcPr>
          <w:p w14:paraId="3AD90479">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预算金额</w:t>
            </w:r>
          </w:p>
        </w:tc>
        <w:tc>
          <w:tcPr>
            <w:tcW w:w="6155" w:type="dxa"/>
            <w:vAlign w:val="center"/>
          </w:tcPr>
          <w:p w14:paraId="4F7F77C4">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采购预算1300000.00元</w:t>
            </w:r>
          </w:p>
          <w:p w14:paraId="65C5000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供应商报价不得超出采购预算金额，否则予以废标处理。若所有供应商的报价均超过预算价，则采购人有权重新组织采购。</w:t>
            </w:r>
          </w:p>
        </w:tc>
      </w:tr>
      <w:tr w14:paraId="5859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333" w:type="dxa"/>
            <w:vAlign w:val="center"/>
          </w:tcPr>
          <w:p w14:paraId="7E114BD1">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w:t>
            </w:r>
          </w:p>
        </w:tc>
        <w:tc>
          <w:tcPr>
            <w:tcW w:w="2353" w:type="dxa"/>
            <w:vAlign w:val="center"/>
          </w:tcPr>
          <w:p w14:paraId="6CDE015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服务内容</w:t>
            </w:r>
          </w:p>
        </w:tc>
        <w:tc>
          <w:tcPr>
            <w:tcW w:w="6155" w:type="dxa"/>
            <w:vAlign w:val="center"/>
          </w:tcPr>
          <w:p w14:paraId="5230277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包含技术测试和分析服务，按照采购人要求，完成对应区域食品、</w:t>
            </w:r>
            <w:r>
              <w:rPr>
                <w:rFonts w:hint="eastAsia" w:ascii="宋体" w:hAnsi="宋体" w:cs="宋体"/>
                <w:color w:val="000000" w:themeColor="text1"/>
                <w:sz w:val="24"/>
                <w:highlight w:val="none"/>
                <w:lang w:val="en-US" w:eastAsia="zh-CN"/>
                <w14:textFill>
                  <w14:solidFill>
                    <w14:schemeClr w14:val="tx1"/>
                  </w14:solidFill>
                </w14:textFill>
              </w:rPr>
              <w:t>产品</w:t>
            </w:r>
            <w:r>
              <w:rPr>
                <w:rFonts w:hint="eastAsia" w:ascii="宋体" w:hAnsi="宋体" w:cs="宋体"/>
                <w:color w:val="000000" w:themeColor="text1"/>
                <w:sz w:val="24"/>
                <w:highlight w:val="none"/>
                <w14:textFill>
                  <w14:solidFill>
                    <w14:schemeClr w14:val="tx1"/>
                  </w14:solidFill>
                </w14:textFill>
              </w:rPr>
              <w:t>安全监督抽检工作（对抽样品种进行检验、质量分析、信息上报等相关配套服务）及为采购单位提供免费技能培训服务；（具体要求详见本项目竞争性磋商文件第三章服务内容及相关要求）</w:t>
            </w:r>
          </w:p>
        </w:tc>
      </w:tr>
      <w:tr w14:paraId="3C8C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33" w:type="dxa"/>
            <w:vAlign w:val="center"/>
          </w:tcPr>
          <w:p w14:paraId="4D0DAFF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w:t>
            </w:r>
          </w:p>
        </w:tc>
        <w:tc>
          <w:tcPr>
            <w:tcW w:w="2353" w:type="dxa"/>
            <w:vAlign w:val="center"/>
          </w:tcPr>
          <w:p w14:paraId="742D647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服务标准</w:t>
            </w:r>
          </w:p>
        </w:tc>
        <w:tc>
          <w:tcPr>
            <w:tcW w:w="6155" w:type="dxa"/>
            <w:vAlign w:val="center"/>
          </w:tcPr>
          <w:p w14:paraId="2197A7B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符合国家及行业标准并满足采购人使用要求</w:t>
            </w:r>
            <w:r>
              <w:rPr>
                <w:rFonts w:hint="eastAsia" w:ascii="宋体" w:hAnsi="宋体" w:cs="宋体"/>
                <w:color w:val="000000" w:themeColor="text1"/>
                <w:sz w:val="24"/>
                <w:highlight w:val="none"/>
                <w14:textFill>
                  <w14:solidFill>
                    <w14:schemeClr w14:val="tx1"/>
                  </w14:solidFill>
                </w14:textFill>
              </w:rPr>
              <w:t>；</w:t>
            </w:r>
          </w:p>
        </w:tc>
      </w:tr>
      <w:tr w14:paraId="294C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33" w:type="dxa"/>
            <w:vAlign w:val="center"/>
          </w:tcPr>
          <w:p w14:paraId="3BE62456">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w:t>
            </w:r>
          </w:p>
        </w:tc>
        <w:tc>
          <w:tcPr>
            <w:tcW w:w="2353" w:type="dxa"/>
            <w:vAlign w:val="center"/>
          </w:tcPr>
          <w:p w14:paraId="3332C2C8">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服务期限</w:t>
            </w:r>
          </w:p>
        </w:tc>
        <w:tc>
          <w:tcPr>
            <w:tcW w:w="6155" w:type="dxa"/>
            <w:vAlign w:val="center"/>
          </w:tcPr>
          <w:p w14:paraId="13F7A14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自合同签订之日起1年；</w:t>
            </w:r>
          </w:p>
        </w:tc>
      </w:tr>
      <w:tr w14:paraId="78C4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33" w:type="dxa"/>
            <w:vAlign w:val="center"/>
          </w:tcPr>
          <w:p w14:paraId="503A8D39">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1.10</w:t>
            </w:r>
          </w:p>
        </w:tc>
        <w:tc>
          <w:tcPr>
            <w:tcW w:w="2353" w:type="dxa"/>
            <w:vAlign w:val="center"/>
          </w:tcPr>
          <w:p w14:paraId="63DF14B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服务地点</w:t>
            </w:r>
          </w:p>
        </w:tc>
        <w:tc>
          <w:tcPr>
            <w:tcW w:w="6155" w:type="dxa"/>
            <w:vAlign w:val="center"/>
          </w:tcPr>
          <w:p w14:paraId="4A45F61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采购人指定地点；</w:t>
            </w:r>
          </w:p>
        </w:tc>
      </w:tr>
      <w:tr w14:paraId="2155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33" w:type="dxa"/>
            <w:vAlign w:val="center"/>
          </w:tcPr>
          <w:p w14:paraId="2984E2C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w:t>
            </w:r>
          </w:p>
        </w:tc>
        <w:tc>
          <w:tcPr>
            <w:tcW w:w="2353" w:type="dxa"/>
            <w:vAlign w:val="center"/>
          </w:tcPr>
          <w:p w14:paraId="7841D93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供应商资格要求</w:t>
            </w:r>
          </w:p>
        </w:tc>
        <w:tc>
          <w:tcPr>
            <w:tcW w:w="6155" w:type="dxa"/>
            <w:vAlign w:val="center"/>
          </w:tcPr>
          <w:p w14:paraId="7E5588AC">
            <w:pPr>
              <w:pStyle w:val="16"/>
              <w:spacing w:after="0" w:line="360" w:lineRule="auto"/>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满足《中华人民共和国政府采购法》第二十二条的规定并同时具备下列条件</w:t>
            </w:r>
            <w:r>
              <w:rPr>
                <w:rFonts w:hint="eastAsia" w:ascii="宋体" w:hAnsi="宋体"/>
                <w:color w:val="000000" w:themeColor="text1"/>
                <w:sz w:val="24"/>
                <w:szCs w:val="24"/>
                <w:highlight w:val="none"/>
                <w:lang w:eastAsia="zh-CN"/>
                <w14:textFill>
                  <w14:solidFill>
                    <w14:schemeClr w14:val="tx1"/>
                  </w14:solidFill>
                </w14:textFill>
              </w:rPr>
              <w:t>：</w:t>
            </w:r>
          </w:p>
          <w:p w14:paraId="154256A5">
            <w:pPr>
              <w:pStyle w:val="16"/>
              <w:spacing w:after="0"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1、供应商须具有有效的营业执照、税务登记证、组织机构代码证或“三证合一”的营业执照；</w:t>
            </w:r>
          </w:p>
          <w:p w14:paraId="3623F7AE">
            <w:pPr>
              <w:pStyle w:val="16"/>
              <w:spacing w:after="0"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2、有效期内的CMA证书（其中CMA资质附表中要同时具备食品及工业品检测能力</w:t>
            </w:r>
            <w:r>
              <w:rPr>
                <w:rFonts w:hint="eastAsia" w:ascii="宋体" w:hAnsi="宋体"/>
                <w:b/>
                <w:bCs/>
                <w:color w:val="000000" w:themeColor="text1"/>
                <w:sz w:val="24"/>
                <w:szCs w:val="24"/>
                <w:highlight w:val="none"/>
                <w14:textFill>
                  <w14:solidFill>
                    <w14:schemeClr w14:val="tx1"/>
                  </w14:solidFill>
                </w14:textFill>
              </w:rPr>
              <w:t>（注：本项目服务目录中所有产品检测覆盖率达80%以上并提供CMA能力附表）</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14E0FA47">
            <w:pPr>
              <w:spacing w:line="360" w:lineRule="auto"/>
              <w:ind w:firstLine="480" w:firstLineChars="200"/>
              <w:jc w:val="left"/>
              <w:rPr>
                <w:rFonts w:asciiTheme="minorEastAsia" w:hAnsiTheme="minorEastAsia" w:eastAsiaTheme="minorEastAsia"/>
                <w:color w:val="000000" w:themeColor="text1"/>
                <w:sz w:val="24"/>
                <w:highlight w:val="none"/>
                <w:cs/>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、具有履行本项目采购内容所必须的设备和专业技术服务能力(提供证明材料或承诺书)；</w:t>
            </w:r>
          </w:p>
          <w:p w14:paraId="65C294EC">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、具有依法缴纳税收（提供202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年01月以来</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w:t>
            </w:r>
            <w:r>
              <w:rPr>
                <w:rFonts w:hint="eastAsia" w:asciiTheme="minorEastAsia" w:hAnsiTheme="minorEastAsia" w:eastAsiaTheme="minorEastAsia"/>
                <w:color w:val="000000" w:themeColor="text1"/>
                <w:sz w:val="24"/>
                <w:highlight w:val="none"/>
                <w14:textFill>
                  <w14:solidFill>
                    <w14:schemeClr w14:val="tx1"/>
                  </w14:solidFill>
                </w14:textFill>
              </w:rPr>
              <w:t>月的税收缴纳证明材料；注：依法免税的，应提供税务部门出具的依法免税证明材料）和社会保障资金（提供</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color w:val="000000" w:themeColor="text1"/>
                <w:sz w:val="24"/>
                <w:highlight w:val="none"/>
                <w14:textFill>
                  <w14:solidFill>
                    <w14:schemeClr w14:val="tx1"/>
                  </w14:solidFill>
                </w14:textFill>
              </w:rPr>
              <w:t>年01月以来项目负责人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任意一个月</w:t>
            </w:r>
            <w:r>
              <w:rPr>
                <w:rFonts w:hint="eastAsia" w:asciiTheme="minorEastAsia" w:hAnsiTheme="minorEastAsia" w:eastAsiaTheme="minorEastAsia"/>
                <w:color w:val="000000" w:themeColor="text1"/>
                <w:sz w:val="24"/>
                <w:highlight w:val="none"/>
                <w14:textFill>
                  <w14:solidFill>
                    <w14:schemeClr w14:val="tx1"/>
                  </w14:solidFill>
                </w14:textFill>
              </w:rPr>
              <w:t>的社保证明材料）；</w:t>
            </w:r>
          </w:p>
          <w:p w14:paraId="3003EAA9">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、具有良好的商业信誉和健全的财务会计制度，提供近三年经审计的财务报告（或财务报表）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新成立公司无审计报告应附最新的财务报表说明；</w:t>
            </w:r>
          </w:p>
          <w:p w14:paraId="5EDA85A0">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、参加政府采购活动前3年内无行贿犯罪记录；（提供《中国裁判文书网》查询结果网页截图或企业自行承诺的无行贿犯罪承诺书，查询&lt;承诺&gt;对象为“企业，法定代表人，项目负责人”）；</w:t>
            </w:r>
          </w:p>
          <w:p w14:paraId="5A73598F">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、参加政府采购活动前3年内无商业贿赂、不正当竞争行为、骗取中标、严重违约及重大质量等问题，（供应商须自行出具承诺书）；</w:t>
            </w:r>
          </w:p>
          <w:p w14:paraId="77B50AB6">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54A37AED">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单位负责人为同一人或者存在控股、管理关系的不同单位，不得参加同一标段投标或者未划分标段的同一招标项目投标,提供投标企业在“国家企业信用信息公示系统”中公示的公司信息、股东或投资人信息”。</w:t>
            </w:r>
          </w:p>
          <w:p w14:paraId="0531FCC4">
            <w:pPr>
              <w:spacing w:line="360" w:lineRule="auto"/>
              <w:ind w:firstLine="480" w:firstLineChars="200"/>
              <w:jc w:val="left"/>
              <w:rPr>
                <w:rFonts w:hint="eastAsia" w:ascii="宋体" w:hAnsi="宋体" w:cs="宋体"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、本项目不接受联合体投标；</w:t>
            </w:r>
          </w:p>
        </w:tc>
      </w:tr>
      <w:tr w14:paraId="6FD2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33" w:type="dxa"/>
            <w:vAlign w:val="center"/>
          </w:tcPr>
          <w:p w14:paraId="057949E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p>
        </w:tc>
        <w:tc>
          <w:tcPr>
            <w:tcW w:w="2353" w:type="dxa"/>
            <w:vAlign w:val="center"/>
          </w:tcPr>
          <w:p w14:paraId="425D58F1">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踏勘现场</w:t>
            </w:r>
          </w:p>
        </w:tc>
        <w:tc>
          <w:tcPr>
            <w:tcW w:w="6155" w:type="dxa"/>
            <w:vAlign w:val="center"/>
          </w:tcPr>
          <w:p w14:paraId="09032D0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不组织，供应商自行前往现场踏勘；</w:t>
            </w:r>
          </w:p>
        </w:tc>
      </w:tr>
      <w:tr w14:paraId="36A3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33" w:type="dxa"/>
            <w:vAlign w:val="center"/>
          </w:tcPr>
          <w:p w14:paraId="71D85CC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w:t>
            </w:r>
          </w:p>
        </w:tc>
        <w:tc>
          <w:tcPr>
            <w:tcW w:w="2353" w:type="dxa"/>
            <w:vAlign w:val="center"/>
          </w:tcPr>
          <w:p w14:paraId="114A568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投标答疑会</w:t>
            </w:r>
          </w:p>
        </w:tc>
        <w:tc>
          <w:tcPr>
            <w:tcW w:w="6155" w:type="dxa"/>
            <w:vAlign w:val="center"/>
          </w:tcPr>
          <w:p w14:paraId="7F9AFF4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不召开；</w:t>
            </w:r>
          </w:p>
        </w:tc>
      </w:tr>
      <w:tr w14:paraId="2197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33" w:type="dxa"/>
            <w:vAlign w:val="center"/>
          </w:tcPr>
          <w:p w14:paraId="318234D0">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w:t>
            </w:r>
          </w:p>
        </w:tc>
        <w:tc>
          <w:tcPr>
            <w:tcW w:w="2353" w:type="dxa"/>
            <w:vAlign w:val="center"/>
          </w:tcPr>
          <w:p w14:paraId="456A7221">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竞争性磋商文件的组成</w:t>
            </w:r>
          </w:p>
        </w:tc>
        <w:tc>
          <w:tcPr>
            <w:tcW w:w="6155" w:type="dxa"/>
            <w:vAlign w:val="center"/>
          </w:tcPr>
          <w:p w14:paraId="6F886DB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w:t>
            </w:r>
            <w:r>
              <w:rPr>
                <w:rFonts w:hint="eastAsia" w:ascii="宋体" w:hAnsi="宋体"/>
                <w:color w:val="000000" w:themeColor="text1"/>
                <w:sz w:val="24"/>
                <w:highlight w:val="none"/>
                <w:lang w:eastAsia="en-US"/>
                <w14:textFill>
                  <w14:solidFill>
                    <w14:schemeClr w14:val="tx1"/>
                  </w14:solidFill>
                </w14:textFill>
              </w:rPr>
              <w:t>竞争性磋商文件</w:t>
            </w:r>
          </w:p>
        </w:tc>
      </w:tr>
      <w:tr w14:paraId="185B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33" w:type="dxa"/>
            <w:vAlign w:val="center"/>
          </w:tcPr>
          <w:p w14:paraId="026E93E7">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w:t>
            </w:r>
          </w:p>
        </w:tc>
        <w:tc>
          <w:tcPr>
            <w:tcW w:w="2353" w:type="dxa"/>
            <w:vAlign w:val="center"/>
          </w:tcPr>
          <w:p w14:paraId="7A78AC3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构成竞争性磋商文件的其他材料</w:t>
            </w:r>
          </w:p>
        </w:tc>
        <w:tc>
          <w:tcPr>
            <w:tcW w:w="6155" w:type="dxa"/>
            <w:vAlign w:val="center"/>
          </w:tcPr>
          <w:p w14:paraId="3189800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采购人在招标期间发出的有编号的补遗书和其它有效正式函件等均是竞争性磋商文件的组成部分。</w:t>
            </w:r>
          </w:p>
        </w:tc>
      </w:tr>
      <w:tr w14:paraId="34FE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33" w:type="dxa"/>
            <w:vAlign w:val="center"/>
          </w:tcPr>
          <w:p w14:paraId="6CDB7827">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3.5</w:t>
            </w:r>
          </w:p>
        </w:tc>
        <w:tc>
          <w:tcPr>
            <w:tcW w:w="2353" w:type="dxa"/>
            <w:vAlign w:val="center"/>
          </w:tcPr>
          <w:p w14:paraId="6582D9F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供应商提出问题的截止时间</w:t>
            </w:r>
          </w:p>
        </w:tc>
        <w:tc>
          <w:tcPr>
            <w:tcW w:w="6155" w:type="dxa"/>
            <w:vAlign w:val="center"/>
          </w:tcPr>
          <w:p w14:paraId="155110A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递交磋商响应文件截止之日5日前；</w:t>
            </w:r>
          </w:p>
        </w:tc>
      </w:tr>
      <w:tr w14:paraId="5DBA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33" w:type="dxa"/>
            <w:vAlign w:val="center"/>
          </w:tcPr>
          <w:p w14:paraId="18A8BFB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3.6</w:t>
            </w:r>
          </w:p>
        </w:tc>
        <w:tc>
          <w:tcPr>
            <w:tcW w:w="2353" w:type="dxa"/>
            <w:vAlign w:val="center"/>
          </w:tcPr>
          <w:p w14:paraId="2732605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采购人书面澄清的时间</w:t>
            </w:r>
          </w:p>
        </w:tc>
        <w:tc>
          <w:tcPr>
            <w:tcW w:w="6155" w:type="dxa"/>
            <w:vAlign w:val="center"/>
          </w:tcPr>
          <w:p w14:paraId="464FC84B">
            <w:pPr>
              <w:spacing w:line="360" w:lineRule="auto"/>
              <w:rPr>
                <w:rFonts w:ascii="宋体" w:hAnsi="宋体"/>
                <w:color w:val="000000" w:themeColor="text1"/>
                <w:sz w:val="24"/>
                <w:highlight w:val="none"/>
                <w14:textFill>
                  <w14:solidFill>
                    <w14:schemeClr w14:val="tx1"/>
                  </w14:solidFill>
                </w14:textFill>
              </w:rPr>
            </w:pPr>
          </w:p>
          <w:p w14:paraId="34A10A6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递交磋商响应文件截止之日5日前；</w:t>
            </w:r>
          </w:p>
        </w:tc>
      </w:tr>
      <w:tr w14:paraId="7F57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33" w:type="dxa"/>
            <w:vAlign w:val="center"/>
          </w:tcPr>
          <w:p w14:paraId="64ACA30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3.7</w:t>
            </w:r>
          </w:p>
        </w:tc>
        <w:tc>
          <w:tcPr>
            <w:tcW w:w="2353" w:type="dxa"/>
            <w:vAlign w:val="center"/>
          </w:tcPr>
          <w:p w14:paraId="70B6A11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供应商确认收到竞争性磋商文件澄清的时间</w:t>
            </w:r>
          </w:p>
        </w:tc>
        <w:tc>
          <w:tcPr>
            <w:tcW w:w="6155" w:type="dxa"/>
            <w:vAlign w:val="center"/>
          </w:tcPr>
          <w:p w14:paraId="175AD91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供应商在收到竞争性磋商文件澄清文件后24小时内</w:t>
            </w:r>
          </w:p>
        </w:tc>
      </w:tr>
      <w:tr w14:paraId="7C63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33" w:type="dxa"/>
            <w:vAlign w:val="center"/>
          </w:tcPr>
          <w:p w14:paraId="60B1E844">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3.8</w:t>
            </w:r>
          </w:p>
        </w:tc>
        <w:tc>
          <w:tcPr>
            <w:tcW w:w="2353" w:type="dxa"/>
            <w:vAlign w:val="center"/>
          </w:tcPr>
          <w:p w14:paraId="79481C67">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供应商确认收到竞争性磋商文件修改的时间</w:t>
            </w:r>
          </w:p>
        </w:tc>
        <w:tc>
          <w:tcPr>
            <w:tcW w:w="6155" w:type="dxa"/>
            <w:vAlign w:val="center"/>
          </w:tcPr>
          <w:p w14:paraId="1041459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供应商在收到竞争性磋商文件修改文件后24小时内</w:t>
            </w:r>
          </w:p>
        </w:tc>
      </w:tr>
      <w:tr w14:paraId="6DB9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33" w:type="dxa"/>
            <w:vAlign w:val="center"/>
          </w:tcPr>
          <w:p w14:paraId="5138481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3.9</w:t>
            </w:r>
          </w:p>
        </w:tc>
        <w:tc>
          <w:tcPr>
            <w:tcW w:w="2353" w:type="dxa"/>
            <w:vAlign w:val="center"/>
          </w:tcPr>
          <w:p w14:paraId="5468C49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近年完成的类似项目的年份要求</w:t>
            </w:r>
          </w:p>
        </w:tc>
        <w:tc>
          <w:tcPr>
            <w:tcW w:w="6155" w:type="dxa"/>
            <w:vAlign w:val="center"/>
          </w:tcPr>
          <w:p w14:paraId="6A54C21C">
            <w:pPr>
              <w:spacing w:line="360" w:lineRule="auto"/>
              <w:rPr>
                <w:rFonts w:ascii="宋体" w:hAnsi="宋体"/>
                <w:color w:val="000000" w:themeColor="text1"/>
                <w:sz w:val="24"/>
                <w:highlight w:val="none"/>
                <w:lang w:eastAsia="en-US"/>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近 3 年（20</w:t>
            </w: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eastAsia="en-US"/>
                <w14:textFill>
                  <w14:solidFill>
                    <w14:schemeClr w14:val="tx1"/>
                  </w14:solidFill>
                </w14:textFill>
              </w:rPr>
              <w:t>年1月1日至今）</w:t>
            </w:r>
          </w:p>
        </w:tc>
      </w:tr>
      <w:tr w14:paraId="76F6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33" w:type="dxa"/>
            <w:vAlign w:val="center"/>
          </w:tcPr>
          <w:p w14:paraId="6FC2126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3.10</w:t>
            </w:r>
          </w:p>
        </w:tc>
        <w:tc>
          <w:tcPr>
            <w:tcW w:w="2353" w:type="dxa"/>
            <w:vAlign w:val="center"/>
          </w:tcPr>
          <w:p w14:paraId="4C96519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是否允许递交备选投标方案</w:t>
            </w:r>
          </w:p>
        </w:tc>
        <w:tc>
          <w:tcPr>
            <w:tcW w:w="6155" w:type="dxa"/>
            <w:vAlign w:val="center"/>
          </w:tcPr>
          <w:p w14:paraId="2C0E85D7">
            <w:pPr>
              <w:spacing w:line="360" w:lineRule="auto"/>
              <w:rPr>
                <w:rFonts w:ascii="宋体" w:hAnsi="宋体"/>
                <w:color w:val="000000" w:themeColor="text1"/>
                <w:sz w:val="24"/>
                <w:highlight w:val="none"/>
                <w:lang w:eastAsia="en-US"/>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不允许</w:t>
            </w:r>
          </w:p>
        </w:tc>
      </w:tr>
      <w:tr w14:paraId="4067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33" w:type="dxa"/>
            <w:vAlign w:val="center"/>
          </w:tcPr>
          <w:p w14:paraId="0584310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3.11</w:t>
            </w:r>
          </w:p>
        </w:tc>
        <w:tc>
          <w:tcPr>
            <w:tcW w:w="2353" w:type="dxa"/>
            <w:vAlign w:val="center"/>
          </w:tcPr>
          <w:p w14:paraId="405901A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磋商有效期</w:t>
            </w:r>
          </w:p>
        </w:tc>
        <w:tc>
          <w:tcPr>
            <w:tcW w:w="6155" w:type="dxa"/>
            <w:vAlign w:val="center"/>
          </w:tcPr>
          <w:p w14:paraId="3CB10FD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60日历天（从磋商截止之日算起）</w:t>
            </w:r>
          </w:p>
        </w:tc>
      </w:tr>
      <w:tr w14:paraId="1B3F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33" w:type="dxa"/>
            <w:vAlign w:val="center"/>
          </w:tcPr>
          <w:p w14:paraId="122C7F68">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3.12</w:t>
            </w:r>
          </w:p>
        </w:tc>
        <w:tc>
          <w:tcPr>
            <w:tcW w:w="2353" w:type="dxa"/>
            <w:vAlign w:val="center"/>
          </w:tcPr>
          <w:p w14:paraId="616D5B36">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政府采购政策落实</w:t>
            </w:r>
          </w:p>
        </w:tc>
        <w:tc>
          <w:tcPr>
            <w:tcW w:w="6155" w:type="dxa"/>
            <w:vAlign w:val="center"/>
          </w:tcPr>
          <w:p w14:paraId="5BAB3C1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本项目执行促进中小型企业发展政策（残疾人福利性企业、监狱企业视同小微企业）、优先采购节能环保产品等政府采购政策。</w:t>
            </w:r>
          </w:p>
        </w:tc>
      </w:tr>
      <w:tr w14:paraId="30D8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333" w:type="dxa"/>
            <w:vAlign w:val="center"/>
          </w:tcPr>
          <w:p w14:paraId="3494300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3.13</w:t>
            </w:r>
          </w:p>
        </w:tc>
        <w:tc>
          <w:tcPr>
            <w:tcW w:w="2353" w:type="dxa"/>
            <w:vAlign w:val="center"/>
          </w:tcPr>
          <w:p w14:paraId="17F0832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付款办法</w:t>
            </w:r>
          </w:p>
        </w:tc>
        <w:tc>
          <w:tcPr>
            <w:tcW w:w="6155" w:type="dxa"/>
            <w:vAlign w:val="center"/>
          </w:tcPr>
          <w:p w14:paraId="2E35D21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抽样检测费用按实际批次和检验项目结算，检测购买样品费用和抽检产生费用包含在项目检测费用里（注：产品类不包含购买样品费用，费用由乙方先行垫付，待检验和复检工作全部完成后，乙方按照实际抽检批次和成交项目单价合计抽样检测费用，经甲方认可后，向甲方提供合法、真实、有效的检测费用发票、样品清单等资料，每季度结算一次）。</w:t>
            </w:r>
          </w:p>
        </w:tc>
      </w:tr>
      <w:tr w14:paraId="6443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33" w:type="dxa"/>
            <w:vAlign w:val="center"/>
          </w:tcPr>
          <w:p w14:paraId="18C9D390">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3.14</w:t>
            </w:r>
          </w:p>
        </w:tc>
        <w:tc>
          <w:tcPr>
            <w:tcW w:w="2353" w:type="dxa"/>
            <w:vAlign w:val="center"/>
          </w:tcPr>
          <w:p w14:paraId="28EF3E40">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履约保证金</w:t>
            </w:r>
          </w:p>
        </w:tc>
        <w:tc>
          <w:tcPr>
            <w:tcW w:w="6155" w:type="dxa"/>
            <w:vAlign w:val="center"/>
          </w:tcPr>
          <w:p w14:paraId="701377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无</w:t>
            </w:r>
          </w:p>
        </w:tc>
      </w:tr>
      <w:tr w14:paraId="3A0E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333" w:type="dxa"/>
            <w:vAlign w:val="center"/>
          </w:tcPr>
          <w:p w14:paraId="2ED5642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3.15</w:t>
            </w:r>
          </w:p>
        </w:tc>
        <w:tc>
          <w:tcPr>
            <w:tcW w:w="2353" w:type="dxa"/>
            <w:vAlign w:val="center"/>
          </w:tcPr>
          <w:p w14:paraId="5D77A1E2">
            <w:pPr>
              <w:spacing w:line="360" w:lineRule="auto"/>
              <w:jc w:val="center"/>
              <w:rPr>
                <w:rFonts w:ascii="宋体" w:hAnsi="宋体"/>
                <w:color w:val="000000" w:themeColor="text1"/>
                <w:sz w:val="24"/>
                <w:highlight w:val="none"/>
                <w:lang w:eastAsia="en-US"/>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响应文件</w:t>
            </w:r>
          </w:p>
        </w:tc>
        <w:tc>
          <w:tcPr>
            <w:tcW w:w="6155" w:type="dxa"/>
            <w:vAlign w:val="center"/>
          </w:tcPr>
          <w:p w14:paraId="6839365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使用CA在电子平台上传电子磋商响应文件</w:t>
            </w:r>
          </w:p>
          <w:p w14:paraId="330BC22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开标时不再递交纸质磋商响应文件；</w:t>
            </w:r>
          </w:p>
        </w:tc>
      </w:tr>
      <w:tr w14:paraId="141E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3" w:type="dxa"/>
            <w:vAlign w:val="center"/>
          </w:tcPr>
          <w:p w14:paraId="37E1257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3.16</w:t>
            </w:r>
          </w:p>
        </w:tc>
        <w:tc>
          <w:tcPr>
            <w:tcW w:w="2353" w:type="dxa"/>
            <w:vAlign w:val="center"/>
          </w:tcPr>
          <w:p w14:paraId="55953E67">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响应文件的组成</w:t>
            </w:r>
          </w:p>
        </w:tc>
        <w:tc>
          <w:tcPr>
            <w:tcW w:w="6155" w:type="dxa"/>
            <w:vAlign w:val="center"/>
          </w:tcPr>
          <w:p w14:paraId="5DFF695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见竞争性磋商文件第六章“响应文件格式”；</w:t>
            </w:r>
          </w:p>
        </w:tc>
      </w:tr>
      <w:tr w14:paraId="0CF4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33" w:type="dxa"/>
            <w:vAlign w:val="center"/>
          </w:tcPr>
          <w:p w14:paraId="0DE88EE8">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3.17</w:t>
            </w:r>
          </w:p>
        </w:tc>
        <w:tc>
          <w:tcPr>
            <w:tcW w:w="2353" w:type="dxa"/>
            <w:vAlign w:val="center"/>
          </w:tcPr>
          <w:p w14:paraId="073C175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电子磋商响应文件签章</w:t>
            </w:r>
          </w:p>
        </w:tc>
        <w:tc>
          <w:tcPr>
            <w:tcW w:w="6155" w:type="dxa"/>
            <w:vAlign w:val="center"/>
          </w:tcPr>
          <w:p w14:paraId="6CCE045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1、供应商在生成电子化磋商响应文件后，应对电子化磋商响应文件进行签章，未对电子化文件进行签章的视为无效投标。</w:t>
            </w:r>
          </w:p>
          <w:p w14:paraId="099A46D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2、磋商文件中要求加盖单位公章的，供应商在进行电子化磋商响应文件签章时，以签盖投标企业的单位电子印章；</w:t>
            </w:r>
          </w:p>
          <w:p w14:paraId="2B476B0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3、磋商文件中要求法定代表人或授权委托人签字或盖章的，供应商在进行电子化磋商响应文件签章时，以签盖法定代表人个人电子印章为准。</w:t>
            </w:r>
          </w:p>
        </w:tc>
      </w:tr>
      <w:tr w14:paraId="4B18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33" w:type="dxa"/>
            <w:vAlign w:val="center"/>
          </w:tcPr>
          <w:p w14:paraId="64AE26F3">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3.18</w:t>
            </w:r>
          </w:p>
        </w:tc>
        <w:tc>
          <w:tcPr>
            <w:tcW w:w="2353" w:type="dxa"/>
            <w:vAlign w:val="center"/>
          </w:tcPr>
          <w:p w14:paraId="5194960F">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磋商截止时间和地点</w:t>
            </w:r>
          </w:p>
        </w:tc>
        <w:tc>
          <w:tcPr>
            <w:tcW w:w="6155" w:type="dxa"/>
            <w:vAlign w:val="center"/>
          </w:tcPr>
          <w:p w14:paraId="06CE122D">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磋商时间：</w:t>
            </w:r>
            <w:r>
              <w:rPr>
                <w:rFonts w:hint="eastAsia" w:ascii="宋体" w:hAnsi="宋体"/>
                <w:color w:val="000000" w:themeColor="text1"/>
                <w:sz w:val="24"/>
                <w:highlight w:val="non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22</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09</w:t>
            </w:r>
            <w:r>
              <w:rPr>
                <w:rFonts w:hint="eastAsia" w:ascii="宋体" w:hAnsi="宋体"/>
                <w:color w:val="000000" w:themeColor="text1"/>
                <w:sz w:val="24"/>
                <w:highlight w:val="none"/>
                <w14:textFill>
                  <w14:solidFill>
                    <w14:schemeClr w14:val="tx1"/>
                  </w14:solidFill>
                </w14:textFill>
              </w:rPr>
              <w:t>时</w:t>
            </w:r>
            <w:r>
              <w:rPr>
                <w:rFonts w:hint="eastAsia" w:ascii="宋体" w:hAnsi="宋体"/>
                <w:color w:val="000000" w:themeColor="text1"/>
                <w:sz w:val="24"/>
                <w:highlight w:val="none"/>
                <w:lang w:val="en-US" w:eastAsia="zh-CN"/>
                <w14:textFill>
                  <w14:solidFill>
                    <w14:schemeClr w14:val="tx1"/>
                  </w14:solidFill>
                </w14:textFill>
              </w:rPr>
              <w:t>00</w:t>
            </w:r>
            <w:r>
              <w:rPr>
                <w:rFonts w:hint="eastAsia" w:ascii="宋体" w:hAnsi="宋体"/>
                <w:color w:val="000000" w:themeColor="text1"/>
                <w:sz w:val="24"/>
                <w:highlight w:val="none"/>
                <w14:textFill>
                  <w14:solidFill>
                    <w14:schemeClr w14:val="tx1"/>
                  </w14:solidFill>
                </w14:textFill>
              </w:rPr>
              <w:t>分</w:t>
            </w:r>
          </w:p>
          <w:p w14:paraId="1A347C35">
            <w:pPr>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磋商地点：灵宝市公共资源交易中心十二楼第</w:t>
            </w:r>
            <w:r>
              <w:rPr>
                <w:rFonts w:hint="eastAsia" w:ascii="宋体" w:hAnsi="宋体"/>
                <w:color w:val="000000" w:themeColor="text1"/>
                <w:sz w:val="24"/>
                <w:highlight w:val="none"/>
                <w:lang w:val="en-US" w:eastAsia="zh-CN"/>
                <w14:textFill>
                  <w14:solidFill>
                    <w14:schemeClr w14:val="tx1"/>
                  </w14:solidFill>
                </w14:textFill>
              </w:rPr>
              <w:t>一</w:t>
            </w:r>
            <w:r>
              <w:rPr>
                <w:rFonts w:hint="eastAsia" w:ascii="宋体" w:hAnsi="宋体"/>
                <w:color w:val="000000" w:themeColor="text1"/>
                <w:sz w:val="24"/>
                <w:highlight w:val="none"/>
                <w14:textFill>
                  <w14:solidFill>
                    <w14:schemeClr w14:val="tx1"/>
                  </w14:solidFill>
                </w14:textFill>
              </w:rPr>
              <w:t>开标室；</w:t>
            </w:r>
          </w:p>
          <w:p w14:paraId="739CD12C">
            <w:pPr>
              <w:spacing w:line="360" w:lineRule="auto"/>
              <w:rPr>
                <w:rFonts w:ascii="宋体" w:hAnsi="宋体"/>
                <w:color w:val="000000" w:themeColor="text1"/>
                <w:sz w:val="24"/>
                <w:highlight w:val="yellow"/>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评标地点：灵宝市公共资源交易中心十二楼第</w:t>
            </w:r>
            <w:r>
              <w:rPr>
                <w:rFonts w:hint="eastAsia" w:ascii="宋体" w:hAnsi="宋体"/>
                <w:color w:val="000000" w:themeColor="text1"/>
                <w:sz w:val="24"/>
                <w:highlight w:val="none"/>
                <w:lang w:val="en-US" w:eastAsia="zh-CN"/>
                <w14:textFill>
                  <w14:solidFill>
                    <w14:schemeClr w14:val="tx1"/>
                  </w14:solidFill>
                </w14:textFill>
              </w:rPr>
              <w:t>三</w:t>
            </w:r>
            <w:r>
              <w:rPr>
                <w:rFonts w:hint="eastAsia" w:ascii="宋体" w:hAnsi="宋体"/>
                <w:color w:val="000000" w:themeColor="text1"/>
                <w:sz w:val="24"/>
                <w:highlight w:val="none"/>
                <w14:textFill>
                  <w14:solidFill>
                    <w14:schemeClr w14:val="tx1"/>
                  </w14:solidFill>
                </w14:textFill>
              </w:rPr>
              <w:t>评标室；</w:t>
            </w:r>
          </w:p>
        </w:tc>
      </w:tr>
      <w:tr w14:paraId="3FA2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33" w:type="dxa"/>
            <w:vAlign w:val="center"/>
          </w:tcPr>
          <w:p w14:paraId="353CB324">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3.19</w:t>
            </w:r>
          </w:p>
        </w:tc>
        <w:tc>
          <w:tcPr>
            <w:tcW w:w="2353" w:type="dxa"/>
            <w:vAlign w:val="center"/>
          </w:tcPr>
          <w:p w14:paraId="6C205DB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是否退还响应文件</w:t>
            </w:r>
          </w:p>
        </w:tc>
        <w:tc>
          <w:tcPr>
            <w:tcW w:w="6155" w:type="dxa"/>
            <w:vAlign w:val="center"/>
          </w:tcPr>
          <w:p w14:paraId="5C90C379">
            <w:pPr>
              <w:spacing w:line="360" w:lineRule="auto"/>
              <w:rPr>
                <w:rFonts w:ascii="宋体" w:hAnsi="宋体"/>
                <w:color w:val="000000" w:themeColor="text1"/>
                <w:sz w:val="24"/>
                <w:highlight w:val="none"/>
                <w:lang w:eastAsia="en-US"/>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否</w:t>
            </w:r>
          </w:p>
        </w:tc>
      </w:tr>
      <w:tr w14:paraId="7B60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33" w:type="dxa"/>
            <w:vAlign w:val="center"/>
          </w:tcPr>
          <w:p w14:paraId="4F25CA0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3.20</w:t>
            </w:r>
          </w:p>
        </w:tc>
        <w:tc>
          <w:tcPr>
            <w:tcW w:w="2353" w:type="dxa"/>
            <w:vAlign w:val="center"/>
          </w:tcPr>
          <w:p w14:paraId="19FF6E7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报价</w:t>
            </w:r>
          </w:p>
        </w:tc>
        <w:tc>
          <w:tcPr>
            <w:tcW w:w="6155" w:type="dxa"/>
            <w:vAlign w:val="center"/>
          </w:tcPr>
          <w:p w14:paraId="147C8ED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本次竞争性磋商采取两轮报价：第一轮报价直接填报于磋商响应文件中，开标后远程进行唱标，初步审查通过后进行第二轮报价，第二轮报价远程填报。</w:t>
            </w:r>
          </w:p>
          <w:p w14:paraId="2ECAF77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供应商所报总价为履行本项目服务内容等所有费用。</w:t>
            </w:r>
          </w:p>
        </w:tc>
      </w:tr>
      <w:tr w14:paraId="686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33" w:type="dxa"/>
            <w:vAlign w:val="center"/>
          </w:tcPr>
          <w:p w14:paraId="180F1FF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3.21</w:t>
            </w:r>
          </w:p>
        </w:tc>
        <w:tc>
          <w:tcPr>
            <w:tcW w:w="2353" w:type="dxa"/>
            <w:vAlign w:val="center"/>
          </w:tcPr>
          <w:p w14:paraId="5C5AED0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磋商小组的组建</w:t>
            </w:r>
          </w:p>
        </w:tc>
        <w:tc>
          <w:tcPr>
            <w:tcW w:w="6155" w:type="dxa"/>
            <w:vAlign w:val="center"/>
          </w:tcPr>
          <w:p w14:paraId="05B7B96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磋商小组成员为3人，采购人代表1人，其余技术、经济等方面的专家2人从相关评标专家库中随机抽取。</w:t>
            </w:r>
          </w:p>
        </w:tc>
      </w:tr>
      <w:tr w14:paraId="644A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33" w:type="dxa"/>
            <w:vAlign w:val="center"/>
          </w:tcPr>
          <w:p w14:paraId="7C54FC7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3.22</w:t>
            </w:r>
          </w:p>
        </w:tc>
        <w:tc>
          <w:tcPr>
            <w:tcW w:w="2353" w:type="dxa"/>
            <w:vAlign w:val="center"/>
          </w:tcPr>
          <w:p w14:paraId="77CB36A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是否授权磋商专家确定成交供应商</w:t>
            </w:r>
          </w:p>
        </w:tc>
        <w:tc>
          <w:tcPr>
            <w:tcW w:w="6155" w:type="dxa"/>
            <w:vAlign w:val="center"/>
          </w:tcPr>
          <w:p w14:paraId="62D019F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否，由磋商小组按照评审得分由高到</w:t>
            </w:r>
            <w:r>
              <w:rPr>
                <w:rFonts w:hint="eastAsia" w:ascii="宋体" w:hAnsi="宋体"/>
                <w:color w:val="000000" w:themeColor="text1"/>
                <w:sz w:val="24"/>
                <w:highlight w:val="none"/>
                <w:lang w:val="en-US" w:eastAsia="zh-CN"/>
                <w14:textFill>
                  <w14:solidFill>
                    <w14:schemeClr w14:val="tx1"/>
                  </w14:solidFill>
                </w14:textFill>
              </w:rPr>
              <w:t>低</w:t>
            </w:r>
            <w:r>
              <w:rPr>
                <w:rFonts w:hint="eastAsia" w:ascii="宋体" w:hAnsi="宋体"/>
                <w:color w:val="000000" w:themeColor="text1"/>
                <w:sz w:val="24"/>
                <w:highlight w:val="none"/>
                <w14:textFill>
                  <w14:solidFill>
                    <w14:schemeClr w14:val="tx1"/>
                  </w14:solidFill>
                </w14:textFill>
              </w:rPr>
              <w:t>推荐</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3名成交候选供应商</w:t>
            </w:r>
          </w:p>
        </w:tc>
      </w:tr>
      <w:tr w14:paraId="61E4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33" w:type="dxa"/>
            <w:vAlign w:val="center"/>
          </w:tcPr>
          <w:p w14:paraId="7AD96AD6">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3.23</w:t>
            </w:r>
          </w:p>
        </w:tc>
        <w:tc>
          <w:tcPr>
            <w:tcW w:w="2353" w:type="dxa"/>
            <w:vAlign w:val="center"/>
          </w:tcPr>
          <w:p w14:paraId="62918B8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代理服务费</w:t>
            </w:r>
          </w:p>
        </w:tc>
        <w:tc>
          <w:tcPr>
            <w:tcW w:w="6155" w:type="dxa"/>
            <w:vAlign w:val="center"/>
          </w:tcPr>
          <w:p w14:paraId="1D20E6D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招标代理服务收费参照豫招协[2023]002号河南省招标投标协会关于印发《河南省招标代理服务收费指导意见》规定的收费标准收取成交服务费，领取成交通知书时一次性支付。</w:t>
            </w:r>
          </w:p>
        </w:tc>
      </w:tr>
      <w:tr w14:paraId="369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21B13E0E">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3.24</w:t>
            </w:r>
          </w:p>
        </w:tc>
        <w:tc>
          <w:tcPr>
            <w:tcW w:w="2353" w:type="dxa"/>
            <w:vAlign w:val="center"/>
          </w:tcPr>
          <w:p w14:paraId="7B5D52A5">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需要补充的其他内容</w:t>
            </w:r>
          </w:p>
        </w:tc>
        <w:tc>
          <w:tcPr>
            <w:tcW w:w="6155" w:type="dxa"/>
            <w:vAlign w:val="center"/>
          </w:tcPr>
          <w:p w14:paraId="4745AA4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电子化磋商响应文件应在投标截止时间前成功上传至三门峡市公共资源电子化交易系统。至投标截止时间止，仍未上传成功的电子化磋商响应文件，将不予接受。</w:t>
            </w:r>
          </w:p>
        </w:tc>
      </w:tr>
      <w:tr w14:paraId="35D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3B8FECC8">
            <w:pPr>
              <w:spacing w:line="360" w:lineRule="auto"/>
              <w:jc w:val="center"/>
              <w:rPr>
                <w:rFonts w:ascii="宋体" w:hAnsi="宋体"/>
                <w:color w:val="000000" w:themeColor="text1"/>
                <w:sz w:val="24"/>
                <w:highlight w:val="none"/>
                <w14:textFill>
                  <w14:solidFill>
                    <w14:schemeClr w14:val="tx1"/>
                  </w14:solidFill>
                </w14:textFill>
              </w:rPr>
            </w:pPr>
            <w:bookmarkStart w:id="37" w:name="_Toc26417"/>
            <w:bookmarkStart w:id="38" w:name="_Toc101344062"/>
            <w:bookmarkStart w:id="39" w:name="_Toc466303889"/>
            <w:bookmarkStart w:id="40" w:name="_Toc68710928"/>
            <w:bookmarkStart w:id="41" w:name="_Toc291089182"/>
            <w:bookmarkStart w:id="42" w:name="_Toc16409"/>
            <w:bookmarkStart w:id="43" w:name="_Toc48158310"/>
            <w:bookmarkStart w:id="44" w:name="_Toc533503499"/>
            <w:bookmarkStart w:id="45" w:name="_Toc354753243"/>
            <w:r>
              <w:rPr>
                <w:rFonts w:hint="eastAsia" w:ascii="宋体" w:hAnsi="宋体"/>
                <w:color w:val="000000" w:themeColor="text1"/>
                <w:sz w:val="24"/>
                <w:highlight w:val="none"/>
                <w14:textFill>
                  <w14:solidFill>
                    <w14:schemeClr w14:val="tx1"/>
                  </w14:solidFill>
                </w14:textFill>
              </w:rPr>
              <w:t>3.25</w:t>
            </w:r>
          </w:p>
        </w:tc>
        <w:tc>
          <w:tcPr>
            <w:tcW w:w="2353" w:type="dxa"/>
            <w:vAlign w:val="center"/>
          </w:tcPr>
          <w:p w14:paraId="73019ED9">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是否实行计算机辅助评标</w:t>
            </w:r>
          </w:p>
        </w:tc>
        <w:tc>
          <w:tcPr>
            <w:tcW w:w="6155" w:type="dxa"/>
            <w:vAlign w:val="center"/>
          </w:tcPr>
          <w:p w14:paraId="22E4F508">
            <w:pPr>
              <w:spacing w:line="360" w:lineRule="auto"/>
              <w:rPr>
                <w:rFonts w:ascii="宋体" w:hAnsi="宋体"/>
                <w:color w:val="000000" w:themeColor="text1"/>
                <w:sz w:val="24"/>
                <w:highlight w:val="none"/>
                <w:lang w:eastAsia="en-US"/>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是</w:t>
            </w:r>
          </w:p>
        </w:tc>
      </w:tr>
      <w:tr w14:paraId="0457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2F8A57D1">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3.26</w:t>
            </w:r>
          </w:p>
        </w:tc>
        <w:tc>
          <w:tcPr>
            <w:tcW w:w="2353" w:type="dxa"/>
            <w:vAlign w:val="center"/>
          </w:tcPr>
          <w:p w14:paraId="6FD26860">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供应商代表出席开标会</w:t>
            </w:r>
          </w:p>
        </w:tc>
        <w:tc>
          <w:tcPr>
            <w:tcW w:w="6155" w:type="dxa"/>
            <w:vAlign w:val="center"/>
          </w:tcPr>
          <w:p w14:paraId="0DDF266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本项目为不见面开标项目，开标当日，供应商无需到开标现场参加开标会议，供应商应当在投标截止时间前，登陆不见面开标大厅选择登陆三门峡市公共资源电子招投标系统进行登陆（网址为http://t.cn/A6huPROa）,在线准时参加开标活动并进行</w:t>
            </w:r>
            <w:r>
              <w:rPr>
                <w:rFonts w:hint="eastAsia" w:ascii="宋体" w:hAnsi="宋体"/>
                <w:color w:val="000000" w:themeColor="text1"/>
                <w:sz w:val="24"/>
                <w:highlight w:val="none"/>
                <w:lang w:eastAsia="zh-CN"/>
                <w14:textFill>
                  <w14:solidFill>
                    <w14:schemeClr w14:val="tx1"/>
                  </w14:solidFill>
                </w14:textFill>
              </w:rPr>
              <w:t>响应性文件</w:t>
            </w:r>
            <w:r>
              <w:rPr>
                <w:rFonts w:hint="eastAsia" w:ascii="宋体" w:hAnsi="宋体"/>
                <w:color w:val="000000" w:themeColor="text1"/>
                <w:sz w:val="24"/>
                <w:highlight w:val="none"/>
                <w:lang w:eastAsia="en-US"/>
                <w14:textFill>
                  <w14:solidFill>
                    <w14:schemeClr w14:val="tx1"/>
                  </w14:solidFill>
                </w14:textFill>
              </w:rPr>
              <w:t>解密等。</w:t>
            </w:r>
            <w:r>
              <w:rPr>
                <w:rFonts w:hint="eastAsia" w:ascii="宋体" w:hAnsi="宋体"/>
                <w:color w:val="000000" w:themeColor="text1"/>
                <w:sz w:val="24"/>
                <w:highlight w:val="none"/>
                <w14:textFill>
                  <w14:solidFill>
                    <w14:schemeClr w14:val="tx1"/>
                  </w14:solidFill>
                </w14:textFill>
              </w:rPr>
              <w:t>每位供应商的解密时间为开标时间起30分钟内完成。未按时解密的其投标将被否决。因供应商原因未能解密、解密失败或解密超时的将被拒绝。</w:t>
            </w:r>
          </w:p>
        </w:tc>
      </w:tr>
      <w:tr w14:paraId="7711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10D2405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3.27</w:t>
            </w:r>
          </w:p>
        </w:tc>
        <w:tc>
          <w:tcPr>
            <w:tcW w:w="2353" w:type="dxa"/>
            <w:vAlign w:val="center"/>
          </w:tcPr>
          <w:p w14:paraId="6BEEC590">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成交公告</w:t>
            </w:r>
          </w:p>
        </w:tc>
        <w:tc>
          <w:tcPr>
            <w:tcW w:w="6155" w:type="dxa"/>
            <w:vAlign w:val="center"/>
          </w:tcPr>
          <w:p w14:paraId="1760724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在《河南省政府采购网》、《三门峡市公共资源交易中心网》、《中国采购与招标网》同时进行公告，公示期为1个工作日。</w:t>
            </w:r>
          </w:p>
        </w:tc>
      </w:tr>
      <w:tr w14:paraId="3FD1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048EB497">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3.28</w:t>
            </w:r>
          </w:p>
        </w:tc>
        <w:tc>
          <w:tcPr>
            <w:tcW w:w="2353" w:type="dxa"/>
            <w:vAlign w:val="center"/>
          </w:tcPr>
          <w:p w14:paraId="3CD23A2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知识产权</w:t>
            </w:r>
          </w:p>
        </w:tc>
        <w:tc>
          <w:tcPr>
            <w:tcW w:w="6155" w:type="dxa"/>
            <w:vAlign w:val="center"/>
          </w:tcPr>
          <w:p w14:paraId="0BF44E3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构成本竞争性磋商文件各个组成部分的文件，未经采购人书面同意，供应商不得擅自复印和用于非本招标项目所需的其他目的。采购人全部或者部分使用未成交人磋商响应文件中的技术成果或技术方案时，需征得其书面同意，并不得擅自复印或提供给第三人。</w:t>
            </w:r>
          </w:p>
        </w:tc>
      </w:tr>
      <w:tr w14:paraId="7AE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4AB9106D">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3.29</w:t>
            </w:r>
          </w:p>
        </w:tc>
        <w:tc>
          <w:tcPr>
            <w:tcW w:w="2353" w:type="dxa"/>
            <w:vAlign w:val="center"/>
          </w:tcPr>
          <w:p w14:paraId="10DB2C76">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解释权</w:t>
            </w:r>
          </w:p>
        </w:tc>
        <w:tc>
          <w:tcPr>
            <w:tcW w:w="6155" w:type="dxa"/>
            <w:vAlign w:val="center"/>
          </w:tcPr>
          <w:p w14:paraId="10BA9E5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构成本磋商文件的各个组成文件应互为解释，互为说明；如有不明确或不一致，按磋商公告、供应商须知、评标办法、磋商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6F2B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5B14D74E">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3.30</w:t>
            </w:r>
          </w:p>
        </w:tc>
        <w:tc>
          <w:tcPr>
            <w:tcW w:w="2353" w:type="dxa"/>
            <w:vAlign w:val="center"/>
          </w:tcPr>
          <w:p w14:paraId="35B16033">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无效标</w:t>
            </w:r>
          </w:p>
          <w:p w14:paraId="185E4D17">
            <w:pP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条件</w:t>
            </w:r>
          </w:p>
        </w:tc>
        <w:tc>
          <w:tcPr>
            <w:tcW w:w="6155" w:type="dxa"/>
            <w:vAlign w:val="center"/>
          </w:tcPr>
          <w:p w14:paraId="4003A70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1、投标供应商资格条件不符合国家有关规定和磋商文件要求的；</w:t>
            </w:r>
          </w:p>
          <w:p w14:paraId="6AAF477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2、没有按照磋商文件要求提供投标承诺函；</w:t>
            </w:r>
          </w:p>
          <w:p w14:paraId="3F2F506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3、电子化响应文件附有采购人不能接受的条件的；</w:t>
            </w:r>
          </w:p>
          <w:p w14:paraId="375B2E9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4、投标报价低于成本、高于磋商文件设定的最高投标限价；</w:t>
            </w:r>
          </w:p>
          <w:p w14:paraId="1C6CB07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5、以他人的名义投标、串通投标、以行贿手段谋取中标或者以其他弄虚作假方式投标的；</w:t>
            </w:r>
          </w:p>
          <w:p w14:paraId="3B226AF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6、采取不正当手段谋取中标的；</w:t>
            </w:r>
          </w:p>
          <w:p w14:paraId="46F8DC3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7、法律、法规规定的其他情况。</w:t>
            </w:r>
          </w:p>
        </w:tc>
      </w:tr>
      <w:tr w14:paraId="5420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710B972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3.31</w:t>
            </w:r>
          </w:p>
        </w:tc>
        <w:tc>
          <w:tcPr>
            <w:tcW w:w="2353" w:type="dxa"/>
            <w:vAlign w:val="center"/>
          </w:tcPr>
          <w:p w14:paraId="5541F66C">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重新招标的其他情形</w:t>
            </w:r>
          </w:p>
        </w:tc>
        <w:tc>
          <w:tcPr>
            <w:tcW w:w="6155" w:type="dxa"/>
            <w:vAlign w:val="center"/>
          </w:tcPr>
          <w:p w14:paraId="1288653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除响应人须知正文规定的情形外，除非已经产生成交候选人，在磋商有效期内同意延长磋商有效期的响应人少于三个的，采购人应当依法重新招标。</w:t>
            </w:r>
          </w:p>
        </w:tc>
      </w:tr>
      <w:tr w14:paraId="3E4E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7F7DEC12">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3.32</w:t>
            </w:r>
          </w:p>
        </w:tc>
        <w:tc>
          <w:tcPr>
            <w:tcW w:w="2353" w:type="dxa"/>
            <w:vAlign w:val="center"/>
          </w:tcPr>
          <w:p w14:paraId="67728F44">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需要补充的其他内容</w:t>
            </w:r>
          </w:p>
        </w:tc>
        <w:tc>
          <w:tcPr>
            <w:tcW w:w="6155" w:type="dxa"/>
            <w:vAlign w:val="center"/>
          </w:tcPr>
          <w:p w14:paraId="528FBA0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采购人有权在成交通知书发放前组织</w:t>
            </w:r>
            <w:r>
              <w:rPr>
                <w:rFonts w:ascii="宋体" w:hAnsi="宋体"/>
                <w:color w:val="000000" w:themeColor="text1"/>
                <w:sz w:val="24"/>
                <w:highlight w:val="none"/>
                <w14:textFill>
                  <w14:solidFill>
                    <w14:schemeClr w14:val="tx1"/>
                  </w14:solidFill>
                </w14:textFill>
              </w:rPr>
              <w:t>现场考察</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核实</w:t>
            </w:r>
            <w:r>
              <w:rPr>
                <w:rFonts w:hint="eastAsia" w:ascii="宋体" w:hAnsi="宋体"/>
                <w:color w:val="000000" w:themeColor="text1"/>
                <w:sz w:val="24"/>
                <w:highlight w:val="none"/>
                <w14:textFill>
                  <w14:solidFill>
                    <w14:schemeClr w14:val="tx1"/>
                  </w14:solidFill>
                </w14:textFill>
              </w:rPr>
              <w:t>企业实力是否与</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响应文件提供资料一致，</w:t>
            </w:r>
            <w:r>
              <w:rPr>
                <w:rFonts w:ascii="宋体" w:hAnsi="宋体"/>
                <w:color w:val="000000" w:themeColor="text1"/>
                <w:sz w:val="24"/>
                <w:highlight w:val="none"/>
                <w14:textFill>
                  <w14:solidFill>
                    <w14:schemeClr w14:val="tx1"/>
                  </w14:solidFill>
                </w14:textFill>
              </w:rPr>
              <w:t>其是否具有承担中标项目合同的履行能力</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供应商应对</w:t>
            </w:r>
            <w:r>
              <w:rPr>
                <w:rFonts w:hint="eastAsia" w:ascii="宋体" w:hAnsi="宋体"/>
                <w:color w:val="000000" w:themeColor="text1"/>
                <w:sz w:val="24"/>
                <w:highlight w:val="none"/>
                <w14:textFill>
                  <w14:solidFill>
                    <w14:schemeClr w14:val="tx1"/>
                  </w14:solidFill>
                </w14:textFill>
              </w:rPr>
              <w:t>响应文件内容的真实性、合法性、有效性负责。如提供虚假材料，视同为“提供虚假材料谋取中标、成交”的违法行为。经调查核实后，取消</w:t>
            </w:r>
            <w:r>
              <w:rPr>
                <w:rFonts w:hint="eastAsia" w:ascii="宋体" w:hAnsi="宋体"/>
                <w:color w:val="000000" w:themeColor="text1"/>
                <w:sz w:val="24"/>
                <w:highlight w:val="none"/>
                <w:lang w:eastAsia="zh-CN"/>
                <w14:textFill>
                  <w14:solidFill>
                    <w14:schemeClr w14:val="tx1"/>
                  </w14:solidFill>
                </w14:textFill>
              </w:rPr>
              <w:t>成交人</w:t>
            </w:r>
            <w:r>
              <w:rPr>
                <w:rFonts w:hint="eastAsia" w:ascii="宋体" w:hAnsi="宋体"/>
                <w:color w:val="000000" w:themeColor="text1"/>
                <w:sz w:val="24"/>
                <w:highlight w:val="none"/>
                <w14:textFill>
                  <w14:solidFill>
                    <w14:schemeClr w14:val="tx1"/>
                  </w14:solidFill>
                </w14:textFill>
              </w:rPr>
              <w:t>资格，并按照《政府采购法》第七十七条，七十九条规定，处以采购金额千分之五以上千分之十以下的罚款，列入不良行为记录名单，在一至三年内禁止参加政府采购活动，有违法所得的， 并处没收 违法所得，情节严重的，由市场监管部门吊销营业执照；构成犯罪的，依法追究刑事责任；给他人造成损失的，依照有关民事法律规定承担民事责任；</w:t>
            </w:r>
          </w:p>
          <w:p w14:paraId="5E3C574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成交供应商在领取中标通知书时，须提供响应文件（上传稿）纸质资料两套，需加盖单位公章，胶装成册。</w:t>
            </w:r>
          </w:p>
        </w:tc>
      </w:tr>
      <w:tr w14:paraId="53BB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333" w:type="dxa"/>
            <w:vAlign w:val="center"/>
          </w:tcPr>
          <w:p w14:paraId="2A6A3A04">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4.0</w:t>
            </w:r>
          </w:p>
        </w:tc>
        <w:tc>
          <w:tcPr>
            <w:tcW w:w="2353" w:type="dxa"/>
            <w:vAlign w:val="center"/>
          </w:tcPr>
          <w:p w14:paraId="3B42FCAA">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电子化交易注意事项</w:t>
            </w:r>
          </w:p>
        </w:tc>
        <w:tc>
          <w:tcPr>
            <w:tcW w:w="6155" w:type="dxa"/>
            <w:vAlign w:val="center"/>
          </w:tcPr>
          <w:p w14:paraId="472A288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3200E12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电子化磋商响应文件具体制作教材请供应商通过CA证书登录三门峡市公共资源电子化交易系统在 “交易智库”中下载操作流程</w:t>
            </w:r>
          </w:p>
          <w:p w14:paraId="31D350A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温馨提示：本项目为电子化、无纸化交易项目，投标时不接受任何纸质资料，为保证您能投标成功，请需仔细阅读以下条款。</w:t>
            </w:r>
          </w:p>
          <w:p w14:paraId="1144E68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一、电子化投标</w:t>
            </w:r>
          </w:p>
          <w:p w14:paraId="025C466B">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（一）电子化磋商响应文件的签章</w:t>
            </w:r>
          </w:p>
          <w:p w14:paraId="05C44CE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1、供应商在生成电子化磋商响应文件后，应对电子化磋商响应文件进行签章，未进行签章的视为无效投标。</w:t>
            </w:r>
          </w:p>
          <w:p w14:paraId="5AAF552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磋商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412AE55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（二）电子化磋商响应文件的格式及上传投标</w:t>
            </w:r>
          </w:p>
          <w:p w14:paraId="0FBECB5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en-US"/>
                <w14:textFill>
                  <w14:solidFill>
                    <w14:schemeClr w14:val="tx1"/>
                  </w14:solidFill>
                </w14:textFill>
              </w:rPr>
              <w:t>所上传的电子化</w:t>
            </w:r>
            <w:r>
              <w:rPr>
                <w:rFonts w:hint="eastAsia" w:ascii="宋体" w:hAnsi="宋体"/>
                <w:color w:val="000000" w:themeColor="text1"/>
                <w:sz w:val="24"/>
                <w:highlight w:val="none"/>
                <w14:textFill>
                  <w14:solidFill>
                    <w14:schemeClr w14:val="tx1"/>
                  </w14:solidFill>
                </w14:textFill>
              </w:rPr>
              <w:t>磋商响应文件</w:t>
            </w:r>
            <w:r>
              <w:rPr>
                <w:rFonts w:hint="eastAsia" w:ascii="宋体" w:hAnsi="宋体"/>
                <w:color w:val="000000" w:themeColor="text1"/>
                <w:sz w:val="24"/>
                <w:highlight w:val="none"/>
                <w:lang w:eastAsia="en-US"/>
                <w14:textFill>
                  <w14:solidFill>
                    <w14:schemeClr w14:val="tx1"/>
                  </w14:solidFill>
                </w14:textFill>
              </w:rPr>
              <w:t>，应是通过中心</w:t>
            </w:r>
            <w:r>
              <w:rPr>
                <w:rFonts w:hint="eastAsia" w:ascii="宋体" w:hAnsi="宋体"/>
                <w:color w:val="000000" w:themeColor="text1"/>
                <w:sz w:val="24"/>
                <w:highlight w:val="none"/>
                <w14:textFill>
                  <w14:solidFill>
                    <w14:schemeClr w14:val="tx1"/>
                  </w14:solidFill>
                </w14:textFill>
              </w:rPr>
              <w:t>磋商响应文件</w:t>
            </w:r>
            <w:r>
              <w:rPr>
                <w:rFonts w:hint="eastAsia" w:ascii="宋体" w:hAnsi="宋体"/>
                <w:color w:val="000000" w:themeColor="text1"/>
                <w:sz w:val="24"/>
                <w:highlight w:val="none"/>
                <w:lang w:eastAsia="en-US"/>
                <w14:textFill>
                  <w14:solidFill>
                    <w14:schemeClr w14:val="tx1"/>
                  </w14:solidFill>
                </w14:textFill>
              </w:rPr>
              <w:t>制作系统制作的（</w:t>
            </w:r>
            <w:r>
              <w:rPr>
                <w:rFonts w:hint="eastAsia" w:ascii="宋体" w:hAnsi="宋体"/>
                <w:color w:val="000000" w:themeColor="text1"/>
                <w:sz w:val="24"/>
                <w:highlight w:val="none"/>
                <w14:textFill>
                  <w14:solidFill>
                    <w14:schemeClr w14:val="tx1"/>
                  </w14:solidFill>
                </w14:textFill>
              </w:rPr>
              <w:t>磋商响应文件</w:t>
            </w:r>
            <w:r>
              <w:rPr>
                <w:rFonts w:hint="eastAsia" w:ascii="宋体" w:hAnsi="宋体"/>
                <w:color w:val="000000" w:themeColor="text1"/>
                <w:sz w:val="24"/>
                <w:highlight w:val="none"/>
                <w:lang w:eastAsia="en-US"/>
                <w14:textFill>
                  <w14:solidFill>
                    <w14:schemeClr w14:val="tx1"/>
                  </w14:solidFill>
                </w14:textFill>
              </w:rPr>
              <w:t>制作工具下载地址：http://t.cn/A6ZvtVob），经过签章和加密后生成的电子版</w:t>
            </w:r>
            <w:r>
              <w:rPr>
                <w:rFonts w:hint="eastAsia" w:ascii="宋体" w:hAnsi="宋体"/>
                <w:color w:val="000000" w:themeColor="text1"/>
                <w:sz w:val="24"/>
                <w:highlight w:val="none"/>
                <w14:textFill>
                  <w14:solidFill>
                    <w14:schemeClr w14:val="tx1"/>
                  </w14:solidFill>
                </w14:textFill>
              </w:rPr>
              <w:t>磋商响应文件</w:t>
            </w:r>
            <w:r>
              <w:rPr>
                <w:rFonts w:hint="eastAsia" w:ascii="宋体" w:hAnsi="宋体"/>
                <w:color w:val="000000" w:themeColor="text1"/>
                <w:sz w:val="24"/>
                <w:highlight w:val="none"/>
                <w:lang w:eastAsia="en-US"/>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其中包含用于磋商响应文件上传的主文件（后缀为.smxtf）和用于应急补救的磋商响应文件备份文件（后缀为.nsmxtf）。备份文件主要用于电子化开标出现技术问题后的补救，请供应商随身携带。</w:t>
            </w:r>
          </w:p>
          <w:p w14:paraId="3E4BAB90">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注：供应商投报多个标段的，需要每个标段单独制作电子磋商响应文件。</w:t>
            </w:r>
          </w:p>
          <w:p w14:paraId="6C15070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2、电子化磋商响应文件应在投标截止时间前成功上传至三门峡市公共资源电子化交易系统。至投标截止时间止，仍未上传成功的电子化磋商响应文件将不予接收。</w:t>
            </w:r>
          </w:p>
          <w:p w14:paraId="40065EC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6DD6AAB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技术联系电话：400-998-0000</w:t>
            </w:r>
          </w:p>
          <w:p w14:paraId="5C16494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（三）电子化项目开标、解密、唱标、评标</w:t>
            </w:r>
          </w:p>
          <w:p w14:paraId="19273A64">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59E3D45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1F97701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3、电子化磋商响应文件解密异常的处理</w:t>
            </w:r>
          </w:p>
          <w:p w14:paraId="323E01A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如出现供应商的电子磋商响应文件无法解密等异常情况，供应商应及时致电中介服务机构说明。磋商响应文件异常，按以下步骤进行处理：</w:t>
            </w:r>
          </w:p>
          <w:p w14:paraId="45AD4DB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（1）首先由技术人员进行问题排查。</w:t>
            </w:r>
          </w:p>
          <w:p w14:paraId="397EF773">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（2）经技术人员排查后，是供应商文件自身问题导致磋商响应文件无法解密的，该磋商响应文件将不予接收、解密和唱标。开标会议继续进行。</w:t>
            </w:r>
          </w:p>
          <w:p w14:paraId="05451CA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6A57CA2">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4、待所有供应商磋商响应文件解密完成后，由中介服务机构操作，对所有已解密磋商响应文件进行唱标。</w:t>
            </w:r>
          </w:p>
          <w:p w14:paraId="1C252B7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供应商应保证在开标期间电话、电脑、网络能够正常工作，供应商因停电、电脑病毒、网络堵塞等原因，未在规定的解密时间内对磋商响应文件进行解密的，其磋商响应文件不予接收、唱标。</w:t>
            </w:r>
          </w:p>
          <w:p w14:paraId="66B074FA">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AFD3E5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评标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7BDCE3D">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7、如磋商小组对需要回复的供应商连续三次致电未接通的，视为供应商放弃回复，磋商小组将自行对需要回复的内容进行认定。</w:t>
            </w:r>
          </w:p>
          <w:p w14:paraId="0AFE1539">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二、相关证书原件的提交</w:t>
            </w:r>
          </w:p>
          <w:p w14:paraId="78A895F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本项目实行资格后审，</w:t>
            </w:r>
            <w:r>
              <w:rPr>
                <w:rFonts w:hint="eastAsia" w:ascii="宋体" w:hAnsi="宋体"/>
                <w:color w:val="000000" w:themeColor="text1"/>
                <w:sz w:val="24"/>
                <w:highlight w:val="none"/>
                <w:lang w:eastAsia="zh-CN"/>
                <w14:textFill>
                  <w14:solidFill>
                    <w14:schemeClr w14:val="tx1"/>
                  </w14:solidFill>
                </w14:textFill>
              </w:rPr>
              <w:t>响应性文件</w:t>
            </w:r>
            <w:r>
              <w:rPr>
                <w:rFonts w:hint="eastAsia" w:ascii="宋体" w:hAnsi="宋体"/>
                <w:color w:val="000000" w:themeColor="text1"/>
                <w:sz w:val="24"/>
                <w:highlight w:val="none"/>
                <w14:textFill>
                  <w14:solidFill>
                    <w14:schemeClr w14:val="tx1"/>
                  </w14:solidFill>
                </w14:textFill>
              </w:rPr>
              <w:t>中要求供应商提交资质、业绩、荣誉及单位人员等相关资料原件的，供应商需将原件扫描件制作到电子</w:t>
            </w:r>
            <w:r>
              <w:rPr>
                <w:rFonts w:hint="eastAsia" w:ascii="宋体" w:hAnsi="宋体"/>
                <w:color w:val="000000" w:themeColor="text1"/>
                <w:sz w:val="24"/>
                <w:highlight w:val="none"/>
                <w:lang w:eastAsia="zh-CN"/>
                <w14:textFill>
                  <w14:solidFill>
                    <w14:schemeClr w14:val="tx1"/>
                  </w14:solidFill>
                </w14:textFill>
              </w:rPr>
              <w:t>响应性文件</w:t>
            </w:r>
            <w:r>
              <w:rPr>
                <w:rFonts w:hint="eastAsia" w:ascii="宋体" w:hAnsi="宋体"/>
                <w:color w:val="000000" w:themeColor="text1"/>
                <w:sz w:val="24"/>
                <w:highlight w:val="none"/>
                <w14:textFill>
                  <w14:solidFill>
                    <w14:schemeClr w14:val="tx1"/>
                  </w14:solidFill>
                </w14:textFill>
              </w:rPr>
              <w:t>中，同时将该原件扫描件上传至三门峡市公共资源交易服务平台市场主体信息库。评标委员会对原件的核验工作按以下条款进行：</w:t>
            </w:r>
          </w:p>
          <w:p w14:paraId="592B171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（一）评标时，审查内容以</w:t>
            </w:r>
            <w:r>
              <w:rPr>
                <w:rFonts w:hint="eastAsia" w:ascii="宋体" w:hAnsi="宋体"/>
                <w:color w:val="000000" w:themeColor="text1"/>
                <w:sz w:val="24"/>
                <w:highlight w:val="none"/>
                <w:lang w:eastAsia="zh-CN"/>
                <w14:textFill>
                  <w14:solidFill>
                    <w14:schemeClr w14:val="tx1"/>
                  </w14:solidFill>
                </w14:textFill>
              </w:rPr>
              <w:t>响应性文件</w:t>
            </w:r>
            <w:r>
              <w:rPr>
                <w:rFonts w:hint="eastAsia" w:ascii="宋体" w:hAnsi="宋体"/>
                <w:color w:val="000000" w:themeColor="text1"/>
                <w:sz w:val="24"/>
                <w:highlight w:val="none"/>
                <w14:textFill>
                  <w14:solidFill>
                    <w14:schemeClr w14:val="tx1"/>
                  </w14:solidFill>
                </w14:textFill>
              </w:rPr>
              <w:t>提交的信息为准，其上传资料真实性由供应商自行承担。同时，供应商要完善市场主体库。</w:t>
            </w:r>
          </w:p>
          <w:p w14:paraId="2C5C937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本项目需要提交的原件扫描件投标截止前在三门峡市公共资源交易服务平台市场主体信息库中上传。开评标现场不接受供应商所提交的任何原件。</w:t>
            </w:r>
          </w:p>
          <w:p w14:paraId="679E5A7E">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在项目供应商时间起至评标结束至，主体库将处于锁定状态。如连续投报多个项目，主体库锁定时间也将延长，请供应商合理安排资料上传时间，尽可能早的将所有项目资料上传至三门峡市公共资源交易服务平台市场主体信息库。</w:t>
            </w:r>
          </w:p>
          <w:p w14:paraId="7D5543C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（二）项目评标结果公示时，将同时公示中标候选人主体库信息，接受社会监督。</w:t>
            </w:r>
          </w:p>
          <w:p w14:paraId="450AA016">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（三）供应商需应仔细阅读操作手册，保证上传内容齐全，真实有效，原件扫描件清晰可辨。因供应商上传原因导致应得分项而未得分或资格审查不合格等情况的，由供应商自行承担责任。</w:t>
            </w:r>
          </w:p>
          <w:p w14:paraId="33F58BB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提示：本项目为电子化、无纸化交易项目，供应商时不再接受任何纸质资料，为保证您能投标成功，请需仔细阅读以上条款。</w:t>
            </w:r>
          </w:p>
        </w:tc>
      </w:tr>
      <w:bookmarkEnd w:id="33"/>
      <w:bookmarkEnd w:id="34"/>
      <w:bookmarkEnd w:id="35"/>
      <w:bookmarkEnd w:id="36"/>
      <w:bookmarkEnd w:id="37"/>
      <w:bookmarkEnd w:id="38"/>
      <w:bookmarkEnd w:id="39"/>
      <w:bookmarkEnd w:id="40"/>
      <w:bookmarkEnd w:id="41"/>
      <w:bookmarkEnd w:id="42"/>
      <w:bookmarkEnd w:id="43"/>
      <w:bookmarkEnd w:id="44"/>
      <w:bookmarkEnd w:id="45"/>
    </w:tbl>
    <w:p w14:paraId="5F974074">
      <w:pPr>
        <w:spacing w:line="360" w:lineRule="auto"/>
        <w:ind w:firstLine="482" w:firstLineChars="200"/>
        <w:rPr>
          <w:rFonts w:ascii="宋体" w:hAnsi="宋体"/>
          <w:color w:val="000000" w:themeColor="text1"/>
          <w:sz w:val="24"/>
          <w:highlight w:val="none"/>
          <w14:textFill>
            <w14:solidFill>
              <w14:schemeClr w14:val="tx1"/>
            </w14:solidFill>
          </w14:textFill>
        </w:rPr>
      </w:pPr>
      <w:bookmarkStart w:id="46" w:name="_Toc488504474"/>
      <w:bookmarkStart w:id="47" w:name="_Toc20123_WPSOffice_Level2"/>
      <w:bookmarkStart w:id="48" w:name="_Toc487498474"/>
      <w:bookmarkStart w:id="49" w:name="_Toc455080108"/>
      <w:bookmarkStart w:id="50" w:name="_Toc22449"/>
      <w:bookmarkStart w:id="51" w:name="_Toc4869"/>
      <w:bookmarkStart w:id="52" w:name="_Toc247085689"/>
      <w:bookmarkStart w:id="53" w:name="_Toc152045589"/>
      <w:bookmarkStart w:id="54" w:name="_Toc246996975"/>
      <w:bookmarkStart w:id="55" w:name="_Toc144974556"/>
      <w:bookmarkStart w:id="56" w:name="_Toc296602477"/>
      <w:bookmarkStart w:id="57" w:name="_Toc144974497"/>
      <w:bookmarkStart w:id="58" w:name="_Toc152042366"/>
      <w:bookmarkStart w:id="59" w:name="_Toc246996232"/>
      <w:bookmarkStart w:id="60" w:name="_Toc296602420"/>
      <w:bookmarkStart w:id="61" w:name="_Toc246996175"/>
      <w:bookmarkStart w:id="62" w:name="_Toc152042305"/>
      <w:bookmarkStart w:id="63" w:name="_Toc179632607"/>
      <w:bookmarkStart w:id="64" w:name="_Toc179632546"/>
      <w:bookmarkStart w:id="65" w:name="_Toc247085747"/>
      <w:bookmarkStart w:id="66" w:name="_Toc152045529"/>
      <w:bookmarkStart w:id="67" w:name="_Toc43652638"/>
      <w:bookmarkStart w:id="68" w:name="_Toc456164344"/>
      <w:bookmarkStart w:id="69" w:name="_Toc246996918"/>
      <w:bookmarkStart w:id="70" w:name="_Toc247085767"/>
      <w:bookmarkStart w:id="71" w:name="_Toc152045609"/>
      <w:bookmarkStart w:id="72" w:name="_Toc152042387"/>
      <w:bookmarkStart w:id="73" w:name="_Toc246996995"/>
      <w:bookmarkStart w:id="74" w:name="_Toc246996252"/>
      <w:bookmarkStart w:id="75" w:name="_Toc179632627"/>
      <w:bookmarkStart w:id="76" w:name="_Toc144974577"/>
      <w:r>
        <w:rPr>
          <w:rFonts w:hint="eastAsia" w:ascii="宋体" w:hAnsi="宋体"/>
          <w:b/>
          <w:bCs/>
          <w:color w:val="000000" w:themeColor="text1"/>
          <w:sz w:val="24"/>
          <w:highlight w:val="none"/>
          <w14:textFill>
            <w14:solidFill>
              <w14:schemeClr w14:val="tx1"/>
            </w14:solidFill>
          </w14:textFill>
        </w:rPr>
        <w:t>1. 总则</w:t>
      </w:r>
      <w:bookmarkEnd w:id="46"/>
      <w:bookmarkEnd w:id="47"/>
      <w:bookmarkEnd w:id="48"/>
      <w:bookmarkEnd w:id="49"/>
      <w:bookmarkEnd w:id="50"/>
    </w:p>
    <w:p w14:paraId="5AE9DBF9">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77" w:name="_Toc15709"/>
      <w:bookmarkStart w:id="78" w:name="_Toc464035510"/>
      <w:bookmarkStart w:id="79" w:name="_Toc29023"/>
      <w:bookmarkStart w:id="80" w:name="_Toc455080109"/>
      <w:bookmarkStart w:id="81" w:name="_Toc1172"/>
      <w:bookmarkStart w:id="82" w:name="_Toc10273"/>
      <w:bookmarkStart w:id="83" w:name="_Toc281380952"/>
      <w:bookmarkStart w:id="84" w:name="_Toc463701031"/>
      <w:bookmarkStart w:id="85" w:name="_Toc21458"/>
      <w:bookmarkStart w:id="86" w:name="_Toc21496_WPSOffice_Level3"/>
      <w:bookmarkStart w:id="87" w:name="_Toc31404"/>
      <w:bookmarkStart w:id="88" w:name="_Toc318450675"/>
      <w:bookmarkStart w:id="89" w:name="_Toc274409866"/>
      <w:bookmarkStart w:id="90" w:name="_Toc144974499"/>
      <w:bookmarkStart w:id="91" w:name="_Toc152042307"/>
      <w:bookmarkStart w:id="92" w:name="_Toc152045531"/>
      <w:r>
        <w:rPr>
          <w:rFonts w:hint="eastAsia" w:ascii="宋体" w:hAnsi="宋体"/>
          <w:color w:val="000000" w:themeColor="text1"/>
          <w:sz w:val="24"/>
          <w:highlight w:val="none"/>
          <w14:textFill>
            <w14:solidFill>
              <w14:schemeClr w14:val="tx1"/>
            </w14:solidFill>
          </w14:textFill>
        </w:rPr>
        <w:t>1.1 适用范围</w:t>
      </w:r>
      <w:bookmarkEnd w:id="77"/>
      <w:bookmarkEnd w:id="78"/>
      <w:bookmarkEnd w:id="79"/>
      <w:bookmarkEnd w:id="80"/>
      <w:bookmarkEnd w:id="81"/>
      <w:bookmarkEnd w:id="82"/>
      <w:bookmarkEnd w:id="83"/>
      <w:bookmarkEnd w:id="84"/>
      <w:bookmarkEnd w:id="85"/>
      <w:bookmarkEnd w:id="86"/>
      <w:bookmarkEnd w:id="87"/>
      <w:bookmarkEnd w:id="88"/>
      <w:bookmarkEnd w:id="89"/>
    </w:p>
    <w:p w14:paraId="28B431F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1.1.1根据《中华人民共和国政府采购法》等有关法律、法规和规章的规定，编制本项目磋商文件。</w:t>
      </w:r>
    </w:p>
    <w:p w14:paraId="5F7DEE78">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93" w:name="_Toc3336"/>
      <w:bookmarkStart w:id="94" w:name="_Toc455080110"/>
      <w:bookmarkStart w:id="95" w:name="_Toc25399_WPSOffice_Level3"/>
      <w:bookmarkStart w:id="96" w:name="_Toc710"/>
      <w:bookmarkStart w:id="97" w:name="_Toc274409867"/>
      <w:bookmarkStart w:id="98" w:name="_Toc2929"/>
      <w:bookmarkStart w:id="99" w:name="_Toc30891"/>
      <w:bookmarkStart w:id="100" w:name="_Toc463701032"/>
      <w:bookmarkStart w:id="101" w:name="_Toc281405468"/>
      <w:bookmarkStart w:id="102" w:name="_Toc464035511"/>
      <w:bookmarkStart w:id="103" w:name="_Toc32619"/>
      <w:bookmarkStart w:id="104" w:name="_Toc318450676"/>
      <w:bookmarkStart w:id="105" w:name="_Toc25773"/>
      <w:r>
        <w:rPr>
          <w:rFonts w:hint="eastAsia" w:ascii="宋体" w:hAnsi="宋体"/>
          <w:color w:val="000000" w:themeColor="text1"/>
          <w:sz w:val="24"/>
          <w:highlight w:val="none"/>
          <w14:textFill>
            <w14:solidFill>
              <w14:schemeClr w14:val="tx1"/>
            </w14:solidFill>
          </w14:textFill>
        </w:rPr>
        <w:t>1.2 采购项目说明</w:t>
      </w:r>
      <w:bookmarkEnd w:id="93"/>
      <w:bookmarkEnd w:id="94"/>
      <w:bookmarkEnd w:id="95"/>
      <w:bookmarkEnd w:id="96"/>
      <w:bookmarkEnd w:id="97"/>
      <w:bookmarkEnd w:id="98"/>
      <w:bookmarkEnd w:id="99"/>
      <w:bookmarkEnd w:id="100"/>
      <w:bookmarkEnd w:id="101"/>
      <w:bookmarkEnd w:id="102"/>
      <w:bookmarkEnd w:id="103"/>
      <w:bookmarkEnd w:id="104"/>
      <w:bookmarkEnd w:id="105"/>
    </w:p>
    <w:p w14:paraId="3C6556A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本项目采购人：见供应商须知前附表。</w:t>
      </w:r>
    </w:p>
    <w:p w14:paraId="257EDDD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1.2.2 本项目采购代理机构：见供应商须知前附表。</w:t>
      </w:r>
    </w:p>
    <w:p w14:paraId="2BE4BC3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1.2.3 本项目名称：见供应商须知前附表。</w:t>
      </w:r>
    </w:p>
    <w:p w14:paraId="004AF516">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06" w:name="_Toc318450677"/>
      <w:bookmarkStart w:id="107" w:name="_Toc281405469"/>
      <w:bookmarkStart w:id="108" w:name="_Toc31122_WPSOffice_Level3"/>
      <w:bookmarkStart w:id="109" w:name="_Toc17016"/>
      <w:bookmarkStart w:id="110" w:name="_Toc464035512"/>
      <w:bookmarkStart w:id="111" w:name="_Toc3477"/>
      <w:bookmarkStart w:id="112" w:name="_Toc463701033"/>
      <w:bookmarkStart w:id="113" w:name="_Toc4952"/>
      <w:bookmarkStart w:id="114" w:name="_Toc18960"/>
      <w:bookmarkStart w:id="115" w:name="_Toc274409868"/>
      <w:bookmarkStart w:id="116" w:name="_Toc455080111"/>
      <w:bookmarkStart w:id="117" w:name="_Toc16931"/>
      <w:bookmarkStart w:id="118" w:name="_Toc1373"/>
      <w:r>
        <w:rPr>
          <w:rFonts w:hint="eastAsia" w:ascii="宋体" w:hAnsi="宋体"/>
          <w:color w:val="000000" w:themeColor="text1"/>
          <w:sz w:val="24"/>
          <w:highlight w:val="none"/>
          <w14:textFill>
            <w14:solidFill>
              <w14:schemeClr w14:val="tx1"/>
            </w14:solidFill>
          </w14:textFill>
        </w:rPr>
        <w:t>1.3 定义及解释</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162D4FF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1.3.1采购人：依法进行政府采购的国家机关、事业单位、团体组织。</w:t>
      </w:r>
    </w:p>
    <w:p w14:paraId="0ADABC7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1.3.2采购代理机构：取得政府采购招标代理资质，受采购人委托组织招标活动的社会中介组织。</w:t>
      </w:r>
    </w:p>
    <w:p w14:paraId="1B9658B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1.3.3采购：系指根据本磋商文件规定供应商须承担的服务内容以及其他类似的义务等。</w:t>
      </w:r>
    </w:p>
    <w:p w14:paraId="62FF78B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1.3.4供应商：供应商是响应磋商文件、参加磋商竞争的中华人民共和国境内的法人、其它组织。</w:t>
      </w:r>
    </w:p>
    <w:p w14:paraId="649BBE4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1.3.5响应文件：指供应商根据磋商文件提交的所有文件。</w:t>
      </w:r>
    </w:p>
    <w:p w14:paraId="11B21B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1.3.6磋商小组：依据</w:t>
      </w:r>
      <w:r>
        <w:rPr>
          <w:rFonts w:hint="eastAsia" w:ascii="宋体" w:hAnsi="宋体"/>
          <w:color w:val="000000" w:themeColor="text1"/>
          <w:sz w:val="24"/>
          <w:highlight w:val="none"/>
          <w:lang w:bidi="en-US"/>
          <w14:textFill>
            <w14:solidFill>
              <w14:schemeClr w14:val="tx1"/>
            </w14:solidFill>
          </w14:textFill>
        </w:rPr>
        <w:t>《中华人民共和国政府采购法》及有关法律、法规的规定依法组建的专门负责本次评标工作的临时机构</w:t>
      </w:r>
      <w:r>
        <w:rPr>
          <w:rFonts w:hint="eastAsia" w:ascii="宋体" w:hAnsi="宋体"/>
          <w:color w:val="000000" w:themeColor="text1"/>
          <w:sz w:val="24"/>
          <w:highlight w:val="none"/>
          <w14:textFill>
            <w14:solidFill>
              <w14:schemeClr w14:val="tx1"/>
            </w14:solidFill>
          </w14:textFill>
        </w:rPr>
        <w:t>。</w:t>
      </w:r>
    </w:p>
    <w:p w14:paraId="1684127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1.3.7偏离：磋商响应文件的响应相对于磋商文件要求的偏差，该偏差优于磋商文件要求的为正偏离；劣于的，为负偏离。</w:t>
      </w:r>
    </w:p>
    <w:p w14:paraId="28695C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1.3.8“日期”或“天”：指日历天。</w:t>
      </w:r>
    </w:p>
    <w:p w14:paraId="695233A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1.3.9合同：指依据本次采购招标结果签订的协议或合约文件。</w:t>
      </w:r>
    </w:p>
    <w:p w14:paraId="3A9D4B9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1.3.10磋商文件中的标题或题名仅起引导作用，而不应视为对磋商文件内容的理解和解释。</w:t>
      </w:r>
    </w:p>
    <w:bookmarkEnd w:id="90"/>
    <w:bookmarkEnd w:id="91"/>
    <w:bookmarkEnd w:id="92"/>
    <w:p w14:paraId="533BFF6A">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19" w:name="_Toc14043"/>
      <w:bookmarkStart w:id="120" w:name="_Toc144974500"/>
      <w:bookmarkStart w:id="121" w:name="_Toc455080112"/>
      <w:bookmarkStart w:id="122" w:name="_Toc12752"/>
      <w:bookmarkStart w:id="123" w:name="_Toc27407"/>
      <w:bookmarkStart w:id="124" w:name="_Toc464035513"/>
      <w:bookmarkStart w:id="125" w:name="_Toc16470"/>
      <w:bookmarkStart w:id="126" w:name="_Toc318450678"/>
      <w:bookmarkStart w:id="127" w:name="_Toc3626_WPSOffice_Level3"/>
      <w:bookmarkStart w:id="128" w:name="_Toc152042308"/>
      <w:bookmarkStart w:id="129" w:name="_Toc152045532"/>
      <w:bookmarkStart w:id="130" w:name="_Toc21766"/>
      <w:bookmarkStart w:id="131" w:name="_Toc19363"/>
      <w:bookmarkStart w:id="132" w:name="_Toc463701034"/>
      <w:r>
        <w:rPr>
          <w:rFonts w:hint="eastAsia" w:ascii="宋体" w:hAnsi="宋体"/>
          <w:color w:val="000000" w:themeColor="text1"/>
          <w:sz w:val="24"/>
          <w:highlight w:val="none"/>
          <w14:textFill>
            <w14:solidFill>
              <w14:schemeClr w14:val="tx1"/>
            </w14:solidFill>
          </w14:textFill>
        </w:rPr>
        <w:t>1.4 采购内容、服务期限和</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宋体" w:hAnsi="宋体"/>
          <w:color w:val="000000" w:themeColor="text1"/>
          <w:sz w:val="24"/>
          <w:highlight w:val="none"/>
          <w14:textFill>
            <w14:solidFill>
              <w14:schemeClr w14:val="tx1"/>
            </w14:solidFill>
          </w14:textFill>
        </w:rPr>
        <w:t>服务标准</w:t>
      </w:r>
    </w:p>
    <w:p w14:paraId="185A91E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 本次采购内容：见供应商须知前附表。</w:t>
      </w:r>
    </w:p>
    <w:p w14:paraId="3977819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1.4.2 本项目的服务期限：见供应商须知前附表。</w:t>
      </w:r>
    </w:p>
    <w:p w14:paraId="352B6C4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1.4.3 本项目的服务标准：见供应商须知前附表。</w:t>
      </w:r>
    </w:p>
    <w:p w14:paraId="52555C52">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33" w:name="_Toc7579_WPSOffice_Level3"/>
      <w:bookmarkStart w:id="134" w:name="_Toc318450681"/>
      <w:bookmarkStart w:id="135" w:name="_Toc32053"/>
      <w:bookmarkStart w:id="136" w:name="_Toc5402"/>
      <w:bookmarkStart w:id="137" w:name="_Toc144974504"/>
      <w:bookmarkStart w:id="138" w:name="_Toc463701037"/>
      <w:bookmarkStart w:id="139" w:name="_Toc152045536"/>
      <w:bookmarkStart w:id="140" w:name="_Toc2622"/>
      <w:bookmarkStart w:id="141" w:name="_Toc464035516"/>
      <w:bookmarkStart w:id="142" w:name="_Toc455080115"/>
      <w:bookmarkStart w:id="143" w:name="_Toc20145"/>
      <w:bookmarkStart w:id="144" w:name="_Toc152042312"/>
      <w:bookmarkStart w:id="145" w:name="_Toc8055"/>
      <w:bookmarkStart w:id="146" w:name="_Toc6014"/>
      <w:r>
        <w:rPr>
          <w:rFonts w:hint="eastAsia" w:ascii="宋体" w:hAnsi="宋体"/>
          <w:color w:val="000000" w:themeColor="text1"/>
          <w:sz w:val="24"/>
          <w:highlight w:val="none"/>
          <w14:textFill>
            <w14:solidFill>
              <w14:schemeClr w14:val="tx1"/>
            </w14:solidFill>
          </w14:textFill>
        </w:rPr>
        <w:t>1.5保密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A7DB98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参与磋商活动的各方应对磋商文件和磋商响应文件中的商业和技术等秘密保密，违者应对由此造成的后果承担法律责任。 </w:t>
      </w:r>
    </w:p>
    <w:p w14:paraId="56DA8E6C">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47" w:name="_Toc144974505"/>
      <w:bookmarkStart w:id="148" w:name="_Toc455080116"/>
      <w:bookmarkStart w:id="149" w:name="_Toc30747"/>
      <w:bookmarkStart w:id="150" w:name="_Toc3628"/>
      <w:bookmarkStart w:id="151" w:name="_Toc152042313"/>
      <w:bookmarkStart w:id="152" w:name="_Toc464035517"/>
      <w:bookmarkStart w:id="153" w:name="_Toc318450682"/>
      <w:bookmarkStart w:id="154" w:name="_Toc25517"/>
      <w:bookmarkStart w:id="155" w:name="_Toc21089"/>
      <w:bookmarkStart w:id="156" w:name="_Toc463701038"/>
      <w:bookmarkStart w:id="157" w:name="_Toc14775"/>
      <w:bookmarkStart w:id="158" w:name="_Toc30583"/>
      <w:bookmarkStart w:id="159" w:name="_Toc19210_WPSOffice_Level3"/>
      <w:bookmarkStart w:id="160" w:name="_Toc152045537"/>
      <w:r>
        <w:rPr>
          <w:rFonts w:hint="eastAsia" w:ascii="宋体" w:hAnsi="宋体"/>
          <w:color w:val="000000" w:themeColor="text1"/>
          <w:sz w:val="24"/>
          <w:highlight w:val="none"/>
          <w14:textFill>
            <w14:solidFill>
              <w14:schemeClr w14:val="tx1"/>
            </w14:solidFill>
          </w14:textFill>
        </w:rPr>
        <w:t>1.6语言</w:t>
      </w:r>
      <w:bookmarkEnd w:id="147"/>
      <w:r>
        <w:rPr>
          <w:rFonts w:hint="eastAsia" w:ascii="宋体" w:hAnsi="宋体"/>
          <w:color w:val="000000" w:themeColor="text1"/>
          <w:sz w:val="24"/>
          <w:highlight w:val="none"/>
          <w14:textFill>
            <w14:solidFill>
              <w14:schemeClr w14:val="tx1"/>
            </w14:solidFill>
          </w14:textFill>
        </w:rPr>
        <w:t>文字</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475BEB3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除专用术语外，与磋商有关的语言均使用中文。必要时专用术语应附有中文注释，</w:t>
      </w:r>
      <w:r>
        <w:rPr>
          <w:rFonts w:hint="eastAsia" w:ascii="宋体" w:hAnsi="宋体"/>
          <w:color w:val="000000" w:themeColor="text1"/>
          <w:sz w:val="24"/>
          <w:highlight w:val="none"/>
          <w:lang w:bidi="en-US"/>
          <w14:textFill>
            <w14:solidFill>
              <w14:schemeClr w14:val="tx1"/>
            </w14:solidFill>
          </w14:textFill>
        </w:rPr>
        <w:t>对不同文字文本响应文件的解释发生异议的，以中文文本为准。</w:t>
      </w:r>
    </w:p>
    <w:p w14:paraId="0ADE4B80">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61" w:name="_Toc32507"/>
      <w:bookmarkStart w:id="162" w:name="_Toc318450683"/>
      <w:bookmarkStart w:id="163" w:name="_Toc4237"/>
      <w:bookmarkStart w:id="164" w:name="_Toc152045538"/>
      <w:bookmarkStart w:id="165" w:name="_Toc24337"/>
      <w:bookmarkStart w:id="166" w:name="_Toc455080117"/>
      <w:bookmarkStart w:id="167" w:name="_Toc2702"/>
      <w:bookmarkStart w:id="168" w:name="_Toc9511_WPSOffice_Level3"/>
      <w:bookmarkStart w:id="169" w:name="_Toc9446"/>
      <w:bookmarkStart w:id="170" w:name="_Toc22378"/>
      <w:bookmarkStart w:id="171" w:name="_Toc464035518"/>
      <w:bookmarkStart w:id="172" w:name="_Toc463701039"/>
      <w:bookmarkStart w:id="173" w:name="_Toc152042314"/>
      <w:bookmarkStart w:id="174" w:name="_Toc144974506"/>
      <w:r>
        <w:rPr>
          <w:rFonts w:hint="eastAsia" w:ascii="宋体" w:hAnsi="宋体"/>
          <w:color w:val="000000" w:themeColor="text1"/>
          <w:sz w:val="24"/>
          <w:highlight w:val="none"/>
          <w14:textFill>
            <w14:solidFill>
              <w14:schemeClr w14:val="tx1"/>
            </w14:solidFill>
          </w14:textFill>
        </w:rPr>
        <w:t>1.7 计量单位</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39AFE0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所有计量均采用中华人民共和国法定计量单位。</w:t>
      </w:r>
    </w:p>
    <w:p w14:paraId="7ED49EB9">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75" w:name="_Toc12366_WPSOffice_Level2"/>
      <w:r>
        <w:rPr>
          <w:rFonts w:hint="eastAsia" w:ascii="宋体" w:hAnsi="宋体"/>
          <w:b/>
          <w:bCs/>
          <w:color w:val="000000" w:themeColor="text1"/>
          <w:sz w:val="24"/>
          <w:highlight w:val="none"/>
          <w14:textFill>
            <w14:solidFill>
              <w14:schemeClr w14:val="tx1"/>
            </w14:solidFill>
          </w14:textFill>
        </w:rPr>
        <w:t>2、合格的</w:t>
      </w:r>
      <w:bookmarkEnd w:id="175"/>
      <w:r>
        <w:rPr>
          <w:rFonts w:hint="eastAsia" w:ascii="宋体" w:hAnsi="宋体"/>
          <w:b/>
          <w:bCs/>
          <w:color w:val="000000" w:themeColor="text1"/>
          <w:sz w:val="24"/>
          <w:highlight w:val="none"/>
          <w14:textFill>
            <w14:solidFill>
              <w14:schemeClr w14:val="tx1"/>
            </w14:solidFill>
          </w14:textFill>
        </w:rPr>
        <w:t>供应商</w:t>
      </w:r>
    </w:p>
    <w:p w14:paraId="7F54DE5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见供应商须知前附表</w:t>
      </w:r>
    </w:p>
    <w:p w14:paraId="613F62A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76" w:name="_Toc8655_WPSOffice_Level2"/>
      <w:r>
        <w:rPr>
          <w:rFonts w:hint="eastAsia" w:ascii="宋体" w:hAnsi="宋体"/>
          <w:b/>
          <w:bCs/>
          <w:color w:val="000000" w:themeColor="text1"/>
          <w:sz w:val="24"/>
          <w:highlight w:val="none"/>
          <w14:textFill>
            <w14:solidFill>
              <w14:schemeClr w14:val="tx1"/>
            </w14:solidFill>
          </w14:textFill>
        </w:rPr>
        <w:t>3、费用</w:t>
      </w:r>
      <w:bookmarkEnd w:id="176"/>
    </w:p>
    <w:p w14:paraId="3F2B9E7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 供应商应自行承担参加磋商活动有关的全部费用，采购人在任何情况下均无义务和责任承担上述费用。</w:t>
      </w:r>
    </w:p>
    <w:p w14:paraId="1A4159EC">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77" w:name="_Toc4976_WPSOffice_Level2"/>
      <w:r>
        <w:rPr>
          <w:rFonts w:hint="eastAsia" w:ascii="宋体" w:hAnsi="宋体"/>
          <w:b/>
          <w:bCs/>
          <w:color w:val="000000" w:themeColor="text1"/>
          <w:sz w:val="24"/>
          <w:highlight w:val="none"/>
          <w14:textFill>
            <w14:solidFill>
              <w14:schemeClr w14:val="tx1"/>
            </w14:solidFill>
          </w14:textFill>
        </w:rPr>
        <w:t>4、竞争性磋商文件的构成</w:t>
      </w:r>
    </w:p>
    <w:bookmarkEnd w:id="177"/>
    <w:p w14:paraId="766FB81A">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178" w:name="_Toc20095_WPSOffice_Level3"/>
      <w:r>
        <w:rPr>
          <w:rFonts w:hint="eastAsia" w:ascii="宋体" w:hAnsi="宋体"/>
          <w:color w:val="000000" w:themeColor="text1"/>
          <w:sz w:val="24"/>
          <w:highlight w:val="none"/>
          <w14:textFill>
            <w14:solidFill>
              <w14:schemeClr w14:val="tx1"/>
            </w14:solidFill>
          </w14:textFill>
        </w:rPr>
        <w:t>第一章 竞争性磋商公告</w:t>
      </w:r>
    </w:p>
    <w:p w14:paraId="6393E9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第二章 供应商须知</w:t>
      </w:r>
    </w:p>
    <w:p w14:paraId="34C4F56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第三章 服务内容与相关要求</w:t>
      </w:r>
    </w:p>
    <w:p w14:paraId="305DE0C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第四章 评审办法</w:t>
      </w:r>
    </w:p>
    <w:p w14:paraId="12E6BCE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第五章 合同主要条款及格式</w:t>
      </w:r>
    </w:p>
    <w:p w14:paraId="4E032FC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第六章 磋商响应文件格式</w:t>
      </w:r>
    </w:p>
    <w:p w14:paraId="5E73E2FC">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5、竞争性磋商文件的澄清</w:t>
      </w:r>
      <w:bookmarkEnd w:id="178"/>
    </w:p>
    <w:p w14:paraId="7C0E779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5.1供应商对磋商文件需有澄清或疑问，应在下载竞争性磋商文件后3日内向采购人进行询问，采购人在收到供应商的疑问后于2日内将视情况确定采用适当方式予以澄清或以书面形式予以答复，并在其认为必要时，将书面答复所有潜在供应商。</w:t>
      </w:r>
    </w:p>
    <w:p w14:paraId="7795BBC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5.2采购人将视情况在认为必要时于采购截止时间前答疑。</w:t>
      </w:r>
    </w:p>
    <w:p w14:paraId="7A9D757B">
      <w:pPr>
        <w:spacing w:line="360" w:lineRule="auto"/>
        <w:ind w:firstLine="482" w:firstLineChars="200"/>
        <w:rPr>
          <w:rFonts w:ascii="宋体" w:hAnsi="宋体"/>
          <w:color w:val="000000" w:themeColor="text1"/>
          <w:sz w:val="24"/>
          <w:highlight w:val="none"/>
          <w14:textFill>
            <w14:solidFill>
              <w14:schemeClr w14:val="tx1"/>
            </w14:solidFill>
          </w14:textFill>
        </w:rPr>
      </w:pPr>
      <w:bookmarkStart w:id="179" w:name="_Toc20123_WPSOffice_Level3"/>
      <w:r>
        <w:rPr>
          <w:rFonts w:hint="eastAsia" w:ascii="宋体" w:hAnsi="宋体"/>
          <w:b/>
          <w:bCs/>
          <w:color w:val="000000" w:themeColor="text1"/>
          <w:sz w:val="24"/>
          <w:highlight w:val="none"/>
          <w14:textFill>
            <w14:solidFill>
              <w14:schemeClr w14:val="tx1"/>
            </w14:solidFill>
          </w14:textFill>
        </w:rPr>
        <w:t>6、竞争性磋商文件的修改</w:t>
      </w:r>
      <w:bookmarkEnd w:id="179"/>
    </w:p>
    <w:p w14:paraId="020E83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 竞争性磋商文件的修改书将构成磋商响应文件的一部分，对所有供应商均有约束力。</w:t>
      </w:r>
    </w:p>
    <w:p w14:paraId="11003D12">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0" w:name="_Toc12366_WPSOffice_Level3"/>
      <w:r>
        <w:rPr>
          <w:rFonts w:hint="eastAsia" w:ascii="宋体" w:hAnsi="宋体"/>
          <w:b/>
          <w:bCs/>
          <w:color w:val="000000" w:themeColor="text1"/>
          <w:sz w:val="24"/>
          <w:highlight w:val="none"/>
          <w14:textFill>
            <w14:solidFill>
              <w14:schemeClr w14:val="tx1"/>
            </w14:solidFill>
          </w14:textFill>
        </w:rPr>
        <w:t>7、要求</w:t>
      </w:r>
      <w:bookmarkEnd w:id="180"/>
    </w:p>
    <w:p w14:paraId="53F1B42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 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4511B17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1" w:name="_Toc8655_WPSOffice_Level3"/>
      <w:r>
        <w:rPr>
          <w:rFonts w:hint="eastAsia" w:ascii="宋体" w:hAnsi="宋体"/>
          <w:b/>
          <w:bCs/>
          <w:color w:val="000000" w:themeColor="text1"/>
          <w:sz w:val="24"/>
          <w:highlight w:val="none"/>
          <w14:textFill>
            <w14:solidFill>
              <w14:schemeClr w14:val="tx1"/>
            </w14:solidFill>
          </w14:textFill>
        </w:rPr>
        <w:t>8、电子化磋商响应文件的组成</w:t>
      </w:r>
      <w:bookmarkEnd w:id="181"/>
    </w:p>
    <w:p w14:paraId="32E49B6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详见第六章响应文件内容及格式</w:t>
      </w:r>
    </w:p>
    <w:p w14:paraId="3703C8EA">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2" w:name="_Toc4976_WPSOffice_Level3"/>
      <w:r>
        <w:rPr>
          <w:rFonts w:hint="eastAsia" w:ascii="宋体" w:hAnsi="宋体"/>
          <w:b/>
          <w:bCs/>
          <w:color w:val="000000" w:themeColor="text1"/>
          <w:sz w:val="24"/>
          <w:highlight w:val="none"/>
          <w14:textFill>
            <w14:solidFill>
              <w14:schemeClr w14:val="tx1"/>
            </w14:solidFill>
          </w14:textFill>
        </w:rPr>
        <w:t>9、电子化磋商响应文件的格式</w:t>
      </w:r>
      <w:bookmarkEnd w:id="182"/>
    </w:p>
    <w:p w14:paraId="13526EC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 供应商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528033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注：供应商投报多个标段的，需要每个标段单独制作电子响应文件。</w:t>
      </w:r>
    </w:p>
    <w:p w14:paraId="5F9DCEE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3" w:name="_Toc3669_WPSOffice_Level3"/>
      <w:r>
        <w:rPr>
          <w:rFonts w:hint="eastAsia" w:ascii="宋体" w:hAnsi="宋体"/>
          <w:b/>
          <w:bCs/>
          <w:color w:val="000000" w:themeColor="text1"/>
          <w:sz w:val="24"/>
          <w:highlight w:val="none"/>
          <w14:textFill>
            <w14:solidFill>
              <w14:schemeClr w14:val="tx1"/>
            </w14:solidFill>
          </w14:textFill>
        </w:rPr>
        <w:t>10、电子化磋商响应文件的签署</w:t>
      </w:r>
      <w:bookmarkEnd w:id="183"/>
    </w:p>
    <w:p w14:paraId="2477040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AC2AAE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4" w:name="_Toc1982_WPSOffice_Level3"/>
      <w:r>
        <w:rPr>
          <w:rFonts w:hint="eastAsia" w:ascii="宋体" w:hAnsi="宋体"/>
          <w:b/>
          <w:bCs/>
          <w:color w:val="000000" w:themeColor="text1"/>
          <w:sz w:val="24"/>
          <w:highlight w:val="none"/>
          <w14:textFill>
            <w14:solidFill>
              <w14:schemeClr w14:val="tx1"/>
            </w14:solidFill>
          </w14:textFill>
        </w:rPr>
        <w:t>11、电子化磋商响应文件的上传</w:t>
      </w:r>
      <w:bookmarkEnd w:id="184"/>
    </w:p>
    <w:p w14:paraId="5468504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 电子化磋商响应文件应在磋商截止时间前成功上传至三门峡市公共资源电子化交易系统。至磋商截止时间止，仍未上传成功的电子化磋商响应文件将不予接收。</w:t>
      </w:r>
    </w:p>
    <w:p w14:paraId="263D03B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7114D774">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5" w:name="_Toc4328_WPSOffice_Level3"/>
      <w:r>
        <w:rPr>
          <w:rFonts w:hint="eastAsia" w:ascii="宋体" w:hAnsi="宋体"/>
          <w:b/>
          <w:bCs/>
          <w:color w:val="000000" w:themeColor="text1"/>
          <w:sz w:val="24"/>
          <w:highlight w:val="none"/>
          <w14:textFill>
            <w14:solidFill>
              <w14:schemeClr w14:val="tx1"/>
            </w14:solidFill>
          </w14:textFill>
        </w:rPr>
        <w:t>12、磋商截止时间</w:t>
      </w:r>
      <w:bookmarkEnd w:id="185"/>
    </w:p>
    <w:p w14:paraId="7F0E330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 电子化磋商响应文件的截止时间见本须知前附表规定。</w:t>
      </w:r>
    </w:p>
    <w:p w14:paraId="433B2395">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6" w:name="_Toc14892_WPSOffice_Level3"/>
      <w:r>
        <w:rPr>
          <w:rFonts w:hint="eastAsia" w:ascii="宋体" w:hAnsi="宋体"/>
          <w:b/>
          <w:bCs/>
          <w:color w:val="000000" w:themeColor="text1"/>
          <w:sz w:val="24"/>
          <w:highlight w:val="none"/>
          <w14:textFill>
            <w14:solidFill>
              <w14:schemeClr w14:val="tx1"/>
            </w14:solidFill>
          </w14:textFill>
        </w:rPr>
        <w:t>13、电子化磋商响应文件的补充、修改与撤回</w:t>
      </w:r>
      <w:bookmarkEnd w:id="186"/>
    </w:p>
    <w:p w14:paraId="2783AFC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 在磋商截止时间之后，供应商不得补充、修改电子化磋商响应文件。</w:t>
      </w:r>
    </w:p>
    <w:p w14:paraId="5A98674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7" w:name="_Toc16713_WPSOffice_Level3"/>
      <w:r>
        <w:rPr>
          <w:rFonts w:hint="eastAsia" w:ascii="宋体" w:hAnsi="宋体"/>
          <w:b/>
          <w:bCs/>
          <w:color w:val="000000" w:themeColor="text1"/>
          <w:sz w:val="24"/>
          <w:highlight w:val="none"/>
          <w14:textFill>
            <w14:solidFill>
              <w14:schemeClr w14:val="tx1"/>
            </w14:solidFill>
          </w14:textFill>
        </w:rPr>
        <w:t>14、磋商报价</w:t>
      </w:r>
      <w:bookmarkEnd w:id="187"/>
    </w:p>
    <w:p w14:paraId="3B8E264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 本次磋商均须以人民币为计算单位。</w:t>
      </w:r>
    </w:p>
    <w:p w14:paraId="0EBF6E3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14.2 报价应包含采样（</w:t>
      </w:r>
      <w:r>
        <w:rPr>
          <w:rFonts w:hint="eastAsia" w:ascii="宋体" w:hAnsi="宋体"/>
          <w:b/>
          <w:bCs/>
          <w:color w:val="000000" w:themeColor="text1"/>
          <w:sz w:val="24"/>
          <w:highlight w:val="none"/>
          <w14:textFill>
            <w14:solidFill>
              <w14:schemeClr w14:val="tx1"/>
            </w14:solidFill>
          </w14:textFill>
        </w:rPr>
        <w:t>产品除外</w:t>
      </w:r>
      <w:r>
        <w:rPr>
          <w:rFonts w:hint="eastAsia" w:ascii="宋体" w:hAnsi="宋体"/>
          <w:color w:val="000000" w:themeColor="text1"/>
          <w:sz w:val="24"/>
          <w:highlight w:val="none"/>
          <w14:textFill>
            <w14:solidFill>
              <w14:schemeClr w14:val="tx1"/>
            </w14:solidFill>
          </w14:textFill>
        </w:rPr>
        <w:t>）、备品、税金（含关税、增值税）、检测验收费等各项费用。</w:t>
      </w:r>
    </w:p>
    <w:p w14:paraId="61FAD59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14.3 供应商应充分考虑市场风险和国家政策性风险系数，根据企业具体情况在合理的范围内自主报价，但不得低于企业实际成本。</w:t>
      </w:r>
    </w:p>
    <w:p w14:paraId="7BB9C65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14.4 供应商的磋商报价应包含验收合格正式交付使用前所发生的一切费用，且供应商只能提出一个报价，采购人不接受任何有选择的报价，最后报价不得超过项目采购预算。</w:t>
      </w:r>
    </w:p>
    <w:p w14:paraId="14F7B97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14.5 供应商的报价明显低于其他报价，使得其报价可能低于其个别成本的，有可能影响产品质量和不能诚信履约的，应当要求该报价人作出书面说明并提供相关证明材料。报价人不能合理说明或者不能提供相关证明材料的，由磋商小组认定该报价人以低于成本报价，其报价应作无效报价处理。</w:t>
      </w:r>
    </w:p>
    <w:p w14:paraId="1A5060F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14.6本次采购为竞争性磋商采购，允许二次报价。</w:t>
      </w:r>
    </w:p>
    <w:p w14:paraId="580317D4">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8" w:name="_Toc28583_WPSOffice_Level3"/>
      <w:r>
        <w:rPr>
          <w:rFonts w:hint="eastAsia" w:ascii="宋体" w:hAnsi="宋体"/>
          <w:b/>
          <w:bCs/>
          <w:color w:val="000000" w:themeColor="text1"/>
          <w:sz w:val="24"/>
          <w:highlight w:val="none"/>
          <w14:textFill>
            <w14:solidFill>
              <w14:schemeClr w14:val="tx1"/>
            </w14:solidFill>
          </w14:textFill>
        </w:rPr>
        <w:t>15、供应商资格的证明文件</w:t>
      </w:r>
      <w:bookmarkEnd w:id="188"/>
    </w:p>
    <w:p w14:paraId="6BF587C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15.1证明供应商是有资格参加磋商的。</w:t>
      </w:r>
    </w:p>
    <w:p w14:paraId="783675C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15.2证明供应商有能力履行竞争性磋商文件中合同条款和技术要求规定的由供应商提供的采购等义务。</w:t>
      </w:r>
    </w:p>
    <w:p w14:paraId="16DA64B2">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89" w:name="_Toc29721_WPSOffice_Level3"/>
      <w:r>
        <w:rPr>
          <w:rFonts w:hint="eastAsia" w:ascii="宋体" w:hAnsi="宋体"/>
          <w:b/>
          <w:bCs/>
          <w:color w:val="000000" w:themeColor="text1"/>
          <w:sz w:val="24"/>
          <w:highlight w:val="none"/>
          <w14:textFill>
            <w14:solidFill>
              <w14:schemeClr w14:val="tx1"/>
            </w14:solidFill>
          </w14:textFill>
        </w:rPr>
        <w:t>16、磋商保证金</w:t>
      </w:r>
      <w:bookmarkEnd w:id="189"/>
    </w:p>
    <w:p w14:paraId="70BBFFF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16.1按照《河南省财政厅关于优化政府采购营商环境有关问题的通知》（豫财购[2019]4号文）的要求本项目不再收取磋商保证金。</w:t>
      </w:r>
    </w:p>
    <w:p w14:paraId="6D320AB0">
      <w:pPr>
        <w:spacing w:line="360" w:lineRule="auto"/>
        <w:ind w:firstLine="482" w:firstLineChars="200"/>
        <w:rPr>
          <w:rFonts w:ascii="宋体" w:hAnsi="宋体"/>
          <w:color w:val="000000" w:themeColor="text1"/>
          <w:sz w:val="24"/>
          <w:highlight w:val="none"/>
          <w14:textFill>
            <w14:solidFill>
              <w14:schemeClr w14:val="tx1"/>
            </w14:solidFill>
          </w14:textFill>
        </w:rPr>
      </w:pPr>
      <w:bookmarkStart w:id="190" w:name="_Toc26640_WPSOffice_Level3"/>
      <w:r>
        <w:rPr>
          <w:rFonts w:hint="eastAsia" w:ascii="宋体" w:hAnsi="宋体"/>
          <w:b/>
          <w:bCs/>
          <w:color w:val="000000" w:themeColor="text1"/>
          <w:sz w:val="24"/>
          <w:highlight w:val="none"/>
          <w14:textFill>
            <w14:solidFill>
              <w14:schemeClr w14:val="tx1"/>
            </w14:solidFill>
          </w14:textFill>
        </w:rPr>
        <w:t>17、磋商响应文件有效期</w:t>
      </w:r>
      <w:bookmarkEnd w:id="190"/>
    </w:p>
    <w:p w14:paraId="7B0B1D2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17.1响应性文件从首次递交竞争性磋商响应文件截止时间之日起开始生效，磋商有效期为 60 日历天，有效期短于此规定的响应文件将被视为无效文件。</w:t>
      </w:r>
    </w:p>
    <w:p w14:paraId="2379D7F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17.2特殊情况下，采购人可于磋商响应文件有效期满之前要求供应商同意延长有效期，要求与答复均为书面形式。供应商可以拒绝上述要求，对于同意该要求的供应商，不允许其修改磋商响应文件。</w:t>
      </w:r>
    </w:p>
    <w:p w14:paraId="6416A0FA">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1" w:name="_Toc14449_WPSOffice_Level3"/>
      <w:r>
        <w:rPr>
          <w:rFonts w:hint="eastAsia" w:ascii="宋体" w:hAnsi="宋体"/>
          <w:b/>
          <w:bCs/>
          <w:color w:val="000000" w:themeColor="text1"/>
          <w:sz w:val="24"/>
          <w:highlight w:val="none"/>
          <w14:textFill>
            <w14:solidFill>
              <w14:schemeClr w14:val="tx1"/>
            </w14:solidFill>
          </w14:textFill>
        </w:rPr>
        <w:t>18、磋商</w:t>
      </w:r>
      <w:bookmarkEnd w:id="191"/>
    </w:p>
    <w:p w14:paraId="307F642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18.1采购人按本须知前附表规定的时间和地点磋商。</w:t>
      </w:r>
    </w:p>
    <w:p w14:paraId="0779880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18.2磋商会议由采购代理机构主持；</w:t>
      </w:r>
    </w:p>
    <w:p w14:paraId="48F6C10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18.3宣布磋商会议纪律；</w:t>
      </w:r>
    </w:p>
    <w:p w14:paraId="3D93A25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18.4磋商时，电子招标投标交易平台自动提取所有电子化磋商响应文件，按时在线解密；</w:t>
      </w:r>
    </w:p>
    <w:p w14:paraId="632295D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18.5电子化磋商响应文件的有效性</w:t>
      </w:r>
    </w:p>
    <w:p w14:paraId="55C0806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化磋商响应文件有下列情形的为无效电子化磋商响应文件，采购人不予受理：因供应商原因造成磋商响应文件未解密的，视为撤销其磋商响应文件；因供应商之外的原因造成电子化磋商响应文件未解密的，视为撤回其磋商响应文件，供应商有权要求责任方赔偿因此遭受的直接损失。部分电子化磋商响应文件未解密的，其他电子化磋商可以继续进行。</w:t>
      </w:r>
    </w:p>
    <w:p w14:paraId="5CF8339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2" w:name="_Toc29167_WPSOffice_Level3"/>
      <w:r>
        <w:rPr>
          <w:rFonts w:hint="eastAsia" w:ascii="宋体" w:hAnsi="宋体"/>
          <w:b/>
          <w:bCs/>
          <w:color w:val="000000" w:themeColor="text1"/>
          <w:sz w:val="24"/>
          <w:highlight w:val="none"/>
          <w14:textFill>
            <w14:solidFill>
              <w14:schemeClr w14:val="tx1"/>
            </w14:solidFill>
          </w14:textFill>
        </w:rPr>
        <w:t>19、磋商小组</w:t>
      </w:r>
      <w:bookmarkEnd w:id="192"/>
    </w:p>
    <w:p w14:paraId="67E314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19.1磋商小组由3人构成：采购人代表1人，经济、技术方面专家2人，在磋商会议开始前从相关评标专家库中随机抽取。</w:t>
      </w:r>
    </w:p>
    <w:p w14:paraId="21D9E80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19.2磋商小组对所有供应商的磋商响应文件进行评审，按评审后得分由高到低顺序排列，递交给采购人。</w:t>
      </w:r>
    </w:p>
    <w:p w14:paraId="339CA60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B5AFFE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19.4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4FAA6699">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3" w:name="_Toc30532_WPSOffice_Level3"/>
      <w:r>
        <w:rPr>
          <w:rFonts w:hint="eastAsia" w:ascii="宋体" w:hAnsi="宋体"/>
          <w:b/>
          <w:bCs/>
          <w:color w:val="000000" w:themeColor="text1"/>
          <w:sz w:val="24"/>
          <w:highlight w:val="none"/>
          <w14:textFill>
            <w14:solidFill>
              <w14:schemeClr w14:val="tx1"/>
            </w14:solidFill>
          </w14:textFill>
        </w:rPr>
        <w:t>20、磋商程序</w:t>
      </w:r>
      <w:bookmarkEnd w:id="193"/>
    </w:p>
    <w:p w14:paraId="43319DD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20.1磋商小组所有成员集中评审磋商响应文件及集中与供应商分别进行磋商。</w:t>
      </w:r>
    </w:p>
    <w:p w14:paraId="585B97DE">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磋商小组首先对所有磋商响应文件进行资格性和初步审查。资格性审查是指：磋商小组按照竞争性磋商文件第四章评审办法的要求，对供应商进行资格审查，有一项不符合的，视为未通过资格审查，不得进入下一评审过程。</w:t>
      </w:r>
    </w:p>
    <w:p w14:paraId="35282BF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20.3 初步审查是指：磋商小组按照竞争性磋商文件本须知及第四章评审办法中资格、形式及响应性评审的要求，对供应商进行审查，有一项不符合的，视为未通过初步审查。未通过资格性和初步审查的磋商响应文件按无效响应处理，磋商小组应当告知提交磋商响应文件的供应商。</w:t>
      </w:r>
    </w:p>
    <w:p w14:paraId="101A89F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20.2.1允许修正磋商响应文件中不构成重大偏离的、微小的、非正规的、不一致或不规则的地方。</w:t>
      </w:r>
    </w:p>
    <w:p w14:paraId="07AB83E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20.2.2磋商小组判断磋商响应文件的响应性仅基于磋商响应文件本身内容而不靠外部证据。</w:t>
      </w:r>
    </w:p>
    <w:p w14:paraId="12D06AB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20.2.3实质性未响应磋商文件要求的响应将被拒绝，供应商不得通过修正或撤消不符之处而使其响应成为实质性响应。</w:t>
      </w:r>
    </w:p>
    <w:p w14:paraId="2B86562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20.2.4实质性未响应是指磋商响应文件中提出了超出磋商文件中采购标的、预算金额、供货期限、质量、采购内容及技术参数要求等内容。</w:t>
      </w:r>
    </w:p>
    <w:p w14:paraId="73530EB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20.3 有下列情形之一的，其磋商响应文件将会被拒绝：</w:t>
      </w:r>
    </w:p>
    <w:p w14:paraId="1157BEE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（1）供应商未提交磋商承诺函；</w:t>
      </w:r>
    </w:p>
    <w:p w14:paraId="569860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（2）磋商报价超过竞争性磋商文件规定的预算金额的；</w:t>
      </w:r>
    </w:p>
    <w:p w14:paraId="4C248F6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（3）以他人的名义磋商、串通磋商、以行贿手段谋取成交或者以其他弄虚作假方式磋商的；</w:t>
      </w:r>
    </w:p>
    <w:p w14:paraId="01AF25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（4）采取不正当手段谋取成交的。</w:t>
      </w:r>
    </w:p>
    <w:p w14:paraId="3CDC89E8">
      <w:pPr>
        <w:spacing w:line="360" w:lineRule="auto"/>
        <w:ind w:firstLine="482" w:firstLineChars="200"/>
        <w:rPr>
          <w:rFonts w:ascii="宋体" w:hAnsi="宋体"/>
          <w:color w:val="000000" w:themeColor="text1"/>
          <w:sz w:val="24"/>
          <w:highlight w:val="none"/>
          <w14:textFill>
            <w14:solidFill>
              <w14:schemeClr w14:val="tx1"/>
            </w14:solidFill>
          </w14:textFill>
        </w:rPr>
      </w:pPr>
      <w:bookmarkStart w:id="194" w:name="_Toc31948_WPSOffice_Level3"/>
      <w:r>
        <w:rPr>
          <w:rFonts w:hint="eastAsia" w:ascii="宋体" w:hAnsi="宋体"/>
          <w:b/>
          <w:bCs/>
          <w:color w:val="000000" w:themeColor="text1"/>
          <w:sz w:val="24"/>
          <w:highlight w:val="none"/>
          <w14:textFill>
            <w14:solidFill>
              <w14:schemeClr w14:val="tx1"/>
            </w14:solidFill>
          </w14:textFill>
        </w:rPr>
        <w:t>21、对供应商的评价</w:t>
      </w:r>
      <w:bookmarkEnd w:id="194"/>
    </w:p>
    <w:p w14:paraId="61023AB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21.1磋商小组只对已判定为实质性响应且通过资格审查的磋商响应文件进行详细评价和比较。</w:t>
      </w:r>
    </w:p>
    <w:p w14:paraId="3604D68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21.2磋商小组所有成员应当集中与单一供应商分别进行磋商，并给予所有参加磋商的供应商平等的磋商机会。磋商完成后，要求其在规定时间内提交最后报价，提交最后报价的供应商不少于3家。</w:t>
      </w:r>
    </w:p>
    <w:p w14:paraId="4467CDF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21.3经磋商确定最终采购需求和提交最后报价的供应商后，磋商小组采用综合评分法对提交最后报价的供应商的磋商响应文件和最后报价进行综合评分。</w:t>
      </w:r>
    </w:p>
    <w:p w14:paraId="171E0F8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21.4磋商小组根据综合评分情况，按评审得分由高到低的顺序确定</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名成交候选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2B2815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21.5如果第一名供应商放弃成交资格或因不可抗力提出不能履行合同的，采购人将依序确定排名第二名的供应商为成交供应商，也可以重新开展政府采购活动。</w:t>
      </w:r>
    </w:p>
    <w:p w14:paraId="61783906">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5" w:name="_Toc27346_WPSOffice_Level3"/>
      <w:r>
        <w:rPr>
          <w:rFonts w:hint="eastAsia" w:ascii="宋体" w:hAnsi="宋体"/>
          <w:b/>
          <w:bCs/>
          <w:color w:val="000000" w:themeColor="text1"/>
          <w:sz w:val="24"/>
          <w:highlight w:val="none"/>
          <w14:textFill>
            <w14:solidFill>
              <w14:schemeClr w14:val="tx1"/>
            </w14:solidFill>
          </w14:textFill>
        </w:rPr>
        <w:t>22、磋商响应文件的澄清</w:t>
      </w:r>
      <w:bookmarkEnd w:id="195"/>
    </w:p>
    <w:p w14:paraId="4D47BC3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22.1为了有助于对磋商响应文件进行审查、评估和比较，磋商小组有权向供应商质疑。请供应商澄清其磋商内容。供应商有责任按照磋商小组通知的时间、地点、方式指派委托代理人进行答疑和澄清。</w:t>
      </w:r>
    </w:p>
    <w:p w14:paraId="03F5B6D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22.2重要澄清的答复应是书面的，并由法定代表人或其委托代理人签字。</w:t>
      </w:r>
    </w:p>
    <w:p w14:paraId="2EE7B89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22.3供应商的澄清文件是磋商响应文件的组成部分，并取代磋商响应文件中被澄清的部分。</w:t>
      </w:r>
    </w:p>
    <w:p w14:paraId="4F31B52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22.4磋商响应文件澄清部分不得对磋商内容进行实质性修改。</w:t>
      </w:r>
    </w:p>
    <w:p w14:paraId="12D8A4D3">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6" w:name="_Toc10070_WPSOffice_Level3"/>
      <w:r>
        <w:rPr>
          <w:rFonts w:hint="eastAsia" w:ascii="宋体" w:hAnsi="宋体"/>
          <w:b/>
          <w:bCs/>
          <w:color w:val="000000" w:themeColor="text1"/>
          <w:sz w:val="24"/>
          <w:highlight w:val="none"/>
          <w14:textFill>
            <w14:solidFill>
              <w14:schemeClr w14:val="tx1"/>
            </w14:solidFill>
          </w14:textFill>
        </w:rPr>
        <w:t>23、磋商原则和方法</w:t>
      </w:r>
      <w:bookmarkEnd w:id="196"/>
    </w:p>
    <w:p w14:paraId="678449A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23.1坚持公开、公平、公正的原则。</w:t>
      </w:r>
    </w:p>
    <w:p w14:paraId="01AAF6B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23.2磋商小组应当集中与单一供应商分别进行磋商，磋商小组将遵照磋商原则，公正、平等地对待所有供应商。</w:t>
      </w:r>
    </w:p>
    <w:p w14:paraId="2428207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23.3评审方法</w:t>
      </w:r>
    </w:p>
    <w:p w14:paraId="37DCAA3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23.3.1初步评审（是否响应竞争性磋商文件的要求），确定合格的供应商。</w:t>
      </w:r>
    </w:p>
    <w:p w14:paraId="26B2DBE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23.3.2公布各供应商报价；</w:t>
      </w:r>
    </w:p>
    <w:p w14:paraId="01190F0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23.3.3供应商依据各自情况进行最后报价。</w:t>
      </w:r>
    </w:p>
    <w:p w14:paraId="16C596E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经磋商确定最终采购需求和提交最后报价的供应商，有磋商小组采用综合评分法对提交最后报价的供应商的响应文件和最后报价进行综合评分。</w:t>
      </w:r>
    </w:p>
    <w:p w14:paraId="3C8E73F2">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7" w:name="_Toc5813_WPSOffice_Level3"/>
      <w:r>
        <w:rPr>
          <w:rFonts w:hint="eastAsia" w:ascii="宋体" w:hAnsi="宋体"/>
          <w:b/>
          <w:bCs/>
          <w:color w:val="000000" w:themeColor="text1"/>
          <w:sz w:val="24"/>
          <w:highlight w:val="none"/>
          <w14:textFill>
            <w14:solidFill>
              <w14:schemeClr w14:val="tx1"/>
            </w14:solidFill>
          </w14:textFill>
        </w:rPr>
        <w:t>24、确定成交</w:t>
      </w:r>
      <w:bookmarkEnd w:id="197"/>
      <w:r>
        <w:rPr>
          <w:rFonts w:hint="eastAsia" w:ascii="宋体" w:hAnsi="宋体"/>
          <w:b/>
          <w:bCs/>
          <w:color w:val="000000" w:themeColor="text1"/>
          <w:sz w:val="24"/>
          <w:highlight w:val="none"/>
          <w14:textFill>
            <w14:solidFill>
              <w14:schemeClr w14:val="tx1"/>
            </w14:solidFill>
          </w14:textFill>
        </w:rPr>
        <w:t>供应商</w:t>
      </w:r>
    </w:p>
    <w:p w14:paraId="48C6695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24.1 磋商小组应当根据综合评分情况，按照评审由高到低的顺序推荐</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3名成交候选人，并向采购人提供书面评审报告，由采购人确定排名第一的为成交供应商，采购人及采购代理机构在政府采购项目评审结束之日当天完成评标报告的报送、中标（成交）供应商的确定、中标（成交）公告发布及中标（成交）通知书的发出等。</w:t>
      </w:r>
    </w:p>
    <w:p w14:paraId="4E9B3490">
      <w:pPr>
        <w:spacing w:line="360" w:lineRule="auto"/>
        <w:ind w:firstLine="482" w:firstLineChars="200"/>
        <w:rPr>
          <w:rFonts w:ascii="宋体" w:hAnsi="宋体"/>
          <w:color w:val="000000" w:themeColor="text1"/>
          <w:sz w:val="24"/>
          <w:highlight w:val="none"/>
          <w14:textFill>
            <w14:solidFill>
              <w14:schemeClr w14:val="tx1"/>
            </w14:solidFill>
          </w14:textFill>
        </w:rPr>
      </w:pPr>
      <w:bookmarkStart w:id="198" w:name="_Toc28609_WPSOffice_Level3"/>
      <w:r>
        <w:rPr>
          <w:rFonts w:hint="eastAsia" w:ascii="宋体" w:hAnsi="宋体"/>
          <w:b/>
          <w:bCs/>
          <w:color w:val="000000" w:themeColor="text1"/>
          <w:sz w:val="24"/>
          <w:highlight w:val="none"/>
          <w14:textFill>
            <w14:solidFill>
              <w14:schemeClr w14:val="tx1"/>
            </w14:solidFill>
          </w14:textFill>
        </w:rPr>
        <w:t>25、保密及其它注意事项</w:t>
      </w:r>
      <w:bookmarkEnd w:id="198"/>
    </w:p>
    <w:p w14:paraId="4046488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25.1评审工作是磋商工作的重要环节，评审工作在磋商小组内独立进行。</w:t>
      </w:r>
    </w:p>
    <w:p w14:paraId="0784A0C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25.2评审期间，供应商不得向磋商小组成员询问评审情况，不得进行影响评审结果的活动。否则其响应将会被拒绝。</w:t>
      </w:r>
    </w:p>
    <w:p w14:paraId="353BC3E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25.3评审的公正性，磋商开始后直至授予成交供应商合同，磋商小组成员不得与供应商私下交换意见。</w:t>
      </w:r>
    </w:p>
    <w:p w14:paraId="36DFD2A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25.4评审工作结束后，凡与评审情况有接触的任何人不得擅自将评审情况扩散出评审人员之外。</w:t>
      </w:r>
    </w:p>
    <w:p w14:paraId="75BD2572">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199" w:name="_Toc27984_WPSOffice_Level3"/>
      <w:r>
        <w:rPr>
          <w:rFonts w:hint="eastAsia" w:ascii="宋体" w:hAnsi="宋体"/>
          <w:b/>
          <w:bCs/>
          <w:color w:val="000000" w:themeColor="text1"/>
          <w:sz w:val="24"/>
          <w:highlight w:val="none"/>
          <w14:textFill>
            <w14:solidFill>
              <w14:schemeClr w14:val="tx1"/>
            </w14:solidFill>
          </w14:textFill>
        </w:rPr>
        <w:t>26、成交通知</w:t>
      </w:r>
      <w:bookmarkEnd w:id="199"/>
    </w:p>
    <w:p w14:paraId="75EE461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26.1成交供应商确定后，采购人向成交供应商签发《成交通知书》，并将成交结果通知所有未成交的供应商。</w:t>
      </w:r>
    </w:p>
    <w:p w14:paraId="6506D4D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26.2《成交通知书》作为签订合同的依据，对采购人和成交供应商均具有法律效力，成交通知书发出后，采购人改变成交结果或者成交供应商放弃项目，应依法承担法律责任。</w:t>
      </w:r>
    </w:p>
    <w:p w14:paraId="5EA4BD8B">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200" w:name="_Toc8188_WPSOffice_Level3"/>
      <w:r>
        <w:rPr>
          <w:rFonts w:hint="eastAsia" w:ascii="宋体" w:hAnsi="宋体"/>
          <w:b/>
          <w:bCs/>
          <w:color w:val="000000" w:themeColor="text1"/>
          <w:sz w:val="24"/>
          <w:highlight w:val="none"/>
          <w14:textFill>
            <w14:solidFill>
              <w14:schemeClr w14:val="tx1"/>
            </w14:solidFill>
          </w14:textFill>
        </w:rPr>
        <w:t>27、授予合同时变更数量的权力</w:t>
      </w:r>
      <w:bookmarkEnd w:id="200"/>
    </w:p>
    <w:p w14:paraId="08138AB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27.1 采购人在授予合同时，保留对服务内容予以适当增减的权利。成交供应商不得在此情况下对磋商响应文件做出修改，如价格、服务承诺等。</w:t>
      </w:r>
    </w:p>
    <w:p w14:paraId="4F117F19">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201" w:name="_Toc30112_WPSOffice_Level3"/>
      <w:r>
        <w:rPr>
          <w:rFonts w:hint="eastAsia" w:ascii="宋体" w:hAnsi="宋体"/>
          <w:b/>
          <w:bCs/>
          <w:color w:val="000000" w:themeColor="text1"/>
          <w:sz w:val="24"/>
          <w:highlight w:val="none"/>
          <w14:textFill>
            <w14:solidFill>
              <w14:schemeClr w14:val="tx1"/>
            </w14:solidFill>
          </w14:textFill>
        </w:rPr>
        <w:t>28、签订合同</w:t>
      </w:r>
      <w:bookmarkEnd w:id="201"/>
    </w:p>
    <w:p w14:paraId="4C99573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28.1成交供应商接到《成交通知书》后1个工作日内按指定地点与采购人签订采购合同；</w:t>
      </w:r>
    </w:p>
    <w:p w14:paraId="162A546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采购人应当在合同签订后1个工作日内在河南政府采购网公示采购合同，并完成合同备案。</w:t>
      </w:r>
    </w:p>
    <w:p w14:paraId="56F5059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28.2采购人签发的成交通知书、竞争性磋商文件、成交供应商的磋商响应文件及其澄清文件等，均为签订合同的依据。</w:t>
      </w:r>
    </w:p>
    <w:p w14:paraId="23F61A7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28.3成交供应商如不按本供应商须知的规定与采购人订立合同，则采购人将废除授标，并做出相应的处罚，同时依法承担相应法律责任。</w:t>
      </w:r>
    </w:p>
    <w:p w14:paraId="2E3935F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28.4成交供应商需向采购代理机构支付代理服务费。</w:t>
      </w:r>
    </w:p>
    <w:p w14:paraId="75E4838E">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202" w:name="_Toc7342_WPSOffice_Level3"/>
      <w:r>
        <w:rPr>
          <w:rFonts w:hint="eastAsia" w:ascii="宋体" w:hAnsi="宋体"/>
          <w:b/>
          <w:bCs/>
          <w:color w:val="000000" w:themeColor="text1"/>
          <w:sz w:val="24"/>
          <w:highlight w:val="none"/>
          <w14:textFill>
            <w14:solidFill>
              <w14:schemeClr w14:val="tx1"/>
            </w14:solidFill>
          </w14:textFill>
        </w:rPr>
        <w:t>29、特别注意事项</w:t>
      </w:r>
      <w:bookmarkEnd w:id="202"/>
    </w:p>
    <w:p w14:paraId="2CE12CA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29.1现下列情形之一的，磋商小组可取消其磋商资格：</w:t>
      </w:r>
    </w:p>
    <w:p w14:paraId="3918AC5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（1）未按磋商文件要求和规定提交实质性响应材料的；</w:t>
      </w:r>
    </w:p>
    <w:p w14:paraId="4C79D70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（2）相互串通磋商的（有下列情形之一的，视为供应商相互串通磋商）；</w:t>
      </w:r>
    </w:p>
    <w:p w14:paraId="7D814DE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A、不同供应商的响应文件由同一单位或者个人编制</w:t>
      </w:r>
    </w:p>
    <w:p w14:paraId="4B4FC46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B、不同供应商委托同一单位或者个人办理磋商事宜</w:t>
      </w:r>
    </w:p>
    <w:p w14:paraId="678E88D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C、不同供应商的响应文件载明的项目管理成员为同一人</w:t>
      </w:r>
    </w:p>
    <w:p w14:paraId="09D4CA1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D、不同供应商的响应文件异常一致或者磋商报价呈规律性差异</w:t>
      </w:r>
    </w:p>
    <w:p w14:paraId="41BC611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E、不同供应商的磋商保证金从同一单位的账户转出</w:t>
      </w:r>
    </w:p>
    <w:p w14:paraId="2CF02C6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29.2供应商出现下列情形之一的，将被视为非实质性响应磋商文件要求：</w:t>
      </w:r>
    </w:p>
    <w:p w14:paraId="1BE1142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（1）交货期不确切或不符合磋商文件要求的；</w:t>
      </w:r>
    </w:p>
    <w:p w14:paraId="5CFB0BD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（2）最后报价有选择性的；</w:t>
      </w:r>
    </w:p>
    <w:p w14:paraId="14CAE69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（3）最后报价超过采购预算金额的；</w:t>
      </w:r>
    </w:p>
    <w:p w14:paraId="43CEA40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（4）被磋商小组认定存在重大负偏离的；</w:t>
      </w:r>
    </w:p>
    <w:p w14:paraId="4FEB29C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注：所谓重大负偏离是指供应商对磋商文件的响应在范围、质量、数量和交货期要求等方面明显不能满足采购需求的。重大负偏离的认定须经磋商小组三分之二以上同意。</w:t>
      </w:r>
    </w:p>
    <w:p w14:paraId="7752BAE9">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203" w:name="_Toc7366_WPSOffice_Level3"/>
      <w:r>
        <w:rPr>
          <w:rFonts w:hint="eastAsia" w:ascii="宋体" w:hAnsi="宋体"/>
          <w:b/>
          <w:bCs/>
          <w:color w:val="000000" w:themeColor="text1"/>
          <w:sz w:val="24"/>
          <w:highlight w:val="none"/>
          <w14:textFill>
            <w14:solidFill>
              <w14:schemeClr w14:val="tx1"/>
            </w14:solidFill>
          </w14:textFill>
        </w:rPr>
        <w:t>30、询问</w:t>
      </w:r>
      <w:bookmarkEnd w:id="203"/>
    </w:p>
    <w:p w14:paraId="5907999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供应商对采购事项有疑问，可以按照《政府采购法》的相关规定向采购人或采购机构提出询问。</w:t>
      </w:r>
    </w:p>
    <w:p w14:paraId="06542955">
      <w:pPr>
        <w:spacing w:line="360" w:lineRule="auto"/>
        <w:ind w:firstLine="482" w:firstLineChars="200"/>
        <w:rPr>
          <w:rFonts w:ascii="宋体" w:hAnsi="宋体"/>
          <w:b/>
          <w:bCs/>
          <w:color w:val="000000" w:themeColor="text1"/>
          <w:sz w:val="24"/>
          <w:highlight w:val="none"/>
          <w14:textFill>
            <w14:solidFill>
              <w14:schemeClr w14:val="tx1"/>
            </w14:solidFill>
          </w14:textFill>
        </w:rPr>
      </w:pPr>
      <w:bookmarkStart w:id="204" w:name="_Toc13604_WPSOffice_Level3"/>
      <w:r>
        <w:rPr>
          <w:rFonts w:hint="eastAsia" w:ascii="宋体" w:hAnsi="宋体"/>
          <w:b/>
          <w:bCs/>
          <w:color w:val="000000" w:themeColor="text1"/>
          <w:sz w:val="24"/>
          <w:highlight w:val="none"/>
          <w14:textFill>
            <w14:solidFill>
              <w14:schemeClr w14:val="tx1"/>
            </w14:solidFill>
          </w14:textFill>
        </w:rPr>
        <w:t>31、质疑程序及处理</w:t>
      </w:r>
      <w:bookmarkEnd w:id="204"/>
    </w:p>
    <w:p w14:paraId="1EADE4E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31.1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0A7EFE7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（一）对可以质疑的磋商文件提出质疑的，为收到磋商文件之日或者磋商文件公告期限届满之日；</w:t>
      </w:r>
    </w:p>
    <w:p w14:paraId="64C1A82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（二）对采购过程提出质疑的，为各采购程序环节结束之日；</w:t>
      </w:r>
    </w:p>
    <w:p w14:paraId="4AB1328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（三）对成交结果提出质疑的，为成交结果公告期限届满之日。</w:t>
      </w:r>
    </w:p>
    <w:p w14:paraId="662B8A0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31.2质疑书应当包括下列主要内容，并按照“谁主张、谁举证”的原则，附上相关证明材料。否则，采购人不予受理：</w:t>
      </w:r>
    </w:p>
    <w:p w14:paraId="08CAEFE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（一）质疑供应商全称、地址、法定代表人、联系人及联系电话、邮政编码等；</w:t>
      </w:r>
    </w:p>
    <w:p w14:paraId="71CA0C74">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（二）被质疑采购项目的名称、编号；</w:t>
      </w:r>
    </w:p>
    <w:p w14:paraId="207D4DF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（三）质疑的具体事项、明确的请求和主张；</w:t>
      </w:r>
    </w:p>
    <w:p w14:paraId="64E50E1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496EDAB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质疑事项按照有关法律、法规和规章规定及竞争性磋商文件要求属于保密或者处于保密阶段的事项，供应商必须提供正常的信息来源或有效证据，供应商不能提供或者拒绝提供合法的信息来源或有效证据的；</w:t>
      </w:r>
    </w:p>
    <w:p w14:paraId="73B27E4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（六）充足有效的相关证明材料；如果涉及到产品功能或技术指标的，应出具相关制造商的证明文件；</w:t>
      </w:r>
    </w:p>
    <w:p w14:paraId="6EFFB56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（七）质疑材料中有外文资料的，应一并附上中文译本，并以中文译本为准。</w:t>
      </w:r>
    </w:p>
    <w:p w14:paraId="6A5D493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（八）提起质疑的日期</w:t>
      </w:r>
    </w:p>
    <w:p w14:paraId="1D3F28C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38E653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31.3供应商委托代理人办理质疑事宜，应当提交授权委托书，并载明委托代理的具体权限和事项。授权委托书应当由委托人签字并加盖单位公章。</w:t>
      </w:r>
    </w:p>
    <w:p w14:paraId="3C366D5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982F01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18498A82">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31.6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7E38F24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31.7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55FB356">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31.8质疑供应商对采购人的答复不满意以及采购人未在规定的时间内做出答复的， 可以在答复期满后15个工作日内向财政部门。</w:t>
      </w:r>
    </w:p>
    <w:p w14:paraId="324A0EF7">
      <w:pPr>
        <w:pStyle w:val="16"/>
        <w:ind w:firstLine="200"/>
        <w:rPr>
          <w:rFonts w:hint="eastAsia"/>
          <w:color w:val="000000" w:themeColor="text1"/>
          <w:highlight w:val="none"/>
          <w14:textFill>
            <w14:solidFill>
              <w14:schemeClr w14:val="tx1"/>
            </w14:solidFill>
          </w14:textFill>
        </w:rPr>
      </w:pPr>
    </w:p>
    <w:p w14:paraId="3AC6D8FF">
      <w:pPr>
        <w:keepNext/>
        <w:keepLines/>
        <w:spacing w:before="340" w:after="330" w:line="440" w:lineRule="exact"/>
        <w:ind w:firstLine="482" w:firstLineChars="200"/>
        <w:jc w:val="center"/>
        <w:outlineLvl w:val="0"/>
        <w:rPr>
          <w:rFonts w:asciiTheme="minorEastAsia" w:hAnsiTheme="minorEastAsia" w:eastAsiaTheme="minorEastAsia"/>
          <w:b/>
          <w:bCs/>
          <w:color w:val="000000" w:themeColor="text1"/>
          <w:kern w:val="44"/>
          <w:sz w:val="24"/>
          <w:highlight w:val="none"/>
          <w14:textFill>
            <w14:solidFill>
              <w14:schemeClr w14:val="tx1"/>
            </w14:solidFill>
          </w14:textFill>
        </w:rPr>
      </w:pPr>
      <w:bookmarkStart w:id="205" w:name="_Toc171612835"/>
      <w:bookmarkStart w:id="206" w:name="_Toc101344072"/>
      <w:bookmarkStart w:id="207" w:name="_Toc171608856"/>
      <w:bookmarkStart w:id="208" w:name="_Toc171612794"/>
      <w:bookmarkStart w:id="209" w:name="_Toc173510807"/>
      <w:r>
        <w:rPr>
          <w:rFonts w:hint="eastAsia" w:asciiTheme="minorEastAsia" w:hAnsiTheme="minorEastAsia" w:eastAsiaTheme="minorEastAsia"/>
          <w:b/>
          <w:bCs/>
          <w:color w:val="000000" w:themeColor="text1"/>
          <w:kern w:val="44"/>
          <w:sz w:val="24"/>
          <w:highlight w:val="none"/>
          <w14:textFill>
            <w14:solidFill>
              <w14:schemeClr w14:val="tx1"/>
            </w14:solidFill>
          </w14:textFill>
        </w:rPr>
        <w:t>第三章</w:t>
      </w:r>
      <w:bookmarkStart w:id="210" w:name="_Toc27573769"/>
      <w:r>
        <w:rPr>
          <w:rFonts w:hint="eastAsia" w:asciiTheme="minorEastAsia" w:hAnsiTheme="minorEastAsia" w:eastAsiaTheme="minorEastAsia"/>
          <w:b/>
          <w:bCs/>
          <w:color w:val="000000" w:themeColor="text1"/>
          <w:kern w:val="44"/>
          <w:sz w:val="24"/>
          <w:highlight w:val="none"/>
          <w14:textFill>
            <w14:solidFill>
              <w14:schemeClr w14:val="tx1"/>
            </w14:solidFill>
          </w14:textFill>
        </w:rPr>
        <w:t xml:space="preserve"> 服务内容与</w:t>
      </w:r>
      <w:bookmarkEnd w:id="210"/>
      <w:r>
        <w:rPr>
          <w:rFonts w:hint="eastAsia" w:asciiTheme="minorEastAsia" w:hAnsiTheme="minorEastAsia" w:eastAsiaTheme="minorEastAsia"/>
          <w:b/>
          <w:bCs/>
          <w:color w:val="000000" w:themeColor="text1"/>
          <w:kern w:val="44"/>
          <w:sz w:val="24"/>
          <w:highlight w:val="none"/>
          <w14:textFill>
            <w14:solidFill>
              <w14:schemeClr w14:val="tx1"/>
            </w14:solidFill>
          </w14:textFill>
        </w:rPr>
        <w:t>相关要求</w:t>
      </w:r>
      <w:bookmarkEnd w:id="205"/>
      <w:bookmarkEnd w:id="206"/>
      <w:bookmarkEnd w:id="207"/>
      <w:bookmarkEnd w:id="208"/>
      <w:bookmarkEnd w:id="209"/>
    </w:p>
    <w:p w14:paraId="54A7258A">
      <w:pPr>
        <w:spacing w:line="440" w:lineRule="exact"/>
        <w:ind w:firstLine="482"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一.技术要求</w:t>
      </w:r>
    </w:p>
    <w:p w14:paraId="5B1055A5">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1.总体要求</w:t>
      </w:r>
    </w:p>
    <w:p w14:paraId="28D4682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成交供应商应承诺严格按照国家及河南省政府关于政府采购的有关法律法规及政策，规范操作，杜绝违法违规事件。</w:t>
      </w:r>
    </w:p>
    <w:p w14:paraId="2993BA7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2.监督抽检品种、项目要求</w:t>
      </w:r>
    </w:p>
    <w:p w14:paraId="3E3D2D91">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成交标供应商应依据国家市场监督管理总局有关食品、产品安全标准，承担标签检测、性状检验、理化检验、微生物检测、农药检测、兽药检测、重金属检测、营养指标检测等任务（具体品种和批次见附表）。如涉及相关科室、直属机构检测品种、项目有其他具体要求的，按照相关科室、直属机构要求执行。</w:t>
      </w:r>
    </w:p>
    <w:p w14:paraId="09CA00D8">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蔬菜、水果应选择以本地生产的、时令季节的蔬菜、水果。</w:t>
      </w:r>
    </w:p>
    <w:p w14:paraId="4001BC4F">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3.抽检费用要求</w:t>
      </w:r>
    </w:p>
    <w:p w14:paraId="773F343D">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抽样检测费用按实际批次和检验项目结算，购买样品费用（产品除外）和抽样产生费用包含在检测项目费用里，费用由承检方先行垫付，待检验和复检工作全部完成后，承检方须向委托方汇总检测经费，问委托方提供合法、真实有效的检验费用标准，经委托方认可后，按中标价格进行结算。</w:t>
      </w:r>
    </w:p>
    <w:p w14:paraId="045F8AFC">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4.单位场地</w:t>
      </w:r>
    </w:p>
    <w:p w14:paraId="754898F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1）有满足检测工作需要的、独立的、固定的检测场地。</w:t>
      </w:r>
    </w:p>
    <w:p w14:paraId="3B235D41">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2）具有格局合理的微生物检验区和理化检验区；</w:t>
      </w:r>
    </w:p>
    <w:p w14:paraId="3F62893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抽检工作满足24小时抽样并能保证检验样品能在最科学合理的时间内送到实验室的措施和技术力量，确保检验样品在运输过程中不会受到污染的措施和技术力量，确保检测数据真实有效、科学客观的措施和技术力量。</w:t>
      </w:r>
    </w:p>
    <w:p w14:paraId="2551973E">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5.设备配备情况</w:t>
      </w:r>
    </w:p>
    <w:p w14:paraId="2697C4E6">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1）具有满足检测的仪器设备</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有满足检测需求的气相色谱、液相色谱、质谱仪、原子吸收分光光度计、原子荧光分光光度计等。</w:t>
      </w:r>
    </w:p>
    <w:p w14:paraId="4B3D4F1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2）实验室食品检测仪器设备充足，能满足检测需要；</w:t>
      </w:r>
    </w:p>
    <w:p w14:paraId="0C8830C8">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6.应急抽检快速反应能力</w:t>
      </w:r>
    </w:p>
    <w:p w14:paraId="14F641CE">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成交供应商必需保证接到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采购人</w:t>
      </w:r>
      <w:r>
        <w:rPr>
          <w:rFonts w:hint="eastAsia" w:asciiTheme="minorEastAsia" w:hAnsiTheme="minorEastAsia" w:eastAsiaTheme="minorEastAsia"/>
          <w:color w:val="000000" w:themeColor="text1"/>
          <w:sz w:val="24"/>
          <w:highlight w:val="none"/>
          <w14:textFill>
            <w14:solidFill>
              <w14:schemeClr w14:val="tx1"/>
            </w14:solidFill>
          </w14:textFill>
        </w:rPr>
        <w:t>应急抽检要求后，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小时内到达指定地点开展应急抽检工作。</w:t>
      </w:r>
    </w:p>
    <w:p w14:paraId="596339BB">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7、人员配置要求：所投产品的抽检工作项目团队要求岗位配置合理，人员分工明确，专业合理、全面，经验丰富。在人员配置、作业管理、质量控制等相关方面不能满足招标文件的相关要求或没有实现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响应性文件</w:t>
      </w:r>
      <w:r>
        <w:rPr>
          <w:rFonts w:hint="eastAsia" w:asciiTheme="minorEastAsia" w:hAnsiTheme="minorEastAsia" w:eastAsiaTheme="minorEastAsia"/>
          <w:color w:val="000000" w:themeColor="text1"/>
          <w:sz w:val="24"/>
          <w:highlight w:val="none"/>
          <w14:textFill>
            <w14:solidFill>
              <w14:schemeClr w14:val="tx1"/>
            </w14:solidFill>
          </w14:textFill>
        </w:rPr>
        <w:t>中的相关承诺，采购人有权单方面解除合同，并保留追究其法律责任的权利。</w:t>
      </w:r>
    </w:p>
    <w:p w14:paraId="2B6D5984">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实验室要求：投标人应具有优良的实验室环境，配备完善的检测设备保障本项目高质量有序进行。所配备仪器设备能够有效支撑完成检验项目，精度适宜、数量充足。试验场所环境优良、产品检验的环境条件控制充分。</w:t>
      </w:r>
    </w:p>
    <w:p w14:paraId="1DA86558">
      <w:pPr>
        <w:spacing w:line="440" w:lineRule="exact"/>
        <w:ind w:firstLine="482" w:firstLineChars="200"/>
        <w:jc w:val="lef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二、抽检工作的具体内容及要求：</w:t>
      </w:r>
    </w:p>
    <w:p w14:paraId="5F41A194">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应在规定的任务时间内，严格按照《中华人民共和国产品质量法》、《产品质量监督抽查管理暂行办法》、抽样检验工作任务布置要求等开展此项工作。未经采购人同意，不得擅自延期。根据工作需要可要求进行企业标准和有关项目指标的检验检测。</w:t>
      </w:r>
    </w:p>
    <w:p w14:paraId="6B9BE158">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2、依据产品所执行的相关标准、相关法律法规及国家有关规定、相关产品的国家监督抽查技术方案、抽查实施细则抽取检验样品。</w:t>
      </w:r>
    </w:p>
    <w:p w14:paraId="71A72900">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3、抽查产品类别：项目抽查、检测产品种类、技术项目由采购方确定，抽查产品包括但不限于已列出的产品。</w:t>
      </w:r>
    </w:p>
    <w:p w14:paraId="568BD7BD">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应负责所投标段中任务涉及的样品抽取、文书填写、样品收寄、样品检验、数据记录保存、结果上报送达和质量技术分析等工作。</w:t>
      </w:r>
    </w:p>
    <w:p w14:paraId="76723682">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、抽查产品的样品、采样地点（场所）由省市场监督管理局或其授权的市、县市场监管部门确定，</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需提供技术安全支持服务，确保顺利完成采（购）样工作。</w:t>
      </w:r>
    </w:p>
    <w:p w14:paraId="17EA696B">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对抽取和检验的样品负责，抽取的样品应满足检验要求，检验结果反映样品真实状况。若因</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自身原因造成样品失效、丢失或其他因素造成无法实施检验而影响检验进度的，采购人将追究其相关责任，并有权单方面解除合同，过程中所产生的费用采购人将不予支付，并保留追究其法律责任的权利。</w:t>
      </w:r>
    </w:p>
    <w:p w14:paraId="4DA0CB4A">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要按照采购人要求做好样品交接、保管、运输工作；废弃物应依法进行无害化处理。承担危险化学品、易燃易爆品抽查检验的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要严格遵守相关规定，认真做好样品抽取、储存、运输和保管等工作并对生产安全负完全责任。</w:t>
      </w:r>
    </w:p>
    <w:p w14:paraId="5D757709">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由于虚假、错误检验数据和结论而给被检验人造成损失的，或者给社会带来不良影响的，承检机构应当负责赔偿，并承担相应法律责任。</w:t>
      </w:r>
    </w:p>
    <w:p w14:paraId="4F222599">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、备份样品复检工作采购人可以另行指定的承检机构进行，</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由于虚假、错误检验数据和结论而给被检验人造成损失的，或者给社会带来不良影响的，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应当负责赔偿，并承担相应法律责任。</w:t>
      </w:r>
    </w:p>
    <w:p w14:paraId="7FDB14BF">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不得以任何方式转包或挂靠本项目。确需要分包的，须经采购人同意。如发现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以转包或挂靠的方式谋取中标，采购人有权解除合同、并要求赔偿相关损失。</w:t>
      </w:r>
    </w:p>
    <w:p w14:paraId="5AADB4E1">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olor w:val="000000" w:themeColor="text1"/>
          <w:sz w:val="24"/>
          <w:highlight w:val="none"/>
          <w14:textFill>
            <w14:solidFill>
              <w14:schemeClr w14:val="tx1"/>
            </w14:solidFill>
          </w14:textFill>
        </w:rPr>
        <w:t>及其人员应对在所承担项目中知悉的国家秘密、商业秘密切实做好保密工作，如（但不限于）：承担检验工作过程中的企业样品信息、检验数据及结果等，不得以任何形式对外泄露。</w:t>
      </w:r>
    </w:p>
    <w:p w14:paraId="294046DD">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、采购人有权在签订合同时对项目方案（非实质性条款）作协商修改。</w:t>
      </w:r>
    </w:p>
    <w:p w14:paraId="1A338248">
      <w:pPr>
        <w:spacing w:line="440" w:lineRule="exact"/>
        <w:ind w:firstLine="482" w:firstLineChars="200"/>
        <w:jc w:val="left"/>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三、管理要求</w:t>
      </w:r>
    </w:p>
    <w:p w14:paraId="6641701A">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各成交供应商应接受灵宝市市场监督管理局的各项规定，切实享受各项权利，严格履行承诺的义务，依法依规做好项目服务，并接受以下各项管理要求：</w:t>
      </w:r>
    </w:p>
    <w:p w14:paraId="5EEDA49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一）成交供应商确定后，根据自愿的原则由采购方相关科室（直属单位）与成交供应商达成委托意向，由县局与成交供应商签订委托协议书。本文件未尽事宜，由采购方与成交供应商协商后在协议书中进一步明确。</w:t>
      </w:r>
    </w:p>
    <w:p w14:paraId="0DA4E923">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（二）成交供应商应严格按照有关法律法规规定依法组织抽样、检验、产品贮藏、留样及检验报告送达等工作；应遵守统一服务承诺，做好各项服务工作，认真履行义务。</w:t>
      </w:r>
    </w:p>
    <w:p w14:paraId="249AD48F">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（三）在服务期内，成交供应商必须接受灵宝市政府食安办、市场监督管理局及相关科室的管理，项目完成后，成交供应商完成一份高质量的食品安全质量分析报告。 </w:t>
      </w:r>
    </w:p>
    <w:p w14:paraId="7D5E2C25">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（四）业务建档制度：成交供应商须针对灵宝市市场监督管理局食品检测业务建立单独的业务档案资料。</w:t>
      </w:r>
    </w:p>
    <w:p w14:paraId="354B359D">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（五）投诉制度：灵宝市市场监督管理局及相关科室有权对检测机构监督投诉。</w:t>
      </w:r>
    </w:p>
    <w:p w14:paraId="63DE9D94">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（六）违规处理：采购人可就成交供应商是否规范执行相关法律法规等方面进行监督检查，对化验室各电子数据进行溯源。如发现违规情况，根据具体情况分别采取警告、暂停抽检计划、取消资格等措施。</w:t>
      </w:r>
    </w:p>
    <w:p w14:paraId="6E0A1819">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具体如下：</w:t>
      </w:r>
    </w:p>
    <w:p w14:paraId="07463B8A">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未按照规定要求开展抽样、检验、产品贮藏、留样及检验报告送达，未按照规定时间和要求上报抽检结果（包括检测报告、汇总表及质量分析报告）的，发现1次给予警告，2次暂停下一期抽检任务，3次取消资格；</w:t>
      </w:r>
    </w:p>
    <w:p w14:paraId="17DA01C7">
      <w:pPr>
        <w:spacing w:line="44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2.针对中途放弃或恶意中标的承检单位，暂停该承检单位的抽检任务；</w:t>
      </w:r>
    </w:p>
    <w:p w14:paraId="7633E0B6">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3.响应文件中存在虚报、错报、骗取检测资质行为的，直接取消抽检资格。</w:t>
      </w:r>
    </w:p>
    <w:p w14:paraId="44335418">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4.其他未明确的违规行为，根据具体情况酌情处理。</w:t>
      </w:r>
    </w:p>
    <w:p w14:paraId="0AF4FA1D">
      <w:pPr>
        <w:spacing w:line="440" w:lineRule="exact"/>
        <w:ind w:firstLine="482" w:firstLineChars="200"/>
        <w:jc w:val="left"/>
        <w:rPr>
          <w:rFonts w:hint="eastAsi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四、其他要求：</w:t>
      </w:r>
    </w:p>
    <w:p w14:paraId="7477F9AB">
      <w:pPr>
        <w:spacing w:line="440" w:lineRule="exact"/>
        <w:ind w:firstLine="480" w:firstLineChars="200"/>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1、报价要求：投标报价包含完成该项目所需的购样费、差旅费、人工费、邮递费、运输费、检测费、数据审核、检测废料无害化处置、样品残值处置、保险费、税金及承诺义务等所有相关费用（产品除外）。</w:t>
      </w:r>
    </w:p>
    <w:p w14:paraId="20976A2A">
      <w:pPr>
        <w:spacing w:line="440" w:lineRule="exact"/>
        <w:ind w:firstLine="480" w:firstLineChars="200"/>
        <w:jc w:val="left"/>
        <w:rPr>
          <w:rFonts w:hint="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2、付款方式：</w:t>
      </w:r>
      <w:r>
        <w:rPr>
          <w:rFonts w:hint="eastAsia" w:ascii="宋体" w:hAnsi="宋体"/>
          <w:color w:val="000000" w:themeColor="text1"/>
          <w:sz w:val="24"/>
          <w:highlight w:val="none"/>
          <w14:textFill>
            <w14:solidFill>
              <w14:schemeClr w14:val="tx1"/>
            </w14:solidFill>
          </w14:textFill>
        </w:rPr>
        <w:t>抽样检测费用按实际批次和检验项目结算，检测购买样品费用和抽检产生费用包含在项目检测费用里（注：产品类不包含购买样品费用，费用由乙方先行垫付，待检验和复检工作全部完成后，乙方按照实际抽检批次和成交项目单价合计抽样检测费用，经甲方认可后，向甲方提供合法、真实、有效的检测费用发票、样品清单等资料，每季度结算一次）</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131131E">
      <w:pPr>
        <w:rPr>
          <w:rFonts w:hint="eastAsia"/>
          <w:color w:val="000000" w:themeColor="text1"/>
          <w:highlight w:val="none"/>
          <w14:textFill>
            <w14:solidFill>
              <w14:schemeClr w14:val="tx1"/>
            </w14:solidFill>
          </w14:textFill>
        </w:rPr>
      </w:pPr>
    </w:p>
    <w:p w14:paraId="7A2E1431">
      <w:pPr>
        <w:autoSpaceDE w:val="0"/>
        <w:autoSpaceDN w:val="0"/>
        <w:adjustRightInd w:val="0"/>
        <w:spacing w:line="360" w:lineRule="auto"/>
        <w:jc w:val="left"/>
        <w:rPr>
          <w:rFonts w:hint="eastAsia" w:asciiTheme="minorEastAsia" w:hAnsiTheme="minorEastAsia" w:eastAsiaTheme="minorEastAsia"/>
          <w:b/>
          <w:bCs/>
          <w:color w:val="000000" w:themeColor="text1"/>
          <w:sz w:val="24"/>
          <w:highlight w:val="none"/>
          <w14:textFill>
            <w14:solidFill>
              <w14:schemeClr w14:val="tx1"/>
            </w14:solidFill>
          </w14:textFill>
        </w:rPr>
      </w:pPr>
    </w:p>
    <w:p w14:paraId="7C164920">
      <w:pPr>
        <w:autoSpaceDE w:val="0"/>
        <w:autoSpaceDN w:val="0"/>
        <w:adjustRightInd w:val="0"/>
        <w:spacing w:line="360" w:lineRule="auto"/>
        <w:jc w:val="left"/>
        <w:rPr>
          <w:rFonts w:hint="eastAsia" w:asciiTheme="minorEastAsia" w:hAnsiTheme="minorEastAsia" w:eastAsiaTheme="minorEastAsia"/>
          <w:b/>
          <w:bCs/>
          <w:color w:val="000000" w:themeColor="text1"/>
          <w:sz w:val="24"/>
          <w:highlight w:val="none"/>
          <w14:textFill>
            <w14:solidFill>
              <w14:schemeClr w14:val="tx1"/>
            </w14:solidFill>
          </w14:textFill>
        </w:rPr>
      </w:pPr>
    </w:p>
    <w:p w14:paraId="0B778816">
      <w:pPr>
        <w:autoSpaceDE w:val="0"/>
        <w:autoSpaceDN w:val="0"/>
        <w:adjustRightInd w:val="0"/>
        <w:spacing w:line="360" w:lineRule="auto"/>
        <w:jc w:val="left"/>
        <w:rPr>
          <w:rFonts w:hint="eastAsia" w:asciiTheme="minorEastAsia" w:hAnsiTheme="minorEastAsia" w:eastAsiaTheme="minorEastAsia"/>
          <w:b/>
          <w:bCs/>
          <w:color w:val="000000" w:themeColor="text1"/>
          <w:sz w:val="24"/>
          <w:highlight w:val="none"/>
          <w14:textFill>
            <w14:solidFill>
              <w14:schemeClr w14:val="tx1"/>
            </w14:solidFill>
          </w14:textFill>
        </w:rPr>
      </w:pPr>
    </w:p>
    <w:p w14:paraId="50728ECE">
      <w:pPr>
        <w:pStyle w:val="51"/>
        <w:rPr>
          <w:rFonts w:hint="eastAsia"/>
        </w:rPr>
        <w:sectPr>
          <w:footerReference r:id="rId4" w:type="default"/>
          <w:pgSz w:w="11910" w:h="16840"/>
          <w:pgMar w:top="1361" w:right="1361" w:bottom="1361" w:left="1340" w:header="720" w:footer="720" w:gutter="0"/>
          <w:pgNumType w:fmt="decimal"/>
          <w:cols w:space="720" w:num="1"/>
        </w:sectPr>
      </w:pPr>
    </w:p>
    <w:p w14:paraId="26A85DB6">
      <w:pPr>
        <w:pStyle w:val="51"/>
        <w:keepNext w:val="0"/>
        <w:keepLines w:val="0"/>
        <w:pageBreakBefore w:val="0"/>
        <w:kinsoku/>
        <w:wordWrap/>
        <w:overflowPunct/>
        <w:topLinePunct w:val="0"/>
        <w:autoSpaceDE/>
        <w:autoSpaceDN/>
        <w:bidi w:val="0"/>
        <w:adjustRightInd/>
        <w:snapToGrid/>
        <w:ind w:left="0" w:right="0"/>
        <w:jc w:val="center"/>
        <w:rPr>
          <w:rFonts w:hint="eastAsia"/>
        </w:rPr>
      </w:pPr>
    </w:p>
    <w:p w14:paraId="3C256FB5">
      <w:pPr>
        <w:keepNext w:val="0"/>
        <w:keepLines w:val="0"/>
        <w:pageBreakBefore w:val="0"/>
        <w:tabs>
          <w:tab w:val="left" w:pos="697"/>
        </w:tabs>
        <w:kinsoku/>
        <w:wordWrap/>
        <w:overflowPunct/>
        <w:topLinePunct w:val="0"/>
        <w:autoSpaceDE/>
        <w:autoSpaceDN/>
        <w:bidi w:val="0"/>
        <w:adjustRightInd/>
        <w:snapToGrid/>
        <w:ind w:left="0" w:right="0"/>
        <w:jc w:val="center"/>
        <w:rPr>
          <w:rFonts w:hint="eastAsia" w:ascii="Arial Unicode MS" w:hAnsi="Arial Unicode MS" w:eastAsia="Arial Unicode MS" w:cs="Arial Unicode MS"/>
          <w:bCs/>
          <w:spacing w:val="0"/>
          <w:position w:val="0"/>
          <w:sz w:val="44"/>
          <w:szCs w:val="44"/>
          <w:lang w:val="en-US" w:eastAsia="zh-CN"/>
        </w:rPr>
      </w:pPr>
      <w:r>
        <w:rPr>
          <w:rFonts w:hint="eastAsia" w:ascii="Arial Unicode MS" w:hAnsi="Arial Unicode MS" w:eastAsia="Arial Unicode MS" w:cs="Arial Unicode MS"/>
          <w:bCs/>
          <w:spacing w:val="0"/>
          <w:position w:val="0"/>
          <w:sz w:val="44"/>
          <w:szCs w:val="44"/>
          <w:lang w:eastAsia="zh-CN"/>
        </w:rPr>
        <w:t>灵宝</w:t>
      </w:r>
      <w:r>
        <w:rPr>
          <w:rFonts w:hint="eastAsia" w:ascii="Arial Unicode MS" w:hAnsi="Arial Unicode MS" w:eastAsia="Arial Unicode MS" w:cs="Arial Unicode MS"/>
          <w:bCs/>
          <w:spacing w:val="0"/>
          <w:position w:val="0"/>
          <w:sz w:val="44"/>
          <w:szCs w:val="44"/>
        </w:rPr>
        <w:t>市202</w:t>
      </w:r>
      <w:r>
        <w:rPr>
          <w:rFonts w:hint="eastAsia" w:ascii="Arial Unicode MS" w:hAnsi="Arial Unicode MS" w:eastAsia="Arial Unicode MS" w:cs="Arial Unicode MS"/>
          <w:bCs/>
          <w:spacing w:val="0"/>
          <w:position w:val="0"/>
          <w:sz w:val="44"/>
          <w:szCs w:val="44"/>
          <w:lang w:val="en-US" w:eastAsia="zh-CN"/>
        </w:rPr>
        <w:t>5</w:t>
      </w:r>
      <w:r>
        <w:rPr>
          <w:rFonts w:hint="eastAsia" w:ascii="Arial Unicode MS" w:hAnsi="Arial Unicode MS" w:eastAsia="Arial Unicode MS" w:cs="Arial Unicode MS"/>
          <w:bCs/>
          <w:spacing w:val="0"/>
          <w:position w:val="0"/>
          <w:sz w:val="44"/>
          <w:szCs w:val="44"/>
        </w:rPr>
        <w:t>年市级食品安全抽检</w:t>
      </w:r>
      <w:r>
        <w:rPr>
          <w:rFonts w:hint="eastAsia" w:ascii="Arial Unicode MS" w:hAnsi="Arial Unicode MS" w:eastAsia="Arial Unicode MS" w:cs="Arial Unicode MS"/>
          <w:bCs/>
          <w:spacing w:val="0"/>
          <w:position w:val="0"/>
          <w:sz w:val="44"/>
          <w:szCs w:val="44"/>
          <w:lang w:val="en-US" w:eastAsia="zh-CN"/>
        </w:rPr>
        <w:t>表</w:t>
      </w:r>
    </w:p>
    <w:tbl>
      <w:tblPr>
        <w:tblStyle w:val="17"/>
        <w:tblpPr w:leftFromText="180" w:rightFromText="180" w:vertAnchor="text" w:horzAnchor="page" w:tblpX="1694" w:tblpY="1129"/>
        <w:tblOverlap w:val="never"/>
        <w:tblW w:w="14186"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7" w:type="dxa"/>
          <w:left w:w="17" w:type="dxa"/>
          <w:bottom w:w="17" w:type="dxa"/>
          <w:right w:w="17" w:type="dxa"/>
        </w:tblCellMar>
      </w:tblPr>
      <w:tblGrid>
        <w:gridCol w:w="726"/>
        <w:gridCol w:w="1418"/>
        <w:gridCol w:w="2268"/>
        <w:gridCol w:w="892"/>
        <w:gridCol w:w="6199"/>
        <w:gridCol w:w="1367"/>
        <w:gridCol w:w="1316"/>
      </w:tblGrid>
      <w:tr w14:paraId="293591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90" w:hRule="atLeast"/>
        </w:trPr>
        <w:tc>
          <w:tcPr>
            <w:tcW w:w="726" w:type="dxa"/>
            <w:vAlign w:val="center"/>
          </w:tcPr>
          <w:p w14:paraId="415B408B">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序号</w:t>
            </w:r>
          </w:p>
        </w:tc>
        <w:tc>
          <w:tcPr>
            <w:tcW w:w="1418" w:type="dxa"/>
            <w:vAlign w:val="center"/>
          </w:tcPr>
          <w:p w14:paraId="782F91D3">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食品大类</w:t>
            </w:r>
          </w:p>
        </w:tc>
        <w:tc>
          <w:tcPr>
            <w:tcW w:w="2268" w:type="dxa"/>
            <w:vAlign w:val="center"/>
          </w:tcPr>
          <w:p w14:paraId="78FAD32E">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食品小类</w:t>
            </w:r>
          </w:p>
        </w:tc>
        <w:tc>
          <w:tcPr>
            <w:tcW w:w="892" w:type="dxa"/>
            <w:vAlign w:val="center"/>
          </w:tcPr>
          <w:p w14:paraId="633F8363">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风险等级</w:t>
            </w:r>
          </w:p>
        </w:tc>
        <w:tc>
          <w:tcPr>
            <w:tcW w:w="6199" w:type="dxa"/>
            <w:vAlign w:val="center"/>
          </w:tcPr>
          <w:p w14:paraId="71BF444A">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检验项目</w:t>
            </w:r>
          </w:p>
        </w:tc>
        <w:tc>
          <w:tcPr>
            <w:tcW w:w="1367" w:type="dxa"/>
            <w:vAlign w:val="center"/>
          </w:tcPr>
          <w:p w14:paraId="59A4427C">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抽检</w:t>
            </w:r>
          </w:p>
          <w:p w14:paraId="368A9B10">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批次</w:t>
            </w:r>
          </w:p>
        </w:tc>
        <w:tc>
          <w:tcPr>
            <w:tcW w:w="1316" w:type="dxa"/>
            <w:vAlign w:val="center"/>
          </w:tcPr>
          <w:p w14:paraId="7CE8B02D">
            <w:pPr>
              <w:keepNext w:val="0"/>
              <w:keepLines w:val="0"/>
              <w:pageBreakBefore w:val="0"/>
              <w:widowControl/>
              <w:kinsoku/>
              <w:wordWrap/>
              <w:overflowPunct/>
              <w:topLinePunct w:val="0"/>
              <w:autoSpaceDE/>
              <w:autoSpaceDN/>
              <w:bidi w:val="0"/>
              <w:adjustRightInd/>
              <w:snapToGrid/>
              <w:spacing w:line="320" w:lineRule="exact"/>
              <w:ind w:left="0" w:right="0"/>
              <w:jc w:val="center"/>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备注</w:t>
            </w:r>
          </w:p>
        </w:tc>
      </w:tr>
      <w:tr w14:paraId="3327E5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9" w:hRule="atLeast"/>
        </w:trPr>
        <w:tc>
          <w:tcPr>
            <w:tcW w:w="726" w:type="dxa"/>
            <w:vMerge w:val="restart"/>
            <w:vAlign w:val="center"/>
          </w:tcPr>
          <w:p w14:paraId="6576FB41">
            <w:pPr>
              <w:keepNext w:val="0"/>
              <w:keepLines w:val="0"/>
              <w:pageBreakBefore w:val="0"/>
              <w:widowControl/>
              <w:kinsoku/>
              <w:wordWrap/>
              <w:overflowPunct/>
              <w:topLinePunct w:val="0"/>
              <w:autoSpaceDE/>
              <w:autoSpaceDN/>
              <w:bidi w:val="0"/>
              <w:adjustRightInd/>
              <w:snapToGrid/>
              <w:spacing w:line="280" w:lineRule="exact"/>
              <w:ind w:left="0" w:right="0"/>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1</w:t>
            </w:r>
          </w:p>
        </w:tc>
        <w:tc>
          <w:tcPr>
            <w:tcW w:w="1418" w:type="dxa"/>
            <w:vMerge w:val="restart"/>
            <w:vAlign w:val="center"/>
          </w:tcPr>
          <w:p w14:paraId="2812A3C4">
            <w:pPr>
              <w:keepNext w:val="0"/>
              <w:keepLines w:val="0"/>
              <w:pageBreakBefore w:val="0"/>
              <w:widowControl/>
              <w:kinsoku/>
              <w:wordWrap/>
              <w:overflowPunct/>
              <w:topLinePunct w:val="0"/>
              <w:autoSpaceDE/>
              <w:autoSpaceDN/>
              <w:bidi w:val="0"/>
              <w:adjustRightInd/>
              <w:snapToGrid/>
              <w:spacing w:line="280" w:lineRule="exact"/>
              <w:ind w:left="0" w:right="0"/>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粮食加工品</w:t>
            </w:r>
          </w:p>
        </w:tc>
        <w:tc>
          <w:tcPr>
            <w:tcW w:w="2268" w:type="dxa"/>
            <w:vAlign w:val="center"/>
          </w:tcPr>
          <w:p w14:paraId="7887C51B">
            <w:pPr>
              <w:keepNext w:val="0"/>
              <w:keepLines w:val="0"/>
              <w:pageBreakBefore w:val="0"/>
              <w:widowControl/>
              <w:kinsoku/>
              <w:wordWrap/>
              <w:overflowPunct/>
              <w:topLinePunct w:val="0"/>
              <w:autoSpaceDE/>
              <w:autoSpaceDN/>
              <w:bidi w:val="0"/>
              <w:adjustRightInd/>
              <w:snapToGrid/>
              <w:spacing w:line="280" w:lineRule="exact"/>
              <w:ind w:left="0" w:right="0"/>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小麦粉</w:t>
            </w:r>
          </w:p>
        </w:tc>
        <w:tc>
          <w:tcPr>
            <w:tcW w:w="892" w:type="dxa"/>
            <w:vAlign w:val="center"/>
          </w:tcPr>
          <w:p w14:paraId="2E5D7CD5">
            <w:pPr>
              <w:pStyle w:val="34"/>
              <w:keepNext w:val="0"/>
              <w:keepLines w:val="0"/>
              <w:pageBreakBefore w:val="0"/>
              <w:kinsoku/>
              <w:wordWrap/>
              <w:overflowPunct/>
              <w:topLinePunct w:val="0"/>
              <w:autoSpaceDE/>
              <w:autoSpaceDN/>
              <w:bidi w:val="0"/>
              <w:adjustRightInd/>
              <w:snapToGrid/>
              <w:spacing w:line="280" w:lineRule="exact"/>
              <w:ind w:left="0" w:right="0"/>
              <w:jc w:val="center"/>
              <w:rPr>
                <w:rFonts w:hint="eastAsia" w:ascii="宋体" w:hAnsi="宋体" w:eastAsia="宋体" w:cs="宋体"/>
                <w:color w:val="000000" w:themeColor="text1"/>
                <w:spacing w:val="0"/>
                <w:w w:val="95"/>
                <w:position w:val="0"/>
                <w:sz w:val="21"/>
                <w:szCs w:val="21"/>
                <w14:textFill>
                  <w14:solidFill>
                    <w14:schemeClr w14:val="tx1"/>
                  </w14:solidFill>
                </w14:textFill>
              </w:rPr>
            </w:pPr>
            <w:r>
              <w:rPr>
                <w:rFonts w:hint="eastAsia" w:ascii="宋体" w:hAnsi="宋体" w:eastAsia="宋体" w:cs="宋体"/>
                <w:color w:val="000000" w:themeColor="text1"/>
                <w:spacing w:val="0"/>
                <w:w w:val="95"/>
                <w:position w:val="0"/>
                <w:sz w:val="21"/>
                <w:szCs w:val="21"/>
                <w14:textFill>
                  <w14:solidFill>
                    <w14:schemeClr w14:val="tx1"/>
                  </w14:solidFill>
                </w14:textFill>
              </w:rPr>
              <w:t>较高</w:t>
            </w:r>
          </w:p>
        </w:tc>
        <w:tc>
          <w:tcPr>
            <w:tcW w:w="6199" w:type="dxa"/>
            <w:vAlign w:val="center"/>
          </w:tcPr>
          <w:p w14:paraId="1F32B7D6">
            <w:pPr>
              <w:pStyle w:val="34"/>
              <w:keepNext w:val="0"/>
              <w:keepLines w:val="0"/>
              <w:pageBreakBefore w:val="0"/>
              <w:kinsoku/>
              <w:wordWrap/>
              <w:overflowPunct/>
              <w:topLinePunct w:val="0"/>
              <w:autoSpaceDE/>
              <w:autoSpaceDN/>
              <w:bidi w:val="0"/>
              <w:adjustRightInd/>
              <w:snapToGrid/>
              <w:spacing w:line="380" w:lineRule="exact"/>
              <w:ind w:left="0" w:right="0"/>
              <w:jc w:val="both"/>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镉（以Cd计）、苯并[a]芘、玉米赤霉烯酮、脱氧雪腐镰刀菌烯醇、赭曲霉毒素A、黄曲霉毒素B1、偶氮甲酰胺、过氧化苯甲酰</w:t>
            </w:r>
          </w:p>
        </w:tc>
        <w:tc>
          <w:tcPr>
            <w:tcW w:w="1367" w:type="dxa"/>
            <w:vAlign w:val="center"/>
          </w:tcPr>
          <w:p w14:paraId="12CC77F0">
            <w:pPr>
              <w:keepNext w:val="0"/>
              <w:keepLines w:val="0"/>
              <w:pageBreakBefore w:val="0"/>
              <w:widowControl/>
              <w:kinsoku/>
              <w:wordWrap/>
              <w:overflowPunct/>
              <w:topLinePunct w:val="0"/>
              <w:autoSpaceDE/>
              <w:autoSpaceDN/>
              <w:bidi w:val="0"/>
              <w:adjustRightInd/>
              <w:snapToGrid/>
              <w:spacing w:line="280" w:lineRule="exact"/>
              <w:ind w:left="0" w:right="0"/>
              <w:jc w:val="center"/>
              <w:textAlignment w:val="center"/>
              <w:rPr>
                <w:rFonts w:hint="eastAsia" w:ascii="宋体" w:hAnsi="宋体" w:eastAsia="宋体" w:cs="宋体"/>
                <w:color w:val="000000" w:themeColor="text1"/>
                <w:spacing w:val="0"/>
                <w:kern w:val="31"/>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12</w:t>
            </w:r>
          </w:p>
        </w:tc>
        <w:tc>
          <w:tcPr>
            <w:tcW w:w="1316" w:type="dxa"/>
            <w:vAlign w:val="center"/>
          </w:tcPr>
          <w:p w14:paraId="20E03ACF">
            <w:pPr>
              <w:keepNext w:val="0"/>
              <w:keepLines w:val="0"/>
              <w:pageBreakBefore w:val="0"/>
              <w:widowControl/>
              <w:kinsoku/>
              <w:wordWrap/>
              <w:overflowPunct/>
              <w:topLinePunct w:val="0"/>
              <w:autoSpaceDE/>
              <w:autoSpaceDN/>
              <w:bidi w:val="0"/>
              <w:adjustRightInd/>
              <w:snapToGrid/>
              <w:spacing w:line="280" w:lineRule="exact"/>
              <w:ind w:left="0" w:right="0"/>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F1BB8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13" w:hRule="atLeast"/>
        </w:trPr>
        <w:tc>
          <w:tcPr>
            <w:tcW w:w="726" w:type="dxa"/>
            <w:vMerge w:val="continue"/>
            <w:vAlign w:val="center"/>
          </w:tcPr>
          <w:p w14:paraId="5C818927">
            <w:pPr>
              <w:keepNext w:val="0"/>
              <w:keepLines w:val="0"/>
              <w:pageBreakBefore w:val="0"/>
              <w:widowControl/>
              <w:kinsoku/>
              <w:wordWrap/>
              <w:overflowPunct/>
              <w:topLinePunct w:val="0"/>
              <w:autoSpaceDE/>
              <w:autoSpaceDN/>
              <w:bidi w:val="0"/>
              <w:adjustRightInd/>
              <w:snapToGrid/>
              <w:spacing w:line="280" w:lineRule="exact"/>
              <w:ind w:left="0" w:right="0"/>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0ACB98D">
            <w:pPr>
              <w:keepNext w:val="0"/>
              <w:keepLines w:val="0"/>
              <w:pageBreakBefore w:val="0"/>
              <w:widowControl/>
              <w:kinsoku/>
              <w:wordWrap/>
              <w:overflowPunct/>
              <w:topLinePunct w:val="0"/>
              <w:autoSpaceDE/>
              <w:autoSpaceDN/>
              <w:bidi w:val="0"/>
              <w:adjustRightInd/>
              <w:snapToGrid/>
              <w:spacing w:line="280" w:lineRule="exact"/>
              <w:ind w:left="0" w:right="0"/>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457D226">
            <w:pPr>
              <w:keepNext w:val="0"/>
              <w:keepLines w:val="0"/>
              <w:pageBreakBefore w:val="0"/>
              <w:widowControl/>
              <w:kinsoku/>
              <w:wordWrap/>
              <w:overflowPunct/>
              <w:topLinePunct w:val="0"/>
              <w:autoSpaceDE/>
              <w:autoSpaceDN/>
              <w:bidi w:val="0"/>
              <w:adjustRightInd/>
              <w:snapToGrid/>
              <w:spacing w:line="280" w:lineRule="exact"/>
              <w:ind w:left="0" w:right="0"/>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大米</w:t>
            </w:r>
          </w:p>
        </w:tc>
        <w:tc>
          <w:tcPr>
            <w:tcW w:w="892" w:type="dxa"/>
            <w:vAlign w:val="center"/>
          </w:tcPr>
          <w:p w14:paraId="4E8586BA">
            <w:pPr>
              <w:pStyle w:val="34"/>
              <w:keepNext w:val="0"/>
              <w:keepLines w:val="0"/>
              <w:pageBreakBefore w:val="0"/>
              <w:kinsoku/>
              <w:wordWrap/>
              <w:overflowPunct/>
              <w:topLinePunct w:val="0"/>
              <w:autoSpaceDE/>
              <w:autoSpaceDN/>
              <w:bidi w:val="0"/>
              <w:adjustRightInd/>
              <w:snapToGrid/>
              <w:spacing w:line="280" w:lineRule="exact"/>
              <w:ind w:left="0" w:right="0"/>
              <w:jc w:val="center"/>
              <w:rPr>
                <w:rFonts w:hint="eastAsia" w:ascii="宋体" w:hAnsi="宋体" w:eastAsia="宋体" w:cs="宋体"/>
                <w:color w:val="000000" w:themeColor="text1"/>
                <w:spacing w:val="0"/>
                <w:w w:val="95"/>
                <w:position w:val="0"/>
                <w:sz w:val="21"/>
                <w:szCs w:val="21"/>
                <w14:textFill>
                  <w14:solidFill>
                    <w14:schemeClr w14:val="tx1"/>
                  </w14:solidFill>
                </w14:textFill>
              </w:rPr>
            </w:pPr>
            <w:r>
              <w:rPr>
                <w:rFonts w:hint="eastAsia" w:ascii="宋体" w:hAnsi="宋体" w:eastAsia="宋体" w:cs="宋体"/>
                <w:color w:val="000000" w:themeColor="text1"/>
                <w:spacing w:val="0"/>
                <w:w w:val="95"/>
                <w:position w:val="0"/>
                <w:sz w:val="21"/>
                <w:szCs w:val="21"/>
                <w14:textFill>
                  <w14:solidFill>
                    <w14:schemeClr w14:val="tx1"/>
                  </w14:solidFill>
                </w14:textFill>
              </w:rPr>
              <w:t>较高</w:t>
            </w:r>
          </w:p>
        </w:tc>
        <w:tc>
          <w:tcPr>
            <w:tcW w:w="6199" w:type="dxa"/>
            <w:vAlign w:val="center"/>
          </w:tcPr>
          <w:p w14:paraId="7010E134">
            <w:pPr>
              <w:pStyle w:val="34"/>
              <w:keepNext w:val="0"/>
              <w:keepLines w:val="0"/>
              <w:pageBreakBefore w:val="0"/>
              <w:kinsoku/>
              <w:wordWrap/>
              <w:overflowPunct/>
              <w:topLinePunct w:val="0"/>
              <w:autoSpaceDE/>
              <w:autoSpaceDN/>
              <w:bidi w:val="0"/>
              <w:adjustRightInd/>
              <w:snapToGrid/>
              <w:spacing w:line="380" w:lineRule="exact"/>
              <w:ind w:left="0" w:right="0"/>
              <w:jc w:val="both"/>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铅（以Pb计）</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镉（以Cd计）、无机砷（以As计）、苯并[a]芘、黄曲霉毒素B1、赭曲霉毒素A</w:t>
            </w:r>
          </w:p>
        </w:tc>
        <w:tc>
          <w:tcPr>
            <w:tcW w:w="1367" w:type="dxa"/>
            <w:vAlign w:val="center"/>
          </w:tcPr>
          <w:p w14:paraId="6AA11A39">
            <w:pPr>
              <w:keepNext w:val="0"/>
              <w:keepLines w:val="0"/>
              <w:pageBreakBefore w:val="0"/>
              <w:widowControl/>
              <w:kinsoku/>
              <w:wordWrap/>
              <w:overflowPunct/>
              <w:topLinePunct w:val="0"/>
              <w:autoSpaceDE/>
              <w:autoSpaceDN/>
              <w:bidi w:val="0"/>
              <w:adjustRightInd/>
              <w:snapToGrid/>
              <w:spacing w:line="280" w:lineRule="exact"/>
              <w:ind w:left="0" w:right="0"/>
              <w:jc w:val="center"/>
              <w:textAlignment w:val="center"/>
              <w:rPr>
                <w:rFonts w:hint="eastAsia" w:ascii="宋体" w:hAnsi="宋体" w:eastAsia="宋体" w:cs="宋体"/>
                <w:color w:val="000000" w:themeColor="text1"/>
                <w:spacing w:val="0"/>
                <w:position w:val="0"/>
                <w:sz w:val="21"/>
                <w:szCs w:val="21"/>
                <w:lang w:val="en-US"/>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74514DFD">
            <w:pPr>
              <w:keepNext w:val="0"/>
              <w:keepLines w:val="0"/>
              <w:pageBreakBefore w:val="0"/>
              <w:widowControl/>
              <w:kinsoku/>
              <w:wordWrap/>
              <w:overflowPunct/>
              <w:topLinePunct w:val="0"/>
              <w:autoSpaceDE/>
              <w:autoSpaceDN/>
              <w:bidi w:val="0"/>
              <w:adjustRightInd/>
              <w:snapToGrid/>
              <w:spacing w:line="280" w:lineRule="exact"/>
              <w:ind w:left="0" w:right="0"/>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91DEB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726" w:type="dxa"/>
            <w:vMerge w:val="continue"/>
            <w:vAlign w:val="center"/>
          </w:tcPr>
          <w:p w14:paraId="2857E9DC">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56436CEF">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47A6A0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挂面</w:t>
            </w:r>
          </w:p>
        </w:tc>
        <w:tc>
          <w:tcPr>
            <w:tcW w:w="892" w:type="dxa"/>
            <w:vAlign w:val="center"/>
          </w:tcPr>
          <w:p w14:paraId="2A4F0D61">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一般</w:t>
            </w:r>
          </w:p>
        </w:tc>
        <w:tc>
          <w:tcPr>
            <w:tcW w:w="6199" w:type="dxa"/>
            <w:vAlign w:val="center"/>
          </w:tcPr>
          <w:p w14:paraId="651A8AE3">
            <w:pPr>
              <w:widowControl/>
              <w:spacing w:line="280" w:lineRule="exact"/>
              <w:jc w:val="both"/>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铅（以 Pb 计）、黄曲霉毒素 B1、脱氢乙酸及其钠盐（以脱氢乙酸计）、合成着色剂（柠檬黄、日落黄）</w:t>
            </w:r>
          </w:p>
        </w:tc>
        <w:tc>
          <w:tcPr>
            <w:tcW w:w="1367" w:type="dxa"/>
            <w:vAlign w:val="center"/>
          </w:tcPr>
          <w:p w14:paraId="2FE864E3">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7313FD5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36CD187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4" w:hRule="atLeast"/>
        </w:trPr>
        <w:tc>
          <w:tcPr>
            <w:tcW w:w="726" w:type="dxa"/>
            <w:vMerge w:val="continue"/>
            <w:vAlign w:val="center"/>
          </w:tcPr>
          <w:p w14:paraId="32960AA9">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32293E95">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004C6DB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玉米粉(片、渣)</w:t>
            </w:r>
          </w:p>
        </w:tc>
        <w:tc>
          <w:tcPr>
            <w:tcW w:w="892" w:type="dxa"/>
            <w:vAlign w:val="center"/>
          </w:tcPr>
          <w:p w14:paraId="6D70B26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17FEFF6D">
            <w:pPr>
              <w:widowControl/>
              <w:spacing w:line="280" w:lineRule="exact"/>
              <w:jc w:val="both"/>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苯并[a]芘、黄曲霉毒素B1、赭曲霉毒素A、玉米赤霉烯酮、脱氧雪腐镰刀菌烯醇</w:t>
            </w:r>
          </w:p>
        </w:tc>
        <w:tc>
          <w:tcPr>
            <w:tcW w:w="1367" w:type="dxa"/>
            <w:vAlign w:val="center"/>
          </w:tcPr>
          <w:p w14:paraId="15553AFF">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41B1EA0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ABBA1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65" w:hRule="atLeast"/>
        </w:trPr>
        <w:tc>
          <w:tcPr>
            <w:tcW w:w="726" w:type="dxa"/>
            <w:vMerge w:val="restart"/>
            <w:vAlign w:val="center"/>
          </w:tcPr>
          <w:p w14:paraId="7D3EC08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2</w:t>
            </w:r>
          </w:p>
        </w:tc>
        <w:tc>
          <w:tcPr>
            <w:tcW w:w="1418" w:type="dxa"/>
            <w:vMerge w:val="restart"/>
            <w:vAlign w:val="center"/>
          </w:tcPr>
          <w:p w14:paraId="7F7B669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食用油、油脂及其制品</w:t>
            </w:r>
          </w:p>
        </w:tc>
        <w:tc>
          <w:tcPr>
            <w:tcW w:w="2268" w:type="dxa"/>
            <w:vAlign w:val="center"/>
          </w:tcPr>
          <w:p w14:paraId="1BE48E0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花生油</w:t>
            </w:r>
          </w:p>
        </w:tc>
        <w:tc>
          <w:tcPr>
            <w:tcW w:w="892" w:type="dxa"/>
            <w:vAlign w:val="center"/>
          </w:tcPr>
          <w:p w14:paraId="01B918CA">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2BE4E970">
            <w:pPr>
              <w:widowControl/>
              <w:spacing w:line="280" w:lineRule="exact"/>
              <w:jc w:val="both"/>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spacing w:val="0"/>
                <w:w w:val="95"/>
                <w:position w:val="0"/>
                <w:sz w:val="21"/>
                <w:szCs w:val="21"/>
              </w:rPr>
              <w:t>酸值/酸价、过氧化值、黄曲霉毒素B1、苯并[a]芘、溶剂残留量、特丁基对苯二酚（TBHQ</w:t>
            </w:r>
            <w:r>
              <w:rPr>
                <w:rFonts w:hint="eastAsia" w:ascii="宋体" w:hAnsi="宋体" w:eastAsia="宋体" w:cs="宋体"/>
                <w:spacing w:val="0"/>
                <w:w w:val="95"/>
                <w:position w:val="0"/>
                <w:sz w:val="21"/>
                <w:szCs w:val="21"/>
                <w:lang w:eastAsia="zh-CN"/>
              </w:rPr>
              <w:t>）</w:t>
            </w:r>
          </w:p>
        </w:tc>
        <w:tc>
          <w:tcPr>
            <w:tcW w:w="1367" w:type="dxa"/>
            <w:vAlign w:val="center"/>
          </w:tcPr>
          <w:p w14:paraId="51C560C4">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6</w:t>
            </w:r>
          </w:p>
        </w:tc>
        <w:tc>
          <w:tcPr>
            <w:tcW w:w="1316" w:type="dxa"/>
            <w:vAlign w:val="center"/>
          </w:tcPr>
          <w:p w14:paraId="1FED14F0">
            <w:pPr>
              <w:widowControl/>
              <w:spacing w:line="280" w:lineRule="exact"/>
              <w:jc w:val="left"/>
              <w:rPr>
                <w:rFonts w:hint="eastAsia" w:ascii="宋体" w:hAnsi="宋体" w:eastAsia="宋体" w:cs="宋体"/>
                <w:color w:val="000000" w:themeColor="text1"/>
                <w:spacing w:val="0"/>
                <w:position w:val="0"/>
                <w:sz w:val="21"/>
                <w:szCs w:val="21"/>
                <w:lang w:eastAsia="zh-CN"/>
                <w14:textFill>
                  <w14:solidFill>
                    <w14:schemeClr w14:val="tx1"/>
                  </w14:solidFill>
                </w14:textFill>
              </w:rPr>
            </w:pPr>
          </w:p>
        </w:tc>
      </w:tr>
      <w:tr w14:paraId="358AD6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726" w:type="dxa"/>
            <w:vMerge w:val="continue"/>
            <w:vAlign w:val="center"/>
          </w:tcPr>
          <w:p w14:paraId="7BF683CE">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A1EA47E">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top"/>
          </w:tcPr>
          <w:p w14:paraId="71C8107A">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en-US"/>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玉米油</w:t>
            </w:r>
          </w:p>
        </w:tc>
        <w:tc>
          <w:tcPr>
            <w:tcW w:w="892" w:type="dxa"/>
            <w:vAlign w:val="top"/>
          </w:tcPr>
          <w:p w14:paraId="789F636F">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en-US"/>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38940F61">
            <w:pPr>
              <w:widowControl/>
              <w:spacing w:line="280" w:lineRule="exact"/>
              <w:jc w:val="both"/>
              <w:textAlignment w:val="center"/>
              <w:rPr>
                <w:rFonts w:hint="eastAsia" w:ascii="宋体" w:hAnsi="宋体" w:eastAsia="宋体" w:cs="宋体"/>
                <w:color w:val="000000" w:themeColor="text1"/>
                <w:spacing w:val="0"/>
                <w:position w:val="0"/>
                <w:sz w:val="21"/>
                <w:szCs w:val="21"/>
                <w:lang w:val="en-US" w:eastAsia="en-US"/>
                <w14:textFill>
                  <w14:solidFill>
                    <w14:schemeClr w14:val="tx1"/>
                  </w14:solidFill>
                </w14:textFill>
              </w:rPr>
            </w:pPr>
            <w:r>
              <w:rPr>
                <w:rFonts w:hint="eastAsia" w:ascii="宋体" w:hAnsi="宋体" w:eastAsia="宋体" w:cs="宋体"/>
                <w:spacing w:val="0"/>
                <w:w w:val="95"/>
                <w:position w:val="0"/>
                <w:sz w:val="21"/>
                <w:szCs w:val="21"/>
              </w:rPr>
              <w:t>酸值/酸价、过氧化值、黄曲霉毒素B1、苯并[a]芘、特丁基对苯二酚（TBHQ）</w:t>
            </w:r>
          </w:p>
        </w:tc>
        <w:tc>
          <w:tcPr>
            <w:tcW w:w="1367" w:type="dxa"/>
            <w:vAlign w:val="center"/>
          </w:tcPr>
          <w:p w14:paraId="4A4DD290">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70220C3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C12DF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726" w:type="dxa"/>
            <w:vMerge w:val="continue"/>
            <w:vAlign w:val="center"/>
          </w:tcPr>
          <w:p w14:paraId="72099BE1">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38EDC209">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C0E2A1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芝麻油</w:t>
            </w:r>
          </w:p>
        </w:tc>
        <w:tc>
          <w:tcPr>
            <w:tcW w:w="892" w:type="dxa"/>
            <w:vAlign w:val="center"/>
          </w:tcPr>
          <w:p w14:paraId="18A6FB4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86974A0">
            <w:pPr>
              <w:widowControl/>
              <w:spacing w:line="280" w:lineRule="exact"/>
              <w:jc w:val="both"/>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spacing w:val="0"/>
                <w:w w:val="95"/>
                <w:position w:val="0"/>
                <w:sz w:val="21"/>
                <w:szCs w:val="21"/>
              </w:rPr>
              <w:t>酸值/酸价、过氧化值、苯并[a]芘、溶剂残留量、乙基麦芽酚</w:t>
            </w:r>
          </w:p>
        </w:tc>
        <w:tc>
          <w:tcPr>
            <w:tcW w:w="1367" w:type="dxa"/>
            <w:vAlign w:val="center"/>
          </w:tcPr>
          <w:p w14:paraId="5C1145F0">
            <w:pPr>
              <w:widowControl/>
              <w:spacing w:line="280" w:lineRule="exact"/>
              <w:jc w:val="center"/>
              <w:textAlignment w:val="center"/>
              <w:rPr>
                <w:rFonts w:hint="eastAsia" w:ascii="宋体" w:hAnsi="宋体" w:eastAsia="宋体" w:cs="宋体"/>
                <w:color w:val="000000" w:themeColor="text1"/>
                <w:spacing w:val="0"/>
                <w:kern w:val="31"/>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5831049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3B3EEC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5" w:hRule="atLeast"/>
        </w:trPr>
        <w:tc>
          <w:tcPr>
            <w:tcW w:w="726" w:type="dxa"/>
            <w:vMerge w:val="continue"/>
            <w:vAlign w:val="center"/>
          </w:tcPr>
          <w:p w14:paraId="06DC1130">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5E85445D">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890448B">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菜籽油</w:t>
            </w:r>
          </w:p>
        </w:tc>
        <w:tc>
          <w:tcPr>
            <w:tcW w:w="892" w:type="dxa"/>
            <w:vAlign w:val="center"/>
          </w:tcPr>
          <w:p w14:paraId="01BDA175">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高</w:t>
            </w:r>
          </w:p>
        </w:tc>
        <w:tc>
          <w:tcPr>
            <w:tcW w:w="6199" w:type="dxa"/>
            <w:vAlign w:val="center"/>
          </w:tcPr>
          <w:p w14:paraId="63DB2F72">
            <w:pPr>
              <w:widowControl/>
              <w:spacing w:line="380" w:lineRule="exact"/>
              <w:jc w:val="both"/>
              <w:textAlignment w:val="top"/>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酸值/酸价、过氧化值、铅（以Pb计）、苯并[a]芘、溶剂残留量、特丁基对苯二酚</w:t>
            </w:r>
            <w:r>
              <w:rPr>
                <w:rFonts w:hint="eastAsia" w:ascii="宋体" w:hAnsi="宋体" w:eastAsia="宋体" w:cs="宋体"/>
                <w:spacing w:val="0"/>
                <w:w w:val="94"/>
                <w:position w:val="0"/>
                <w:sz w:val="21"/>
                <w:szCs w:val="21"/>
              </w:rPr>
              <w:t>（</w:t>
            </w:r>
            <w:r>
              <w:rPr>
                <w:rFonts w:hint="eastAsia" w:ascii="宋体" w:hAnsi="宋体" w:eastAsia="宋体" w:cs="宋体"/>
                <w:spacing w:val="0"/>
                <w:w w:val="101"/>
                <w:position w:val="0"/>
                <w:sz w:val="21"/>
                <w:szCs w:val="21"/>
              </w:rPr>
              <w:t>T</w:t>
            </w:r>
            <w:r>
              <w:rPr>
                <w:rFonts w:hint="eastAsia" w:ascii="宋体" w:hAnsi="宋体" w:eastAsia="宋体" w:cs="宋体"/>
                <w:spacing w:val="0"/>
                <w:w w:val="92"/>
                <w:position w:val="0"/>
                <w:sz w:val="21"/>
                <w:szCs w:val="21"/>
              </w:rPr>
              <w:t>B</w:t>
            </w:r>
            <w:r>
              <w:rPr>
                <w:rFonts w:hint="eastAsia" w:ascii="宋体" w:hAnsi="宋体" w:eastAsia="宋体" w:cs="宋体"/>
                <w:spacing w:val="0"/>
                <w:w w:val="106"/>
                <w:position w:val="0"/>
                <w:sz w:val="21"/>
                <w:szCs w:val="21"/>
              </w:rPr>
              <w:t>H</w:t>
            </w:r>
            <w:r>
              <w:rPr>
                <w:rFonts w:hint="eastAsia" w:ascii="宋体" w:hAnsi="宋体" w:eastAsia="宋体" w:cs="宋体"/>
                <w:spacing w:val="0"/>
                <w:w w:val="108"/>
                <w:position w:val="0"/>
                <w:sz w:val="21"/>
                <w:szCs w:val="21"/>
              </w:rPr>
              <w:t>Q</w:t>
            </w:r>
            <w:r>
              <w:rPr>
                <w:rFonts w:hint="eastAsia" w:ascii="宋体" w:hAnsi="宋体" w:eastAsia="宋体" w:cs="宋体"/>
                <w:spacing w:val="0"/>
                <w:w w:val="94"/>
                <w:position w:val="0"/>
                <w:sz w:val="21"/>
                <w:szCs w:val="21"/>
              </w:rPr>
              <w:t>）</w:t>
            </w:r>
            <w:r>
              <w:rPr>
                <w:rFonts w:hint="eastAsia" w:ascii="宋体" w:hAnsi="宋体" w:eastAsia="宋体" w:cs="宋体"/>
                <w:spacing w:val="0"/>
                <w:position w:val="0"/>
                <w:sz w:val="21"/>
                <w:szCs w:val="21"/>
              </w:rPr>
              <w:t>、</w:t>
            </w:r>
            <w:r>
              <w:rPr>
                <w:rFonts w:hint="eastAsia" w:ascii="宋体" w:hAnsi="宋体" w:eastAsia="宋体" w:cs="宋体"/>
                <w:spacing w:val="0"/>
                <w:w w:val="105"/>
                <w:position w:val="0"/>
                <w:sz w:val="21"/>
                <w:szCs w:val="21"/>
              </w:rPr>
              <w:t>乙基麦芽酚</w:t>
            </w:r>
          </w:p>
        </w:tc>
        <w:tc>
          <w:tcPr>
            <w:tcW w:w="1367" w:type="dxa"/>
            <w:vAlign w:val="center"/>
          </w:tcPr>
          <w:p w14:paraId="7D53D2D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2714BAE5">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707203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5" w:hRule="atLeast"/>
        </w:trPr>
        <w:tc>
          <w:tcPr>
            <w:tcW w:w="726" w:type="dxa"/>
            <w:vMerge w:val="continue"/>
            <w:vAlign w:val="center"/>
          </w:tcPr>
          <w:p w14:paraId="0E8A3476">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5EA8A53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CD798E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大豆油</w:t>
            </w:r>
          </w:p>
        </w:tc>
        <w:tc>
          <w:tcPr>
            <w:tcW w:w="892" w:type="dxa"/>
            <w:vAlign w:val="center"/>
          </w:tcPr>
          <w:p w14:paraId="55696AC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6D4C2419">
            <w:pPr>
              <w:widowControl/>
              <w:spacing w:line="380" w:lineRule="exact"/>
              <w:jc w:val="both"/>
              <w:textAlignment w:val="top"/>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酸值/酸价、过氧化值、苯并[a]芘、溶剂残留量、特丁基对苯二酚（TBHQ）</w:t>
            </w:r>
          </w:p>
        </w:tc>
        <w:tc>
          <w:tcPr>
            <w:tcW w:w="1367" w:type="dxa"/>
            <w:vAlign w:val="center"/>
          </w:tcPr>
          <w:p w14:paraId="431CC93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0971662A">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9CDEC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1" w:hRule="atLeast"/>
        </w:trPr>
        <w:tc>
          <w:tcPr>
            <w:tcW w:w="726" w:type="dxa"/>
            <w:vMerge w:val="continue"/>
            <w:vAlign w:val="center"/>
          </w:tcPr>
          <w:p w14:paraId="590B0678">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5BD56407">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526568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食用植物调和油</w:t>
            </w:r>
          </w:p>
        </w:tc>
        <w:tc>
          <w:tcPr>
            <w:tcW w:w="892" w:type="dxa"/>
            <w:vAlign w:val="center"/>
          </w:tcPr>
          <w:p w14:paraId="2554CA7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745A6C37">
            <w:pPr>
              <w:widowControl/>
              <w:spacing w:line="380" w:lineRule="exact"/>
              <w:jc w:val="both"/>
              <w:textAlignment w:val="top"/>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酸价、过氧化值、苯并[a]芘、溶剂残留量、特丁基对苯二酚（TBHQ）、乙基麦芽酚</w:t>
            </w:r>
          </w:p>
        </w:tc>
        <w:tc>
          <w:tcPr>
            <w:tcW w:w="1367" w:type="dxa"/>
            <w:vAlign w:val="center"/>
          </w:tcPr>
          <w:p w14:paraId="7F781FDD">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1DF37EBA">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14D1AC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639" w:hRule="atLeast"/>
        </w:trPr>
        <w:tc>
          <w:tcPr>
            <w:tcW w:w="726" w:type="dxa"/>
            <w:vMerge w:val="restart"/>
            <w:shd w:val="clear" w:color="auto" w:fill="auto"/>
            <w:vAlign w:val="center"/>
          </w:tcPr>
          <w:p w14:paraId="6863F11B">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3</w:t>
            </w:r>
          </w:p>
        </w:tc>
        <w:tc>
          <w:tcPr>
            <w:tcW w:w="1418" w:type="dxa"/>
            <w:vMerge w:val="restart"/>
            <w:shd w:val="clear" w:color="auto" w:fill="FFFFFF"/>
            <w:vAlign w:val="center"/>
          </w:tcPr>
          <w:p w14:paraId="7747B97A">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调味品</w:t>
            </w:r>
          </w:p>
        </w:tc>
        <w:tc>
          <w:tcPr>
            <w:tcW w:w="2268" w:type="dxa"/>
            <w:shd w:val="clear" w:color="auto" w:fill="FFFFFF"/>
            <w:vAlign w:val="center"/>
          </w:tcPr>
          <w:p w14:paraId="0B6345C6">
            <w:pPr>
              <w:widowControl/>
              <w:spacing w:line="280" w:lineRule="exact"/>
              <w:jc w:val="center"/>
              <w:rPr>
                <w:rFonts w:hint="eastAsia" w:ascii="宋体" w:hAnsi="宋体" w:eastAsia="宋体" w:cs="宋体"/>
                <w:color w:val="000000" w:themeColor="text1"/>
                <w:spacing w:val="0"/>
                <w:kern w:val="31"/>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食醋</w:t>
            </w:r>
          </w:p>
        </w:tc>
        <w:tc>
          <w:tcPr>
            <w:tcW w:w="892" w:type="dxa"/>
            <w:vAlign w:val="center"/>
          </w:tcPr>
          <w:p w14:paraId="76611E10">
            <w:pPr>
              <w:widowControl/>
              <w:spacing w:line="280" w:lineRule="exact"/>
              <w:jc w:val="center"/>
              <w:textAlignment w:val="center"/>
              <w:rPr>
                <w:rFonts w:hint="eastAsia" w:ascii="宋体" w:hAnsi="宋体" w:eastAsia="宋体" w:cs="宋体"/>
                <w:color w:val="000000" w:themeColor="text1"/>
                <w:spacing w:val="0"/>
                <w:kern w:val="31"/>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一般</w:t>
            </w:r>
          </w:p>
        </w:tc>
        <w:tc>
          <w:tcPr>
            <w:tcW w:w="6199" w:type="dxa"/>
            <w:vAlign w:val="center"/>
          </w:tcPr>
          <w:p w14:paraId="79D5A53E">
            <w:pPr>
              <w:pStyle w:val="34"/>
              <w:spacing w:before="44" w:line="261" w:lineRule="auto"/>
              <w:ind w:left="3" w:right="-116"/>
              <w:jc w:val="left"/>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总酸（以乙酸计）、不挥发酸（以乳酸计）、苯甲酸及其钠盐（以苯甲酸计）、山梨酸及其钾盐（以山梨酸计）、脱氢乙酸及其钠盐（以脱氢乙酸计）、对羟基苯甲酸酯类及</w:t>
            </w:r>
            <w:r>
              <w:rPr>
                <w:rFonts w:hint="eastAsia" w:ascii="宋体" w:hAnsi="宋体" w:eastAsia="宋体" w:cs="宋体"/>
                <w:spacing w:val="0"/>
                <w:w w:val="95"/>
                <w:position w:val="0"/>
                <w:sz w:val="21"/>
                <w:szCs w:val="21"/>
              </w:rPr>
              <w:t>其钠盐（以对羟基苯甲酸计）、防腐剂混合使用时各自用量占其最大使用量的比例之和、糖精钠（以糖精计）、三氯蔗糖、甜蜜素（以环己基氨基磺酸计）、菌落总数</w:t>
            </w:r>
          </w:p>
        </w:tc>
        <w:tc>
          <w:tcPr>
            <w:tcW w:w="1367" w:type="dxa"/>
            <w:vAlign w:val="center"/>
          </w:tcPr>
          <w:p w14:paraId="6C8CE5A8">
            <w:pPr>
              <w:widowControl/>
              <w:spacing w:line="280" w:lineRule="exact"/>
              <w:jc w:val="center"/>
              <w:textAlignment w:val="center"/>
              <w:rPr>
                <w:rFonts w:hint="eastAsia" w:ascii="宋体" w:hAnsi="宋体" w:eastAsia="宋体" w:cs="宋体"/>
                <w:color w:val="000000" w:themeColor="text1"/>
                <w:spacing w:val="0"/>
                <w:kern w:val="31"/>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w:t>
            </w:r>
          </w:p>
        </w:tc>
        <w:tc>
          <w:tcPr>
            <w:tcW w:w="1316" w:type="dxa"/>
            <w:vAlign w:val="center"/>
          </w:tcPr>
          <w:p w14:paraId="61F1F935">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224A9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90" w:hRule="atLeast"/>
        </w:trPr>
        <w:tc>
          <w:tcPr>
            <w:tcW w:w="726" w:type="dxa"/>
            <w:vMerge w:val="continue"/>
            <w:shd w:val="clear" w:color="auto" w:fill="auto"/>
            <w:vAlign w:val="center"/>
          </w:tcPr>
          <w:p w14:paraId="276C024B">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FFFFFF"/>
            <w:vAlign w:val="center"/>
          </w:tcPr>
          <w:p w14:paraId="2D2314AD">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FFFFFF"/>
            <w:vAlign w:val="center"/>
          </w:tcPr>
          <w:p w14:paraId="6EE7976F">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坚果与籽类的</w:t>
            </w:r>
          </w:p>
          <w:p w14:paraId="56134B97">
            <w:pPr>
              <w:widowControl/>
              <w:spacing w:line="280" w:lineRule="exact"/>
              <w:ind w:left="0" w:leftChars="0" w:right="0" w:rightChars="0"/>
              <w:jc w:val="center"/>
              <w:rPr>
                <w:rFonts w:hint="eastAsia" w:ascii="宋体" w:hAnsi="宋体" w:eastAsia="宋体" w:cs="宋体"/>
                <w:color w:val="000000" w:themeColor="text1"/>
                <w:spacing w:val="0"/>
                <w:kern w:val="31"/>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泥（酱）</w:t>
            </w:r>
          </w:p>
        </w:tc>
        <w:tc>
          <w:tcPr>
            <w:tcW w:w="892" w:type="dxa"/>
            <w:shd w:val="clear" w:color="auto" w:fill="auto"/>
            <w:vAlign w:val="center"/>
          </w:tcPr>
          <w:p w14:paraId="642AF792">
            <w:pPr>
              <w:widowControl/>
              <w:spacing w:line="280" w:lineRule="exact"/>
              <w:ind w:left="0" w:leftChars="0" w:right="0" w:rightChars="0"/>
              <w:jc w:val="center"/>
              <w:textAlignment w:val="center"/>
              <w:rPr>
                <w:rFonts w:hint="eastAsia" w:ascii="宋体" w:hAnsi="宋体" w:eastAsia="宋体" w:cs="宋体"/>
                <w:color w:val="000000" w:themeColor="text1"/>
                <w:spacing w:val="0"/>
                <w:kern w:val="31"/>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31"/>
                <w:position w:val="0"/>
                <w:sz w:val="21"/>
                <w:szCs w:val="21"/>
                <w14:textFill>
                  <w14:solidFill>
                    <w14:schemeClr w14:val="tx1"/>
                  </w14:solidFill>
                </w14:textFill>
              </w:rPr>
              <w:t>一般</w:t>
            </w:r>
          </w:p>
        </w:tc>
        <w:tc>
          <w:tcPr>
            <w:tcW w:w="6199" w:type="dxa"/>
            <w:shd w:val="clear" w:color="auto" w:fill="auto"/>
            <w:vAlign w:val="center"/>
          </w:tcPr>
          <w:p w14:paraId="7B120334">
            <w:pPr>
              <w:pStyle w:val="34"/>
              <w:spacing w:line="380" w:lineRule="exact"/>
              <w:ind w:left="39" w:leftChars="0" w:right="0" w:rightChars="0"/>
              <w:jc w:val="both"/>
              <w:rPr>
                <w:rFonts w:hint="eastAsia" w:ascii="宋体" w:hAnsi="宋体" w:eastAsia="宋体" w:cs="宋体"/>
                <w:color w:val="000000" w:themeColor="text1"/>
                <w:spacing w:val="0"/>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酸价/酸值、过氧化值、铅（以Pb计）、黄曲霉毒素B1</w:t>
            </w:r>
          </w:p>
        </w:tc>
        <w:tc>
          <w:tcPr>
            <w:tcW w:w="1367" w:type="dxa"/>
            <w:shd w:val="clear" w:color="auto" w:fill="auto"/>
            <w:vAlign w:val="center"/>
          </w:tcPr>
          <w:p w14:paraId="25DADB32">
            <w:pPr>
              <w:widowControl/>
              <w:spacing w:line="280" w:lineRule="exact"/>
              <w:ind w:left="0" w:leftChars="0" w:right="0" w:rightChars="0"/>
              <w:jc w:val="center"/>
              <w:textAlignment w:val="center"/>
              <w:rPr>
                <w:rFonts w:hint="eastAsia" w:ascii="宋体" w:hAnsi="宋体" w:eastAsia="宋体" w:cs="宋体"/>
                <w:color w:val="000000" w:themeColor="text1"/>
                <w:spacing w:val="0"/>
                <w:kern w:val="31"/>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w:t>
            </w:r>
          </w:p>
        </w:tc>
        <w:tc>
          <w:tcPr>
            <w:tcW w:w="1316" w:type="dxa"/>
            <w:shd w:val="clear" w:color="auto" w:fill="auto"/>
            <w:vAlign w:val="center"/>
          </w:tcPr>
          <w:p w14:paraId="43B81F28">
            <w:pPr>
              <w:widowControl/>
              <w:spacing w:line="280" w:lineRule="exact"/>
              <w:ind w:left="0" w:leftChars="0" w:right="0" w:rightChars="0"/>
              <w:jc w:val="left"/>
              <w:rPr>
                <w:rFonts w:hint="eastAsia" w:ascii="宋体" w:hAnsi="宋体" w:eastAsia="宋体" w:cs="宋体"/>
                <w:color w:val="000000" w:themeColor="text1"/>
                <w:spacing w:val="0"/>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黄曲霉毒素B</w:t>
            </w:r>
            <w:r>
              <w:rPr>
                <w:rFonts w:hint="eastAsia" w:ascii="宋体" w:hAnsi="宋体" w:eastAsia="宋体" w:cs="宋体"/>
                <w:color w:val="000000" w:themeColor="text1"/>
                <w:spacing w:val="0"/>
                <w:position w:val="0"/>
                <w:sz w:val="21"/>
                <w:szCs w:val="21"/>
                <w:vertAlign w:val="subscript"/>
                <w14:textFill>
                  <w14:solidFill>
                    <w14:schemeClr w14:val="tx1"/>
                  </w14:solidFill>
                </w14:textFill>
              </w:rPr>
              <w:t>1</w:t>
            </w:r>
            <w:r>
              <w:rPr>
                <w:rFonts w:hint="eastAsia" w:ascii="宋体" w:hAnsi="宋体" w:eastAsia="宋体" w:cs="宋体"/>
                <w:color w:val="000000" w:themeColor="text1"/>
                <w:spacing w:val="0"/>
                <w:position w:val="0"/>
                <w:sz w:val="21"/>
                <w:szCs w:val="21"/>
                <w14:textFill>
                  <w14:solidFill>
                    <w14:schemeClr w14:val="tx1"/>
                  </w14:solidFill>
                </w14:textFill>
              </w:rPr>
              <w:t>限花生制品</w:t>
            </w:r>
          </w:p>
        </w:tc>
      </w:tr>
      <w:tr w14:paraId="359B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90" w:hRule="atLeast"/>
        </w:trPr>
        <w:tc>
          <w:tcPr>
            <w:tcW w:w="726" w:type="dxa"/>
            <w:vMerge w:val="continue"/>
            <w:shd w:val="clear" w:color="auto" w:fill="auto"/>
            <w:vAlign w:val="center"/>
          </w:tcPr>
          <w:p w14:paraId="5E2E44EA">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FFFFFF"/>
            <w:vAlign w:val="center"/>
          </w:tcPr>
          <w:p w14:paraId="1B58F77C">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FFFFFF"/>
            <w:vAlign w:val="center"/>
          </w:tcPr>
          <w:p w14:paraId="02FFC2F7">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食盐</w:t>
            </w:r>
          </w:p>
        </w:tc>
        <w:tc>
          <w:tcPr>
            <w:tcW w:w="892" w:type="dxa"/>
            <w:vAlign w:val="center"/>
          </w:tcPr>
          <w:p w14:paraId="4CD53DC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一般</w:t>
            </w:r>
          </w:p>
        </w:tc>
        <w:tc>
          <w:tcPr>
            <w:tcW w:w="6199" w:type="dxa"/>
            <w:vAlign w:val="center"/>
          </w:tcPr>
          <w:p w14:paraId="289357F5">
            <w:pPr>
              <w:pStyle w:val="34"/>
              <w:spacing w:before="44"/>
              <w:ind w:left="3"/>
              <w:jc w:val="both"/>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position w:val="0"/>
                <w:sz w:val="21"/>
                <w:szCs w:val="21"/>
              </w:rPr>
              <w:t>氯化钠、钡（以Ba计）、碘（以</w:t>
            </w:r>
            <w:r>
              <w:rPr>
                <w:rFonts w:hint="eastAsia" w:ascii="宋体" w:hAnsi="宋体" w:eastAsia="宋体" w:cs="宋体"/>
                <w:spacing w:val="0"/>
                <w:position w:val="0"/>
                <w:sz w:val="21"/>
                <w:szCs w:val="21"/>
                <w:lang w:val="en-US" w:eastAsia="zh-CN"/>
              </w:rPr>
              <w:t>I</w:t>
            </w:r>
            <w:r>
              <w:rPr>
                <w:rFonts w:hint="eastAsia" w:ascii="宋体" w:hAnsi="宋体" w:eastAsia="宋体" w:cs="宋体"/>
                <w:spacing w:val="0"/>
                <w:position w:val="0"/>
                <w:sz w:val="21"/>
                <w:szCs w:val="21"/>
              </w:rPr>
              <w:t>计）、铅（以Pb 计）、总砷（以 As计）、镉（以Cd计）、总汞（以Hg计）、亚铁氰化钾/亚铁氰化钠（以亚铁氰根计</w:t>
            </w:r>
            <w:r>
              <w:rPr>
                <w:rFonts w:hint="eastAsia" w:ascii="宋体" w:hAnsi="宋体" w:eastAsia="宋体" w:cs="宋体"/>
                <w:spacing w:val="0"/>
                <w:position w:val="0"/>
                <w:sz w:val="21"/>
                <w:szCs w:val="21"/>
                <w:lang w:val="en-US" w:eastAsia="zh-CN"/>
              </w:rPr>
              <w:t>)</w:t>
            </w:r>
          </w:p>
        </w:tc>
        <w:tc>
          <w:tcPr>
            <w:tcW w:w="1367" w:type="dxa"/>
            <w:vAlign w:val="center"/>
          </w:tcPr>
          <w:p w14:paraId="2B0ED45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721BA5A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3DBBD8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8" w:hRule="atLeast"/>
        </w:trPr>
        <w:tc>
          <w:tcPr>
            <w:tcW w:w="726" w:type="dxa"/>
            <w:vAlign w:val="center"/>
          </w:tcPr>
          <w:p w14:paraId="79B1F54A">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4</w:t>
            </w:r>
          </w:p>
        </w:tc>
        <w:tc>
          <w:tcPr>
            <w:tcW w:w="1418" w:type="dxa"/>
            <w:vAlign w:val="center"/>
          </w:tcPr>
          <w:p w14:paraId="61EC1BE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肉制品</w:t>
            </w:r>
          </w:p>
        </w:tc>
        <w:tc>
          <w:tcPr>
            <w:tcW w:w="2268" w:type="dxa"/>
            <w:vAlign w:val="center"/>
          </w:tcPr>
          <w:p w14:paraId="166A7B48">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酱卤肉制品</w:t>
            </w:r>
          </w:p>
        </w:tc>
        <w:tc>
          <w:tcPr>
            <w:tcW w:w="892" w:type="dxa"/>
            <w:vAlign w:val="center"/>
          </w:tcPr>
          <w:p w14:paraId="7DDC275A">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44AB0D7C">
            <w:pPr>
              <w:pStyle w:val="34"/>
              <w:spacing w:before="45" w:line="261" w:lineRule="auto"/>
              <w:ind w:left="3" w:right="-15"/>
              <w:jc w:val="both"/>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spacing w:val="0"/>
                <w:w w:val="99"/>
                <w:position w:val="0"/>
                <w:sz w:val="21"/>
                <w:szCs w:val="21"/>
              </w:rPr>
              <w:t>镉（以</w:t>
            </w:r>
            <w:r>
              <w:rPr>
                <w:rFonts w:hint="eastAsia" w:ascii="宋体" w:hAnsi="宋体" w:eastAsia="宋体" w:cs="宋体"/>
                <w:spacing w:val="0"/>
                <w:w w:val="100"/>
                <w:position w:val="0"/>
                <w:sz w:val="21"/>
                <w:szCs w:val="21"/>
              </w:rPr>
              <w:t>C</w:t>
            </w:r>
            <w:r>
              <w:rPr>
                <w:rFonts w:hint="eastAsia" w:ascii="宋体" w:hAnsi="宋体" w:eastAsia="宋体" w:cs="宋体"/>
                <w:spacing w:val="0"/>
                <w:w w:val="105"/>
                <w:position w:val="0"/>
                <w:sz w:val="21"/>
                <w:szCs w:val="21"/>
              </w:rPr>
              <w:t>d</w:t>
            </w:r>
            <w:r>
              <w:rPr>
                <w:rFonts w:hint="eastAsia" w:ascii="宋体" w:hAnsi="宋体" w:eastAsia="宋体" w:cs="宋体"/>
                <w:spacing w:val="0"/>
                <w:w w:val="99"/>
                <w:position w:val="0"/>
                <w:sz w:val="21"/>
                <w:szCs w:val="21"/>
              </w:rPr>
              <w:t>计）、铬（以</w:t>
            </w:r>
            <w:r>
              <w:rPr>
                <w:rFonts w:hint="eastAsia" w:ascii="宋体" w:hAnsi="宋体" w:eastAsia="宋体" w:cs="宋体"/>
                <w:spacing w:val="0"/>
                <w:w w:val="100"/>
                <w:position w:val="0"/>
                <w:sz w:val="21"/>
                <w:szCs w:val="21"/>
              </w:rPr>
              <w:t>C</w:t>
            </w:r>
            <w:r>
              <w:rPr>
                <w:rFonts w:hint="eastAsia" w:ascii="宋体" w:hAnsi="宋体" w:eastAsia="宋体" w:cs="宋体"/>
                <w:spacing w:val="0"/>
                <w:w w:val="105"/>
                <w:position w:val="0"/>
                <w:sz w:val="21"/>
                <w:szCs w:val="21"/>
              </w:rPr>
              <w:t>r</w:t>
            </w:r>
            <w:r>
              <w:rPr>
                <w:rFonts w:hint="eastAsia" w:ascii="宋体" w:hAnsi="宋体" w:eastAsia="宋体" w:cs="宋体"/>
                <w:spacing w:val="0"/>
                <w:w w:val="99"/>
                <w:position w:val="0"/>
                <w:sz w:val="21"/>
                <w:szCs w:val="21"/>
              </w:rPr>
              <w:t>计）、总砷（以As计）、</w:t>
            </w:r>
            <w:r>
              <w:rPr>
                <w:rFonts w:hint="eastAsia" w:ascii="宋体" w:hAnsi="宋体" w:eastAsia="宋体" w:cs="宋体"/>
                <w:spacing w:val="0"/>
                <w:w w:val="113"/>
                <w:position w:val="0"/>
                <w:sz w:val="21"/>
                <w:szCs w:val="21"/>
              </w:rPr>
              <w:t>N</w:t>
            </w:r>
            <w:r>
              <w:rPr>
                <w:rFonts w:hint="eastAsia" w:ascii="宋体" w:hAnsi="宋体" w:eastAsia="宋体" w:cs="宋体"/>
                <w:spacing w:val="0"/>
                <w:w w:val="99"/>
                <w:position w:val="0"/>
                <w:sz w:val="21"/>
                <w:szCs w:val="21"/>
              </w:rPr>
              <w:t>－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w:t>
            </w:r>
            <w:r>
              <w:rPr>
                <w:rFonts w:hint="eastAsia" w:ascii="宋体" w:hAnsi="宋体" w:eastAsia="宋体" w:cs="宋体"/>
                <w:spacing w:val="0"/>
                <w:w w:val="95"/>
                <w:position w:val="0"/>
                <w:sz w:val="21"/>
                <w:szCs w:val="21"/>
              </w:rPr>
              <w:t>特氏菌、致泻大肠埃希氏菌、商业无菌</w:t>
            </w:r>
            <w:r>
              <w:rPr>
                <w:rFonts w:hint="eastAsia" w:ascii="宋体" w:hAnsi="宋体" w:eastAsia="宋体" w:cs="宋体"/>
                <w:spacing w:val="0"/>
                <w:w w:val="95"/>
                <w:position w:val="0"/>
                <w:sz w:val="21"/>
                <w:szCs w:val="21"/>
                <w:lang w:eastAsia="zh-CN"/>
              </w:rPr>
              <w:t>、磷酸及磷酸盐</w:t>
            </w:r>
          </w:p>
        </w:tc>
        <w:tc>
          <w:tcPr>
            <w:tcW w:w="1367" w:type="dxa"/>
            <w:vAlign w:val="center"/>
          </w:tcPr>
          <w:p w14:paraId="73F58AE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w:t>
            </w:r>
          </w:p>
        </w:tc>
        <w:tc>
          <w:tcPr>
            <w:tcW w:w="1316" w:type="dxa"/>
            <w:vAlign w:val="center"/>
          </w:tcPr>
          <w:p w14:paraId="4482BBD7">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B8B51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5" w:hRule="atLeast"/>
        </w:trPr>
        <w:tc>
          <w:tcPr>
            <w:tcW w:w="726" w:type="dxa"/>
            <w:vMerge w:val="restart"/>
            <w:vAlign w:val="center"/>
          </w:tcPr>
          <w:p w14:paraId="1D89DBD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5925BC4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47CB171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6CA4797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bCs/>
                <w:spacing w:val="0"/>
                <w:position w:val="0"/>
                <w:sz w:val="21"/>
                <w:szCs w:val="21"/>
              </w:rP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169545</wp:posOffset>
                      </wp:positionV>
                      <wp:extent cx="403225" cy="890270"/>
                      <wp:effectExtent l="4445" t="4445" r="11430" b="1968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3225" cy="890270"/>
                              </a:xfrm>
                              <a:prstGeom prst="rect">
                                <a:avLst/>
                              </a:prstGeom>
                              <a:solidFill>
                                <a:srgbClr val="FFFFFF"/>
                              </a:solidFill>
                              <a:ln w="9525">
                                <a:solidFill>
                                  <a:srgbClr val="FFFFFF"/>
                                </a:solidFill>
                                <a:miter lim="800000"/>
                              </a:ln>
                              <a:effectLst/>
                            </wps:spPr>
                            <wps:txbx>
                              <w:txbxContent>
                                <w:p w14:paraId="61F70923"/>
                              </w:txbxContent>
                            </wps:txbx>
                            <wps:bodyPr rot="0" vert="vert" wrap="square" lIns="91440" tIns="45720" rIns="91440" bIns="45720" anchor="t" anchorCtr="0">
                              <a:noAutofit/>
                            </wps:bodyPr>
                          </wps:wsp>
                        </a:graphicData>
                      </a:graphic>
                    </wp:anchor>
                  </w:drawing>
                </mc:Choice>
                <mc:Fallback>
                  <w:pict>
                    <v:shape id="文本框 2" o:spid="_x0000_s1026" o:spt="202" type="#_x0000_t202" style="position:absolute;left:0pt;margin-left:-39.25pt;margin-top:13.35pt;height:70.1pt;width:31.75pt;z-index:251660288;mso-width-relative:page;mso-height-relative:page;" fillcolor="#FFFFFF" filled="t" stroked="t" coordsize="21600,21600" o:gfxdata="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KtOj2QAAAAoBAAAPAAAAAAAAAAEAIAAAACIAAABkcnMv&#10;ZG93bnJldi54bWxQSwECFAAUAAAACACHTuJATNbRSzsCAACKBAAADgAAAAAAAAABACAAAAAoAQAA&#10;ZHJzL2Uyb0RvYy54bWxQSwUGAAAAAAYABgBZAQAA1QUAAAAA&#10;">
                      <v:fill on="t" focussize="0,0"/>
                      <v:stroke color="#FFFFFF" miterlimit="8" joinstyle="miter"/>
                      <v:imagedata o:title=""/>
                      <o:lock v:ext="edit" aspectratio="f"/>
                      <v:textbox style="layout-flow:vertical;">
                        <w:txbxContent>
                          <w:p w14:paraId="61F70923"/>
                        </w:txbxContent>
                      </v:textbox>
                    </v:shape>
                  </w:pict>
                </mc:Fallback>
              </mc:AlternateContent>
            </w:r>
          </w:p>
          <w:p w14:paraId="166CBF6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5</w:t>
            </w:r>
          </w:p>
        </w:tc>
        <w:tc>
          <w:tcPr>
            <w:tcW w:w="1418" w:type="dxa"/>
            <w:vMerge w:val="restart"/>
            <w:vAlign w:val="center"/>
          </w:tcPr>
          <w:p w14:paraId="2705B05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乳制品</w:t>
            </w:r>
          </w:p>
        </w:tc>
        <w:tc>
          <w:tcPr>
            <w:tcW w:w="2268" w:type="dxa"/>
            <w:vAlign w:val="center"/>
          </w:tcPr>
          <w:p w14:paraId="3EC94C6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巴氏杀菌乳</w:t>
            </w:r>
          </w:p>
        </w:tc>
        <w:tc>
          <w:tcPr>
            <w:tcW w:w="892" w:type="dxa"/>
            <w:vAlign w:val="center"/>
          </w:tcPr>
          <w:p w14:paraId="6979F27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AE41F59">
            <w:pPr>
              <w:widowControl/>
              <w:spacing w:line="380" w:lineRule="exact"/>
              <w:jc w:val="both"/>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蛋白质、酸度、三聚氰胺、铅（以Pb计）、丙二醇、沙门氏菌、金黄色葡萄球菌、菌落总数、大肠菌群</w:t>
            </w:r>
          </w:p>
        </w:tc>
        <w:tc>
          <w:tcPr>
            <w:tcW w:w="1367" w:type="dxa"/>
            <w:vAlign w:val="center"/>
          </w:tcPr>
          <w:p w14:paraId="4F27BD43">
            <w:pPr>
              <w:widowControl/>
              <w:spacing w:line="280" w:lineRule="exact"/>
              <w:jc w:val="center"/>
              <w:textAlignment w:val="center"/>
              <w:rPr>
                <w:rFonts w:hint="eastAsia" w:ascii="宋体" w:hAnsi="宋体" w:eastAsia="宋体" w:cs="宋体"/>
                <w:color w:val="000000" w:themeColor="text1"/>
                <w:spacing w:val="0"/>
                <w:kern w:val="31"/>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130C835E">
            <w:pPr>
              <w:widowControl/>
              <w:spacing w:line="280" w:lineRule="exact"/>
              <w:jc w:val="left"/>
              <w:rPr>
                <w:rFonts w:hint="eastAsia" w:ascii="宋体" w:hAnsi="宋体" w:eastAsia="宋体" w:cs="宋体"/>
                <w:color w:val="000000" w:themeColor="text1"/>
                <w:spacing w:val="0"/>
                <w:position w:val="0"/>
                <w:sz w:val="21"/>
                <w:szCs w:val="21"/>
                <w:lang w:eastAsia="zh-CN"/>
                <w14:textFill>
                  <w14:solidFill>
                    <w14:schemeClr w14:val="tx1"/>
                  </w14:solidFill>
                </w14:textFill>
              </w:rPr>
            </w:pPr>
          </w:p>
        </w:tc>
      </w:tr>
      <w:tr w14:paraId="0A2A95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61" w:hRule="atLeast"/>
        </w:trPr>
        <w:tc>
          <w:tcPr>
            <w:tcW w:w="726" w:type="dxa"/>
            <w:vMerge w:val="continue"/>
            <w:vAlign w:val="center"/>
          </w:tcPr>
          <w:p w14:paraId="637A7CFD">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9F4544F">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14F1D9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灭菌乳</w:t>
            </w:r>
          </w:p>
        </w:tc>
        <w:tc>
          <w:tcPr>
            <w:tcW w:w="892" w:type="dxa"/>
            <w:vAlign w:val="center"/>
          </w:tcPr>
          <w:p w14:paraId="19F2E8D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34B64CAB">
            <w:pPr>
              <w:widowControl/>
              <w:spacing w:line="380" w:lineRule="exact"/>
              <w:jc w:val="both"/>
              <w:textAlignment w:val="top"/>
              <w:rPr>
                <w:rFonts w:hint="eastAsia" w:ascii="宋体" w:hAnsi="宋体" w:eastAsia="宋体" w:cs="宋体"/>
                <w:color w:val="000000" w:themeColor="text1"/>
                <w:spacing w:val="0"/>
                <w:kern w:val="2"/>
                <w:position w:val="0"/>
                <w:sz w:val="21"/>
                <w:szCs w:val="21"/>
                <w:lang w:val="zh-CN" w:eastAsia="zh-CN" w:bidi="ar-SA"/>
                <w14:textFill>
                  <w14:solidFill>
                    <w14:schemeClr w14:val="tx1"/>
                  </w14:solidFill>
                </w14:textFill>
              </w:rPr>
            </w:pPr>
            <w:r>
              <w:rPr>
                <w:rFonts w:hint="eastAsia" w:ascii="宋体" w:hAnsi="宋体" w:eastAsia="宋体" w:cs="宋体"/>
                <w:spacing w:val="0"/>
                <w:w w:val="95"/>
                <w:position w:val="0"/>
                <w:sz w:val="21"/>
                <w:szCs w:val="21"/>
              </w:rPr>
              <w:t>蛋白质、非脂乳固体、酸度、脂肪、三聚氰胺、铅（以Pb计）、丙二醇、商业无菌</w:t>
            </w:r>
          </w:p>
        </w:tc>
        <w:tc>
          <w:tcPr>
            <w:tcW w:w="1367" w:type="dxa"/>
            <w:vAlign w:val="center"/>
          </w:tcPr>
          <w:p w14:paraId="1F1904D6">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w:t>
            </w:r>
          </w:p>
        </w:tc>
        <w:tc>
          <w:tcPr>
            <w:tcW w:w="1316" w:type="dxa"/>
            <w:vAlign w:val="center"/>
          </w:tcPr>
          <w:p w14:paraId="2A18E35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189BA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61" w:hRule="atLeast"/>
        </w:trPr>
        <w:tc>
          <w:tcPr>
            <w:tcW w:w="726" w:type="dxa"/>
            <w:vMerge w:val="continue"/>
            <w:vAlign w:val="center"/>
          </w:tcPr>
          <w:p w14:paraId="0FA6A554">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0B4AF796">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9DED8B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发酵乳</w:t>
            </w:r>
          </w:p>
        </w:tc>
        <w:tc>
          <w:tcPr>
            <w:tcW w:w="892" w:type="dxa"/>
            <w:vAlign w:val="center"/>
          </w:tcPr>
          <w:p w14:paraId="40CE571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4074A9BF">
            <w:pPr>
              <w:pStyle w:val="34"/>
              <w:spacing w:before="44"/>
              <w:ind w:left="3" w:right="-116"/>
              <w:jc w:val="left"/>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w w:val="95"/>
                <w:position w:val="0"/>
                <w:sz w:val="21"/>
                <w:szCs w:val="21"/>
              </w:rPr>
              <w:t>脂肪、蛋白质、酸度、山梨酸及其钾盐（以山梨酸计）、甜蜜素（以环己基氨基磺酸计）、</w:t>
            </w:r>
            <w:r>
              <w:rPr>
                <w:rFonts w:hint="eastAsia" w:ascii="宋体" w:hAnsi="宋体" w:eastAsia="宋体" w:cs="宋体"/>
                <w:spacing w:val="0"/>
                <w:position w:val="0"/>
                <w:sz w:val="21"/>
                <w:szCs w:val="21"/>
              </w:rPr>
              <w:t>阿斯巴甜、安赛蜜、三聚氰胺、铅（以Pb计）、金黄色葡萄球菌、沙门氏菌、大肠菌群、酵母、霉菌</w:t>
            </w:r>
          </w:p>
        </w:tc>
        <w:tc>
          <w:tcPr>
            <w:tcW w:w="1367" w:type="dxa"/>
            <w:vAlign w:val="center"/>
          </w:tcPr>
          <w:p w14:paraId="7AABD0D1">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w:t>
            </w:r>
          </w:p>
        </w:tc>
        <w:tc>
          <w:tcPr>
            <w:tcW w:w="1316" w:type="dxa"/>
            <w:vAlign w:val="center"/>
          </w:tcPr>
          <w:p w14:paraId="1B03388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DFC7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49" w:hRule="atLeast"/>
        </w:trPr>
        <w:tc>
          <w:tcPr>
            <w:tcW w:w="726" w:type="dxa"/>
            <w:vMerge w:val="restart"/>
            <w:vAlign w:val="center"/>
          </w:tcPr>
          <w:p w14:paraId="159938A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6</w:t>
            </w:r>
          </w:p>
        </w:tc>
        <w:tc>
          <w:tcPr>
            <w:tcW w:w="1418" w:type="dxa"/>
            <w:vMerge w:val="restart"/>
            <w:vAlign w:val="center"/>
          </w:tcPr>
          <w:p w14:paraId="4408C3FF">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饮 料</w:t>
            </w:r>
          </w:p>
        </w:tc>
        <w:tc>
          <w:tcPr>
            <w:tcW w:w="2268" w:type="dxa"/>
            <w:vAlign w:val="center"/>
          </w:tcPr>
          <w:p w14:paraId="262236EE">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饮用纯净水（大桶水）</w:t>
            </w:r>
          </w:p>
        </w:tc>
        <w:tc>
          <w:tcPr>
            <w:tcW w:w="892" w:type="dxa"/>
            <w:vAlign w:val="center"/>
          </w:tcPr>
          <w:p w14:paraId="0663355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0930B4D6">
            <w:pPr>
              <w:widowControl/>
              <w:spacing w:line="380" w:lineRule="exact"/>
              <w:jc w:val="both"/>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电导率、耗氧量（以O2计）、铅（以Pb 计）、总砷（以 As计）、镉（以Cd计）、亚</w:t>
            </w:r>
            <w:r>
              <w:rPr>
                <w:rFonts w:hint="eastAsia" w:ascii="宋体" w:hAnsi="宋体" w:eastAsia="宋体" w:cs="宋体"/>
                <w:spacing w:val="0"/>
                <w:w w:val="95"/>
                <w:position w:val="0"/>
                <w:sz w:val="21"/>
                <w:szCs w:val="21"/>
              </w:rPr>
              <w:t>硝酸盐（以NO2-计）、余氯（游离氯）、溴酸盐、三氯甲烷、大肠菌群、铜绿假单胞菌</w:t>
            </w:r>
          </w:p>
        </w:tc>
        <w:tc>
          <w:tcPr>
            <w:tcW w:w="1367" w:type="dxa"/>
            <w:vAlign w:val="center"/>
          </w:tcPr>
          <w:p w14:paraId="30398FA4">
            <w:pPr>
              <w:widowControl/>
              <w:spacing w:line="280" w:lineRule="exact"/>
              <w:jc w:val="center"/>
              <w:textAlignment w:val="center"/>
              <w:rPr>
                <w:rFonts w:hint="eastAsia" w:ascii="宋体" w:hAnsi="宋体" w:eastAsia="宋体" w:cs="宋体"/>
                <w:color w:val="000000" w:themeColor="text1"/>
                <w:spacing w:val="0"/>
                <w:kern w:val="31"/>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w:t>
            </w:r>
          </w:p>
        </w:tc>
        <w:tc>
          <w:tcPr>
            <w:tcW w:w="1316" w:type="dxa"/>
            <w:vAlign w:val="center"/>
          </w:tcPr>
          <w:p w14:paraId="3CCB1B0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F18FA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2209" w:hRule="atLeast"/>
        </w:trPr>
        <w:tc>
          <w:tcPr>
            <w:tcW w:w="726" w:type="dxa"/>
            <w:vMerge w:val="continue"/>
            <w:vAlign w:val="center"/>
          </w:tcPr>
          <w:p w14:paraId="38FD669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47E5C3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519E40D">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果蔬汁类及饮料</w:t>
            </w:r>
          </w:p>
        </w:tc>
        <w:tc>
          <w:tcPr>
            <w:tcW w:w="892" w:type="dxa"/>
            <w:vAlign w:val="center"/>
          </w:tcPr>
          <w:p w14:paraId="486D9808">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0E9FCD64">
            <w:pPr>
              <w:pStyle w:val="34"/>
              <w:keepNext w:val="0"/>
              <w:keepLines w:val="0"/>
              <w:pageBreakBefore w:val="0"/>
              <w:widowControl/>
              <w:kinsoku/>
              <w:wordWrap/>
              <w:overflowPunct/>
              <w:topLinePunct/>
              <w:autoSpaceDE/>
              <w:autoSpaceDN/>
              <w:bidi w:val="0"/>
              <w:adjustRightInd/>
              <w:snapToGrid/>
              <w:spacing w:before="44" w:line="261" w:lineRule="auto"/>
              <w:ind w:left="3" w:right="-116"/>
              <w:jc w:val="left"/>
              <w:rPr>
                <w:rFonts w:hint="eastAsia" w:ascii="宋体" w:hAnsi="宋体" w:eastAsia="宋体" w:cs="宋体"/>
                <w:spacing w:val="0"/>
                <w:w w:val="95"/>
                <w:position w:val="0"/>
                <w:sz w:val="21"/>
                <w:szCs w:val="21"/>
              </w:rPr>
            </w:pPr>
            <w:r>
              <w:rPr>
                <w:rFonts w:hint="eastAsia" w:ascii="宋体" w:hAnsi="宋体" w:eastAsia="宋体" w:cs="宋体"/>
                <w:spacing w:val="0"/>
                <w:position w:val="0"/>
                <w:sz w:val="21"/>
                <w:szCs w:val="21"/>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w:t>
            </w:r>
            <w:r>
              <w:rPr>
                <w:rFonts w:hint="eastAsia" w:ascii="宋体" w:hAnsi="宋体" w:eastAsia="宋体" w:cs="宋体"/>
                <w:spacing w:val="0"/>
                <w:w w:val="95"/>
                <w:position w:val="0"/>
                <w:sz w:val="21"/>
                <w:szCs w:val="21"/>
              </w:rPr>
              <w:t>合成着色剂</w:t>
            </w:r>
          </w:p>
          <w:p w14:paraId="2204279D">
            <w:pPr>
              <w:pStyle w:val="34"/>
              <w:keepNext w:val="0"/>
              <w:keepLines w:val="0"/>
              <w:pageBreakBefore w:val="0"/>
              <w:widowControl/>
              <w:kinsoku/>
              <w:wordWrap/>
              <w:overflowPunct/>
              <w:topLinePunct/>
              <w:autoSpaceDE/>
              <w:autoSpaceDN/>
              <w:bidi w:val="0"/>
              <w:adjustRightInd/>
              <w:snapToGrid/>
              <w:spacing w:before="44" w:line="261" w:lineRule="auto"/>
              <w:ind w:left="3" w:right="-116"/>
              <w:jc w:val="left"/>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w w:val="95"/>
                <w:position w:val="0"/>
                <w:sz w:val="21"/>
                <w:szCs w:val="21"/>
              </w:rPr>
              <w:t>（柠檬黄、新红、苋菜红、靛蓝、胭脂红、日落黄、诱惑红、亮蓝、酸性红、喹啉黄、赤藓红）、菌落总数、大肠菌群、霉菌、酵母</w:t>
            </w:r>
          </w:p>
        </w:tc>
        <w:tc>
          <w:tcPr>
            <w:tcW w:w="1367" w:type="dxa"/>
            <w:vAlign w:val="center"/>
          </w:tcPr>
          <w:p w14:paraId="3C92D330">
            <w:pPr>
              <w:keepNext w:val="0"/>
              <w:keepLines w:val="0"/>
              <w:pageBreakBefore w:val="0"/>
              <w:widowControl/>
              <w:kinsoku/>
              <w:wordWrap/>
              <w:overflowPunct/>
              <w:topLinePunct/>
              <w:autoSpaceDE/>
              <w:autoSpaceDN/>
              <w:bidi w:val="0"/>
              <w:adjustRightInd/>
              <w:snapToGrid/>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63891915">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0A8761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389" w:hRule="atLeast"/>
        </w:trPr>
        <w:tc>
          <w:tcPr>
            <w:tcW w:w="726" w:type="dxa"/>
            <w:vAlign w:val="center"/>
          </w:tcPr>
          <w:p w14:paraId="3D94CD3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7</w:t>
            </w:r>
          </w:p>
        </w:tc>
        <w:tc>
          <w:tcPr>
            <w:tcW w:w="1418" w:type="dxa"/>
            <w:vAlign w:val="center"/>
          </w:tcPr>
          <w:p w14:paraId="235A5E6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方便食品</w:t>
            </w:r>
          </w:p>
        </w:tc>
        <w:tc>
          <w:tcPr>
            <w:tcW w:w="2268" w:type="dxa"/>
            <w:vAlign w:val="center"/>
          </w:tcPr>
          <w:p w14:paraId="68F4856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调味面制品</w:t>
            </w:r>
          </w:p>
        </w:tc>
        <w:tc>
          <w:tcPr>
            <w:tcW w:w="892" w:type="dxa"/>
            <w:vAlign w:val="center"/>
          </w:tcPr>
          <w:p w14:paraId="7D108FF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7AEBE0C0">
            <w:pPr>
              <w:pStyle w:val="34"/>
              <w:spacing w:before="44" w:line="261" w:lineRule="auto"/>
              <w:ind w:left="3" w:right="-1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 xml:space="preserve">酸价（以脂肪计）(KOH) 、过氧化值（以脂肪计）、苯甲酸及其钠盐（以苯甲酸计） </w:t>
            </w:r>
            <w:r>
              <w:rPr>
                <w:rFonts w:hint="eastAsia" w:ascii="宋体" w:hAnsi="宋体" w:eastAsia="宋体" w:cs="宋体"/>
                <w:spacing w:val="0"/>
                <w:w w:val="95"/>
                <w:position w:val="0"/>
                <w:sz w:val="21"/>
                <w:szCs w:val="21"/>
              </w:rPr>
              <w:t>山梨酸及其钾盐（以山梨酸计）、脱氢乙酸及其钠盐（以脱氢乙酸计）、糖精钠（以糖精计）、甜蜜素（以环己基氨基磺酸计）、安赛蜜、三氯蔗糖、合成着色剂（柠檬黄、日落黄、诱惑红、苋菜红）、菌落总数、大肠菌群、霉菌、沙门氏菌、金黄色葡萄球菌</w:t>
            </w:r>
          </w:p>
        </w:tc>
        <w:tc>
          <w:tcPr>
            <w:tcW w:w="1367" w:type="dxa"/>
            <w:vAlign w:val="center"/>
          </w:tcPr>
          <w:p w14:paraId="574FE5E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12E3FF10">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w:t>
            </w:r>
          </w:p>
        </w:tc>
        <w:tc>
          <w:tcPr>
            <w:tcW w:w="1316" w:type="dxa"/>
            <w:vAlign w:val="center"/>
          </w:tcPr>
          <w:p w14:paraId="15F770F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32B44E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3" w:hRule="atLeast"/>
        </w:trPr>
        <w:tc>
          <w:tcPr>
            <w:tcW w:w="726" w:type="dxa"/>
            <w:vMerge w:val="restart"/>
            <w:vAlign w:val="center"/>
          </w:tcPr>
          <w:p w14:paraId="73B2F4B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8</w:t>
            </w:r>
          </w:p>
        </w:tc>
        <w:tc>
          <w:tcPr>
            <w:tcW w:w="1418" w:type="dxa"/>
            <w:vMerge w:val="restart"/>
            <w:vAlign w:val="center"/>
          </w:tcPr>
          <w:p w14:paraId="4D6F730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酒 类</w:t>
            </w:r>
          </w:p>
        </w:tc>
        <w:tc>
          <w:tcPr>
            <w:tcW w:w="2268" w:type="dxa"/>
            <w:vAlign w:val="center"/>
          </w:tcPr>
          <w:p w14:paraId="1CFD950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蒸馏酒（白酒）</w:t>
            </w:r>
          </w:p>
        </w:tc>
        <w:tc>
          <w:tcPr>
            <w:tcW w:w="892" w:type="dxa"/>
            <w:vAlign w:val="center"/>
          </w:tcPr>
          <w:p w14:paraId="2062A71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C2047FD">
            <w:pPr>
              <w:pStyle w:val="34"/>
              <w:spacing w:before="205"/>
              <w:ind w:left="3" w:right="-1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酒精度、铅（以Pb计）、甲醇、氰化物（以HCN计）、糖精钠（以糖精计）、甜蜜素</w:t>
            </w:r>
            <w:r>
              <w:rPr>
                <w:rFonts w:hint="eastAsia" w:ascii="宋体" w:hAnsi="宋体" w:eastAsia="宋体" w:cs="宋体"/>
                <w:spacing w:val="0"/>
                <w:w w:val="95"/>
                <w:position w:val="0"/>
                <w:sz w:val="21"/>
                <w:szCs w:val="21"/>
              </w:rPr>
              <w:t>（以环己基氨基磺酸计）、三氯蔗糖、安赛蜜</w:t>
            </w:r>
          </w:p>
        </w:tc>
        <w:tc>
          <w:tcPr>
            <w:tcW w:w="1367" w:type="dxa"/>
            <w:vAlign w:val="center"/>
          </w:tcPr>
          <w:p w14:paraId="4DD58626">
            <w:pPr>
              <w:widowControl/>
              <w:spacing w:line="280" w:lineRule="exact"/>
              <w:jc w:val="center"/>
              <w:textAlignment w:val="center"/>
              <w:rPr>
                <w:rFonts w:hint="eastAsia" w:ascii="宋体" w:hAnsi="宋体" w:eastAsia="宋体" w:cs="宋体"/>
                <w:color w:val="000000" w:themeColor="text1"/>
                <w:spacing w:val="0"/>
                <w:kern w:val="31"/>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w:t>
            </w:r>
          </w:p>
        </w:tc>
        <w:tc>
          <w:tcPr>
            <w:tcW w:w="1316" w:type="dxa"/>
            <w:vAlign w:val="center"/>
          </w:tcPr>
          <w:p w14:paraId="6F5A2399">
            <w:pPr>
              <w:widowControl/>
              <w:spacing w:line="24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7B6EE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7" w:hRule="atLeast"/>
        </w:trPr>
        <w:tc>
          <w:tcPr>
            <w:tcW w:w="726" w:type="dxa"/>
            <w:vMerge w:val="continue"/>
            <w:vAlign w:val="center"/>
          </w:tcPr>
          <w:p w14:paraId="349A50ED">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50EDED2F">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3C1D856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发酵酒（葡萄酒）</w:t>
            </w:r>
          </w:p>
        </w:tc>
        <w:tc>
          <w:tcPr>
            <w:tcW w:w="892" w:type="dxa"/>
            <w:vAlign w:val="center"/>
          </w:tcPr>
          <w:p w14:paraId="69B73B2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4B587E06">
            <w:pPr>
              <w:pStyle w:val="34"/>
              <w:spacing w:line="380" w:lineRule="exact"/>
              <w:ind w:left="40" w:right="12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w w:val="99"/>
                <w:position w:val="0"/>
                <w:sz w:val="21"/>
                <w:szCs w:val="21"/>
              </w:rPr>
              <w:t>酒精度、甲醇、苯甲酸及其钠盐（以苯甲酸计）、山梨酸及其钾盐（以山梨酸计）、糖精钠（以糖精计）、二氧化硫残留量、甜蜜素（以环己基氨基磺酸计）、三氯蔗糖、合成着色剂（柠檬黄、日落黄、新红、胭脂红、赤藓红、苋菜红、诱惑红、酸性红、亮蓝</w:t>
            </w:r>
            <w:r>
              <w:rPr>
                <w:rFonts w:hint="eastAsia" w:ascii="宋体" w:hAnsi="宋体" w:eastAsia="宋体" w:cs="宋体"/>
                <w:spacing w:val="0"/>
                <w:w w:val="99"/>
                <w:position w:val="0"/>
                <w:sz w:val="21"/>
                <w:szCs w:val="21"/>
                <w:lang w:val="en-US" w:eastAsia="zh-CN"/>
              </w:rPr>
              <w:t>）</w:t>
            </w:r>
          </w:p>
        </w:tc>
        <w:tc>
          <w:tcPr>
            <w:tcW w:w="1367" w:type="dxa"/>
            <w:vAlign w:val="center"/>
          </w:tcPr>
          <w:p w14:paraId="71A4F385">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41AAADC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73EADB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78" w:hRule="atLeast"/>
        </w:trPr>
        <w:tc>
          <w:tcPr>
            <w:tcW w:w="726" w:type="dxa"/>
            <w:tcBorders>
              <w:top w:val="single" w:color="auto" w:sz="4" w:space="0"/>
              <w:bottom w:val="single" w:color="auto" w:sz="4" w:space="0"/>
            </w:tcBorders>
            <w:vAlign w:val="center"/>
          </w:tcPr>
          <w:p w14:paraId="06380B2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9</w:t>
            </w:r>
          </w:p>
        </w:tc>
        <w:tc>
          <w:tcPr>
            <w:tcW w:w="1418" w:type="dxa"/>
            <w:tcBorders>
              <w:top w:val="single" w:color="auto" w:sz="4" w:space="0"/>
              <w:bottom w:val="single" w:color="auto" w:sz="4" w:space="0"/>
            </w:tcBorders>
            <w:vAlign w:val="center"/>
          </w:tcPr>
          <w:p w14:paraId="4D68792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蔬菜制品</w:t>
            </w:r>
          </w:p>
        </w:tc>
        <w:tc>
          <w:tcPr>
            <w:tcW w:w="2268" w:type="dxa"/>
            <w:vAlign w:val="center"/>
          </w:tcPr>
          <w:p w14:paraId="080CABC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干制食用菌</w:t>
            </w:r>
          </w:p>
        </w:tc>
        <w:tc>
          <w:tcPr>
            <w:tcW w:w="892" w:type="dxa"/>
            <w:vAlign w:val="center"/>
          </w:tcPr>
          <w:p w14:paraId="64D8DE81">
            <w:pPr>
              <w:widowControl/>
              <w:tabs>
                <w:tab w:val="left" w:pos="389"/>
              </w:tabs>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一般</w:t>
            </w:r>
          </w:p>
        </w:tc>
        <w:tc>
          <w:tcPr>
            <w:tcW w:w="6199" w:type="dxa"/>
            <w:vAlign w:val="center"/>
          </w:tcPr>
          <w:p w14:paraId="7157D73E">
            <w:pPr>
              <w:pStyle w:val="34"/>
              <w:spacing w:before="1"/>
              <w:ind w:left="3" w:right="-1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铅（以Pb计）、镉（以Cd计）、总汞（以Hg计）、甲基汞（以Hg计）、总砷（以As计）、无机砷（以As计）</w:t>
            </w:r>
          </w:p>
        </w:tc>
        <w:tc>
          <w:tcPr>
            <w:tcW w:w="1367" w:type="dxa"/>
            <w:vAlign w:val="center"/>
          </w:tcPr>
          <w:p w14:paraId="0B9B5892">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43FA8EA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0AFD39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3" w:hRule="atLeast"/>
        </w:trPr>
        <w:tc>
          <w:tcPr>
            <w:tcW w:w="726" w:type="dxa"/>
            <w:tcBorders>
              <w:top w:val="single" w:color="auto" w:sz="4" w:space="0"/>
            </w:tcBorders>
            <w:vAlign w:val="center"/>
          </w:tcPr>
          <w:p w14:paraId="5BFFF94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10</w:t>
            </w:r>
          </w:p>
        </w:tc>
        <w:tc>
          <w:tcPr>
            <w:tcW w:w="1418" w:type="dxa"/>
            <w:tcBorders>
              <w:top w:val="single" w:color="auto" w:sz="4" w:space="0"/>
            </w:tcBorders>
            <w:vAlign w:val="center"/>
          </w:tcPr>
          <w:p w14:paraId="5247C9E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淀粉及淀粉制品</w:t>
            </w:r>
          </w:p>
        </w:tc>
        <w:tc>
          <w:tcPr>
            <w:tcW w:w="2268" w:type="dxa"/>
            <w:vAlign w:val="center"/>
          </w:tcPr>
          <w:p w14:paraId="1C6FE04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粉丝、粉条</w:t>
            </w:r>
          </w:p>
        </w:tc>
        <w:tc>
          <w:tcPr>
            <w:tcW w:w="892" w:type="dxa"/>
            <w:vAlign w:val="center"/>
          </w:tcPr>
          <w:p w14:paraId="042F5A9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106EC152">
            <w:pPr>
              <w:pStyle w:val="34"/>
              <w:spacing w:before="45" w:line="261" w:lineRule="auto"/>
              <w:ind w:left="3" w:right="-1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铅（以Pb计）、苯甲酸及其钠盐（以苯甲酸计）、山梨酸及其钾盐（以山梨酸计） 脱氢乙酸及其钠盐（以脱氢乙酸计）、铝的残留量（干样品，以Al计）、二氧化硫</w:t>
            </w:r>
            <w:r>
              <w:rPr>
                <w:rFonts w:hint="eastAsia" w:ascii="宋体" w:hAnsi="宋体" w:eastAsia="宋体" w:cs="宋体"/>
                <w:spacing w:val="0"/>
                <w:position w:val="0"/>
                <w:sz w:val="21"/>
                <w:szCs w:val="21"/>
                <w:lang w:eastAsia="zh-CN"/>
              </w:rPr>
              <w:t>残留</w:t>
            </w:r>
            <w:r>
              <w:rPr>
                <w:rFonts w:hint="eastAsia" w:ascii="宋体" w:hAnsi="宋体" w:eastAsia="宋体" w:cs="宋体"/>
                <w:spacing w:val="0"/>
                <w:w w:val="95"/>
                <w:position w:val="0"/>
                <w:sz w:val="21"/>
                <w:szCs w:val="21"/>
              </w:rPr>
              <w:t>量、合成着色剂（柠檬黄、新红、苋菜红、靛蓝、胭脂红、日落黄、诱惑红、亮蓝、酸性红、喹啉黄、赤藓红</w:t>
            </w:r>
            <w:r>
              <w:rPr>
                <w:rFonts w:hint="eastAsia" w:ascii="宋体" w:hAnsi="宋体" w:eastAsia="宋体" w:cs="宋体"/>
                <w:spacing w:val="0"/>
                <w:w w:val="95"/>
                <w:position w:val="0"/>
                <w:sz w:val="21"/>
                <w:szCs w:val="21"/>
                <w:lang w:eastAsia="zh-CN"/>
              </w:rPr>
              <w:t>）</w:t>
            </w:r>
          </w:p>
        </w:tc>
        <w:tc>
          <w:tcPr>
            <w:tcW w:w="1367" w:type="dxa"/>
            <w:vAlign w:val="center"/>
          </w:tcPr>
          <w:p w14:paraId="043C7078">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08B53BB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7234F7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435" w:hRule="atLeast"/>
        </w:trPr>
        <w:tc>
          <w:tcPr>
            <w:tcW w:w="726" w:type="dxa"/>
            <w:vMerge w:val="restart"/>
            <w:vAlign w:val="center"/>
          </w:tcPr>
          <w:p w14:paraId="5473CB5F">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11</w:t>
            </w:r>
          </w:p>
        </w:tc>
        <w:tc>
          <w:tcPr>
            <w:tcW w:w="1418" w:type="dxa"/>
            <w:vMerge w:val="restart"/>
            <w:vAlign w:val="center"/>
          </w:tcPr>
          <w:p w14:paraId="28C4ADCA">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糕 点</w:t>
            </w:r>
          </w:p>
        </w:tc>
        <w:tc>
          <w:tcPr>
            <w:tcW w:w="2268" w:type="dxa"/>
            <w:vAlign w:val="center"/>
          </w:tcPr>
          <w:p w14:paraId="54AB8954">
            <w:pPr>
              <w:pStyle w:val="50"/>
              <w:spacing w:before="6" w:line="201" w:lineRule="auto"/>
              <w:ind w:left="74" w:firstLine="12"/>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糕点</w:t>
            </w:r>
          </w:p>
        </w:tc>
        <w:tc>
          <w:tcPr>
            <w:tcW w:w="892" w:type="dxa"/>
            <w:vAlign w:val="center"/>
          </w:tcPr>
          <w:p w14:paraId="11034EE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05433E55">
            <w:pPr>
              <w:pStyle w:val="34"/>
              <w:spacing w:before="45" w:line="261" w:lineRule="auto"/>
              <w:ind w:left="3" w:right="-1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w w:val="99"/>
                <w:position w:val="0"/>
                <w:sz w:val="21"/>
                <w:szCs w:val="21"/>
              </w:rPr>
              <w:t>酸价（以脂肪计）</w:t>
            </w:r>
            <w:r>
              <w:rPr>
                <w:rFonts w:hint="eastAsia" w:ascii="宋体" w:hAnsi="宋体" w:eastAsia="宋体" w:cs="宋体"/>
                <w:spacing w:val="0"/>
                <w:w w:val="92"/>
                <w:position w:val="0"/>
                <w:sz w:val="21"/>
                <w:szCs w:val="21"/>
              </w:rPr>
              <w:t>(</w:t>
            </w:r>
            <w:r>
              <w:rPr>
                <w:rFonts w:hint="eastAsia" w:ascii="宋体" w:hAnsi="宋体" w:eastAsia="宋体" w:cs="宋体"/>
                <w:spacing w:val="0"/>
                <w:w w:val="92"/>
                <w:position w:val="0"/>
                <w:sz w:val="21"/>
                <w:szCs w:val="21"/>
                <w:lang w:val="en-US" w:eastAsia="zh-CN"/>
              </w:rPr>
              <w:t>KOH</w:t>
            </w:r>
            <w:r>
              <w:rPr>
                <w:rFonts w:hint="eastAsia" w:ascii="宋体" w:hAnsi="宋体" w:eastAsia="宋体" w:cs="宋体"/>
                <w:spacing w:val="0"/>
                <w:w w:val="92"/>
                <w:position w:val="0"/>
                <w:sz w:val="21"/>
                <w:szCs w:val="21"/>
              </w:rPr>
              <w:t>)</w:t>
            </w:r>
            <w:r>
              <w:rPr>
                <w:rFonts w:hint="eastAsia" w:ascii="宋体" w:hAnsi="宋体" w:eastAsia="宋体" w:cs="宋体"/>
                <w:spacing w:val="0"/>
                <w:position w:val="0"/>
                <w:sz w:val="21"/>
                <w:szCs w:val="21"/>
              </w:rPr>
              <w:t xml:space="preserve"> </w:t>
            </w:r>
            <w:r>
              <w:rPr>
                <w:rFonts w:hint="eastAsia" w:ascii="宋体" w:hAnsi="宋体" w:eastAsia="宋体" w:cs="宋体"/>
                <w:spacing w:val="0"/>
                <w:w w:val="99"/>
                <w:position w:val="0"/>
                <w:sz w:val="21"/>
                <w:szCs w:val="21"/>
              </w:rPr>
              <w:t>、过氧化值（以脂肪计）、铅（以</w:t>
            </w:r>
            <w:r>
              <w:rPr>
                <w:rFonts w:hint="eastAsia" w:ascii="宋体" w:hAnsi="宋体" w:eastAsia="宋体" w:cs="宋体"/>
                <w:spacing w:val="0"/>
                <w:w w:val="107"/>
                <w:position w:val="0"/>
                <w:sz w:val="21"/>
                <w:szCs w:val="21"/>
              </w:rPr>
              <w:t>P</w:t>
            </w:r>
            <w:r>
              <w:rPr>
                <w:rFonts w:hint="eastAsia" w:ascii="宋体" w:hAnsi="宋体" w:eastAsia="宋体" w:cs="宋体"/>
                <w:spacing w:val="0"/>
                <w:w w:val="108"/>
                <w:position w:val="0"/>
                <w:sz w:val="21"/>
                <w:szCs w:val="21"/>
              </w:rPr>
              <w:t>b</w:t>
            </w:r>
            <w:r>
              <w:rPr>
                <w:rFonts w:hint="eastAsia" w:ascii="宋体" w:hAnsi="宋体" w:eastAsia="宋体" w:cs="宋体"/>
                <w:spacing w:val="0"/>
                <w:w w:val="99"/>
                <w:position w:val="0"/>
                <w:sz w:val="21"/>
                <w:szCs w:val="21"/>
              </w:rPr>
              <w:t>计）、苯甲酸及其钠盐（以苯甲酸计）、山梨酸及其钾盐（以山梨酸计）、糖精钠（以糖精计）、甜蜜素（以环己基氨基磺酸计）、安赛蜜、铝的残留量（干样品，以A</w:t>
            </w:r>
            <w:r>
              <w:rPr>
                <w:rFonts w:hint="eastAsia" w:ascii="宋体" w:hAnsi="宋体" w:eastAsia="宋体" w:cs="宋体"/>
                <w:spacing w:val="0"/>
                <w:w w:val="87"/>
                <w:position w:val="0"/>
                <w:sz w:val="21"/>
                <w:szCs w:val="21"/>
              </w:rPr>
              <w:t>l</w:t>
            </w:r>
            <w:r>
              <w:rPr>
                <w:rFonts w:hint="eastAsia" w:ascii="宋体" w:hAnsi="宋体" w:eastAsia="宋体" w:cs="宋体"/>
                <w:spacing w:val="0"/>
                <w:w w:val="99"/>
                <w:position w:val="0"/>
                <w:sz w:val="21"/>
                <w:szCs w:val="21"/>
              </w:rPr>
              <w:t>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w:t>
            </w:r>
            <w:r>
              <w:rPr>
                <w:rFonts w:hint="eastAsia" w:ascii="宋体" w:hAnsi="宋体" w:eastAsia="宋体" w:cs="宋体"/>
                <w:spacing w:val="0"/>
                <w:w w:val="95"/>
                <w:position w:val="0"/>
                <w:sz w:val="21"/>
                <w:szCs w:val="21"/>
              </w:rPr>
              <w:t>门氏菌、霉菌</w:t>
            </w:r>
          </w:p>
        </w:tc>
        <w:tc>
          <w:tcPr>
            <w:tcW w:w="1367" w:type="dxa"/>
            <w:vAlign w:val="center"/>
          </w:tcPr>
          <w:p w14:paraId="3E933EE6">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6</w:t>
            </w:r>
          </w:p>
        </w:tc>
        <w:tc>
          <w:tcPr>
            <w:tcW w:w="1316" w:type="dxa"/>
            <w:vAlign w:val="center"/>
          </w:tcPr>
          <w:p w14:paraId="13F6F928">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80FBC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87" w:hRule="atLeast"/>
        </w:trPr>
        <w:tc>
          <w:tcPr>
            <w:tcW w:w="726" w:type="dxa"/>
            <w:vMerge w:val="continue"/>
            <w:vAlign w:val="center"/>
          </w:tcPr>
          <w:p w14:paraId="4A78787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4B70611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CA033E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粽  子</w:t>
            </w:r>
          </w:p>
        </w:tc>
        <w:tc>
          <w:tcPr>
            <w:tcW w:w="892" w:type="dxa"/>
            <w:vAlign w:val="center"/>
          </w:tcPr>
          <w:p w14:paraId="2D32691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5312A563">
            <w:pPr>
              <w:pStyle w:val="34"/>
              <w:spacing w:line="380" w:lineRule="exact"/>
              <w:ind w:left="40" w:right="12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w w:val="99"/>
                <w:position w:val="0"/>
                <w:sz w:val="21"/>
                <w:szCs w:val="21"/>
              </w:rPr>
              <w:t>过氧化值（以脂肪计）、甜蜜素（以环己基氨基磺酸计）、山梨酸及其钾盐（以山梨酸计）、脱氢乙酸及其钠盐（以脱氢乙酸计）、糖精钠（以糖精计）、安赛蜜、菌落总数、大肠菌群、金黄色葡萄球菌、沙门氏菌、霉菌、商业无菌</w:t>
            </w:r>
          </w:p>
        </w:tc>
        <w:tc>
          <w:tcPr>
            <w:tcW w:w="1367" w:type="dxa"/>
            <w:vAlign w:val="center"/>
          </w:tcPr>
          <w:p w14:paraId="7C07AE87">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008C4AC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节令性食品节前出检验报告</w:t>
            </w:r>
          </w:p>
        </w:tc>
      </w:tr>
      <w:tr w14:paraId="6EB88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487" w:hRule="atLeast"/>
        </w:trPr>
        <w:tc>
          <w:tcPr>
            <w:tcW w:w="726" w:type="dxa"/>
            <w:vMerge w:val="continue"/>
            <w:tcBorders>
              <w:bottom w:val="single" w:color="auto" w:sz="4" w:space="0"/>
            </w:tcBorders>
            <w:vAlign w:val="center"/>
          </w:tcPr>
          <w:p w14:paraId="19C38CE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tcBorders>
              <w:bottom w:val="single" w:color="auto" w:sz="4" w:space="0"/>
            </w:tcBorders>
            <w:vAlign w:val="center"/>
          </w:tcPr>
          <w:p w14:paraId="558653A8">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tcBorders>
              <w:bottom w:val="single" w:color="auto" w:sz="4" w:space="0"/>
            </w:tcBorders>
            <w:vAlign w:val="center"/>
          </w:tcPr>
          <w:p w14:paraId="6E1C58A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月  饼</w:t>
            </w:r>
          </w:p>
        </w:tc>
        <w:tc>
          <w:tcPr>
            <w:tcW w:w="892" w:type="dxa"/>
            <w:vAlign w:val="center"/>
          </w:tcPr>
          <w:p w14:paraId="61E467F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7CE07321">
            <w:pPr>
              <w:pStyle w:val="34"/>
              <w:spacing w:line="380" w:lineRule="exact"/>
              <w:ind w:left="40" w:right="12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w w:val="99"/>
                <w:position w:val="0"/>
                <w:sz w:val="21"/>
                <w:szCs w:val="21"/>
              </w:rPr>
              <w:t>酸价（以脂肪计）</w:t>
            </w:r>
            <w:r>
              <w:rPr>
                <w:rFonts w:hint="eastAsia" w:ascii="宋体" w:hAnsi="宋体" w:eastAsia="宋体" w:cs="宋体"/>
                <w:spacing w:val="0"/>
                <w:w w:val="92"/>
                <w:position w:val="0"/>
                <w:sz w:val="21"/>
                <w:szCs w:val="21"/>
              </w:rPr>
              <w:t>(</w:t>
            </w:r>
            <w:r>
              <w:rPr>
                <w:rFonts w:hint="eastAsia" w:ascii="宋体" w:hAnsi="宋体" w:eastAsia="宋体" w:cs="宋体"/>
                <w:spacing w:val="0"/>
                <w:w w:val="92"/>
                <w:position w:val="0"/>
                <w:sz w:val="21"/>
                <w:szCs w:val="21"/>
                <w:lang w:val="en-US" w:eastAsia="zh-CN"/>
              </w:rPr>
              <w:t>KOH</w:t>
            </w:r>
            <w:r>
              <w:rPr>
                <w:rFonts w:hint="eastAsia" w:ascii="宋体" w:hAnsi="宋体" w:eastAsia="宋体" w:cs="宋体"/>
                <w:spacing w:val="0"/>
                <w:w w:val="92"/>
                <w:position w:val="0"/>
                <w:sz w:val="21"/>
                <w:szCs w:val="21"/>
              </w:rPr>
              <w:t>)</w:t>
            </w:r>
            <w:r>
              <w:rPr>
                <w:rFonts w:hint="eastAsia" w:ascii="宋体" w:hAnsi="宋体" w:eastAsia="宋体" w:cs="宋体"/>
                <w:spacing w:val="0"/>
                <w:position w:val="0"/>
                <w:sz w:val="21"/>
                <w:szCs w:val="21"/>
              </w:rPr>
              <w:t xml:space="preserve"> </w:t>
            </w:r>
            <w:r>
              <w:rPr>
                <w:rFonts w:hint="eastAsia" w:ascii="宋体" w:hAnsi="宋体" w:eastAsia="宋体" w:cs="宋体"/>
                <w:spacing w:val="0"/>
                <w:w w:val="99"/>
                <w:position w:val="0"/>
                <w:sz w:val="21"/>
                <w:szCs w:val="21"/>
              </w:rPr>
              <w:t>、过氧化值（以脂肪计）、糖精钠（以糖精计）、苯甲酸及其钠盐（以苯甲酸计）、山梨酸及其钾盐（以山梨酸计）、铝的残留量（干样品，以A</w:t>
            </w:r>
            <w:r>
              <w:rPr>
                <w:rFonts w:hint="eastAsia" w:ascii="宋体" w:hAnsi="宋体" w:eastAsia="宋体" w:cs="宋体"/>
                <w:spacing w:val="0"/>
                <w:w w:val="87"/>
                <w:position w:val="0"/>
                <w:sz w:val="21"/>
                <w:szCs w:val="21"/>
              </w:rPr>
              <w:t>l</w:t>
            </w:r>
            <w:r>
              <w:rPr>
                <w:rFonts w:hint="eastAsia" w:ascii="宋体" w:hAnsi="宋体" w:eastAsia="宋体" w:cs="宋体"/>
                <w:spacing w:val="0"/>
                <w:w w:val="99"/>
                <w:position w:val="0"/>
                <w:sz w:val="21"/>
                <w:szCs w:val="21"/>
              </w:rPr>
              <w:t>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1367" w:type="dxa"/>
            <w:vAlign w:val="center"/>
          </w:tcPr>
          <w:p w14:paraId="06A79860">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57CE7AA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节令性食品节前出检验报告</w:t>
            </w:r>
          </w:p>
        </w:tc>
      </w:tr>
      <w:tr w14:paraId="1E5BC6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90" w:hRule="atLeast"/>
        </w:trPr>
        <w:tc>
          <w:tcPr>
            <w:tcW w:w="726" w:type="dxa"/>
            <w:tcBorders>
              <w:top w:val="single" w:color="auto" w:sz="4" w:space="0"/>
            </w:tcBorders>
            <w:vAlign w:val="center"/>
          </w:tcPr>
          <w:p w14:paraId="59464944">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12</w:t>
            </w:r>
          </w:p>
        </w:tc>
        <w:tc>
          <w:tcPr>
            <w:tcW w:w="1418" w:type="dxa"/>
            <w:tcBorders>
              <w:top w:val="single" w:color="auto" w:sz="4" w:space="0"/>
            </w:tcBorders>
            <w:vAlign w:val="center"/>
          </w:tcPr>
          <w:p w14:paraId="2968F3A0">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豆制品</w:t>
            </w:r>
          </w:p>
        </w:tc>
        <w:tc>
          <w:tcPr>
            <w:tcW w:w="2268" w:type="dxa"/>
            <w:tcBorders>
              <w:top w:val="single" w:color="auto" w:sz="4" w:space="0"/>
            </w:tcBorders>
            <w:vAlign w:val="center"/>
          </w:tcPr>
          <w:p w14:paraId="1E059A0A">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腐竹、油皮及其再制品</w:t>
            </w:r>
          </w:p>
        </w:tc>
        <w:tc>
          <w:tcPr>
            <w:tcW w:w="892" w:type="dxa"/>
            <w:vAlign w:val="center"/>
          </w:tcPr>
          <w:p w14:paraId="03647BA6">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4FBF3AB0">
            <w:pPr>
              <w:pStyle w:val="34"/>
              <w:spacing w:before="21" w:line="230" w:lineRule="auto"/>
              <w:ind w:left="3" w:right="-15"/>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蛋白质、铅（以Pb计）、碱性嫩黄、苯甲酸及其钠盐（以苯甲酸计）、山梨酸及其钾</w:t>
            </w:r>
            <w:r>
              <w:rPr>
                <w:rFonts w:hint="eastAsia" w:ascii="宋体" w:hAnsi="宋体" w:eastAsia="宋体" w:cs="宋体"/>
                <w:spacing w:val="0"/>
                <w:w w:val="95"/>
                <w:position w:val="0"/>
                <w:sz w:val="21"/>
                <w:szCs w:val="21"/>
              </w:rPr>
              <w:t>盐（以山梨酸计）、脱氢乙酸及其钠盐（以脱氢乙酸计）、二氧化硫残留量、铝的残留量（干样品，以Al计）、合成着色剂（柠檬黄、日落黄</w:t>
            </w:r>
            <w:r>
              <w:rPr>
                <w:rFonts w:hint="eastAsia" w:ascii="宋体" w:hAnsi="宋体" w:eastAsia="宋体" w:cs="宋体"/>
                <w:spacing w:val="0"/>
                <w:w w:val="95"/>
                <w:position w:val="0"/>
                <w:sz w:val="21"/>
                <w:szCs w:val="21"/>
                <w:lang w:eastAsia="zh-CN"/>
              </w:rPr>
              <w:t>）</w:t>
            </w:r>
          </w:p>
        </w:tc>
        <w:tc>
          <w:tcPr>
            <w:tcW w:w="1367" w:type="dxa"/>
            <w:vAlign w:val="center"/>
          </w:tcPr>
          <w:p w14:paraId="5BCC24D8">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t>4</w:t>
            </w:r>
          </w:p>
        </w:tc>
        <w:tc>
          <w:tcPr>
            <w:tcW w:w="1316" w:type="dxa"/>
            <w:vAlign w:val="center"/>
          </w:tcPr>
          <w:p w14:paraId="25D1B6F6">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02F819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149" w:hRule="atLeast"/>
        </w:trPr>
        <w:tc>
          <w:tcPr>
            <w:tcW w:w="726" w:type="dxa"/>
            <w:tcBorders>
              <w:top w:val="single" w:color="auto" w:sz="4" w:space="0"/>
            </w:tcBorders>
            <w:vAlign w:val="center"/>
          </w:tcPr>
          <w:p w14:paraId="79A5A1C4">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13</w:t>
            </w:r>
          </w:p>
        </w:tc>
        <w:tc>
          <w:tcPr>
            <w:tcW w:w="1418" w:type="dxa"/>
            <w:tcBorders>
              <w:top w:val="single" w:color="auto" w:sz="4" w:space="0"/>
            </w:tcBorders>
            <w:vAlign w:val="center"/>
          </w:tcPr>
          <w:p w14:paraId="74CE9521">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蜂产品</w:t>
            </w:r>
          </w:p>
        </w:tc>
        <w:tc>
          <w:tcPr>
            <w:tcW w:w="2268" w:type="dxa"/>
            <w:tcBorders>
              <w:top w:val="single" w:color="auto" w:sz="4" w:space="0"/>
            </w:tcBorders>
            <w:vAlign w:val="center"/>
          </w:tcPr>
          <w:p w14:paraId="6F09E163">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蜂蜜</w:t>
            </w:r>
          </w:p>
        </w:tc>
        <w:tc>
          <w:tcPr>
            <w:tcW w:w="892" w:type="dxa"/>
            <w:vAlign w:val="center"/>
          </w:tcPr>
          <w:p w14:paraId="76BC17F1">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47A6869">
            <w:pPr>
              <w:pStyle w:val="34"/>
              <w:spacing w:before="24" w:line="228" w:lineRule="auto"/>
              <w:ind w:left="3" w:right="-72"/>
              <w:jc w:val="both"/>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spacing w:val="0"/>
                <w:position w:val="0"/>
                <w:sz w:val="21"/>
                <w:szCs w:val="21"/>
              </w:rPr>
              <w:t>果糖和葡萄糖、蔗糖、铅（以Pb计）、山梨酸及其钾盐（以山梨酸计）、氯霉素、呋</w:t>
            </w:r>
            <w:r>
              <w:rPr>
                <w:rFonts w:hint="eastAsia" w:ascii="宋体" w:hAnsi="宋体" w:eastAsia="宋体" w:cs="宋体"/>
                <w:spacing w:val="0"/>
                <w:w w:val="95"/>
                <w:position w:val="0"/>
                <w:sz w:val="21"/>
                <w:szCs w:val="21"/>
              </w:rPr>
              <w:t>喃西林代谢物、呋喃唑酮代谢物、甲硝唑、双甲脒、诺氟沙星、氧氟沙星、菌落总数、霉菌计数、嗜渗酵母计数</w:t>
            </w:r>
          </w:p>
        </w:tc>
        <w:tc>
          <w:tcPr>
            <w:tcW w:w="1367" w:type="dxa"/>
            <w:vAlign w:val="center"/>
          </w:tcPr>
          <w:p w14:paraId="2666D50F">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w:t>
            </w:r>
          </w:p>
        </w:tc>
        <w:tc>
          <w:tcPr>
            <w:tcW w:w="1316" w:type="dxa"/>
            <w:vAlign w:val="center"/>
          </w:tcPr>
          <w:p w14:paraId="5EF3F2D0">
            <w:pPr>
              <w:widowControl/>
              <w:spacing w:line="280" w:lineRule="exact"/>
              <w:jc w:val="left"/>
              <w:rPr>
                <w:rFonts w:hint="eastAsia" w:ascii="宋体" w:hAnsi="宋体" w:eastAsia="宋体" w:cs="宋体"/>
                <w:color w:val="FF0000"/>
                <w:spacing w:val="0"/>
                <w:kern w:val="2"/>
                <w:position w:val="0"/>
                <w:sz w:val="21"/>
                <w:szCs w:val="21"/>
                <w:lang w:val="en-US" w:eastAsia="zh-CN" w:bidi="ar-SA"/>
              </w:rPr>
            </w:pPr>
          </w:p>
        </w:tc>
      </w:tr>
      <w:tr w14:paraId="014EF5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734" w:hRule="atLeast"/>
        </w:trPr>
        <w:tc>
          <w:tcPr>
            <w:tcW w:w="726" w:type="dxa"/>
            <w:vAlign w:val="center"/>
          </w:tcPr>
          <w:p w14:paraId="04067E6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14</w:t>
            </w:r>
          </w:p>
        </w:tc>
        <w:tc>
          <w:tcPr>
            <w:tcW w:w="1418" w:type="dxa"/>
            <w:vAlign w:val="top"/>
          </w:tcPr>
          <w:p w14:paraId="33E7550A">
            <w:pPr>
              <w:spacing w:line="341" w:lineRule="auto"/>
              <w:jc w:val="center"/>
              <w:rPr>
                <w:rFonts w:hint="eastAsia" w:ascii="宋体" w:hAnsi="宋体" w:eastAsia="宋体" w:cs="宋体"/>
                <w:spacing w:val="0"/>
                <w:position w:val="0"/>
                <w:sz w:val="21"/>
                <w:szCs w:val="21"/>
              </w:rPr>
            </w:pPr>
          </w:p>
          <w:p w14:paraId="423868B6">
            <w:pPr>
              <w:spacing w:line="342" w:lineRule="auto"/>
              <w:jc w:val="center"/>
              <w:rPr>
                <w:rFonts w:hint="eastAsia" w:ascii="宋体" w:hAnsi="宋体" w:eastAsia="宋体" w:cs="宋体"/>
                <w:spacing w:val="0"/>
                <w:position w:val="0"/>
                <w:sz w:val="21"/>
                <w:szCs w:val="21"/>
              </w:rPr>
            </w:pPr>
          </w:p>
          <w:p w14:paraId="5D6E151E">
            <w:pPr>
              <w:pStyle w:val="50"/>
              <w:spacing w:before="73" w:line="206" w:lineRule="auto"/>
              <w:ind w:left="342" w:leftChars="0"/>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保健食品</w:t>
            </w:r>
          </w:p>
        </w:tc>
        <w:tc>
          <w:tcPr>
            <w:tcW w:w="2268" w:type="dxa"/>
            <w:vAlign w:val="top"/>
          </w:tcPr>
          <w:p w14:paraId="43D59EFC">
            <w:pPr>
              <w:spacing w:line="341" w:lineRule="auto"/>
              <w:jc w:val="center"/>
              <w:rPr>
                <w:rFonts w:hint="eastAsia" w:ascii="宋体" w:hAnsi="宋体" w:eastAsia="宋体" w:cs="宋体"/>
                <w:spacing w:val="0"/>
                <w:position w:val="0"/>
                <w:sz w:val="21"/>
                <w:szCs w:val="21"/>
              </w:rPr>
            </w:pPr>
          </w:p>
          <w:p w14:paraId="5F6744FF">
            <w:pPr>
              <w:spacing w:line="342" w:lineRule="auto"/>
              <w:jc w:val="center"/>
              <w:rPr>
                <w:rFonts w:hint="eastAsia" w:ascii="宋体" w:hAnsi="宋体" w:eastAsia="宋体" w:cs="宋体"/>
                <w:spacing w:val="0"/>
                <w:position w:val="0"/>
                <w:sz w:val="21"/>
                <w:szCs w:val="21"/>
              </w:rPr>
            </w:pPr>
          </w:p>
          <w:p w14:paraId="66CC390F">
            <w:pPr>
              <w:pStyle w:val="50"/>
              <w:spacing w:before="73" w:line="206" w:lineRule="auto"/>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保健食品</w:t>
            </w:r>
          </w:p>
        </w:tc>
        <w:tc>
          <w:tcPr>
            <w:tcW w:w="892" w:type="dxa"/>
            <w:vAlign w:val="top"/>
          </w:tcPr>
          <w:p w14:paraId="47752692">
            <w:pPr>
              <w:spacing w:line="341" w:lineRule="auto"/>
              <w:jc w:val="center"/>
              <w:rPr>
                <w:rFonts w:hint="eastAsia" w:ascii="宋体" w:hAnsi="宋体" w:eastAsia="宋体" w:cs="宋体"/>
                <w:spacing w:val="0"/>
                <w:position w:val="0"/>
                <w:sz w:val="21"/>
                <w:szCs w:val="21"/>
              </w:rPr>
            </w:pPr>
          </w:p>
          <w:p w14:paraId="524E3FAD">
            <w:pPr>
              <w:spacing w:line="341" w:lineRule="auto"/>
              <w:jc w:val="center"/>
              <w:rPr>
                <w:rFonts w:hint="eastAsia" w:ascii="宋体" w:hAnsi="宋体" w:eastAsia="宋体" w:cs="宋体"/>
                <w:spacing w:val="0"/>
                <w:position w:val="0"/>
                <w:sz w:val="21"/>
                <w:szCs w:val="21"/>
              </w:rPr>
            </w:pPr>
          </w:p>
          <w:p w14:paraId="295ABB6B">
            <w:pPr>
              <w:pStyle w:val="50"/>
              <w:spacing w:before="73" w:line="207" w:lineRule="auto"/>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较高</w:t>
            </w:r>
          </w:p>
        </w:tc>
        <w:tc>
          <w:tcPr>
            <w:tcW w:w="6199" w:type="dxa"/>
            <w:vAlign w:val="center"/>
          </w:tcPr>
          <w:p w14:paraId="5C3064E7">
            <w:pPr>
              <w:pStyle w:val="34"/>
              <w:spacing w:before="24" w:line="228" w:lineRule="auto"/>
              <w:ind w:left="3" w:right="-116"/>
              <w:jc w:val="left"/>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氨基酸、10- 羟基- 2- 癸烯酸、蛋白质、二十二碳六烯酸、二十碳五烯酸、泛酸、钙、还原糖、肌醇、赖氨酸、绿原酸、铁、维生素A、维生素B1、维生素B12、维生素B2、维生素B6、维生素C、维生素D、维生素D3、维生素E、硒、锌、烟酰胺、叶酸、免疫球蛋白</w:t>
            </w:r>
            <w:r>
              <w:rPr>
                <w:rFonts w:hint="eastAsia" w:ascii="宋体" w:hAnsi="宋体" w:eastAsia="宋体" w:cs="宋体"/>
                <w:spacing w:val="0"/>
                <w:position w:val="0"/>
                <w:sz w:val="21"/>
                <w:szCs w:val="21"/>
                <w:lang w:val="en-US" w:eastAsia="zh-CN"/>
              </w:rPr>
              <w:t>IgG</w:t>
            </w:r>
            <w:r>
              <w:rPr>
                <w:rFonts w:hint="eastAsia" w:ascii="宋体" w:hAnsi="宋体" w:eastAsia="宋体" w:cs="宋体"/>
                <w:spacing w:val="0"/>
                <w:position w:val="0"/>
                <w:sz w:val="21"/>
                <w:szCs w:val="21"/>
              </w:rPr>
              <w:t>、总黄酮、总皂苷、总蒽醌、吡啶甲酸铬、芦荟苷、总三萜、嗜酸乳杆菌、双歧</w:t>
            </w:r>
            <w:r>
              <w:rPr>
                <w:rFonts w:hint="eastAsia" w:ascii="宋体" w:hAnsi="宋体" w:eastAsia="宋体" w:cs="宋体"/>
                <w:spacing w:val="0"/>
                <w:w w:val="95"/>
                <w:position w:val="0"/>
                <w:sz w:val="21"/>
                <w:szCs w:val="21"/>
              </w:rPr>
              <w:t>杆菌、水分、可溶性固形物、酸价、过氧化值、崩解时限、灰分、铅（Pb）、总砷（As）、总汞（Hg）、硬胶囊壳中的铬、菌落总数、大肠菌群、霉菌和酵母、金黄色葡萄球菌、沙门氏菌</w:t>
            </w:r>
          </w:p>
        </w:tc>
        <w:tc>
          <w:tcPr>
            <w:tcW w:w="1367" w:type="dxa"/>
            <w:vAlign w:val="top"/>
          </w:tcPr>
          <w:p w14:paraId="06D55FF4">
            <w:pPr>
              <w:spacing w:line="341" w:lineRule="auto"/>
              <w:jc w:val="center"/>
              <w:rPr>
                <w:rFonts w:hint="eastAsia" w:ascii="宋体" w:hAnsi="宋体" w:eastAsia="宋体" w:cs="宋体"/>
                <w:spacing w:val="0"/>
                <w:position w:val="0"/>
                <w:sz w:val="21"/>
                <w:szCs w:val="21"/>
              </w:rPr>
            </w:pPr>
          </w:p>
          <w:p w14:paraId="4633A1B5">
            <w:pPr>
              <w:spacing w:line="342" w:lineRule="auto"/>
              <w:jc w:val="center"/>
              <w:rPr>
                <w:rFonts w:hint="eastAsia" w:ascii="宋体" w:hAnsi="宋体" w:eastAsia="宋体" w:cs="宋体"/>
                <w:spacing w:val="0"/>
                <w:position w:val="0"/>
                <w:sz w:val="21"/>
                <w:szCs w:val="21"/>
              </w:rPr>
            </w:pPr>
          </w:p>
          <w:p w14:paraId="1438B209">
            <w:pPr>
              <w:pStyle w:val="50"/>
              <w:spacing w:before="73" w:line="206" w:lineRule="auto"/>
              <w:jc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15</w:t>
            </w:r>
          </w:p>
        </w:tc>
        <w:tc>
          <w:tcPr>
            <w:tcW w:w="1316" w:type="dxa"/>
            <w:vAlign w:val="top"/>
          </w:tcPr>
          <w:p w14:paraId="7E4E1793">
            <w:pPr>
              <w:spacing w:line="341" w:lineRule="auto"/>
              <w:jc w:val="left"/>
              <w:rPr>
                <w:rFonts w:hint="eastAsia" w:ascii="宋体" w:hAnsi="宋体" w:eastAsia="宋体" w:cs="宋体"/>
                <w:spacing w:val="0"/>
                <w:position w:val="0"/>
                <w:sz w:val="21"/>
                <w:szCs w:val="21"/>
              </w:rPr>
            </w:pPr>
          </w:p>
          <w:p w14:paraId="315F729E">
            <w:pPr>
              <w:spacing w:line="342" w:lineRule="auto"/>
              <w:jc w:val="left"/>
              <w:rPr>
                <w:rFonts w:hint="eastAsia" w:ascii="宋体" w:hAnsi="宋体" w:eastAsia="宋体" w:cs="宋体"/>
                <w:spacing w:val="0"/>
                <w:position w:val="0"/>
                <w:sz w:val="21"/>
                <w:szCs w:val="21"/>
              </w:rPr>
            </w:pPr>
          </w:p>
          <w:p w14:paraId="530463AB">
            <w:pPr>
              <w:pStyle w:val="50"/>
              <w:spacing w:before="73" w:line="206" w:lineRule="auto"/>
              <w:ind w:left="184" w:leftChars="0"/>
              <w:jc w:val="left"/>
              <w:rPr>
                <w:rFonts w:hint="eastAsia" w:ascii="宋体" w:hAnsi="宋体" w:eastAsia="宋体" w:cs="宋体"/>
                <w:color w:val="FF0000"/>
                <w:spacing w:val="0"/>
                <w:position w:val="0"/>
                <w:sz w:val="21"/>
                <w:szCs w:val="21"/>
                <w:lang w:eastAsia="zh-CN"/>
              </w:rPr>
            </w:pPr>
          </w:p>
        </w:tc>
      </w:tr>
      <w:tr w14:paraId="14E36D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86" w:hRule="atLeast"/>
        </w:trPr>
        <w:tc>
          <w:tcPr>
            <w:tcW w:w="726" w:type="dxa"/>
            <w:vMerge w:val="restart"/>
            <w:vAlign w:val="center"/>
          </w:tcPr>
          <w:p w14:paraId="69FF676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21CEFE3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6658638B">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4BF4788F">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3287742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25B1220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3269851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1C54A6C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51E4DFC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21EE599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6BE24A9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093FE84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55F0405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5B94F1C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14F2BD85">
            <w:pPr>
              <w:widowControl/>
              <w:spacing w:line="280" w:lineRule="exact"/>
              <w:jc w:val="both"/>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4096AF58">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bCs/>
                <w:color w:val="000000" w:themeColor="text1"/>
                <w:spacing w:val="0"/>
                <w:position w:val="0"/>
                <w:sz w:val="2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-561340</wp:posOffset>
                      </wp:positionH>
                      <wp:positionV relativeFrom="paragraph">
                        <wp:posOffset>3728085</wp:posOffset>
                      </wp:positionV>
                      <wp:extent cx="403225" cy="890270"/>
                      <wp:effectExtent l="4445" t="4445" r="11430" b="19685"/>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3225" cy="890270"/>
                              </a:xfrm>
                              <a:prstGeom prst="rect">
                                <a:avLst/>
                              </a:prstGeom>
                              <a:solidFill>
                                <a:srgbClr val="FFFFFF"/>
                              </a:solidFill>
                              <a:ln w="9525">
                                <a:solidFill>
                                  <a:srgbClr val="FFFFFF"/>
                                </a:solidFill>
                                <a:miter lim="800000"/>
                              </a:ln>
                              <a:effectLst/>
                            </wps:spPr>
                            <wps:txbx>
                              <w:txbxContent>
                                <w:p w14:paraId="0EB77095">
                                  <w:pPr>
                                    <w:pStyle w:val="11"/>
                                    <w:rPr>
                                      <w:color w:val="000000"/>
                                      <w:sz w:val="28"/>
                                      <w:szCs w:val="28"/>
                                    </w:rPr>
                                  </w:pPr>
                                  <w:r>
                                    <w:rPr>
                                      <w:color w:val="000000"/>
                                      <w:sz w:val="28"/>
                                      <w:szCs w:val="28"/>
                                    </w:rPr>
                                    <w:t xml:space="preserve">— </w:t>
                                  </w:r>
                                  <w:r>
                                    <w:rPr>
                                      <w:rFonts w:hint="eastAsia"/>
                                      <w:color w:val="000000"/>
                                      <w:sz w:val="28"/>
                                      <w:szCs w:val="28"/>
                                      <w:lang w:val="en-US" w:eastAsia="zh-CN"/>
                                    </w:rPr>
                                    <w:t>16</w:t>
                                  </w:r>
                                  <w:r>
                                    <w:rPr>
                                      <w:color w:val="000000"/>
                                      <w:sz w:val="28"/>
                                      <w:szCs w:val="28"/>
                                    </w:rPr>
                                    <w:t xml:space="preserve"> —</w:t>
                                  </w:r>
                                </w:p>
                                <w:p w14:paraId="43125E71"/>
                              </w:txbxContent>
                            </wps:txbx>
                            <wps:bodyPr rot="0" vert="vert" wrap="square" lIns="91440" tIns="45720" rIns="91440" bIns="45720" anchor="t" anchorCtr="0">
                              <a:noAutofit/>
                            </wps:bodyPr>
                          </wps:wsp>
                        </a:graphicData>
                      </a:graphic>
                    </wp:anchor>
                  </w:drawing>
                </mc:Choice>
                <mc:Fallback>
                  <w:pict>
                    <v:shape id="文本框 2" o:spid="_x0000_s1026" o:spt="202" type="#_x0000_t202" style="position:absolute;left:0pt;margin-left:-44.2pt;margin-top:293.55pt;height:70.1pt;width:31.75pt;z-index:251659264;mso-width-relative:page;mso-height-relative:page;" fillcolor="#FFFFFF" filled="t" stroked="t" coordsize="21600,21600" o:gfxdata="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yx9LdwAAAALAQAADwAAAAAAAAABACAAAAAiAAAAZHJz&#10;L2Rvd25yZXYueG1sUEsBAhQAFAAAAAgAh07iQCnwEzk5AgAAiAQAAA4AAAAAAAAAAQAgAAAAKwEA&#10;AGRycy9lMm9Eb2MueG1sUEsFBgAAAAAGAAYAWQEAANYFAAAAAA==&#10;">
                      <v:fill on="t" focussize="0,0"/>
                      <v:stroke color="#FFFFFF" miterlimit="8" joinstyle="miter"/>
                      <v:imagedata o:title=""/>
                      <o:lock v:ext="edit" aspectratio="f"/>
                      <v:textbox style="layout-flow:vertical;">
                        <w:txbxContent>
                          <w:p w14:paraId="0EB77095">
                            <w:pPr>
                              <w:pStyle w:val="11"/>
                              <w:rPr>
                                <w:color w:val="000000"/>
                                <w:sz w:val="28"/>
                                <w:szCs w:val="28"/>
                              </w:rPr>
                            </w:pPr>
                            <w:r>
                              <w:rPr>
                                <w:color w:val="000000"/>
                                <w:sz w:val="28"/>
                                <w:szCs w:val="28"/>
                              </w:rPr>
                              <w:t xml:space="preserve">— </w:t>
                            </w:r>
                            <w:r>
                              <w:rPr>
                                <w:rFonts w:hint="eastAsia"/>
                                <w:color w:val="000000"/>
                                <w:sz w:val="28"/>
                                <w:szCs w:val="28"/>
                                <w:lang w:val="en-US" w:eastAsia="zh-CN"/>
                              </w:rPr>
                              <w:t>16</w:t>
                            </w:r>
                            <w:r>
                              <w:rPr>
                                <w:color w:val="000000"/>
                                <w:sz w:val="28"/>
                                <w:szCs w:val="28"/>
                              </w:rPr>
                              <w:t xml:space="preserve"> —</w:t>
                            </w:r>
                          </w:p>
                          <w:p w14:paraId="43125E71"/>
                        </w:txbxContent>
                      </v:textbox>
                    </v:shape>
                  </w:pict>
                </mc:Fallback>
              </mc:AlternateContent>
            </w:r>
            <w:r>
              <w:rPr>
                <w:rFonts w:hint="eastAsia" w:ascii="宋体" w:hAnsi="宋体" w:eastAsia="宋体" w:cs="宋体"/>
                <w:color w:val="000000" w:themeColor="text1"/>
                <w:spacing w:val="0"/>
                <w:position w:val="0"/>
                <w:sz w:val="21"/>
                <w:szCs w:val="21"/>
                <w14:textFill>
                  <w14:solidFill>
                    <w14:schemeClr w14:val="tx1"/>
                  </w14:solidFill>
                </w14:textFill>
              </w:rPr>
              <w:t>1</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w:t>
            </w:r>
          </w:p>
        </w:tc>
        <w:tc>
          <w:tcPr>
            <w:tcW w:w="1418" w:type="dxa"/>
            <w:vMerge w:val="restart"/>
            <w:vAlign w:val="center"/>
          </w:tcPr>
          <w:p w14:paraId="104FE66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7DD4429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7EA28C8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139B0CA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66E3332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3793C28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5035C78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1EFB11F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38A38C9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23B1B90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28AF2BE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61BF452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5AE4968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食用农产品</w:t>
            </w:r>
          </w:p>
        </w:tc>
        <w:tc>
          <w:tcPr>
            <w:tcW w:w="2268" w:type="dxa"/>
            <w:vAlign w:val="center"/>
          </w:tcPr>
          <w:p w14:paraId="2E6AD8DA">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畜肉（猪肉）</w:t>
            </w:r>
          </w:p>
        </w:tc>
        <w:tc>
          <w:tcPr>
            <w:tcW w:w="892" w:type="dxa"/>
            <w:vAlign w:val="center"/>
          </w:tcPr>
          <w:p w14:paraId="79ECE39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7F362AD0">
            <w:pPr>
              <w:pStyle w:val="34"/>
              <w:spacing w:before="44" w:line="261" w:lineRule="auto"/>
              <w:ind w:left="3" w:right="-72"/>
              <w:jc w:val="left"/>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spacing w:val="0"/>
                <w:w w:val="99"/>
                <w:position w:val="0"/>
                <w:sz w:val="21"/>
                <w:szCs w:val="21"/>
              </w:rPr>
              <w:t>挥发性盐基氮、呋喃唑酮代谢物、呋喃西林代谢物、氯霉素、克伦特罗、莱克多巴胺、沙丁胺醇、喹乙醇、恩诺沙星、替米考星、磺胺类（总量）、甲氧苄啶、氟苯尼考、多</w:t>
            </w:r>
            <w:r>
              <w:rPr>
                <w:rFonts w:hint="eastAsia" w:ascii="宋体" w:hAnsi="宋体" w:eastAsia="宋体" w:cs="宋体"/>
                <w:spacing w:val="0"/>
                <w:position w:val="0"/>
                <w:sz w:val="21"/>
                <w:szCs w:val="21"/>
              </w:rPr>
              <w:t>西环素、地塞米松、甲硝唑、氯丙嗪、林可霉素、土霉素/金霉素/四环素（组合含量）</w:t>
            </w:r>
          </w:p>
        </w:tc>
        <w:tc>
          <w:tcPr>
            <w:tcW w:w="1367" w:type="dxa"/>
            <w:vAlign w:val="center"/>
          </w:tcPr>
          <w:p w14:paraId="1B808397">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24</w:t>
            </w:r>
          </w:p>
        </w:tc>
        <w:tc>
          <w:tcPr>
            <w:tcW w:w="1316" w:type="dxa"/>
            <w:vAlign w:val="center"/>
          </w:tcPr>
          <w:p w14:paraId="130D83A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9CAC4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38" w:hRule="atLeast"/>
        </w:trPr>
        <w:tc>
          <w:tcPr>
            <w:tcW w:w="726" w:type="dxa"/>
            <w:vMerge w:val="continue"/>
            <w:vAlign w:val="center"/>
          </w:tcPr>
          <w:p w14:paraId="35ABB98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CAB0C1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0873414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畜肉（牛肉）</w:t>
            </w:r>
          </w:p>
        </w:tc>
        <w:tc>
          <w:tcPr>
            <w:tcW w:w="892" w:type="dxa"/>
            <w:vAlign w:val="center"/>
          </w:tcPr>
          <w:p w14:paraId="3AE8BD4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6C015E45">
            <w:pPr>
              <w:pStyle w:val="34"/>
              <w:spacing w:before="44"/>
              <w:ind w:left="3" w:right="-72"/>
              <w:jc w:val="left"/>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spacing w:val="0"/>
                <w:w w:val="95"/>
                <w:position w:val="0"/>
                <w:sz w:val="21"/>
                <w:szCs w:val="21"/>
              </w:rPr>
              <w:t>挥发性盐基氮、呋喃唑酮代谢物、呋喃西林代谢物、氯霉素、克伦特罗、莱克多巴胺、</w:t>
            </w:r>
            <w:r>
              <w:rPr>
                <w:rFonts w:hint="eastAsia" w:ascii="宋体" w:hAnsi="宋体" w:eastAsia="宋体" w:cs="宋体"/>
                <w:spacing w:val="0"/>
                <w:w w:val="99"/>
                <w:position w:val="0"/>
                <w:sz w:val="21"/>
                <w:szCs w:val="21"/>
              </w:rPr>
              <w:t>沙丁胺醇、恩诺沙星、磺胺类（总量）、甲氧苄啶、氟苯尼考、多西环素、地塞米松、林可霉素、倍他米松、土霉素</w:t>
            </w:r>
            <w:r>
              <w:rPr>
                <w:rFonts w:hint="eastAsia" w:ascii="宋体" w:hAnsi="宋体" w:eastAsia="宋体" w:cs="宋体"/>
                <w:spacing w:val="0"/>
                <w:w w:val="190"/>
                <w:position w:val="0"/>
                <w:sz w:val="21"/>
                <w:szCs w:val="21"/>
              </w:rPr>
              <w:t>/</w:t>
            </w:r>
            <w:r>
              <w:rPr>
                <w:rFonts w:hint="eastAsia" w:ascii="宋体" w:hAnsi="宋体" w:eastAsia="宋体" w:cs="宋体"/>
                <w:spacing w:val="0"/>
                <w:w w:val="99"/>
                <w:position w:val="0"/>
                <w:sz w:val="21"/>
                <w:szCs w:val="21"/>
              </w:rPr>
              <w:t>金霉素</w:t>
            </w:r>
            <w:r>
              <w:rPr>
                <w:rFonts w:hint="eastAsia" w:ascii="宋体" w:hAnsi="宋体" w:eastAsia="宋体" w:cs="宋体"/>
                <w:spacing w:val="0"/>
                <w:w w:val="190"/>
                <w:position w:val="0"/>
                <w:sz w:val="21"/>
                <w:szCs w:val="21"/>
              </w:rPr>
              <w:t>/</w:t>
            </w:r>
            <w:r>
              <w:rPr>
                <w:rFonts w:hint="eastAsia" w:ascii="宋体" w:hAnsi="宋体" w:eastAsia="宋体" w:cs="宋体"/>
                <w:spacing w:val="0"/>
                <w:w w:val="99"/>
                <w:position w:val="0"/>
                <w:sz w:val="21"/>
                <w:szCs w:val="21"/>
              </w:rPr>
              <w:t>四环素（组合含量</w:t>
            </w:r>
            <w:r>
              <w:rPr>
                <w:rFonts w:hint="eastAsia" w:ascii="宋体" w:hAnsi="宋体" w:eastAsia="宋体" w:cs="宋体"/>
                <w:spacing w:val="0"/>
                <w:w w:val="99"/>
                <w:position w:val="0"/>
                <w:sz w:val="21"/>
                <w:szCs w:val="21"/>
                <w:lang w:eastAsia="zh-CN"/>
              </w:rPr>
              <w:t>）</w:t>
            </w:r>
          </w:p>
        </w:tc>
        <w:tc>
          <w:tcPr>
            <w:tcW w:w="1367" w:type="dxa"/>
            <w:vAlign w:val="center"/>
          </w:tcPr>
          <w:p w14:paraId="66712C59">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14</w:t>
            </w:r>
          </w:p>
        </w:tc>
        <w:tc>
          <w:tcPr>
            <w:tcW w:w="1316" w:type="dxa"/>
            <w:vAlign w:val="center"/>
          </w:tcPr>
          <w:p w14:paraId="65DE789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B2E5D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69" w:hRule="atLeast"/>
        </w:trPr>
        <w:tc>
          <w:tcPr>
            <w:tcW w:w="726" w:type="dxa"/>
            <w:vMerge w:val="continue"/>
            <w:vAlign w:val="center"/>
          </w:tcPr>
          <w:p w14:paraId="2F7E8A0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CA55BE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5EC1778F">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畜肉（羊肉）</w:t>
            </w:r>
          </w:p>
        </w:tc>
        <w:tc>
          <w:tcPr>
            <w:tcW w:w="892" w:type="dxa"/>
            <w:vAlign w:val="center"/>
          </w:tcPr>
          <w:p w14:paraId="0DCCEA8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7EE697E8">
            <w:pPr>
              <w:pStyle w:val="34"/>
              <w:spacing w:before="26"/>
              <w:ind w:left="3" w:right="-15"/>
              <w:jc w:val="both"/>
              <w:rPr>
                <w:rFonts w:hint="eastAsia" w:ascii="宋体" w:hAnsi="宋体" w:eastAsia="宋体" w:cs="宋体"/>
                <w:color w:val="000000" w:themeColor="text1"/>
                <w:spacing w:val="0"/>
                <w:position w:val="0"/>
                <w:sz w:val="21"/>
                <w:szCs w:val="21"/>
                <w:lang w:val="zh-CN"/>
                <w14:textFill>
                  <w14:solidFill>
                    <w14:schemeClr w14:val="tx1"/>
                  </w14:solidFill>
                </w14:textFill>
              </w:rPr>
            </w:pPr>
            <w:r>
              <w:rPr>
                <w:rFonts w:hint="eastAsia" w:ascii="宋体" w:hAnsi="宋体" w:eastAsia="宋体" w:cs="宋体"/>
                <w:spacing w:val="0"/>
                <w:w w:val="95"/>
                <w:position w:val="0"/>
                <w:sz w:val="21"/>
                <w:szCs w:val="21"/>
              </w:rPr>
              <w:t>呋喃唑酮代谢物、呋喃西林代谢物、氯霉素、克伦特罗、莱克多巴胺、沙丁胺醇、恩诺</w:t>
            </w:r>
            <w:r>
              <w:rPr>
                <w:rFonts w:hint="eastAsia" w:ascii="宋体" w:hAnsi="宋体" w:eastAsia="宋体" w:cs="宋体"/>
                <w:spacing w:val="0"/>
                <w:position w:val="0"/>
                <w:sz w:val="21"/>
                <w:szCs w:val="21"/>
              </w:rPr>
              <w:t>沙星、磺胺类（总量）、氟苯尼考、林可霉素、环丙氨嗪、土霉素/金霉素/四环素（组</w:t>
            </w:r>
            <w:r>
              <w:rPr>
                <w:rFonts w:hint="eastAsia" w:ascii="宋体" w:hAnsi="宋体" w:eastAsia="宋体" w:cs="宋体"/>
                <w:spacing w:val="0"/>
                <w:w w:val="105"/>
                <w:position w:val="0"/>
                <w:sz w:val="21"/>
                <w:szCs w:val="21"/>
              </w:rPr>
              <w:t>合含量）</w:t>
            </w:r>
          </w:p>
        </w:tc>
        <w:tc>
          <w:tcPr>
            <w:tcW w:w="1367" w:type="dxa"/>
            <w:vAlign w:val="center"/>
          </w:tcPr>
          <w:p w14:paraId="34879AF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14</w:t>
            </w:r>
          </w:p>
        </w:tc>
        <w:tc>
          <w:tcPr>
            <w:tcW w:w="1316" w:type="dxa"/>
            <w:vAlign w:val="center"/>
          </w:tcPr>
          <w:p w14:paraId="5895641B">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BC336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51" w:hRule="atLeast"/>
        </w:trPr>
        <w:tc>
          <w:tcPr>
            <w:tcW w:w="726" w:type="dxa"/>
            <w:vMerge w:val="continue"/>
            <w:vAlign w:val="center"/>
          </w:tcPr>
          <w:p w14:paraId="327ADBB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174712A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DFB7CC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禽肉（鸡肉）</w:t>
            </w:r>
          </w:p>
        </w:tc>
        <w:tc>
          <w:tcPr>
            <w:tcW w:w="892" w:type="dxa"/>
            <w:vAlign w:val="center"/>
          </w:tcPr>
          <w:p w14:paraId="4216E4E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71BDD544">
            <w:pPr>
              <w:pStyle w:val="34"/>
              <w:spacing w:before="44" w:line="261" w:lineRule="auto"/>
              <w:ind w:left="3" w:right="-15"/>
              <w:jc w:val="both"/>
              <w:rPr>
                <w:rFonts w:hint="eastAsia" w:ascii="宋体" w:hAnsi="宋体" w:eastAsia="宋体" w:cs="宋体"/>
                <w:color w:val="000000" w:themeColor="text1"/>
                <w:spacing w:val="0"/>
                <w:position w:val="0"/>
                <w:sz w:val="21"/>
                <w:szCs w:val="21"/>
                <w:lang w:val="zh-CN" w:eastAsia="zh-CN"/>
                <w14:textFill>
                  <w14:solidFill>
                    <w14:schemeClr w14:val="tx1"/>
                  </w14:solidFill>
                </w14:textFill>
              </w:rPr>
            </w:pPr>
            <w:r>
              <w:rPr>
                <w:rFonts w:hint="eastAsia" w:ascii="宋体" w:hAnsi="宋体" w:eastAsia="宋体" w:cs="宋体"/>
                <w:spacing w:val="0"/>
                <w:w w:val="99"/>
                <w:position w:val="0"/>
                <w:sz w:val="21"/>
                <w:szCs w:val="21"/>
              </w:rPr>
              <w:t>挥发性盐基氮、呋喃唑酮代谢物、呋喃西林代谢物、呋喃它酮代谢物、氯霉素、氧氟沙星、培氟沙星、诺氟沙星、恩诺沙星、沙拉沙星、替米考星、磺胺类（总量）、甲氧苄啶、氟苯尼考、多西环素、甲硝唑、尼卡巴嗪、环丙氨嗪、土霉素</w:t>
            </w:r>
            <w:r>
              <w:rPr>
                <w:rFonts w:hint="eastAsia" w:ascii="宋体" w:hAnsi="宋体" w:eastAsia="宋体" w:cs="宋体"/>
                <w:spacing w:val="0"/>
                <w:w w:val="190"/>
                <w:position w:val="0"/>
                <w:sz w:val="21"/>
                <w:szCs w:val="21"/>
              </w:rPr>
              <w:t>/</w:t>
            </w:r>
            <w:r>
              <w:rPr>
                <w:rFonts w:hint="eastAsia" w:ascii="宋体" w:hAnsi="宋体" w:eastAsia="宋体" w:cs="宋体"/>
                <w:spacing w:val="0"/>
                <w:w w:val="99"/>
                <w:position w:val="0"/>
                <w:sz w:val="21"/>
                <w:szCs w:val="21"/>
              </w:rPr>
              <w:t>金霉素</w:t>
            </w:r>
            <w:r>
              <w:rPr>
                <w:rFonts w:hint="eastAsia" w:ascii="宋体" w:hAnsi="宋体" w:eastAsia="宋体" w:cs="宋体"/>
                <w:spacing w:val="0"/>
                <w:w w:val="190"/>
                <w:position w:val="0"/>
                <w:sz w:val="21"/>
                <w:szCs w:val="21"/>
              </w:rPr>
              <w:t>/</w:t>
            </w:r>
            <w:r>
              <w:rPr>
                <w:rFonts w:hint="eastAsia" w:ascii="宋体" w:hAnsi="宋体" w:eastAsia="宋体" w:cs="宋体"/>
                <w:spacing w:val="0"/>
                <w:w w:val="99"/>
                <w:position w:val="0"/>
                <w:sz w:val="21"/>
                <w:szCs w:val="21"/>
              </w:rPr>
              <w:t>四环素（组</w:t>
            </w:r>
            <w:r>
              <w:rPr>
                <w:rFonts w:hint="eastAsia" w:ascii="宋体" w:hAnsi="宋体" w:eastAsia="宋体" w:cs="宋体"/>
                <w:spacing w:val="0"/>
                <w:w w:val="95"/>
                <w:position w:val="0"/>
                <w:sz w:val="21"/>
                <w:szCs w:val="21"/>
              </w:rPr>
              <w:t>合含量）</w:t>
            </w:r>
          </w:p>
        </w:tc>
        <w:tc>
          <w:tcPr>
            <w:tcW w:w="1367" w:type="dxa"/>
            <w:vAlign w:val="center"/>
          </w:tcPr>
          <w:p w14:paraId="275C44E1">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23</w:t>
            </w:r>
          </w:p>
        </w:tc>
        <w:tc>
          <w:tcPr>
            <w:tcW w:w="1316" w:type="dxa"/>
            <w:vAlign w:val="center"/>
          </w:tcPr>
          <w:p w14:paraId="292C4E25">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CB812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49" w:hRule="atLeast"/>
        </w:trPr>
        <w:tc>
          <w:tcPr>
            <w:tcW w:w="726" w:type="dxa"/>
            <w:vMerge w:val="continue"/>
            <w:vAlign w:val="center"/>
          </w:tcPr>
          <w:p w14:paraId="0E7B12FF">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BE9F48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FFE95D0">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豆类蔬菜（菜豆）</w:t>
            </w:r>
          </w:p>
        </w:tc>
        <w:tc>
          <w:tcPr>
            <w:tcW w:w="892" w:type="dxa"/>
            <w:vAlign w:val="center"/>
          </w:tcPr>
          <w:p w14:paraId="013DD22A">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7D912C82">
            <w:pPr>
              <w:widowControl/>
              <w:spacing w:line="380" w:lineRule="exact"/>
              <w:jc w:val="both"/>
              <w:textAlignment w:val="center"/>
              <w:rPr>
                <w:rFonts w:hint="eastAsia" w:ascii="宋体" w:hAnsi="宋体" w:eastAsia="宋体" w:cs="宋体"/>
                <w:color w:val="000000" w:themeColor="text1"/>
                <w:spacing w:val="0"/>
                <w:position w:val="0"/>
                <w:sz w:val="21"/>
                <w:szCs w:val="21"/>
                <w:lang w:val="zh-CN"/>
                <w14:textFill>
                  <w14:solidFill>
                    <w14:schemeClr w14:val="tx1"/>
                  </w14:solidFill>
                </w14:textFill>
              </w:rPr>
            </w:pPr>
            <w:r>
              <w:rPr>
                <w:rFonts w:hint="eastAsia" w:ascii="宋体" w:hAnsi="宋体" w:eastAsia="宋体" w:cs="宋体"/>
                <w:spacing w:val="0"/>
                <w:w w:val="99"/>
                <w:position w:val="0"/>
                <w:sz w:val="21"/>
                <w:szCs w:val="21"/>
              </w:rPr>
              <w:t>倍硫磷、吡虫啉、毒死蜱、多菌灵、甲氨基阿维菌素苯甲酸盐、甲胺磷、克百威、氯氟氰菊酯和高效氯氟氰菊酯、灭蝇胺、噻虫胺、水胺硫磷、氧乐果、乙酰甲胺磷</w:t>
            </w:r>
          </w:p>
        </w:tc>
        <w:tc>
          <w:tcPr>
            <w:tcW w:w="1367" w:type="dxa"/>
            <w:vAlign w:val="center"/>
          </w:tcPr>
          <w:p w14:paraId="1AAAF49F">
            <w:pPr>
              <w:widowControl/>
              <w:spacing w:line="280" w:lineRule="exact"/>
              <w:jc w:val="center"/>
              <w:textAlignment w:val="center"/>
              <w:rPr>
                <w:rFonts w:hint="eastAsia" w:ascii="宋体" w:hAnsi="宋体" w:eastAsia="宋体" w:cs="宋体"/>
                <w:color w:val="000000" w:themeColor="text1"/>
                <w:spacing w:val="0"/>
                <w:position w:val="0"/>
                <w:sz w:val="21"/>
                <w:szCs w:val="21"/>
                <w:lang w:val="en-US"/>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15</w:t>
            </w:r>
          </w:p>
        </w:tc>
        <w:tc>
          <w:tcPr>
            <w:tcW w:w="1316" w:type="dxa"/>
            <w:vAlign w:val="center"/>
          </w:tcPr>
          <w:p w14:paraId="7A1E5A70">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1FEF5B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758" w:hRule="atLeast"/>
        </w:trPr>
        <w:tc>
          <w:tcPr>
            <w:tcW w:w="726" w:type="dxa"/>
            <w:vMerge w:val="continue"/>
            <w:vAlign w:val="center"/>
          </w:tcPr>
          <w:p w14:paraId="0839F3FA">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038E716E">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62C23B0">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豆类蔬菜（豇豆）</w:t>
            </w:r>
          </w:p>
        </w:tc>
        <w:tc>
          <w:tcPr>
            <w:tcW w:w="892" w:type="dxa"/>
            <w:vAlign w:val="center"/>
          </w:tcPr>
          <w:p w14:paraId="20C0BE9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9664749">
            <w:pPr>
              <w:pStyle w:val="34"/>
              <w:spacing w:before="45" w:line="261" w:lineRule="auto"/>
              <w:ind w:left="3" w:right="-15"/>
              <w:jc w:val="both"/>
              <w:rPr>
                <w:rFonts w:hint="eastAsia" w:ascii="宋体" w:hAnsi="宋体" w:eastAsia="宋体" w:cs="宋体"/>
                <w:color w:val="000000" w:themeColor="text1"/>
                <w:spacing w:val="0"/>
                <w:position w:val="0"/>
                <w:sz w:val="21"/>
                <w:szCs w:val="21"/>
                <w:lang w:val="zh-CN" w:eastAsia="zh-CN"/>
                <w14:textFill>
                  <w14:solidFill>
                    <w14:schemeClr w14:val="tx1"/>
                  </w14:solidFill>
                </w14:textFill>
              </w:rPr>
            </w:pPr>
            <w:r>
              <w:rPr>
                <w:rFonts w:hint="eastAsia" w:ascii="宋体" w:hAnsi="宋体" w:eastAsia="宋体" w:cs="宋体"/>
                <w:spacing w:val="0"/>
                <w:w w:val="99"/>
                <w:position w:val="0"/>
                <w:sz w:val="21"/>
                <w:szCs w:val="21"/>
              </w:rPr>
              <w:t>阿维菌素、倍硫磷、啶虫脒、毒死蜱、氟虫腈、甲氨基阿维菌素苯甲酸盐、甲胺磷、甲拌磷、甲基异柳磷、克百威、乐果、氯氟氰菊酯和高效氯氟氰菊酯、氯氰菊酯和高效氯</w:t>
            </w:r>
            <w:r>
              <w:rPr>
                <w:rFonts w:hint="eastAsia" w:ascii="宋体" w:hAnsi="宋体" w:eastAsia="宋体" w:cs="宋体"/>
                <w:spacing w:val="0"/>
                <w:w w:val="95"/>
                <w:position w:val="0"/>
                <w:sz w:val="21"/>
                <w:szCs w:val="21"/>
              </w:rPr>
              <w:t>氰菊酯、灭蝇胺、噻虫胺、噻虫嗪、三唑磷、水胺硫磷、氧乐果、乙酰甲胺磷</w:t>
            </w:r>
          </w:p>
        </w:tc>
        <w:tc>
          <w:tcPr>
            <w:tcW w:w="1367" w:type="dxa"/>
            <w:vAlign w:val="center"/>
          </w:tcPr>
          <w:p w14:paraId="3518623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25</w:t>
            </w:r>
          </w:p>
        </w:tc>
        <w:tc>
          <w:tcPr>
            <w:tcW w:w="1316" w:type="dxa"/>
            <w:vAlign w:val="center"/>
          </w:tcPr>
          <w:p w14:paraId="064974D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32E92B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76" w:hRule="atLeast"/>
        </w:trPr>
        <w:tc>
          <w:tcPr>
            <w:tcW w:w="726" w:type="dxa"/>
            <w:vMerge w:val="continue"/>
            <w:vAlign w:val="center"/>
          </w:tcPr>
          <w:p w14:paraId="29372262">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C4FEEEF">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01E3A2E7">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豆类蔬菜（食荚豌豆）</w:t>
            </w:r>
          </w:p>
        </w:tc>
        <w:tc>
          <w:tcPr>
            <w:tcW w:w="892" w:type="dxa"/>
            <w:vAlign w:val="center"/>
          </w:tcPr>
          <w:p w14:paraId="049346EF">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654F949B">
            <w:pPr>
              <w:widowControl/>
              <w:spacing w:line="380" w:lineRule="exact"/>
              <w:jc w:val="both"/>
              <w:textAlignment w:val="center"/>
              <w:rPr>
                <w:rFonts w:hint="eastAsia" w:ascii="宋体" w:hAnsi="宋体" w:eastAsia="宋体" w:cs="宋体"/>
                <w:color w:val="000000" w:themeColor="text1"/>
                <w:spacing w:val="0"/>
                <w:position w:val="0"/>
                <w:sz w:val="21"/>
                <w:szCs w:val="21"/>
                <w:lang w:val="zh-CN" w:eastAsia="zh-CN"/>
                <w14:textFill>
                  <w14:solidFill>
                    <w14:schemeClr w14:val="tx1"/>
                  </w14:solidFill>
                </w14:textFill>
              </w:rPr>
            </w:pPr>
            <w:r>
              <w:rPr>
                <w:rFonts w:hint="eastAsia" w:ascii="宋体" w:hAnsi="宋体" w:eastAsia="宋体" w:cs="宋体"/>
                <w:spacing w:val="0"/>
                <w:w w:val="99"/>
                <w:position w:val="0"/>
                <w:sz w:val="21"/>
                <w:szCs w:val="21"/>
              </w:rPr>
              <w:t>阿维菌素、吡唑醚菌酯、毒死蜱、多菌灵、甲氨基阿维菌素苯甲酸盐、灭蝇胺、噻虫胺、烯酰吗啉、氧乐果、乙酰甲胺磷</w:t>
            </w:r>
          </w:p>
        </w:tc>
        <w:tc>
          <w:tcPr>
            <w:tcW w:w="1367" w:type="dxa"/>
            <w:vAlign w:val="center"/>
          </w:tcPr>
          <w:p w14:paraId="355D42D0">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0E09BB2E">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34F0A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51" w:hRule="atLeast"/>
        </w:trPr>
        <w:tc>
          <w:tcPr>
            <w:tcW w:w="726" w:type="dxa"/>
            <w:vMerge w:val="continue"/>
            <w:vAlign w:val="center"/>
          </w:tcPr>
          <w:p w14:paraId="36B96923">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0BCF49BE">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0A614A48">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豆芽</w:t>
            </w:r>
          </w:p>
        </w:tc>
        <w:tc>
          <w:tcPr>
            <w:tcW w:w="892" w:type="dxa"/>
            <w:vAlign w:val="center"/>
          </w:tcPr>
          <w:p w14:paraId="47F5BE4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56BA3DB">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spacing w:val="0"/>
                <w:position w:val="0"/>
                <w:sz w:val="21"/>
                <w:szCs w:val="21"/>
              </w:rPr>
              <w:t>铅（以Pb计）、4- 氯苯氧乙酸钠（以4- 氯苯氧乙酸计）、6- 苄基腺嘌呤（6- BA）、亚硫酸盐（以SO2计）、总汞（以Hg计）</w:t>
            </w:r>
          </w:p>
        </w:tc>
        <w:tc>
          <w:tcPr>
            <w:tcW w:w="1367" w:type="dxa"/>
            <w:vAlign w:val="center"/>
          </w:tcPr>
          <w:p w14:paraId="66C041E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30</w:t>
            </w:r>
          </w:p>
        </w:tc>
        <w:tc>
          <w:tcPr>
            <w:tcW w:w="1316" w:type="dxa"/>
            <w:vAlign w:val="center"/>
          </w:tcPr>
          <w:p w14:paraId="6DC9B4BE">
            <w:pPr>
              <w:pStyle w:val="50"/>
              <w:spacing w:before="163" w:line="239" w:lineRule="auto"/>
              <w:ind w:left="14" w:right="9" w:firstLine="3"/>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2CC5E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86" w:hRule="atLeast"/>
        </w:trPr>
        <w:tc>
          <w:tcPr>
            <w:tcW w:w="726" w:type="dxa"/>
            <w:vMerge w:val="continue"/>
            <w:vAlign w:val="center"/>
          </w:tcPr>
          <w:p w14:paraId="4394DF1B">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17BA6035">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17F61C40">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根茎类和薯芋类</w:t>
            </w:r>
          </w:p>
          <w:p w14:paraId="18BE21A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蔬菜</w:t>
            </w:r>
            <w:r>
              <w:rPr>
                <w:rFonts w:hint="eastAsia" w:ascii="宋体" w:hAnsi="宋体" w:eastAsia="宋体" w:cs="宋体"/>
                <w:color w:val="000000" w:themeColor="text1"/>
                <w:spacing w:val="0"/>
                <w:position w:val="0"/>
                <w:sz w:val="21"/>
                <w:szCs w:val="21"/>
                <w:lang w:val="zh-TW"/>
                <w14:textFill>
                  <w14:solidFill>
                    <w14:schemeClr w14:val="tx1"/>
                  </w14:solidFill>
                </w14:textFill>
              </w:rPr>
              <w:t>（姜）</w:t>
            </w:r>
          </w:p>
        </w:tc>
        <w:tc>
          <w:tcPr>
            <w:tcW w:w="892" w:type="dxa"/>
            <w:vAlign w:val="center"/>
          </w:tcPr>
          <w:p w14:paraId="00829F6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3285F1D0">
            <w:pPr>
              <w:pStyle w:val="34"/>
              <w:spacing w:before="44"/>
              <w:ind w:left="3" w:right="-15"/>
              <w:jc w:val="both"/>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w w:val="95"/>
                <w:position w:val="0"/>
                <w:sz w:val="21"/>
                <w:szCs w:val="21"/>
              </w:rPr>
              <w:t>铅（以Pb计）、镉（以Cd计）、吡虫啉、吡唑醚菌酯、敌敌畏、毒死蜱、甲胺磷、甲</w:t>
            </w:r>
            <w:r>
              <w:rPr>
                <w:rFonts w:hint="eastAsia" w:ascii="宋体" w:hAnsi="宋体" w:eastAsia="宋体" w:cs="宋体"/>
                <w:spacing w:val="0"/>
                <w:w w:val="99"/>
                <w:position w:val="0"/>
                <w:sz w:val="21"/>
                <w:szCs w:val="21"/>
              </w:rPr>
              <w:t>拌磷、克百威、六六六、氯氟氰菊酯和高效氯氟氰菊酯、氯氰菊酯和高效氯氰菊酯、氯唑磷、咪鲜胺和咪鲜胺锰盐、噻虫胺、噻虫嗪、二氧化硫残留量</w:t>
            </w:r>
          </w:p>
        </w:tc>
        <w:tc>
          <w:tcPr>
            <w:tcW w:w="1367" w:type="dxa"/>
            <w:vAlign w:val="center"/>
          </w:tcPr>
          <w:p w14:paraId="4DD4CD9F">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18</w:t>
            </w:r>
          </w:p>
        </w:tc>
        <w:tc>
          <w:tcPr>
            <w:tcW w:w="1316" w:type="dxa"/>
            <w:vAlign w:val="center"/>
          </w:tcPr>
          <w:p w14:paraId="7B2D9E4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070089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1218CD35">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D2BE6B6">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3D58F7B3">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根茎类和薯芋类</w:t>
            </w:r>
          </w:p>
          <w:p w14:paraId="5E38A27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蔬菜</w:t>
            </w:r>
            <w:r>
              <w:rPr>
                <w:rFonts w:hint="eastAsia" w:ascii="宋体" w:hAnsi="宋体" w:eastAsia="宋体" w:cs="宋体"/>
                <w:color w:val="000000" w:themeColor="text1"/>
                <w:spacing w:val="0"/>
                <w:position w:val="0"/>
                <w:sz w:val="21"/>
                <w:szCs w:val="21"/>
                <w:lang w:val="zh-TW"/>
                <w14:textFill>
                  <w14:solidFill>
                    <w14:schemeClr w14:val="tx1"/>
                  </w14:solidFill>
                </w14:textFill>
              </w:rPr>
              <w:t>（</w:t>
            </w: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山药</w:t>
            </w:r>
            <w:r>
              <w:rPr>
                <w:rFonts w:hint="eastAsia" w:ascii="宋体" w:hAnsi="宋体" w:eastAsia="宋体" w:cs="宋体"/>
                <w:color w:val="000000" w:themeColor="text1"/>
                <w:spacing w:val="0"/>
                <w:position w:val="0"/>
                <w:sz w:val="21"/>
                <w:szCs w:val="21"/>
                <w:lang w:val="zh-TW"/>
                <w14:textFill>
                  <w14:solidFill>
                    <w14:schemeClr w14:val="tx1"/>
                  </w14:solidFill>
                </w14:textFill>
              </w:rPr>
              <w:t>）</w:t>
            </w:r>
          </w:p>
        </w:tc>
        <w:tc>
          <w:tcPr>
            <w:tcW w:w="892" w:type="dxa"/>
            <w:vAlign w:val="center"/>
          </w:tcPr>
          <w:p w14:paraId="50382AB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2EBE7FB9">
            <w:pPr>
              <w:widowControl/>
              <w:spacing w:line="380" w:lineRule="exact"/>
              <w:jc w:val="both"/>
              <w:textAlignment w:val="center"/>
              <w:rPr>
                <w:rFonts w:hint="eastAsia" w:ascii="宋体" w:hAnsi="宋体" w:eastAsia="宋体" w:cs="宋体"/>
                <w:color w:val="000000" w:themeColor="text1"/>
                <w:spacing w:val="0"/>
                <w:position w:val="0"/>
                <w:sz w:val="21"/>
                <w:szCs w:val="21"/>
                <w:lang w:val="zh-CN" w:eastAsia="zh-CN"/>
                <w14:textFill>
                  <w14:solidFill>
                    <w14:schemeClr w14:val="tx1"/>
                  </w14:solidFill>
                </w14:textFill>
              </w:rPr>
            </w:pPr>
            <w:r>
              <w:rPr>
                <w:rFonts w:hint="eastAsia" w:ascii="宋体" w:hAnsi="宋体" w:eastAsia="宋体" w:cs="宋体"/>
                <w:spacing w:val="0"/>
                <w:position w:val="0"/>
                <w:sz w:val="21"/>
                <w:szCs w:val="21"/>
              </w:rPr>
              <w:t>铅</w:t>
            </w:r>
            <w:r>
              <w:rPr>
                <w:rFonts w:hint="eastAsia" w:ascii="宋体" w:hAnsi="宋体" w:eastAsia="宋体" w:cs="宋体"/>
                <w:spacing w:val="0"/>
                <w:w w:val="95"/>
                <w:position w:val="0"/>
                <w:sz w:val="21"/>
                <w:szCs w:val="21"/>
              </w:rPr>
              <w:t>（以Pb计）</w:t>
            </w:r>
            <w:r>
              <w:rPr>
                <w:rFonts w:hint="eastAsia" w:ascii="宋体" w:hAnsi="宋体" w:eastAsia="宋体" w:cs="宋体"/>
                <w:spacing w:val="0"/>
                <w:position w:val="0"/>
                <w:sz w:val="21"/>
                <w:szCs w:val="21"/>
              </w:rPr>
              <w:t>、毒死蜱、氯氟氰菊酯和高效氯氟氰菊酯、咪鲜胺和咪鲜胺锰盐、涕灭威</w:t>
            </w:r>
          </w:p>
        </w:tc>
        <w:tc>
          <w:tcPr>
            <w:tcW w:w="1367" w:type="dxa"/>
            <w:vAlign w:val="center"/>
          </w:tcPr>
          <w:p w14:paraId="16C9AB4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12</w:t>
            </w:r>
          </w:p>
        </w:tc>
        <w:tc>
          <w:tcPr>
            <w:tcW w:w="1316" w:type="dxa"/>
            <w:vAlign w:val="center"/>
          </w:tcPr>
          <w:p w14:paraId="46358788">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63043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0250496F">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556F76E6">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1C71D425">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根茎类和薯芋类</w:t>
            </w:r>
          </w:p>
          <w:p w14:paraId="53F5EF95">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蔬菜</w:t>
            </w:r>
            <w:r>
              <w:rPr>
                <w:rFonts w:hint="eastAsia" w:ascii="宋体" w:hAnsi="宋体" w:eastAsia="宋体" w:cs="宋体"/>
                <w:color w:val="000000" w:themeColor="text1"/>
                <w:spacing w:val="0"/>
                <w:position w:val="0"/>
                <w:sz w:val="21"/>
                <w:szCs w:val="21"/>
                <w:lang w:val="zh-TW"/>
                <w14:textFill>
                  <w14:solidFill>
                    <w14:schemeClr w14:val="tx1"/>
                  </w14:solidFill>
                </w14:textFill>
              </w:rPr>
              <w:t>（</w:t>
            </w: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芋</w:t>
            </w:r>
            <w:r>
              <w:rPr>
                <w:rFonts w:hint="eastAsia" w:ascii="宋体" w:hAnsi="宋体" w:eastAsia="宋体" w:cs="宋体"/>
                <w:color w:val="000000" w:themeColor="text1"/>
                <w:spacing w:val="0"/>
                <w:position w:val="0"/>
                <w:sz w:val="21"/>
                <w:szCs w:val="21"/>
                <w:lang w:val="zh-TW"/>
                <w14:textFill>
                  <w14:solidFill>
                    <w14:schemeClr w14:val="tx1"/>
                  </w14:solidFill>
                </w14:textFill>
              </w:rPr>
              <w:t>）</w:t>
            </w:r>
          </w:p>
        </w:tc>
        <w:tc>
          <w:tcPr>
            <w:tcW w:w="892" w:type="dxa"/>
            <w:vAlign w:val="center"/>
          </w:tcPr>
          <w:p w14:paraId="176F92F7">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6E7A9903">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铅</w:t>
            </w:r>
            <w:r>
              <w:rPr>
                <w:rFonts w:hint="eastAsia" w:ascii="宋体" w:hAnsi="宋体" w:eastAsia="宋体" w:cs="宋体"/>
                <w:spacing w:val="0"/>
                <w:w w:val="95"/>
                <w:position w:val="0"/>
                <w:sz w:val="21"/>
                <w:szCs w:val="21"/>
              </w:rPr>
              <w:t>（以Pb计）</w:t>
            </w:r>
            <w:r>
              <w:rPr>
                <w:rFonts w:hint="eastAsia" w:ascii="宋体" w:hAnsi="宋体" w:eastAsia="宋体" w:cs="宋体"/>
                <w:spacing w:val="0"/>
                <w:position w:val="0"/>
                <w:sz w:val="21"/>
                <w:szCs w:val="21"/>
              </w:rPr>
              <w:t>、</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镉（以</w:t>
            </w: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Cd</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计）</w:t>
            </w: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w:t>
            </w:r>
            <w:r>
              <w:rPr>
                <w:rFonts w:hint="eastAsia" w:ascii="宋体" w:hAnsi="宋体" w:eastAsia="宋体" w:cs="宋体"/>
                <w:spacing w:val="0"/>
                <w:position w:val="0"/>
                <w:sz w:val="21"/>
                <w:szCs w:val="21"/>
              </w:rPr>
              <w:t>氯氟氰菊酯和高效氯氟氰菊酯</w:t>
            </w:r>
          </w:p>
        </w:tc>
        <w:tc>
          <w:tcPr>
            <w:tcW w:w="1367" w:type="dxa"/>
            <w:vAlign w:val="center"/>
          </w:tcPr>
          <w:p w14:paraId="3DB95B1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w:t>
            </w:r>
          </w:p>
        </w:tc>
        <w:tc>
          <w:tcPr>
            <w:tcW w:w="1316" w:type="dxa"/>
            <w:vAlign w:val="center"/>
          </w:tcPr>
          <w:p w14:paraId="77397CD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E86E3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4535FFE2">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14F669B2">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66C3C6C3">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 xml:space="preserve">鳞茎类蔬菜（ </w:t>
            </w:r>
            <w:r>
              <w:rPr>
                <w:rFonts w:hint="eastAsia" w:ascii="宋体" w:hAnsi="宋体" w:eastAsia="宋体" w:cs="宋体"/>
                <w:color w:val="000000" w:themeColor="text1"/>
                <w:spacing w:val="0"/>
                <w:position w:val="0"/>
                <w:sz w:val="21"/>
                <w:szCs w:val="21"/>
                <w:lang w:eastAsia="zh-CN"/>
                <w14:textFill>
                  <w14:solidFill>
                    <w14:schemeClr w14:val="tx1"/>
                  </w14:solidFill>
                </w14:textFill>
              </w:rPr>
              <w:t>葱</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1475B87C">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344E0BA9">
            <w:pPr>
              <w:pStyle w:val="34"/>
              <w:spacing w:before="44"/>
              <w:ind w:left="3" w:right="-15"/>
              <w:jc w:val="both"/>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w w:val="95"/>
                <w:position w:val="0"/>
                <w:sz w:val="21"/>
                <w:szCs w:val="21"/>
              </w:rPr>
              <w:t>铅（以Pb计）、镉（以Cd计）、丙环唑、毒死蜱、甲拌磷、甲基异柳磷、克百威、氯</w:t>
            </w:r>
            <w:r>
              <w:rPr>
                <w:rFonts w:hint="eastAsia" w:ascii="宋体" w:hAnsi="宋体" w:eastAsia="宋体" w:cs="宋体"/>
                <w:spacing w:val="0"/>
                <w:w w:val="99"/>
                <w:position w:val="0"/>
                <w:sz w:val="21"/>
                <w:szCs w:val="21"/>
              </w:rPr>
              <w:t>氟氰菊酯和高效氯氟氰菊酯、噻虫嗪、三唑磷、水胺硫磷、戊唑醇、氧乐果、乙酰甲胺磷</w:t>
            </w:r>
          </w:p>
        </w:tc>
        <w:tc>
          <w:tcPr>
            <w:tcW w:w="1367" w:type="dxa"/>
            <w:vAlign w:val="center"/>
          </w:tcPr>
          <w:p w14:paraId="58602E8D">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18</w:t>
            </w:r>
          </w:p>
        </w:tc>
        <w:tc>
          <w:tcPr>
            <w:tcW w:w="1316" w:type="dxa"/>
            <w:vAlign w:val="center"/>
          </w:tcPr>
          <w:p w14:paraId="1E77AA0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06459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1F75C5A5">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3E2EAAB">
            <w:pPr>
              <w:widowControl/>
              <w:spacing w:line="280" w:lineRule="exact"/>
              <w:jc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3715885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鳞茎类蔬菜（ 韭菜）</w:t>
            </w:r>
          </w:p>
        </w:tc>
        <w:tc>
          <w:tcPr>
            <w:tcW w:w="892" w:type="dxa"/>
            <w:vAlign w:val="center"/>
          </w:tcPr>
          <w:p w14:paraId="6FA42F5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119EF8EF">
            <w:pPr>
              <w:pStyle w:val="34"/>
              <w:spacing w:before="26" w:line="261" w:lineRule="auto"/>
              <w:ind w:left="3" w:right="-15"/>
              <w:jc w:val="both"/>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w w:val="99"/>
                <w:position w:val="0"/>
                <w:sz w:val="21"/>
                <w:szCs w:val="21"/>
              </w:rPr>
              <w:t>铅</w:t>
            </w:r>
            <w:r>
              <w:rPr>
                <w:rFonts w:hint="eastAsia" w:ascii="宋体" w:hAnsi="宋体" w:eastAsia="宋体" w:cs="宋体"/>
                <w:spacing w:val="0"/>
                <w:w w:val="95"/>
                <w:position w:val="0"/>
                <w:sz w:val="21"/>
                <w:szCs w:val="21"/>
              </w:rPr>
              <w:t>（以Pb计）</w:t>
            </w:r>
            <w:r>
              <w:rPr>
                <w:rFonts w:hint="eastAsia" w:ascii="宋体" w:hAnsi="宋体" w:eastAsia="宋体" w:cs="宋体"/>
                <w:spacing w:val="0"/>
                <w:w w:val="99"/>
                <w:position w:val="0"/>
                <w:sz w:val="21"/>
                <w:szCs w:val="21"/>
              </w:rPr>
              <w:t>、镉（以</w:t>
            </w:r>
            <w:r>
              <w:rPr>
                <w:rFonts w:hint="eastAsia" w:ascii="宋体" w:hAnsi="宋体" w:eastAsia="宋体" w:cs="宋体"/>
                <w:spacing w:val="0"/>
                <w:w w:val="100"/>
                <w:position w:val="0"/>
                <w:sz w:val="21"/>
                <w:szCs w:val="21"/>
              </w:rPr>
              <w:t>C</w:t>
            </w:r>
            <w:r>
              <w:rPr>
                <w:rFonts w:hint="eastAsia" w:ascii="宋体" w:hAnsi="宋体" w:eastAsia="宋体" w:cs="宋体"/>
                <w:spacing w:val="0"/>
                <w:w w:val="105"/>
                <w:position w:val="0"/>
                <w:sz w:val="21"/>
                <w:szCs w:val="21"/>
              </w:rPr>
              <w:t>d</w:t>
            </w:r>
            <w:r>
              <w:rPr>
                <w:rFonts w:hint="eastAsia" w:ascii="宋体" w:hAnsi="宋体" w:eastAsia="宋体" w:cs="宋体"/>
                <w:spacing w:val="0"/>
                <w:w w:val="99"/>
                <w:position w:val="0"/>
                <w:sz w:val="21"/>
                <w:szCs w:val="21"/>
              </w:rPr>
              <w:t>计）、阿维菌素、敌敌畏、毒死蜱、多菌灵、二甲戊灵、氟虫腈、腐霉利、甲胺磷、甲拌磷、克百威、乐果、六六六、氯氟氰菊酯和高效氯氟氰菊酯、三氯杀螨醇、三唑磷、水胺硫磷、辛硫磷、氧乐果、乙</w:t>
            </w:r>
            <w:r>
              <w:rPr>
                <w:rFonts w:hint="eastAsia" w:ascii="宋体" w:hAnsi="宋体" w:eastAsia="宋体" w:cs="宋体"/>
                <w:spacing w:val="0"/>
                <w:w w:val="95"/>
                <w:position w:val="0"/>
                <w:sz w:val="21"/>
                <w:szCs w:val="21"/>
              </w:rPr>
              <w:t>酰甲胺磷</w:t>
            </w:r>
          </w:p>
        </w:tc>
        <w:tc>
          <w:tcPr>
            <w:tcW w:w="1367" w:type="dxa"/>
            <w:vAlign w:val="center"/>
          </w:tcPr>
          <w:p w14:paraId="243EDB6B">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23</w:t>
            </w:r>
          </w:p>
        </w:tc>
        <w:tc>
          <w:tcPr>
            <w:tcW w:w="1316" w:type="dxa"/>
            <w:vAlign w:val="center"/>
          </w:tcPr>
          <w:p w14:paraId="0CFCA9B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1A03F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25A93DE6">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CD1981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CEC4ECA">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茄果类蔬菜（辣椒）</w:t>
            </w:r>
          </w:p>
        </w:tc>
        <w:tc>
          <w:tcPr>
            <w:tcW w:w="892" w:type="dxa"/>
            <w:vAlign w:val="center"/>
          </w:tcPr>
          <w:p w14:paraId="0BDF58FF">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3812C441">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spacing w:val="0"/>
                <w:position w:val="0"/>
                <w:sz w:val="21"/>
                <w:szCs w:val="21"/>
              </w:rPr>
              <w:t>毒死蜱、镉（以Cd计）、噻虫胺、倍硫磷、啶虫脒</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氯氟氰菊酯和高效氯氟氰菊酯、氧乐果、克百威</w:t>
            </w:r>
          </w:p>
        </w:tc>
        <w:tc>
          <w:tcPr>
            <w:tcW w:w="1367" w:type="dxa"/>
            <w:vAlign w:val="center"/>
          </w:tcPr>
          <w:p w14:paraId="0B40F26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25</w:t>
            </w:r>
          </w:p>
        </w:tc>
        <w:tc>
          <w:tcPr>
            <w:tcW w:w="1316" w:type="dxa"/>
            <w:vAlign w:val="center"/>
          </w:tcPr>
          <w:p w14:paraId="6D466B2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92A32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2957254B">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0E19BB2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5D7677C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茄果类蔬菜（</w:t>
            </w:r>
            <w:r>
              <w:rPr>
                <w:rFonts w:hint="eastAsia" w:ascii="宋体" w:hAnsi="宋体" w:eastAsia="宋体" w:cs="宋体"/>
                <w:color w:val="000000" w:themeColor="text1"/>
                <w:spacing w:val="0"/>
                <w:position w:val="0"/>
                <w:sz w:val="21"/>
                <w:szCs w:val="21"/>
                <w:lang w:eastAsia="zh-CN"/>
                <w14:textFill>
                  <w14:solidFill>
                    <w14:schemeClr w14:val="tx1"/>
                  </w14:solidFill>
                </w14:textFill>
              </w:rPr>
              <w:t>甜椒</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57DE276E">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5A5A444E">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噻虫胺</w:t>
            </w: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w:t>
            </w:r>
            <w:r>
              <w:rPr>
                <w:rFonts w:hint="eastAsia" w:ascii="宋体" w:hAnsi="宋体" w:eastAsia="宋体" w:cs="宋体"/>
                <w:spacing w:val="0"/>
                <w:position w:val="0"/>
                <w:sz w:val="21"/>
                <w:szCs w:val="21"/>
              </w:rPr>
              <w:t>阿维菌素、吡虫啉、倍硫磷、毒死蜱、噻虫嗪、镉（以Cd计）、吡唑醚菌酯、氧乐果、克百威</w:t>
            </w:r>
          </w:p>
        </w:tc>
        <w:tc>
          <w:tcPr>
            <w:tcW w:w="1367" w:type="dxa"/>
            <w:vAlign w:val="center"/>
          </w:tcPr>
          <w:p w14:paraId="1296B32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20</w:t>
            </w:r>
          </w:p>
        </w:tc>
        <w:tc>
          <w:tcPr>
            <w:tcW w:w="1316" w:type="dxa"/>
            <w:vAlign w:val="center"/>
          </w:tcPr>
          <w:p w14:paraId="5A9BBAC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BCA07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09" w:hRule="atLeast"/>
        </w:trPr>
        <w:tc>
          <w:tcPr>
            <w:tcW w:w="726" w:type="dxa"/>
            <w:vMerge w:val="continue"/>
            <w:vAlign w:val="center"/>
          </w:tcPr>
          <w:p w14:paraId="7932475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4277CF2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126782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茄果类蔬菜（茄子）</w:t>
            </w:r>
          </w:p>
        </w:tc>
        <w:tc>
          <w:tcPr>
            <w:tcW w:w="892" w:type="dxa"/>
            <w:vAlign w:val="center"/>
          </w:tcPr>
          <w:p w14:paraId="595AB80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6256F45C">
            <w:pPr>
              <w:pStyle w:val="34"/>
              <w:spacing w:before="44"/>
              <w:ind w:left="3" w:right="-116"/>
              <w:jc w:val="left"/>
              <w:rPr>
                <w:rFonts w:hint="eastAsia" w:ascii="宋体" w:hAnsi="宋体" w:eastAsia="宋体" w:cs="宋体"/>
                <w:spacing w:val="0"/>
                <w:w w:val="95"/>
                <w:position w:val="0"/>
                <w:sz w:val="21"/>
                <w:szCs w:val="21"/>
              </w:rPr>
            </w:pPr>
            <w:r>
              <w:rPr>
                <w:rFonts w:hint="eastAsia" w:ascii="宋体" w:hAnsi="宋体" w:eastAsia="宋体" w:cs="宋体"/>
                <w:spacing w:val="0"/>
                <w:w w:val="95"/>
                <w:position w:val="0"/>
                <w:sz w:val="21"/>
                <w:szCs w:val="21"/>
              </w:rPr>
              <w:t>铅（以Pb计）、镉（以Cd计）、吡唑醚菌酯、毒死蜱、氟虫腈、甲氨基</w:t>
            </w:r>
          </w:p>
          <w:p w14:paraId="6F6E9039">
            <w:pPr>
              <w:pStyle w:val="34"/>
              <w:spacing w:before="44"/>
              <w:ind w:left="3" w:right="-116"/>
              <w:jc w:val="left"/>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w w:val="95"/>
                <w:position w:val="0"/>
                <w:sz w:val="21"/>
                <w:szCs w:val="21"/>
              </w:rPr>
              <w:t>阿维菌素苯甲</w:t>
            </w:r>
            <w:r>
              <w:rPr>
                <w:rFonts w:hint="eastAsia" w:ascii="宋体" w:hAnsi="宋体" w:eastAsia="宋体" w:cs="宋体"/>
                <w:spacing w:val="0"/>
                <w:w w:val="99"/>
                <w:position w:val="0"/>
                <w:sz w:val="21"/>
                <w:szCs w:val="21"/>
              </w:rPr>
              <w:t>酸盐、甲胺磷、甲拌磷、克百威、噻虫胺、噻虫嗪、霜霉威和霜霉威盐酸盐、水胺硫磷、氧乐果、乙酰甲胺磷</w:t>
            </w:r>
          </w:p>
        </w:tc>
        <w:tc>
          <w:tcPr>
            <w:tcW w:w="1367" w:type="dxa"/>
            <w:vAlign w:val="center"/>
          </w:tcPr>
          <w:p w14:paraId="1766F8E7">
            <w:pPr>
              <w:widowControl/>
              <w:spacing w:line="280" w:lineRule="exact"/>
              <w:jc w:val="center"/>
              <w:textAlignment w:val="center"/>
              <w:rPr>
                <w:rFonts w:hint="eastAsia" w:ascii="宋体" w:hAnsi="宋体" w:eastAsia="宋体" w:cs="宋体"/>
                <w:color w:val="000000" w:themeColor="text1"/>
                <w:spacing w:val="0"/>
                <w:position w:val="0"/>
                <w:sz w:val="21"/>
                <w:szCs w:val="21"/>
                <w:lang w:val="en-US"/>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25</w:t>
            </w:r>
          </w:p>
        </w:tc>
        <w:tc>
          <w:tcPr>
            <w:tcW w:w="1316" w:type="dxa"/>
            <w:vAlign w:val="center"/>
          </w:tcPr>
          <w:p w14:paraId="6CB5117B">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377BA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02" w:hRule="atLeast"/>
        </w:trPr>
        <w:tc>
          <w:tcPr>
            <w:tcW w:w="726" w:type="dxa"/>
            <w:vMerge w:val="continue"/>
            <w:vAlign w:val="center"/>
          </w:tcPr>
          <w:p w14:paraId="70024F8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EDB3C3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01AE89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叶菜类蔬菜（芹菜）</w:t>
            </w:r>
          </w:p>
        </w:tc>
        <w:tc>
          <w:tcPr>
            <w:tcW w:w="892" w:type="dxa"/>
            <w:vAlign w:val="center"/>
          </w:tcPr>
          <w:p w14:paraId="05EE801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较高</w:t>
            </w:r>
          </w:p>
        </w:tc>
        <w:tc>
          <w:tcPr>
            <w:tcW w:w="6199" w:type="dxa"/>
            <w:vAlign w:val="center"/>
          </w:tcPr>
          <w:p w14:paraId="42F9345E">
            <w:pPr>
              <w:pStyle w:val="34"/>
              <w:spacing w:before="44" w:line="261" w:lineRule="auto"/>
              <w:ind w:left="3" w:right="-72"/>
              <w:jc w:val="left"/>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铅（以Pb计）、镉（以Cd计）、阿维菌素、百菌清、苯醚甲环唑、敌敌畏、啶虫脒、毒死蜱、二甲戊灵、氟虫腈、甲拌磷、甲基异柳磷、腈菌唑、克百威、乐果、氯氟氰菊酯和高效氯氟氰菊酯、氯氰菊酯和高效氯氰菊酯、噻虫胺、噻虫嗪、三氯杀螨醇、水胺</w:t>
            </w:r>
            <w:r>
              <w:rPr>
                <w:rFonts w:hint="eastAsia" w:ascii="宋体" w:hAnsi="宋体" w:eastAsia="宋体" w:cs="宋体"/>
                <w:spacing w:val="0"/>
                <w:w w:val="95"/>
                <w:position w:val="0"/>
                <w:sz w:val="21"/>
                <w:szCs w:val="21"/>
              </w:rPr>
              <w:t>硫磷、辛硫磷、氧乐果、乙酰甲胺磷</w:t>
            </w:r>
          </w:p>
        </w:tc>
        <w:tc>
          <w:tcPr>
            <w:tcW w:w="1367" w:type="dxa"/>
            <w:vAlign w:val="center"/>
          </w:tcPr>
          <w:p w14:paraId="6FABDC10">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31</w:t>
            </w:r>
          </w:p>
        </w:tc>
        <w:tc>
          <w:tcPr>
            <w:tcW w:w="1316" w:type="dxa"/>
            <w:vAlign w:val="center"/>
          </w:tcPr>
          <w:p w14:paraId="5F1D0676">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AD9B2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02" w:hRule="atLeast"/>
        </w:trPr>
        <w:tc>
          <w:tcPr>
            <w:tcW w:w="726" w:type="dxa"/>
            <w:vMerge w:val="continue"/>
            <w:vAlign w:val="center"/>
          </w:tcPr>
          <w:p w14:paraId="32D60E27">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4D0D0B85">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6CDF1B7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lang w:eastAsia="zh-CN"/>
              </w:rPr>
              <w:t>水产品（</w:t>
            </w:r>
            <w:r>
              <w:rPr>
                <w:rFonts w:hint="eastAsia" w:ascii="宋体" w:hAnsi="宋体" w:eastAsia="宋体" w:cs="宋体"/>
                <w:spacing w:val="0"/>
                <w:position w:val="0"/>
                <w:sz w:val="21"/>
                <w:szCs w:val="21"/>
              </w:rPr>
              <w:t>淡水鱼</w:t>
            </w:r>
            <w:r>
              <w:rPr>
                <w:rFonts w:hint="eastAsia" w:ascii="宋体" w:hAnsi="宋体" w:eastAsia="宋体" w:cs="宋体"/>
                <w:spacing w:val="0"/>
                <w:position w:val="0"/>
                <w:sz w:val="21"/>
                <w:szCs w:val="21"/>
                <w:lang w:eastAsia="zh-CN"/>
              </w:rPr>
              <w:t>）</w:t>
            </w:r>
          </w:p>
        </w:tc>
        <w:tc>
          <w:tcPr>
            <w:tcW w:w="892" w:type="dxa"/>
            <w:vAlign w:val="center"/>
          </w:tcPr>
          <w:p w14:paraId="7B7FA732">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高</w:t>
            </w:r>
          </w:p>
        </w:tc>
        <w:tc>
          <w:tcPr>
            <w:tcW w:w="6199" w:type="dxa"/>
            <w:vAlign w:val="center"/>
          </w:tcPr>
          <w:p w14:paraId="3808E71F">
            <w:pPr>
              <w:pStyle w:val="34"/>
              <w:spacing w:before="44" w:line="261" w:lineRule="auto"/>
              <w:ind w:left="3" w:right="-15"/>
              <w:jc w:val="both"/>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挥发性盐基氮、镉（以Cd计）、孔雀石绿、氯霉素、呋喃唑酮代谢物、呋喃西林代谢</w:t>
            </w:r>
            <w:r>
              <w:rPr>
                <w:rFonts w:hint="eastAsia" w:ascii="宋体" w:hAnsi="宋体" w:eastAsia="宋体" w:cs="宋体"/>
                <w:spacing w:val="0"/>
                <w:w w:val="95"/>
                <w:position w:val="0"/>
                <w:sz w:val="21"/>
                <w:szCs w:val="21"/>
              </w:rPr>
              <w:t>物、呋喃妥因代谢物、五氯酚酸钠（以五氯酚计）、恩诺沙星、沙拉沙星、磺胺类（总量）、甲氧苄啶、氟苯尼考、甲硝唑、地西泮、氧氟沙星、诺氟沙星、培氟沙星</w:t>
            </w:r>
          </w:p>
        </w:tc>
        <w:tc>
          <w:tcPr>
            <w:tcW w:w="1367" w:type="dxa"/>
            <w:vAlign w:val="center"/>
          </w:tcPr>
          <w:p w14:paraId="49155062">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14</w:t>
            </w:r>
          </w:p>
        </w:tc>
        <w:tc>
          <w:tcPr>
            <w:tcW w:w="1316" w:type="dxa"/>
            <w:vAlign w:val="center"/>
          </w:tcPr>
          <w:p w14:paraId="7C671E0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6F14E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2" w:hRule="atLeast"/>
        </w:trPr>
        <w:tc>
          <w:tcPr>
            <w:tcW w:w="726" w:type="dxa"/>
            <w:vMerge w:val="continue"/>
            <w:vAlign w:val="center"/>
          </w:tcPr>
          <w:p w14:paraId="268569D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7EFB66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79625A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lang w:eastAsia="zh-CN"/>
              </w:rPr>
              <w:t>水产品（海水虾）</w:t>
            </w:r>
          </w:p>
        </w:tc>
        <w:tc>
          <w:tcPr>
            <w:tcW w:w="892" w:type="dxa"/>
            <w:vAlign w:val="center"/>
          </w:tcPr>
          <w:p w14:paraId="6CB3093E">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3C4C2C71">
            <w:pPr>
              <w:pStyle w:val="34"/>
              <w:spacing w:before="44" w:line="261" w:lineRule="auto"/>
              <w:ind w:left="3" w:right="-15"/>
              <w:jc w:val="both"/>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挥发性盐基氮、镉（以Cd计）、二氧化硫残留量、孔雀石绿、氯霉素、呋喃唑酮代谢</w:t>
            </w:r>
            <w:r>
              <w:rPr>
                <w:rFonts w:hint="eastAsia" w:ascii="宋体" w:hAnsi="宋体" w:eastAsia="宋体" w:cs="宋体"/>
                <w:spacing w:val="0"/>
                <w:w w:val="95"/>
                <w:position w:val="0"/>
                <w:sz w:val="21"/>
                <w:szCs w:val="21"/>
              </w:rPr>
              <w:t>物、呋喃它酮代谢物、呋喃妥因代谢物、五氯酚酸钠（以五氯酚计）、恩诺沙星、土霉</w:t>
            </w:r>
            <w:r>
              <w:rPr>
                <w:rFonts w:hint="eastAsia" w:ascii="宋体" w:hAnsi="宋体" w:eastAsia="宋体" w:cs="宋体"/>
                <w:spacing w:val="0"/>
                <w:position w:val="0"/>
                <w:sz w:val="21"/>
                <w:szCs w:val="21"/>
              </w:rPr>
              <w:t>素/金霉素/四环素（组合量）、磺胺类（总量）、诺氟沙星</w:t>
            </w:r>
            <w:r>
              <w:rPr>
                <w:rFonts w:hint="eastAsia" w:ascii="宋体" w:hAnsi="宋体" w:eastAsia="宋体" w:cs="宋体"/>
                <w:spacing w:val="0"/>
                <w:position w:val="0"/>
                <w:sz w:val="21"/>
                <w:szCs w:val="21"/>
                <w:lang w:eastAsia="zh-CN"/>
              </w:rPr>
              <w:t>、磷酸及磷酸盐</w:t>
            </w:r>
          </w:p>
        </w:tc>
        <w:tc>
          <w:tcPr>
            <w:tcW w:w="1367" w:type="dxa"/>
            <w:vAlign w:val="center"/>
          </w:tcPr>
          <w:p w14:paraId="21435B20">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9</w:t>
            </w:r>
          </w:p>
        </w:tc>
        <w:tc>
          <w:tcPr>
            <w:tcW w:w="1316" w:type="dxa"/>
            <w:vAlign w:val="center"/>
          </w:tcPr>
          <w:p w14:paraId="206226B6">
            <w:pPr>
              <w:widowControl/>
              <w:spacing w:line="280" w:lineRule="exact"/>
              <w:jc w:val="left"/>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含冷冻虾仁</w:t>
            </w:r>
          </w:p>
        </w:tc>
      </w:tr>
      <w:tr w14:paraId="7E3D21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2" w:hRule="atLeast"/>
        </w:trPr>
        <w:tc>
          <w:tcPr>
            <w:tcW w:w="726" w:type="dxa"/>
            <w:vMerge w:val="continue"/>
            <w:vAlign w:val="center"/>
          </w:tcPr>
          <w:p w14:paraId="74D73C1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95A8F1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7AB99E2">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spacing w:val="0"/>
                <w:position w:val="0"/>
                <w:sz w:val="21"/>
                <w:szCs w:val="21"/>
                <w:lang w:eastAsia="zh-CN"/>
              </w:rPr>
              <w:t>水产品（海</w:t>
            </w:r>
            <w:r>
              <w:rPr>
                <w:rFonts w:hint="eastAsia" w:ascii="宋体" w:hAnsi="宋体" w:eastAsia="宋体" w:cs="宋体"/>
                <w:spacing w:val="0"/>
                <w:position w:val="0"/>
                <w:sz w:val="21"/>
                <w:szCs w:val="21"/>
              </w:rPr>
              <w:t>水鱼</w:t>
            </w:r>
            <w:r>
              <w:rPr>
                <w:rFonts w:hint="eastAsia" w:ascii="宋体" w:hAnsi="宋体" w:eastAsia="宋体" w:cs="宋体"/>
                <w:spacing w:val="0"/>
                <w:position w:val="0"/>
                <w:sz w:val="21"/>
                <w:szCs w:val="21"/>
                <w:lang w:eastAsia="zh-CN"/>
              </w:rPr>
              <w:t>）</w:t>
            </w:r>
          </w:p>
        </w:tc>
        <w:tc>
          <w:tcPr>
            <w:tcW w:w="892" w:type="dxa"/>
            <w:vAlign w:val="center"/>
          </w:tcPr>
          <w:p w14:paraId="18ABB8E9">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高</w:t>
            </w:r>
          </w:p>
        </w:tc>
        <w:tc>
          <w:tcPr>
            <w:tcW w:w="6199" w:type="dxa"/>
            <w:vAlign w:val="center"/>
          </w:tcPr>
          <w:p w14:paraId="3E59DE3E">
            <w:pPr>
              <w:pStyle w:val="34"/>
              <w:spacing w:before="45" w:line="261" w:lineRule="auto"/>
              <w:ind w:left="3" w:right="-15"/>
              <w:jc w:val="both"/>
              <w:rPr>
                <w:rFonts w:hint="eastAsia" w:ascii="宋体" w:hAnsi="宋体" w:eastAsia="宋体" w:cs="宋体"/>
                <w:color w:val="000000" w:themeColor="text1"/>
                <w:spacing w:val="0"/>
                <w:position w:val="0"/>
                <w:sz w:val="21"/>
                <w:szCs w:val="21"/>
                <w:highlight w:val="none"/>
                <w:lang w:val="zh-TW" w:eastAsia="zh-TW"/>
                <w14:textFill>
                  <w14:solidFill>
                    <w14:schemeClr w14:val="tx1"/>
                  </w14:solidFill>
                </w14:textFill>
              </w:rPr>
            </w:pPr>
            <w:r>
              <w:rPr>
                <w:rFonts w:hint="eastAsia" w:ascii="宋体" w:hAnsi="宋体" w:eastAsia="宋体" w:cs="宋体"/>
                <w:spacing w:val="0"/>
                <w:position w:val="0"/>
                <w:sz w:val="21"/>
                <w:szCs w:val="21"/>
              </w:rPr>
              <w:t>挥发性盐基氮、组胺、镉（以Cd计）、孔雀石绿、氯霉素、呋喃唑酮代谢物、呋喃它酮代谢物、呋喃西林代谢物、五氯酚酸钠（以五氯酚计）、恩诺沙星、磺胺类（总量）土霉素</w:t>
            </w:r>
            <w:r>
              <w:rPr>
                <w:rFonts w:hint="eastAsia" w:ascii="宋体" w:hAnsi="宋体" w:eastAsia="宋体" w:cs="宋体"/>
                <w:spacing w:val="0"/>
                <w:w w:val="120"/>
                <w:position w:val="0"/>
                <w:sz w:val="21"/>
                <w:szCs w:val="21"/>
              </w:rPr>
              <w:t>/</w:t>
            </w:r>
            <w:r>
              <w:rPr>
                <w:rFonts w:hint="eastAsia" w:ascii="宋体" w:hAnsi="宋体" w:eastAsia="宋体" w:cs="宋体"/>
                <w:spacing w:val="0"/>
                <w:position w:val="0"/>
                <w:sz w:val="21"/>
                <w:szCs w:val="21"/>
              </w:rPr>
              <w:t>金霉素</w:t>
            </w:r>
            <w:r>
              <w:rPr>
                <w:rFonts w:hint="eastAsia" w:ascii="宋体" w:hAnsi="宋体" w:eastAsia="宋体" w:cs="宋体"/>
                <w:spacing w:val="0"/>
                <w:w w:val="120"/>
                <w:position w:val="0"/>
                <w:sz w:val="21"/>
                <w:szCs w:val="21"/>
              </w:rPr>
              <w:t>/</w:t>
            </w:r>
            <w:r>
              <w:rPr>
                <w:rFonts w:hint="eastAsia" w:ascii="宋体" w:hAnsi="宋体" w:eastAsia="宋体" w:cs="宋体"/>
                <w:spacing w:val="0"/>
                <w:position w:val="0"/>
                <w:sz w:val="21"/>
                <w:szCs w:val="21"/>
              </w:rPr>
              <w:t>四环素（组合含量）、甲氧苄啶、甲硝唑、氧氟沙星、培氟沙星、诺氟</w:t>
            </w:r>
            <w:r>
              <w:rPr>
                <w:rFonts w:hint="eastAsia" w:ascii="宋体" w:hAnsi="宋体" w:eastAsia="宋体" w:cs="宋体"/>
                <w:spacing w:val="0"/>
                <w:w w:val="95"/>
                <w:position w:val="0"/>
                <w:sz w:val="21"/>
                <w:szCs w:val="21"/>
              </w:rPr>
              <w:t>沙星</w:t>
            </w:r>
          </w:p>
        </w:tc>
        <w:tc>
          <w:tcPr>
            <w:tcW w:w="1367" w:type="dxa"/>
            <w:vAlign w:val="center"/>
          </w:tcPr>
          <w:p w14:paraId="0A25A632">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6</w:t>
            </w:r>
          </w:p>
        </w:tc>
        <w:tc>
          <w:tcPr>
            <w:tcW w:w="1316" w:type="dxa"/>
            <w:vAlign w:val="center"/>
          </w:tcPr>
          <w:p w14:paraId="07603E7F">
            <w:pPr>
              <w:widowControl/>
              <w:spacing w:line="28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14:paraId="56162A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2" w:hRule="atLeast"/>
        </w:trPr>
        <w:tc>
          <w:tcPr>
            <w:tcW w:w="726" w:type="dxa"/>
            <w:vMerge w:val="continue"/>
            <w:vAlign w:val="center"/>
          </w:tcPr>
          <w:p w14:paraId="3EBA1407">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46195070">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DB35115">
            <w:pPr>
              <w:pStyle w:val="34"/>
              <w:jc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其他水产品</w:t>
            </w:r>
          </w:p>
          <w:p w14:paraId="4A6A98E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（重点品种：牛蛙）</w:t>
            </w:r>
          </w:p>
        </w:tc>
        <w:tc>
          <w:tcPr>
            <w:tcW w:w="892" w:type="dxa"/>
            <w:vAlign w:val="center"/>
          </w:tcPr>
          <w:p w14:paraId="7D7165C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493D627D">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恩诺沙星 a、呋喃西林代谢物</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镉（以Cd计）b、孔雀石绿、氯霉素、呋喃唑酮代谢物、呋喃妥因代谢物、五氯酚酸钠（以五氯酚计）、磺胺类（总量）a、氟苯尼考 a、甲硝唑 a、氧氟沙星 a、诺氟沙星 a</w:t>
            </w:r>
          </w:p>
        </w:tc>
        <w:tc>
          <w:tcPr>
            <w:tcW w:w="1367" w:type="dxa"/>
            <w:vAlign w:val="center"/>
          </w:tcPr>
          <w:p w14:paraId="520E7BF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4</w:t>
            </w:r>
          </w:p>
        </w:tc>
        <w:tc>
          <w:tcPr>
            <w:tcW w:w="1316" w:type="dxa"/>
            <w:vAlign w:val="center"/>
          </w:tcPr>
          <w:p w14:paraId="2D942CF1">
            <w:pPr>
              <w:pStyle w:val="34"/>
              <w:spacing w:before="44" w:line="266" w:lineRule="auto"/>
              <w:ind w:left="128" w:right="117"/>
              <w:jc w:val="both"/>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a.仅蛙科、鳖科食品动物检测b. 限头足类、腹足类棘皮类检测</w:t>
            </w:r>
          </w:p>
        </w:tc>
      </w:tr>
      <w:tr w14:paraId="274A9C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2" w:hRule="atLeast"/>
        </w:trPr>
        <w:tc>
          <w:tcPr>
            <w:tcW w:w="726" w:type="dxa"/>
            <w:vMerge w:val="continue"/>
            <w:vAlign w:val="center"/>
          </w:tcPr>
          <w:p w14:paraId="1A98427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3988C497">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9C2DF6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柑橘类水果（柑、橘）</w:t>
            </w:r>
          </w:p>
        </w:tc>
        <w:tc>
          <w:tcPr>
            <w:tcW w:w="892" w:type="dxa"/>
            <w:vAlign w:val="center"/>
          </w:tcPr>
          <w:p w14:paraId="752D260E">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35259F37">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苯醚甲环唑、联苯菊酯</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丙溴磷、克百威、氯唑磷、三唑磷、水胺硫磷、氧乐果、氯氟氰菊酯和高效氯氟氰菊酯</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甲拌磷</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2, 4- 滴和2, 4－滴钠盐、狄氏剂、毒死蜱、杀扑磷、敌敌畏、联苯肼酯</w:t>
            </w:r>
          </w:p>
        </w:tc>
        <w:tc>
          <w:tcPr>
            <w:tcW w:w="1367" w:type="dxa"/>
            <w:vAlign w:val="center"/>
          </w:tcPr>
          <w:p w14:paraId="0F9EC1E7">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21</w:t>
            </w:r>
          </w:p>
        </w:tc>
        <w:tc>
          <w:tcPr>
            <w:tcW w:w="1316" w:type="dxa"/>
            <w:vAlign w:val="center"/>
          </w:tcPr>
          <w:p w14:paraId="364E7386">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A160B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2" w:hRule="atLeast"/>
        </w:trPr>
        <w:tc>
          <w:tcPr>
            <w:tcW w:w="726" w:type="dxa"/>
            <w:vMerge w:val="continue"/>
            <w:vAlign w:val="center"/>
          </w:tcPr>
          <w:p w14:paraId="18E7A8D8">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4415C3F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D299BD1">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柑橘类水果（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橙</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39E2FC44">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59C3777B">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联苯菊酯、氯唑磷、丙溴磷、克百威、三唑磷、杀扑磷、水胺硫磷、氧乐果</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2, 4- 滴和2, 4- 滴钠盐、苯醚甲环唑、敌敌畏、氯氟氰菊酯和高效氯氟氰菊酯、乙酰甲胺磷</w:t>
            </w:r>
          </w:p>
        </w:tc>
        <w:tc>
          <w:tcPr>
            <w:tcW w:w="1367" w:type="dxa"/>
            <w:vAlign w:val="center"/>
          </w:tcPr>
          <w:p w14:paraId="2216994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w:t>
            </w:r>
          </w:p>
        </w:tc>
        <w:tc>
          <w:tcPr>
            <w:tcW w:w="1316" w:type="dxa"/>
            <w:vAlign w:val="center"/>
          </w:tcPr>
          <w:p w14:paraId="3FAFCDD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BBD9C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2" w:hRule="atLeast"/>
        </w:trPr>
        <w:tc>
          <w:tcPr>
            <w:tcW w:w="726" w:type="dxa"/>
            <w:vMerge w:val="continue"/>
            <w:vAlign w:val="center"/>
          </w:tcPr>
          <w:p w14:paraId="4E8107E6">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AF0ED78">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8F4BD70">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柑橘类水果（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柚</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6E1C2F63">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60A965B6">
            <w:pPr>
              <w:widowControl/>
              <w:spacing w:line="380" w:lineRule="exact"/>
              <w:jc w:val="both"/>
              <w:textAlignment w:val="center"/>
              <w:rPr>
                <w:rFonts w:hint="eastAsia" w:ascii="宋体" w:hAnsi="宋体" w:eastAsia="宋体" w:cs="宋体"/>
                <w:spacing w:val="0"/>
                <w:position w:val="0"/>
                <w:sz w:val="21"/>
                <w:szCs w:val="21"/>
              </w:rPr>
            </w:pPr>
            <w:r>
              <w:rPr>
                <w:rFonts w:hint="eastAsia" w:ascii="宋体" w:hAnsi="宋体" w:eastAsia="宋体" w:cs="宋体"/>
                <w:spacing w:val="0"/>
                <w:position w:val="0"/>
                <w:sz w:val="21"/>
                <w:szCs w:val="21"/>
              </w:rPr>
              <w:t>氯唑磷、水胺硫磷、联苯菊酯、氯氟氰菊酯和高效氯氟氰菊酯、多菌灵、克百威</w:t>
            </w:r>
          </w:p>
        </w:tc>
        <w:tc>
          <w:tcPr>
            <w:tcW w:w="1367" w:type="dxa"/>
            <w:vAlign w:val="center"/>
          </w:tcPr>
          <w:p w14:paraId="10019EDD">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w:t>
            </w:r>
          </w:p>
        </w:tc>
        <w:tc>
          <w:tcPr>
            <w:tcW w:w="1316" w:type="dxa"/>
            <w:vAlign w:val="center"/>
          </w:tcPr>
          <w:p w14:paraId="41B5FDC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7F0B5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90" w:hRule="atLeast"/>
        </w:trPr>
        <w:tc>
          <w:tcPr>
            <w:tcW w:w="726" w:type="dxa"/>
            <w:vMerge w:val="continue"/>
            <w:vAlign w:val="center"/>
          </w:tcPr>
          <w:p w14:paraId="7D7C08C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5B5B491">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2BA2E5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浆果和其他小型水果（猕猴桃）</w:t>
            </w:r>
          </w:p>
        </w:tc>
        <w:tc>
          <w:tcPr>
            <w:tcW w:w="892" w:type="dxa"/>
            <w:vAlign w:val="center"/>
          </w:tcPr>
          <w:p w14:paraId="4102514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51F0EC4">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氯吡脲</w:t>
            </w:r>
            <w:r>
              <w:rPr>
                <w:rFonts w:hint="eastAsia" w:ascii="宋体" w:hAnsi="宋体" w:eastAsia="宋体" w:cs="宋体"/>
                <w:spacing w:val="0"/>
                <w:position w:val="0"/>
                <w:sz w:val="21"/>
                <w:szCs w:val="21"/>
                <w:lang w:eastAsia="zh-CN"/>
              </w:rPr>
              <w:t>、</w:t>
            </w:r>
            <w:r>
              <w:rPr>
                <w:rFonts w:hint="eastAsia" w:ascii="宋体" w:hAnsi="宋体" w:eastAsia="宋体" w:cs="宋体"/>
                <w:spacing w:val="0"/>
                <w:position w:val="0"/>
                <w:sz w:val="21"/>
                <w:szCs w:val="21"/>
              </w:rPr>
              <w:t>敌敌畏、多菌灵、氧乐果</w:t>
            </w:r>
          </w:p>
        </w:tc>
        <w:tc>
          <w:tcPr>
            <w:tcW w:w="1367" w:type="dxa"/>
            <w:vAlign w:val="center"/>
          </w:tcPr>
          <w:p w14:paraId="149C471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16</w:t>
            </w:r>
          </w:p>
        </w:tc>
        <w:tc>
          <w:tcPr>
            <w:tcW w:w="1316" w:type="dxa"/>
            <w:vAlign w:val="center"/>
          </w:tcPr>
          <w:p w14:paraId="67FC2D1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07248B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8" w:hRule="atLeast"/>
        </w:trPr>
        <w:tc>
          <w:tcPr>
            <w:tcW w:w="726" w:type="dxa"/>
            <w:vMerge w:val="continue"/>
            <w:vAlign w:val="center"/>
          </w:tcPr>
          <w:p w14:paraId="2462BBC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44F9C60E">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3B4A411A">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浆果和其他小型水果（</w:t>
            </w:r>
            <w:r>
              <w:rPr>
                <w:rFonts w:hint="eastAsia" w:ascii="宋体" w:hAnsi="宋体" w:eastAsia="宋体" w:cs="宋体"/>
                <w:spacing w:val="0"/>
                <w:position w:val="0"/>
                <w:sz w:val="21"/>
                <w:szCs w:val="21"/>
              </w:rPr>
              <w:t>桑葚</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1FB0A969">
            <w:pPr>
              <w:widowControl/>
              <w:spacing w:line="280" w:lineRule="exact"/>
              <w:jc w:val="center"/>
              <w:textAlignment w:val="center"/>
              <w:rPr>
                <w:rFonts w:hint="eastAsia" w:ascii="宋体" w:hAnsi="宋体" w:eastAsia="宋体" w:cs="宋体"/>
                <w:color w:val="000000" w:themeColor="text1"/>
                <w:spacing w:val="0"/>
                <w:kern w:val="2"/>
                <w:position w:val="0"/>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2DB33DCE">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spacing w:val="0"/>
                <w:position w:val="0"/>
                <w:sz w:val="21"/>
                <w:szCs w:val="21"/>
              </w:rPr>
              <w:t>脱氢乙酸及其钠盐（以脱氢乙酸计）、糖精钠（以糖精计）、苯甲酸及其钠盐（以苯甲酸计）、山梨酸及其钾盐（以山梨酸计）、三氯蔗糖、甜蜜素（以环己基氨基磺酸计）、多菌灵</w:t>
            </w:r>
          </w:p>
        </w:tc>
        <w:tc>
          <w:tcPr>
            <w:tcW w:w="1367" w:type="dxa"/>
            <w:vAlign w:val="center"/>
          </w:tcPr>
          <w:p w14:paraId="191F17E0">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3</w:t>
            </w:r>
          </w:p>
        </w:tc>
        <w:tc>
          <w:tcPr>
            <w:tcW w:w="1316" w:type="dxa"/>
            <w:vAlign w:val="center"/>
          </w:tcPr>
          <w:p w14:paraId="722CF5C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0358A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8" w:hRule="atLeast"/>
        </w:trPr>
        <w:tc>
          <w:tcPr>
            <w:tcW w:w="726" w:type="dxa"/>
            <w:vMerge w:val="continue"/>
            <w:vAlign w:val="center"/>
          </w:tcPr>
          <w:p w14:paraId="6052EB6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63CC448">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941610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热带和亚热带水果（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荔枝</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75C1DF8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342E3C75">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w w:val="99"/>
                <w:position w:val="0"/>
                <w:sz w:val="21"/>
                <w:szCs w:val="21"/>
              </w:rPr>
              <w:t>多菌灵、氧乐果、毒死蜱、苯醚甲环唑、氯氰菊酯和高效氯氰菊酯、氯氟氰菊酯和高效氯氟氰菊酯、吡唑醚菌酯、除虫脲、氰霜唑、氟吗啉、咪鲜胺和咪鲜胺锰盐、乐果</w:t>
            </w:r>
          </w:p>
        </w:tc>
        <w:tc>
          <w:tcPr>
            <w:tcW w:w="1367" w:type="dxa"/>
            <w:vAlign w:val="center"/>
          </w:tcPr>
          <w:p w14:paraId="2D5F4E33">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21</w:t>
            </w:r>
          </w:p>
        </w:tc>
        <w:tc>
          <w:tcPr>
            <w:tcW w:w="1316" w:type="dxa"/>
            <w:vAlign w:val="center"/>
          </w:tcPr>
          <w:p w14:paraId="29F6091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6A50CD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8" w:hRule="atLeast"/>
        </w:trPr>
        <w:tc>
          <w:tcPr>
            <w:tcW w:w="726" w:type="dxa"/>
            <w:vMerge w:val="continue"/>
            <w:vAlign w:val="center"/>
          </w:tcPr>
          <w:p w14:paraId="43BEDCE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605916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4BB252E1">
            <w:pPr>
              <w:widowControl/>
              <w:spacing w:line="280" w:lineRule="exact"/>
              <w:jc w:val="center"/>
              <w:textAlignment w:val="center"/>
              <w:rPr>
                <w:rFonts w:hint="eastAsia" w:ascii="宋体" w:hAnsi="宋体" w:eastAsia="宋体" w:cs="宋体"/>
                <w:color w:val="FF0000"/>
                <w:spacing w:val="0"/>
                <w:position w:val="0"/>
                <w:sz w:val="21"/>
                <w:szCs w:val="21"/>
              </w:rPr>
            </w:pPr>
            <w:r>
              <w:rPr>
                <w:rFonts w:hint="eastAsia" w:ascii="宋体" w:hAnsi="宋体" w:eastAsia="宋体" w:cs="宋体"/>
                <w:color w:val="000000" w:themeColor="text1"/>
                <w:spacing w:val="0"/>
                <w:position w:val="0"/>
                <w:sz w:val="21"/>
                <w:szCs w:val="21"/>
                <w14:textFill>
                  <w14:solidFill>
                    <w14:schemeClr w14:val="tx1"/>
                  </w14:solidFill>
                </w14:textFill>
              </w:rPr>
              <w:t>热带和亚热带水果（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芒果</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207BF3DD">
            <w:pPr>
              <w:widowControl/>
              <w:spacing w:line="280" w:lineRule="exact"/>
              <w:jc w:val="center"/>
              <w:textAlignment w:val="center"/>
              <w:rPr>
                <w:rFonts w:hint="eastAsia" w:ascii="宋体" w:hAnsi="宋体" w:eastAsia="宋体" w:cs="宋体"/>
                <w:color w:val="FF0000"/>
                <w:spacing w:val="0"/>
                <w:position w:val="0"/>
                <w:sz w:val="21"/>
                <w:szCs w:val="21"/>
                <w:lang w:eastAsia="zh-CN"/>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w:t>
            </w:r>
            <w:r>
              <w:rPr>
                <w:rFonts w:hint="eastAsia" w:ascii="宋体" w:hAnsi="宋体" w:eastAsia="宋体" w:cs="宋体"/>
                <w:color w:val="000000" w:themeColor="text1"/>
                <w:spacing w:val="0"/>
                <w:position w:val="0"/>
                <w:sz w:val="21"/>
                <w:szCs w:val="21"/>
                <w14:textFill>
                  <w14:solidFill>
                    <w14:schemeClr w14:val="tx1"/>
                  </w14:solidFill>
                </w14:textFill>
              </w:rPr>
              <w:t>高</w:t>
            </w:r>
          </w:p>
        </w:tc>
        <w:tc>
          <w:tcPr>
            <w:tcW w:w="6199" w:type="dxa"/>
            <w:vAlign w:val="center"/>
          </w:tcPr>
          <w:p w14:paraId="5758249C">
            <w:pPr>
              <w:pStyle w:val="34"/>
              <w:spacing w:before="26"/>
              <w:ind w:left="15" w:right="-87"/>
              <w:jc w:val="left"/>
              <w:rPr>
                <w:rFonts w:hint="eastAsia" w:ascii="宋体" w:hAnsi="宋体" w:eastAsia="宋体" w:cs="宋体"/>
                <w:color w:val="FF0000"/>
                <w:spacing w:val="0"/>
                <w:position w:val="0"/>
                <w:sz w:val="21"/>
                <w:szCs w:val="21"/>
                <w:lang w:val="zh-TW" w:eastAsia="zh-TW"/>
              </w:rPr>
            </w:pPr>
            <w:r>
              <w:rPr>
                <w:rFonts w:hint="eastAsia" w:ascii="宋体" w:hAnsi="宋体" w:eastAsia="宋体" w:cs="宋体"/>
                <w:spacing w:val="0"/>
                <w:w w:val="95"/>
                <w:position w:val="0"/>
                <w:sz w:val="21"/>
                <w:szCs w:val="21"/>
              </w:rPr>
              <w:t>苯醚甲环唑、戊唑醇、氧乐果、吡唑醚菌酯、噻虫胺、乙酰甲胺磷、吡虫啉、噻虫嗪、噻嗪酮</w:t>
            </w:r>
          </w:p>
        </w:tc>
        <w:tc>
          <w:tcPr>
            <w:tcW w:w="1367" w:type="dxa"/>
            <w:vAlign w:val="center"/>
          </w:tcPr>
          <w:p w14:paraId="6B22F8E7">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21</w:t>
            </w:r>
          </w:p>
        </w:tc>
        <w:tc>
          <w:tcPr>
            <w:tcW w:w="1316" w:type="dxa"/>
            <w:vAlign w:val="center"/>
          </w:tcPr>
          <w:p w14:paraId="56315A0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F74A2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3A8077B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5511A1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173F351">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热带和亚热带水果（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香蕉</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5CD2568A">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7D4B167D">
            <w:pPr>
              <w:widowControl/>
              <w:spacing w:line="380" w:lineRule="exact"/>
              <w:jc w:val="both"/>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w w:val="99"/>
                <w:position w:val="0"/>
                <w:sz w:val="21"/>
                <w:szCs w:val="21"/>
              </w:rPr>
              <w:t>苯醚甲环唑、吡唑醚菌酯、多菌灵、氟虫腈、甲拌磷、腈苯唑、吡虫啉、噻虫胺、噻虫嗪、联苯菊酯、烯唑醇、百菌清、噻唑膦、氟唑菌酰胺</w:t>
            </w:r>
          </w:p>
        </w:tc>
        <w:tc>
          <w:tcPr>
            <w:tcW w:w="1367" w:type="dxa"/>
            <w:vAlign w:val="center"/>
          </w:tcPr>
          <w:p w14:paraId="5AED9A2B">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21</w:t>
            </w:r>
          </w:p>
        </w:tc>
        <w:tc>
          <w:tcPr>
            <w:tcW w:w="1316" w:type="dxa"/>
            <w:vAlign w:val="center"/>
          </w:tcPr>
          <w:p w14:paraId="06776314">
            <w:pPr>
              <w:widowControl/>
              <w:spacing w:line="280" w:lineRule="exact"/>
              <w:jc w:val="left"/>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p>
        </w:tc>
      </w:tr>
      <w:tr w14:paraId="50E78E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45A0044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F72179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7A019994">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热带和亚热带水果（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杨梅</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2297E360">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1F8A075D">
            <w:pPr>
              <w:pStyle w:val="34"/>
              <w:spacing w:before="44"/>
              <w:ind w:left="3" w:right="-15"/>
              <w:jc w:val="both"/>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w w:val="95"/>
                <w:position w:val="0"/>
                <w:sz w:val="21"/>
                <w:szCs w:val="21"/>
              </w:rPr>
              <w:t>脱氢乙酸及其钠盐（以脱氢乙酸计）、苯甲酸及其钠盐（以苯甲酸计）、山梨酸及其钾</w:t>
            </w:r>
            <w:r>
              <w:rPr>
                <w:rFonts w:hint="eastAsia" w:ascii="宋体" w:hAnsi="宋体" w:eastAsia="宋体" w:cs="宋体"/>
                <w:spacing w:val="0"/>
                <w:w w:val="99"/>
                <w:position w:val="0"/>
                <w:sz w:val="21"/>
                <w:szCs w:val="21"/>
              </w:rPr>
              <w:t>盐（以山梨酸计）、糖精钠（以糖精计）、三氯蔗糖、甜蜜素（以环己基氨基磺酸计）敌敌畏、氧乐果、啶虫脒</w:t>
            </w:r>
          </w:p>
        </w:tc>
        <w:tc>
          <w:tcPr>
            <w:tcW w:w="1367" w:type="dxa"/>
            <w:vAlign w:val="center"/>
          </w:tcPr>
          <w:p w14:paraId="6D0AA29B">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9</w:t>
            </w:r>
          </w:p>
        </w:tc>
        <w:tc>
          <w:tcPr>
            <w:tcW w:w="1316" w:type="dxa"/>
            <w:vAlign w:val="center"/>
          </w:tcPr>
          <w:p w14:paraId="223D1749">
            <w:pPr>
              <w:widowControl/>
              <w:spacing w:line="280" w:lineRule="exact"/>
              <w:jc w:val="left"/>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p>
        </w:tc>
      </w:tr>
      <w:tr w14:paraId="75CAEC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75792C70">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6023CCB1">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17E6A1A7">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热带和亚热带水果（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龙眼</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4DF8E400">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7349EAC1">
            <w:pPr>
              <w:widowControl/>
              <w:spacing w:line="380" w:lineRule="exact"/>
              <w:jc w:val="both"/>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w w:val="95"/>
                <w:position w:val="0"/>
                <w:sz w:val="21"/>
                <w:szCs w:val="21"/>
              </w:rPr>
              <w:t>二氧化硫残留量、克百威、氯氰菊酯和高效氯氰菊酯、氧乐果</w:t>
            </w:r>
          </w:p>
        </w:tc>
        <w:tc>
          <w:tcPr>
            <w:tcW w:w="1367" w:type="dxa"/>
            <w:vAlign w:val="center"/>
          </w:tcPr>
          <w:p w14:paraId="77CE9979">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3B2DB5D2">
            <w:pPr>
              <w:widowControl/>
              <w:spacing w:line="280" w:lineRule="exact"/>
              <w:jc w:val="left"/>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p>
        </w:tc>
      </w:tr>
      <w:tr w14:paraId="2DCE31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039118F0">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396093CF">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524A503">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热带和亚热带水果（</w:t>
            </w:r>
            <w:r>
              <w:rPr>
                <w:rFonts w:hint="eastAsia" w:ascii="宋体" w:hAnsi="宋体" w:eastAsia="宋体" w:cs="宋体"/>
                <w:color w:val="000000" w:themeColor="text1"/>
                <w:spacing w:val="0"/>
                <w:position w:val="0"/>
                <w:sz w:val="21"/>
                <w:szCs w:val="21"/>
                <w:lang w:eastAsia="zh-CN"/>
                <w14:textFill>
                  <w14:solidFill>
                    <w14:schemeClr w14:val="tx1"/>
                  </w14:solidFill>
                </w14:textFill>
              </w:rPr>
              <w:t>番木瓜</w:t>
            </w:r>
            <w:r>
              <w:rPr>
                <w:rFonts w:hint="eastAsia" w:ascii="宋体" w:hAnsi="宋体" w:eastAsia="宋体" w:cs="宋体"/>
                <w:color w:val="000000" w:themeColor="text1"/>
                <w:spacing w:val="0"/>
                <w:position w:val="0"/>
                <w:sz w:val="21"/>
                <w:szCs w:val="21"/>
                <w14:textFill>
                  <w14:solidFill>
                    <w14:schemeClr w14:val="tx1"/>
                  </w14:solidFill>
                </w14:textFill>
              </w:rPr>
              <w:t>）</w:t>
            </w:r>
          </w:p>
        </w:tc>
        <w:tc>
          <w:tcPr>
            <w:tcW w:w="892" w:type="dxa"/>
            <w:vAlign w:val="center"/>
          </w:tcPr>
          <w:p w14:paraId="6F02C295">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较高</w:t>
            </w:r>
          </w:p>
        </w:tc>
        <w:tc>
          <w:tcPr>
            <w:tcW w:w="6199" w:type="dxa"/>
            <w:vAlign w:val="center"/>
          </w:tcPr>
          <w:p w14:paraId="7D6B42BA">
            <w:pPr>
              <w:widowControl/>
              <w:spacing w:line="380" w:lineRule="exact"/>
              <w:jc w:val="both"/>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w w:val="95"/>
                <w:position w:val="0"/>
                <w:sz w:val="21"/>
                <w:szCs w:val="21"/>
              </w:rPr>
              <w:t>噻虫胺、噻虫嗪、乙酰甲胺磷</w:t>
            </w:r>
          </w:p>
        </w:tc>
        <w:tc>
          <w:tcPr>
            <w:tcW w:w="1367" w:type="dxa"/>
            <w:vAlign w:val="center"/>
          </w:tcPr>
          <w:p w14:paraId="75105A39">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w:t>
            </w:r>
          </w:p>
        </w:tc>
        <w:tc>
          <w:tcPr>
            <w:tcW w:w="1316" w:type="dxa"/>
            <w:vAlign w:val="center"/>
          </w:tcPr>
          <w:p w14:paraId="6521CA62">
            <w:pPr>
              <w:widowControl/>
              <w:spacing w:line="280" w:lineRule="exact"/>
              <w:jc w:val="left"/>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p>
        </w:tc>
      </w:tr>
      <w:tr w14:paraId="2C038A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7A65ED99">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29BC483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141D70DF">
            <w:pPr>
              <w:widowControl/>
              <w:spacing w:line="280" w:lineRule="exact"/>
              <w:jc w:val="center"/>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鲜蛋（鸡蛋）</w:t>
            </w:r>
          </w:p>
        </w:tc>
        <w:tc>
          <w:tcPr>
            <w:tcW w:w="892" w:type="dxa"/>
            <w:vAlign w:val="center"/>
          </w:tcPr>
          <w:p w14:paraId="6502B831">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高</w:t>
            </w:r>
          </w:p>
        </w:tc>
        <w:tc>
          <w:tcPr>
            <w:tcW w:w="6199" w:type="dxa"/>
            <w:vAlign w:val="center"/>
          </w:tcPr>
          <w:p w14:paraId="3398CC38">
            <w:pPr>
              <w:pStyle w:val="34"/>
              <w:spacing w:before="44"/>
              <w:ind w:left="3" w:right="-15"/>
              <w:jc w:val="both"/>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spacing w:val="0"/>
                <w:w w:val="95"/>
                <w:position w:val="0"/>
                <w:sz w:val="21"/>
                <w:szCs w:val="21"/>
              </w:rPr>
              <w:t>甲硝唑、地美硝唑、呋喃唑酮代谢物、氟虫腈、氯霉素、氟苯尼考、甲砜霉素、恩诺沙</w:t>
            </w:r>
            <w:r>
              <w:rPr>
                <w:rFonts w:hint="eastAsia" w:ascii="宋体" w:hAnsi="宋体" w:eastAsia="宋体" w:cs="宋体"/>
                <w:spacing w:val="0"/>
                <w:w w:val="99"/>
                <w:position w:val="0"/>
                <w:sz w:val="21"/>
                <w:szCs w:val="21"/>
              </w:rPr>
              <w:t>星、氧氟沙星、沙拉沙星、甲氧苄啶、磺胺类（总量）、多西环素、地克珠利、托曲珠利</w:t>
            </w:r>
          </w:p>
        </w:tc>
        <w:tc>
          <w:tcPr>
            <w:tcW w:w="1367" w:type="dxa"/>
            <w:vAlign w:val="center"/>
          </w:tcPr>
          <w:p w14:paraId="671B3BE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20</w:t>
            </w:r>
          </w:p>
        </w:tc>
        <w:tc>
          <w:tcPr>
            <w:tcW w:w="1316" w:type="dxa"/>
            <w:vAlign w:val="center"/>
          </w:tcPr>
          <w:p w14:paraId="1C2EEC9E">
            <w:pPr>
              <w:widowControl/>
              <w:spacing w:line="280" w:lineRule="exact"/>
              <w:jc w:val="left"/>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p>
        </w:tc>
      </w:tr>
      <w:tr w14:paraId="708E34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421C8BD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7CC8CD3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01A0B098">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生干</w:t>
            </w: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坚果与</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籽类（重点品种：芝麻、花生）</w:t>
            </w:r>
          </w:p>
        </w:tc>
        <w:tc>
          <w:tcPr>
            <w:tcW w:w="892" w:type="dxa"/>
            <w:vAlign w:val="center"/>
          </w:tcPr>
          <w:p w14:paraId="0B68F14F">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eastAsia="zh-CN"/>
                <w14:textFill>
                  <w14:solidFill>
                    <w14:schemeClr w14:val="tx1"/>
                  </w14:solidFill>
                </w14:textFill>
              </w:rPr>
              <w:t>一般</w:t>
            </w:r>
          </w:p>
        </w:tc>
        <w:tc>
          <w:tcPr>
            <w:tcW w:w="6199" w:type="dxa"/>
            <w:vAlign w:val="center"/>
          </w:tcPr>
          <w:p w14:paraId="029DF6FE">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position w:val="0"/>
                <w:sz w:val="21"/>
                <w:szCs w:val="21"/>
              </w:rPr>
              <w:t>酸价（以脂肪计）(KOH) 、过氧化值（以脂肪计）、铅（以Pb计）、镉（以Cd计）黄曲霉毒素B1、噻虫嗪、噻虫胺</w:t>
            </w:r>
          </w:p>
        </w:tc>
        <w:tc>
          <w:tcPr>
            <w:tcW w:w="1367" w:type="dxa"/>
            <w:vAlign w:val="center"/>
          </w:tcPr>
          <w:p w14:paraId="2CCCD32B">
            <w:pPr>
              <w:widowControl/>
              <w:spacing w:line="280" w:lineRule="exact"/>
              <w:jc w:val="center"/>
              <w:textAlignment w:val="center"/>
              <w:rPr>
                <w:rFonts w:hint="eastAsia" w:ascii="宋体" w:hAnsi="宋体" w:eastAsia="宋体" w:cs="宋体"/>
                <w:color w:val="000000" w:themeColor="text1"/>
                <w:spacing w:val="0"/>
                <w:position w:val="0"/>
                <w:sz w:val="21"/>
                <w:szCs w:val="21"/>
                <w:lang w:val="en-US"/>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20</w:t>
            </w:r>
          </w:p>
        </w:tc>
        <w:tc>
          <w:tcPr>
            <w:tcW w:w="1316" w:type="dxa"/>
            <w:vAlign w:val="center"/>
          </w:tcPr>
          <w:p w14:paraId="698B79D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仅花生检测黄曲霉毒素</w:t>
            </w:r>
            <w:r>
              <w:rPr>
                <w:rFonts w:hint="eastAsia" w:ascii="宋体" w:hAnsi="宋体" w:eastAsia="宋体" w:cs="宋体"/>
                <w:color w:val="000000" w:themeColor="text1"/>
                <w:spacing w:val="0"/>
                <w:position w:val="0"/>
                <w:sz w:val="21"/>
                <w:szCs w:val="21"/>
                <w14:textFill>
                  <w14:solidFill>
                    <w14:schemeClr w14:val="tx1"/>
                  </w14:solidFill>
                </w14:textFill>
              </w:rPr>
              <w:t>B</w:t>
            </w:r>
            <w:r>
              <w:rPr>
                <w:rFonts w:hint="eastAsia" w:ascii="宋体" w:hAnsi="宋体" w:eastAsia="宋体" w:cs="宋体"/>
                <w:color w:val="000000" w:themeColor="text1"/>
                <w:spacing w:val="0"/>
                <w:position w:val="0"/>
                <w:sz w:val="21"/>
                <w:szCs w:val="21"/>
                <w:vertAlign w:val="subscript"/>
                <w14:textFill>
                  <w14:solidFill>
                    <w14:schemeClr w14:val="tx1"/>
                  </w14:solidFill>
                </w14:textFill>
              </w:rPr>
              <w:t>1</w:t>
            </w:r>
          </w:p>
        </w:tc>
      </w:tr>
      <w:tr w14:paraId="048405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397" w:hRule="atLeast"/>
        </w:trPr>
        <w:tc>
          <w:tcPr>
            <w:tcW w:w="726" w:type="dxa"/>
            <w:vMerge w:val="continue"/>
            <w:vAlign w:val="center"/>
          </w:tcPr>
          <w:p w14:paraId="321E3273">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vAlign w:val="center"/>
          </w:tcPr>
          <w:p w14:paraId="110EF04E">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vAlign w:val="center"/>
          </w:tcPr>
          <w:p w14:paraId="2286F7C3">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其他类</w:t>
            </w:r>
          </w:p>
        </w:tc>
        <w:tc>
          <w:tcPr>
            <w:tcW w:w="892" w:type="dxa"/>
            <w:vAlign w:val="center"/>
          </w:tcPr>
          <w:p w14:paraId="7891FE2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w:t>
            </w:r>
          </w:p>
        </w:tc>
        <w:tc>
          <w:tcPr>
            <w:tcW w:w="6199" w:type="dxa"/>
            <w:vAlign w:val="center"/>
          </w:tcPr>
          <w:p w14:paraId="529ACC04">
            <w:pPr>
              <w:widowControl/>
              <w:spacing w:line="380" w:lineRule="exact"/>
              <w:jc w:val="both"/>
              <w:textAlignment w:val="center"/>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根据监管需要依情况抽取相应的类别，按相应食品类别检验项目检验。</w:t>
            </w:r>
          </w:p>
        </w:tc>
        <w:tc>
          <w:tcPr>
            <w:tcW w:w="1367" w:type="dxa"/>
            <w:vAlign w:val="center"/>
          </w:tcPr>
          <w:p w14:paraId="2287749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50</w:t>
            </w:r>
          </w:p>
        </w:tc>
        <w:tc>
          <w:tcPr>
            <w:tcW w:w="1316" w:type="dxa"/>
            <w:vAlign w:val="center"/>
          </w:tcPr>
          <w:p w14:paraId="5FCACD1B">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lang w:val="zh-TW" w:eastAsia="zh-CN"/>
                <w14:textFill>
                  <w14:solidFill>
                    <w14:schemeClr w14:val="tx1"/>
                  </w14:solidFill>
                </w14:textFill>
              </w:rPr>
              <w:t>适当加大本地产苹果、大枣、葡萄、西瓜、草莓、鲜食用菌等的抽检</w:t>
            </w:r>
          </w:p>
        </w:tc>
      </w:tr>
      <w:tr w14:paraId="039A5E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50" w:hRule="atLeast"/>
        </w:trPr>
        <w:tc>
          <w:tcPr>
            <w:tcW w:w="726" w:type="dxa"/>
            <w:vMerge w:val="restart"/>
            <w:shd w:val="clear" w:color="auto" w:fill="auto"/>
            <w:vAlign w:val="center"/>
          </w:tcPr>
          <w:p w14:paraId="5319133E">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1</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6</w:t>
            </w:r>
          </w:p>
        </w:tc>
        <w:tc>
          <w:tcPr>
            <w:tcW w:w="1418" w:type="dxa"/>
            <w:vMerge w:val="restart"/>
            <w:shd w:val="clear" w:color="auto" w:fill="auto"/>
            <w:vAlign w:val="center"/>
          </w:tcPr>
          <w:p w14:paraId="73C7C4C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p w14:paraId="4A6AEA52">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餐饮食品</w:t>
            </w:r>
          </w:p>
          <w:p w14:paraId="780D09B6">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3108A524">
            <w:pPr>
              <w:pStyle w:val="34"/>
              <w:spacing w:before="68" w:line="286" w:lineRule="exact"/>
              <w:ind w:left="28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spacing w:val="0"/>
                <w:w w:val="95"/>
                <w:position w:val="0"/>
                <w:sz w:val="21"/>
                <w:szCs w:val="21"/>
              </w:rPr>
              <w:t>馒头花卷（自制）</w:t>
            </w:r>
          </w:p>
        </w:tc>
        <w:tc>
          <w:tcPr>
            <w:tcW w:w="892" w:type="dxa"/>
            <w:shd w:val="clear" w:color="auto" w:fill="FFFFFF"/>
            <w:vAlign w:val="center"/>
          </w:tcPr>
          <w:p w14:paraId="24CEACDE">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一般</w:t>
            </w:r>
          </w:p>
        </w:tc>
        <w:tc>
          <w:tcPr>
            <w:tcW w:w="6199" w:type="dxa"/>
            <w:vAlign w:val="center"/>
          </w:tcPr>
          <w:p w14:paraId="029C969A">
            <w:pPr>
              <w:widowControl/>
              <w:spacing w:line="380" w:lineRule="exact"/>
              <w:jc w:val="both"/>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spacing w:val="0"/>
                <w:w w:val="99"/>
                <w:position w:val="0"/>
                <w:sz w:val="21"/>
                <w:szCs w:val="21"/>
              </w:rPr>
              <w:t>苯甲酸及其钠盐（以苯甲酸计）、山梨酸及其钾盐（以山梨酸计）、糖精钠（以糖精计）、脱氢乙酸及其钠盐（以脱氢乙酸计）、甜蜜素（以环己基氨基磺酸计</w:t>
            </w:r>
            <w:r>
              <w:rPr>
                <w:rFonts w:hint="eastAsia" w:ascii="宋体" w:hAnsi="宋体" w:eastAsia="宋体" w:cs="宋体"/>
                <w:spacing w:val="0"/>
                <w:w w:val="99"/>
                <w:position w:val="0"/>
                <w:sz w:val="21"/>
                <w:szCs w:val="21"/>
                <w:lang w:eastAsia="zh-CN"/>
              </w:rPr>
              <w:t>）</w:t>
            </w:r>
          </w:p>
        </w:tc>
        <w:tc>
          <w:tcPr>
            <w:tcW w:w="1367" w:type="dxa"/>
            <w:vAlign w:val="center"/>
          </w:tcPr>
          <w:p w14:paraId="15D994F3">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15</w:t>
            </w:r>
          </w:p>
        </w:tc>
        <w:tc>
          <w:tcPr>
            <w:tcW w:w="1316" w:type="dxa"/>
            <w:vAlign w:val="center"/>
          </w:tcPr>
          <w:p w14:paraId="098358C7">
            <w:pPr>
              <w:widowControl/>
              <w:spacing w:line="28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14:paraId="60EFA7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1077" w:hRule="atLeast"/>
        </w:trPr>
        <w:tc>
          <w:tcPr>
            <w:tcW w:w="726" w:type="dxa"/>
            <w:vMerge w:val="continue"/>
            <w:shd w:val="clear" w:color="auto" w:fill="auto"/>
            <w:vAlign w:val="center"/>
          </w:tcPr>
          <w:p w14:paraId="62354CE5">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2A02B68C">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35A73DA0">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spacing w:val="0"/>
                <w:w w:val="95"/>
                <w:position w:val="0"/>
                <w:sz w:val="21"/>
                <w:szCs w:val="21"/>
              </w:rPr>
              <w:t>包子（自制）</w:t>
            </w:r>
          </w:p>
        </w:tc>
        <w:tc>
          <w:tcPr>
            <w:tcW w:w="892" w:type="dxa"/>
            <w:shd w:val="clear" w:color="auto" w:fill="FFFFFF"/>
            <w:vAlign w:val="center"/>
          </w:tcPr>
          <w:p w14:paraId="4AA6DF98">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t>一般</w:t>
            </w:r>
          </w:p>
        </w:tc>
        <w:tc>
          <w:tcPr>
            <w:tcW w:w="6199" w:type="dxa"/>
            <w:vAlign w:val="center"/>
          </w:tcPr>
          <w:p w14:paraId="1BAD7536">
            <w:pPr>
              <w:widowControl/>
              <w:spacing w:line="380" w:lineRule="exact"/>
              <w:jc w:val="both"/>
              <w:textAlignment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spacing w:val="0"/>
                <w:w w:val="99"/>
                <w:position w:val="0"/>
                <w:sz w:val="21"/>
                <w:szCs w:val="21"/>
              </w:rPr>
              <w:t>苯甲酸及其钠盐（以苯甲酸计）、山梨酸及其钾盐（以山梨酸计）、糖精钠（以糖精计）、脱氢乙酸及其钠盐（以脱氢乙酸计）、甜蜜素（以环己基氨基磺酸计</w:t>
            </w:r>
            <w:r>
              <w:rPr>
                <w:rFonts w:hint="eastAsia" w:ascii="宋体" w:hAnsi="宋体" w:eastAsia="宋体" w:cs="宋体"/>
                <w:spacing w:val="0"/>
                <w:w w:val="99"/>
                <w:position w:val="0"/>
                <w:sz w:val="21"/>
                <w:szCs w:val="21"/>
                <w:lang w:eastAsia="zh-CN"/>
              </w:rPr>
              <w:t>）</w:t>
            </w:r>
          </w:p>
        </w:tc>
        <w:tc>
          <w:tcPr>
            <w:tcW w:w="1367" w:type="dxa"/>
            <w:vAlign w:val="center"/>
          </w:tcPr>
          <w:p w14:paraId="23FD1EE0">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15</w:t>
            </w:r>
          </w:p>
        </w:tc>
        <w:tc>
          <w:tcPr>
            <w:tcW w:w="1316" w:type="dxa"/>
            <w:vAlign w:val="center"/>
          </w:tcPr>
          <w:p w14:paraId="7491B885">
            <w:pPr>
              <w:widowControl/>
              <w:spacing w:line="280" w:lineRule="exact"/>
              <w:jc w:val="left"/>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p>
        </w:tc>
      </w:tr>
      <w:tr w14:paraId="66AB50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82" w:hRule="atLeast"/>
        </w:trPr>
        <w:tc>
          <w:tcPr>
            <w:tcW w:w="726" w:type="dxa"/>
            <w:vMerge w:val="continue"/>
            <w:shd w:val="clear" w:color="auto" w:fill="auto"/>
            <w:vAlign w:val="center"/>
          </w:tcPr>
          <w:p w14:paraId="6A288006">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3A95C090">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54E3F56C">
            <w:pPr>
              <w:pStyle w:val="34"/>
              <w:spacing w:before="13" w:line="287" w:lineRule="exact"/>
              <w:ind w:left="280"/>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spacing w:val="0"/>
                <w:w w:val="95"/>
                <w:position w:val="0"/>
                <w:sz w:val="21"/>
                <w:szCs w:val="21"/>
              </w:rPr>
              <w:t>油饼油条（自制）</w:t>
            </w:r>
          </w:p>
        </w:tc>
        <w:tc>
          <w:tcPr>
            <w:tcW w:w="892" w:type="dxa"/>
            <w:shd w:val="clear" w:color="auto" w:fill="FFFFFF"/>
            <w:vAlign w:val="center"/>
          </w:tcPr>
          <w:p w14:paraId="4971842F">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较高</w:t>
            </w:r>
          </w:p>
        </w:tc>
        <w:tc>
          <w:tcPr>
            <w:tcW w:w="6199" w:type="dxa"/>
            <w:vAlign w:val="center"/>
          </w:tcPr>
          <w:p w14:paraId="3C340BC7">
            <w:pPr>
              <w:widowControl/>
              <w:spacing w:line="380" w:lineRule="exact"/>
              <w:jc w:val="both"/>
              <w:textAlignment w:val="top"/>
              <w:rPr>
                <w:rFonts w:hint="eastAsia" w:ascii="宋体" w:hAnsi="宋体" w:eastAsia="宋体" w:cs="宋体"/>
                <w:color w:val="000000" w:themeColor="text1"/>
                <w:spacing w:val="0"/>
                <w:position w:val="0"/>
                <w:sz w:val="21"/>
                <w:szCs w:val="21"/>
                <w:highlight w:val="none"/>
                <w:lang w:val="zh-TW"/>
                <w14:textFill>
                  <w14:solidFill>
                    <w14:schemeClr w14:val="tx1"/>
                  </w14:solidFill>
                </w14:textFill>
              </w:rPr>
            </w:pPr>
            <w:r>
              <w:rPr>
                <w:rFonts w:hint="eastAsia" w:ascii="宋体" w:hAnsi="宋体" w:eastAsia="宋体" w:cs="宋体"/>
                <w:spacing w:val="0"/>
                <w:position w:val="0"/>
                <w:sz w:val="21"/>
                <w:szCs w:val="21"/>
              </w:rPr>
              <w:t>铝的残留量（干样品，以Al计）</w:t>
            </w:r>
          </w:p>
        </w:tc>
        <w:tc>
          <w:tcPr>
            <w:tcW w:w="1367" w:type="dxa"/>
            <w:vAlign w:val="center"/>
          </w:tcPr>
          <w:p w14:paraId="527DD77A">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15</w:t>
            </w:r>
          </w:p>
        </w:tc>
        <w:tc>
          <w:tcPr>
            <w:tcW w:w="1316" w:type="dxa"/>
            <w:vAlign w:val="center"/>
          </w:tcPr>
          <w:p w14:paraId="44B7A4A7">
            <w:pPr>
              <w:widowControl/>
              <w:spacing w:line="280" w:lineRule="exact"/>
              <w:jc w:val="left"/>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p>
        </w:tc>
      </w:tr>
      <w:tr w14:paraId="0BA88E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682" w:hRule="atLeast"/>
        </w:trPr>
        <w:tc>
          <w:tcPr>
            <w:tcW w:w="726" w:type="dxa"/>
            <w:vMerge w:val="continue"/>
            <w:shd w:val="clear" w:color="auto" w:fill="auto"/>
            <w:vAlign w:val="center"/>
          </w:tcPr>
          <w:p w14:paraId="60D15B00">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3D4249B5">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top"/>
          </w:tcPr>
          <w:p w14:paraId="3C721D60">
            <w:pPr>
              <w:pStyle w:val="34"/>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rPr>
                <w:rFonts w:hint="eastAsia" w:ascii="宋体" w:hAnsi="宋体" w:eastAsia="宋体" w:cs="宋体"/>
                <w:spacing w:val="0"/>
                <w:w w:val="95"/>
                <w:position w:val="0"/>
                <w:sz w:val="21"/>
                <w:szCs w:val="21"/>
                <w:lang w:val="en-US" w:eastAsia="en-US"/>
              </w:rPr>
            </w:pPr>
          </w:p>
          <w:p w14:paraId="27A1FEB6">
            <w:pPr>
              <w:pStyle w:val="34"/>
              <w:spacing w:before="13" w:line="287" w:lineRule="exact"/>
              <w:ind w:left="280"/>
              <w:jc w:val="center"/>
              <w:rPr>
                <w:rFonts w:hint="eastAsia" w:ascii="宋体" w:hAnsi="宋体" w:eastAsia="宋体" w:cs="宋体"/>
                <w:spacing w:val="0"/>
                <w:kern w:val="2"/>
                <w:position w:val="0"/>
                <w:sz w:val="21"/>
                <w:szCs w:val="21"/>
                <w:lang w:val="en-US" w:eastAsia="en-US" w:bidi="ar-SA"/>
              </w:rPr>
            </w:pPr>
            <w:r>
              <w:rPr>
                <w:rFonts w:hint="eastAsia" w:ascii="宋体" w:hAnsi="宋体" w:eastAsia="宋体" w:cs="宋体"/>
                <w:spacing w:val="0"/>
                <w:w w:val="95"/>
                <w:position w:val="0"/>
                <w:sz w:val="21"/>
                <w:szCs w:val="21"/>
                <w:lang w:val="en-US" w:eastAsia="en-US"/>
              </w:rPr>
              <w:t>凉皮（自制）</w:t>
            </w:r>
          </w:p>
        </w:tc>
        <w:tc>
          <w:tcPr>
            <w:tcW w:w="892" w:type="dxa"/>
            <w:shd w:val="clear" w:color="auto" w:fill="FFFFFF"/>
            <w:vAlign w:val="top"/>
          </w:tcPr>
          <w:p w14:paraId="3386000D">
            <w:pPr>
              <w:pStyle w:val="50"/>
              <w:spacing w:before="203" w:line="207" w:lineRule="auto"/>
              <w:jc w:val="center"/>
              <w:rPr>
                <w:rFonts w:hint="eastAsia" w:ascii="宋体" w:hAnsi="宋体" w:eastAsia="宋体" w:cs="宋体"/>
                <w:spacing w:val="0"/>
                <w:kern w:val="2"/>
                <w:position w:val="0"/>
                <w:sz w:val="21"/>
                <w:szCs w:val="21"/>
                <w:lang w:val="en-US" w:eastAsia="en-US" w:bidi="ar-SA"/>
              </w:rPr>
            </w:pPr>
            <w:r>
              <w:rPr>
                <w:rFonts w:hint="eastAsia" w:ascii="宋体" w:hAnsi="宋体" w:eastAsia="宋体" w:cs="宋体"/>
                <w:spacing w:val="0"/>
                <w:position w:val="0"/>
                <w:sz w:val="21"/>
                <w:szCs w:val="21"/>
              </w:rPr>
              <w:t>较高</w:t>
            </w:r>
          </w:p>
        </w:tc>
        <w:tc>
          <w:tcPr>
            <w:tcW w:w="6199" w:type="dxa"/>
            <w:vAlign w:val="center"/>
          </w:tcPr>
          <w:p w14:paraId="5CD9FE1B">
            <w:pPr>
              <w:pStyle w:val="50"/>
              <w:spacing w:before="161" w:line="312" w:lineRule="exact"/>
              <w:jc w:val="both"/>
              <w:rPr>
                <w:rFonts w:hint="eastAsia" w:ascii="宋体" w:hAnsi="宋体" w:eastAsia="宋体" w:cs="宋体"/>
                <w:spacing w:val="0"/>
                <w:kern w:val="2"/>
                <w:position w:val="0"/>
                <w:sz w:val="21"/>
                <w:szCs w:val="21"/>
                <w:lang w:val="en-US" w:eastAsia="zh-CN" w:bidi="ar-SA"/>
              </w:rPr>
            </w:pPr>
            <w:r>
              <w:rPr>
                <w:rFonts w:hint="eastAsia" w:ascii="宋体" w:hAnsi="宋体" w:eastAsia="宋体" w:cs="宋体"/>
                <w:spacing w:val="0"/>
                <w:w w:val="95"/>
                <w:position w:val="0"/>
                <w:sz w:val="21"/>
                <w:szCs w:val="21"/>
              </w:rPr>
              <w:t>脱氢乙酸及其钠盐（以脱氢乙酸计</w:t>
            </w:r>
            <w:r>
              <w:rPr>
                <w:rFonts w:hint="eastAsia" w:ascii="宋体" w:hAnsi="宋体" w:eastAsia="宋体" w:cs="宋体"/>
                <w:spacing w:val="0"/>
                <w:w w:val="95"/>
                <w:position w:val="0"/>
                <w:sz w:val="21"/>
                <w:szCs w:val="21"/>
                <w:lang w:eastAsia="zh-CN"/>
              </w:rPr>
              <w:t>）</w:t>
            </w:r>
          </w:p>
        </w:tc>
        <w:tc>
          <w:tcPr>
            <w:tcW w:w="1367" w:type="dxa"/>
            <w:vAlign w:val="center"/>
          </w:tcPr>
          <w:p w14:paraId="7222A018">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15</w:t>
            </w:r>
          </w:p>
        </w:tc>
        <w:tc>
          <w:tcPr>
            <w:tcW w:w="1316" w:type="dxa"/>
            <w:vAlign w:val="center"/>
          </w:tcPr>
          <w:p w14:paraId="0633FFA2">
            <w:pPr>
              <w:widowControl/>
              <w:spacing w:line="28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14:paraId="1BA613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00" w:hRule="atLeast"/>
        </w:trPr>
        <w:tc>
          <w:tcPr>
            <w:tcW w:w="726" w:type="dxa"/>
            <w:vMerge w:val="continue"/>
            <w:shd w:val="clear" w:color="auto" w:fill="auto"/>
            <w:vAlign w:val="center"/>
          </w:tcPr>
          <w:p w14:paraId="406ED501">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30D12511">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5B8E77CE">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肉冻皮冻（自制）</w:t>
            </w:r>
          </w:p>
        </w:tc>
        <w:tc>
          <w:tcPr>
            <w:tcW w:w="892" w:type="dxa"/>
            <w:shd w:val="clear" w:color="auto" w:fill="FFFFFF"/>
            <w:vAlign w:val="center"/>
          </w:tcPr>
          <w:p w14:paraId="3520C289">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高</w:t>
            </w:r>
          </w:p>
        </w:tc>
        <w:tc>
          <w:tcPr>
            <w:tcW w:w="6199" w:type="dxa"/>
            <w:vAlign w:val="center"/>
          </w:tcPr>
          <w:p w14:paraId="73EF0D67">
            <w:pPr>
              <w:widowControl/>
              <w:spacing w:line="380" w:lineRule="exact"/>
              <w:jc w:val="both"/>
              <w:textAlignment w:val="top"/>
              <w:rPr>
                <w:rFonts w:hint="eastAsia" w:ascii="宋体" w:hAnsi="宋体" w:eastAsia="宋体" w:cs="宋体"/>
                <w:color w:val="000000" w:themeColor="text1"/>
                <w:spacing w:val="0"/>
                <w:position w:val="0"/>
                <w:sz w:val="21"/>
                <w:szCs w:val="21"/>
                <w:highlight w:val="none"/>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zh-TW" w:eastAsia="zh-TW"/>
                <w14:textFill>
                  <w14:solidFill>
                    <w14:schemeClr w14:val="tx1"/>
                  </w14:solidFill>
                </w14:textFill>
              </w:rPr>
              <w:t>铬（以Cr计）</w:t>
            </w:r>
          </w:p>
        </w:tc>
        <w:tc>
          <w:tcPr>
            <w:tcW w:w="1367" w:type="dxa"/>
            <w:vAlign w:val="center"/>
          </w:tcPr>
          <w:p w14:paraId="3C346B8F">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15</w:t>
            </w:r>
          </w:p>
        </w:tc>
        <w:tc>
          <w:tcPr>
            <w:tcW w:w="1316" w:type="dxa"/>
            <w:vAlign w:val="center"/>
          </w:tcPr>
          <w:p w14:paraId="5F883A04">
            <w:pPr>
              <w:widowControl/>
              <w:spacing w:line="28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14:paraId="0E050C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493" w:hRule="atLeast"/>
        </w:trPr>
        <w:tc>
          <w:tcPr>
            <w:tcW w:w="726" w:type="dxa"/>
            <w:vMerge w:val="continue"/>
            <w:shd w:val="clear" w:color="auto" w:fill="auto"/>
            <w:vAlign w:val="center"/>
          </w:tcPr>
          <w:p w14:paraId="5E70603D">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480D5E28">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39F5FD1D">
            <w:pPr>
              <w:pStyle w:val="34"/>
              <w:spacing w:before="13" w:line="286" w:lineRule="exact"/>
              <w:ind w:left="177"/>
              <w:jc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spacing w:val="0"/>
                <w:w w:val="95"/>
                <w:position w:val="0"/>
                <w:sz w:val="21"/>
                <w:szCs w:val="21"/>
              </w:rPr>
              <w:t>熏烧烤肉类（自制）</w:t>
            </w:r>
          </w:p>
        </w:tc>
        <w:tc>
          <w:tcPr>
            <w:tcW w:w="892" w:type="dxa"/>
            <w:shd w:val="clear" w:color="auto" w:fill="FFFFFF"/>
            <w:vAlign w:val="center"/>
          </w:tcPr>
          <w:p w14:paraId="54072ADC">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较高</w:t>
            </w:r>
          </w:p>
        </w:tc>
        <w:tc>
          <w:tcPr>
            <w:tcW w:w="6199" w:type="dxa"/>
            <w:vAlign w:val="center"/>
          </w:tcPr>
          <w:p w14:paraId="509BDB4E">
            <w:pPr>
              <w:widowControl/>
              <w:spacing w:line="380" w:lineRule="exact"/>
              <w:jc w:val="both"/>
              <w:textAlignment w:val="top"/>
              <w:rPr>
                <w:rFonts w:hint="eastAsia" w:ascii="宋体" w:hAnsi="宋体" w:eastAsia="宋体" w:cs="宋体"/>
                <w:color w:val="000000" w:themeColor="text1"/>
                <w:spacing w:val="0"/>
                <w:position w:val="0"/>
                <w:sz w:val="21"/>
                <w:szCs w:val="21"/>
                <w:highlight w:val="none"/>
                <w:lang w:val="zh-TW" w:eastAsia="zh-TW"/>
                <w14:textFill>
                  <w14:solidFill>
                    <w14:schemeClr w14:val="tx1"/>
                  </w14:solidFill>
                </w14:textFill>
              </w:rPr>
            </w:pPr>
            <w:r>
              <w:rPr>
                <w:rFonts w:hint="eastAsia" w:ascii="宋体" w:hAnsi="宋体" w:eastAsia="宋体" w:cs="宋体"/>
                <w:spacing w:val="0"/>
                <w:w w:val="95"/>
                <w:position w:val="0"/>
                <w:sz w:val="21"/>
                <w:szCs w:val="21"/>
              </w:rPr>
              <w:t>N－二甲基亚硝胺、苯并[</w:t>
            </w:r>
            <w:r>
              <w:rPr>
                <w:rFonts w:hint="eastAsia" w:ascii="宋体" w:hAnsi="宋体" w:eastAsia="宋体" w:cs="宋体"/>
                <w:spacing w:val="0"/>
                <w:w w:val="80"/>
                <w:position w:val="0"/>
                <w:sz w:val="21"/>
                <w:szCs w:val="21"/>
              </w:rPr>
              <w:t>α</w:t>
            </w:r>
            <w:r>
              <w:rPr>
                <w:rFonts w:hint="eastAsia" w:ascii="宋体" w:hAnsi="宋体" w:eastAsia="宋体" w:cs="宋体"/>
                <w:spacing w:val="0"/>
                <w:w w:val="95"/>
                <w:position w:val="0"/>
                <w:sz w:val="21"/>
                <w:szCs w:val="21"/>
              </w:rPr>
              <w:t>]</w:t>
            </w:r>
            <w:r>
              <w:rPr>
                <w:rFonts w:hint="eastAsia" w:ascii="宋体" w:hAnsi="宋体" w:eastAsia="宋体" w:cs="宋体"/>
                <w:spacing w:val="0"/>
                <w:position w:val="0"/>
                <w:sz w:val="21"/>
                <w:szCs w:val="21"/>
              </w:rPr>
              <w:t xml:space="preserve"> </w:t>
            </w:r>
            <w:r>
              <w:rPr>
                <w:rFonts w:hint="eastAsia" w:ascii="宋体" w:hAnsi="宋体" w:eastAsia="宋体" w:cs="宋体"/>
                <w:spacing w:val="0"/>
                <w:w w:val="95"/>
                <w:position w:val="0"/>
                <w:sz w:val="21"/>
                <w:szCs w:val="21"/>
              </w:rPr>
              <w:t>芘、铅（以Pb计）</w:t>
            </w:r>
          </w:p>
        </w:tc>
        <w:tc>
          <w:tcPr>
            <w:tcW w:w="1367" w:type="dxa"/>
            <w:vAlign w:val="center"/>
          </w:tcPr>
          <w:p w14:paraId="2EEC7274">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10</w:t>
            </w:r>
          </w:p>
        </w:tc>
        <w:tc>
          <w:tcPr>
            <w:tcW w:w="1316" w:type="dxa"/>
            <w:vAlign w:val="center"/>
          </w:tcPr>
          <w:p w14:paraId="0C3FE311">
            <w:pPr>
              <w:widowControl/>
              <w:spacing w:line="28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14:paraId="162E6E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720" w:hRule="atLeast"/>
        </w:trPr>
        <w:tc>
          <w:tcPr>
            <w:tcW w:w="726" w:type="dxa"/>
            <w:vMerge w:val="continue"/>
            <w:shd w:val="clear" w:color="auto" w:fill="auto"/>
            <w:vAlign w:val="center"/>
          </w:tcPr>
          <w:p w14:paraId="61B67A27">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4C020397">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1A3CE397">
            <w:pPr>
              <w:pStyle w:val="34"/>
              <w:spacing w:before="12" w:line="287" w:lineRule="exact"/>
              <w:ind w:left="72"/>
              <w:jc w:val="center"/>
              <w:rPr>
                <w:rFonts w:hint="eastAsia" w:ascii="宋体" w:hAnsi="宋体" w:eastAsia="宋体" w:cs="宋体"/>
                <w:spacing w:val="0"/>
                <w:w w:val="95"/>
                <w:position w:val="0"/>
                <w:sz w:val="21"/>
                <w:szCs w:val="21"/>
              </w:rPr>
            </w:pPr>
            <w:r>
              <w:rPr>
                <w:rFonts w:hint="eastAsia" w:ascii="宋体" w:hAnsi="宋体" w:eastAsia="宋体" w:cs="宋体"/>
                <w:spacing w:val="0"/>
                <w:w w:val="95"/>
                <w:position w:val="0"/>
                <w:sz w:val="21"/>
                <w:szCs w:val="21"/>
              </w:rPr>
              <w:t>火锅麻辣烫底料</w:t>
            </w:r>
          </w:p>
          <w:p w14:paraId="7E365430">
            <w:pPr>
              <w:pStyle w:val="34"/>
              <w:spacing w:before="12" w:line="287" w:lineRule="exact"/>
              <w:ind w:left="72"/>
              <w:jc w:val="center"/>
              <w:rPr>
                <w:rFonts w:hint="eastAsia" w:ascii="宋体" w:hAnsi="宋体" w:eastAsia="宋体" w:cs="宋体"/>
                <w:color w:val="000000" w:themeColor="text1"/>
                <w:spacing w:val="0"/>
                <w:position w:val="0"/>
                <w:sz w:val="21"/>
                <w:szCs w:val="21"/>
                <w:highlight w:val="none"/>
                <w:lang w:eastAsia="zh-CN"/>
                <w14:textFill>
                  <w14:solidFill>
                    <w14:schemeClr w14:val="tx1"/>
                  </w14:solidFill>
                </w14:textFill>
              </w:rPr>
            </w:pPr>
            <w:r>
              <w:rPr>
                <w:rFonts w:hint="eastAsia" w:ascii="宋体" w:hAnsi="宋体" w:eastAsia="宋体" w:cs="宋体"/>
                <w:spacing w:val="0"/>
                <w:w w:val="95"/>
                <w:position w:val="0"/>
                <w:sz w:val="21"/>
                <w:szCs w:val="21"/>
              </w:rPr>
              <w:t>（自制）</w:t>
            </w:r>
          </w:p>
        </w:tc>
        <w:tc>
          <w:tcPr>
            <w:tcW w:w="892" w:type="dxa"/>
            <w:shd w:val="clear" w:color="auto" w:fill="FFFFFF"/>
            <w:vAlign w:val="center"/>
          </w:tcPr>
          <w:p w14:paraId="078B6667">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14:textFill>
                  <w14:solidFill>
                    <w14:schemeClr w14:val="tx1"/>
                  </w14:solidFill>
                </w14:textFill>
              </w:rPr>
            </w:pPr>
            <w:r>
              <w:rPr>
                <w:rFonts w:hint="eastAsia" w:ascii="宋体" w:hAnsi="宋体" w:eastAsia="宋体" w:cs="宋体"/>
                <w:color w:val="000000" w:themeColor="text1"/>
                <w:spacing w:val="0"/>
                <w:position w:val="0"/>
                <w:sz w:val="21"/>
                <w:szCs w:val="21"/>
                <w:highlight w:val="none"/>
                <w14:textFill>
                  <w14:solidFill>
                    <w14:schemeClr w14:val="tx1"/>
                  </w14:solidFill>
                </w14:textFill>
              </w:rPr>
              <w:t>较高</w:t>
            </w:r>
          </w:p>
        </w:tc>
        <w:tc>
          <w:tcPr>
            <w:tcW w:w="6199" w:type="dxa"/>
            <w:vAlign w:val="center"/>
          </w:tcPr>
          <w:p w14:paraId="6EA02218">
            <w:pPr>
              <w:widowControl/>
              <w:spacing w:line="380" w:lineRule="exact"/>
              <w:jc w:val="both"/>
              <w:textAlignment w:val="top"/>
              <w:rPr>
                <w:rFonts w:hint="eastAsia" w:ascii="宋体" w:hAnsi="宋体" w:eastAsia="宋体" w:cs="宋体"/>
                <w:color w:val="000000" w:themeColor="text1"/>
                <w:spacing w:val="0"/>
                <w:position w:val="0"/>
                <w:sz w:val="21"/>
                <w:szCs w:val="21"/>
                <w:highlight w:val="none"/>
                <w:lang w:val="zh-TW" w:eastAsia="zh-TW"/>
                <w14:textFill>
                  <w14:solidFill>
                    <w14:schemeClr w14:val="tx1"/>
                  </w14:solidFill>
                </w14:textFill>
              </w:rPr>
            </w:pPr>
            <w:r>
              <w:rPr>
                <w:rFonts w:hint="eastAsia" w:ascii="宋体" w:hAnsi="宋体" w:eastAsia="宋体" w:cs="宋体"/>
                <w:spacing w:val="0"/>
                <w:w w:val="95"/>
                <w:position w:val="0"/>
                <w:sz w:val="21"/>
                <w:szCs w:val="21"/>
              </w:rPr>
              <w:t>罂粟碱、吗啡、可待因、那可丁</w:t>
            </w:r>
          </w:p>
        </w:tc>
        <w:tc>
          <w:tcPr>
            <w:tcW w:w="1367" w:type="dxa"/>
            <w:vAlign w:val="center"/>
          </w:tcPr>
          <w:p w14:paraId="0B8CA1CD">
            <w:pPr>
              <w:widowControl/>
              <w:spacing w:line="280" w:lineRule="exact"/>
              <w:jc w:val="center"/>
              <w:textAlignment w:val="cente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highlight w:val="none"/>
                <w:lang w:val="en-US" w:eastAsia="zh-CN"/>
                <w14:textFill>
                  <w14:solidFill>
                    <w14:schemeClr w14:val="tx1"/>
                  </w14:solidFill>
                </w14:textFill>
              </w:rPr>
              <w:t>10</w:t>
            </w:r>
          </w:p>
        </w:tc>
        <w:tc>
          <w:tcPr>
            <w:tcW w:w="1316" w:type="dxa"/>
            <w:vAlign w:val="center"/>
          </w:tcPr>
          <w:p w14:paraId="7C2A33F2">
            <w:pPr>
              <w:widowControl/>
              <w:spacing w:line="280" w:lineRule="exact"/>
              <w:jc w:val="left"/>
              <w:rPr>
                <w:rFonts w:hint="eastAsia" w:ascii="宋体" w:hAnsi="宋体" w:eastAsia="宋体" w:cs="宋体"/>
                <w:color w:val="000000" w:themeColor="text1"/>
                <w:spacing w:val="0"/>
                <w:position w:val="0"/>
                <w:sz w:val="21"/>
                <w:szCs w:val="21"/>
                <w:highlight w:val="none"/>
                <w14:textFill>
                  <w14:solidFill>
                    <w14:schemeClr w14:val="tx1"/>
                  </w14:solidFill>
                </w14:textFill>
              </w:rPr>
            </w:pPr>
          </w:p>
        </w:tc>
      </w:tr>
      <w:tr w14:paraId="46CDEE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1ABC8C9D">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50C4E65A">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51DABF07">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生食动物性水</w:t>
            </w:r>
            <w:r>
              <w:rPr>
                <w:rFonts w:hint="eastAsia" w:ascii="宋体" w:hAnsi="宋体" w:eastAsia="宋体" w:cs="宋体"/>
                <w:spacing w:val="0"/>
                <w:w w:val="95"/>
                <w:position w:val="0"/>
                <w:sz w:val="21"/>
                <w:szCs w:val="21"/>
              </w:rPr>
              <w:t>产品（自制）</w:t>
            </w:r>
          </w:p>
        </w:tc>
        <w:tc>
          <w:tcPr>
            <w:tcW w:w="892" w:type="dxa"/>
            <w:shd w:val="clear" w:color="auto" w:fill="FFFFFF"/>
            <w:vAlign w:val="center"/>
          </w:tcPr>
          <w:p w14:paraId="01406B0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较高</w:t>
            </w:r>
          </w:p>
        </w:tc>
        <w:tc>
          <w:tcPr>
            <w:tcW w:w="6199" w:type="dxa"/>
            <w:vAlign w:val="center"/>
          </w:tcPr>
          <w:p w14:paraId="6B111298">
            <w:pPr>
              <w:widowControl/>
              <w:spacing w:line="380" w:lineRule="exact"/>
              <w:jc w:val="both"/>
              <w:textAlignment w:val="top"/>
              <w:rPr>
                <w:rFonts w:hint="eastAsia" w:ascii="宋体" w:hAnsi="宋体" w:eastAsia="宋体" w:cs="宋体"/>
                <w:color w:val="000000" w:themeColor="text1"/>
                <w:spacing w:val="0"/>
                <w:position w:val="0"/>
                <w:sz w:val="21"/>
                <w:szCs w:val="21"/>
                <w:lang w:val="zh-TW"/>
                <w14:textFill>
                  <w14:solidFill>
                    <w14:schemeClr w14:val="tx1"/>
                  </w14:solidFill>
                </w14:textFill>
              </w:rPr>
            </w:pPr>
            <w:r>
              <w:rPr>
                <w:rFonts w:hint="eastAsia" w:ascii="宋体" w:hAnsi="宋体" w:eastAsia="宋体" w:cs="宋体"/>
                <w:spacing w:val="0"/>
                <w:position w:val="0"/>
                <w:sz w:val="21"/>
                <w:szCs w:val="21"/>
              </w:rPr>
              <w:t>铝的残留量（以即食海蜇中Al计）</w:t>
            </w:r>
          </w:p>
        </w:tc>
        <w:tc>
          <w:tcPr>
            <w:tcW w:w="1367" w:type="dxa"/>
            <w:vAlign w:val="center"/>
          </w:tcPr>
          <w:p w14:paraId="1A65B99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w:t>
            </w:r>
          </w:p>
        </w:tc>
        <w:tc>
          <w:tcPr>
            <w:tcW w:w="1316" w:type="dxa"/>
            <w:vAlign w:val="center"/>
          </w:tcPr>
          <w:p w14:paraId="28C55402">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71D0E9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649E9AFA">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26808AEF">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745B6CD6">
            <w:pPr>
              <w:pStyle w:val="34"/>
              <w:spacing w:before="38" w:line="286" w:lineRule="exact"/>
              <w:ind w:left="280"/>
              <w:jc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花生制品（自制）</w:t>
            </w:r>
          </w:p>
        </w:tc>
        <w:tc>
          <w:tcPr>
            <w:tcW w:w="892" w:type="dxa"/>
            <w:shd w:val="clear" w:color="auto" w:fill="FFFFFF"/>
            <w:vAlign w:val="center"/>
          </w:tcPr>
          <w:p w14:paraId="7483362E">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高</w:t>
            </w:r>
          </w:p>
        </w:tc>
        <w:tc>
          <w:tcPr>
            <w:tcW w:w="6199" w:type="dxa"/>
            <w:vAlign w:val="center"/>
          </w:tcPr>
          <w:p w14:paraId="18C820F4">
            <w:pPr>
              <w:widowControl/>
              <w:spacing w:line="380" w:lineRule="exact"/>
              <w:jc w:val="both"/>
              <w:textAlignment w:val="top"/>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w w:val="99"/>
                <w:position w:val="0"/>
                <w:sz w:val="21"/>
                <w:szCs w:val="21"/>
              </w:rPr>
              <w:t>黄曲霉毒素</w:t>
            </w:r>
            <w:r>
              <w:rPr>
                <w:rFonts w:hint="eastAsia" w:ascii="宋体" w:hAnsi="宋体" w:eastAsia="宋体" w:cs="宋体"/>
                <w:spacing w:val="0"/>
                <w:w w:val="97"/>
                <w:position w:val="0"/>
                <w:sz w:val="21"/>
                <w:szCs w:val="21"/>
              </w:rPr>
              <w:t>B</w:t>
            </w:r>
            <w:r>
              <w:rPr>
                <w:rFonts w:hint="eastAsia" w:ascii="宋体" w:hAnsi="宋体" w:eastAsia="宋体" w:cs="宋体"/>
                <w:spacing w:val="0"/>
                <w:w w:val="105"/>
                <w:position w:val="0"/>
                <w:sz w:val="21"/>
                <w:szCs w:val="21"/>
              </w:rPr>
              <w:t>1</w:t>
            </w:r>
            <w:r>
              <w:rPr>
                <w:rFonts w:hint="eastAsia" w:ascii="宋体" w:hAnsi="宋体" w:eastAsia="宋体" w:cs="宋体"/>
                <w:spacing w:val="0"/>
                <w:w w:val="99"/>
                <w:position w:val="0"/>
                <w:sz w:val="21"/>
                <w:szCs w:val="21"/>
              </w:rPr>
              <w:t>、苯甲酸及其钠盐（以苯甲酸计）、山梨酸及其钾盐（以山梨酸计）、脱氢乙酸及其钠盐（以脱氢乙酸计</w:t>
            </w:r>
            <w:r>
              <w:rPr>
                <w:rFonts w:hint="eastAsia" w:ascii="宋体" w:hAnsi="宋体" w:eastAsia="宋体" w:cs="宋体"/>
                <w:spacing w:val="0"/>
                <w:w w:val="99"/>
                <w:position w:val="0"/>
                <w:sz w:val="21"/>
                <w:szCs w:val="21"/>
                <w:lang w:eastAsia="zh-CN"/>
              </w:rPr>
              <w:t>）</w:t>
            </w:r>
          </w:p>
        </w:tc>
        <w:tc>
          <w:tcPr>
            <w:tcW w:w="1367" w:type="dxa"/>
            <w:vAlign w:val="center"/>
          </w:tcPr>
          <w:p w14:paraId="387FB27B">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10</w:t>
            </w:r>
          </w:p>
        </w:tc>
        <w:tc>
          <w:tcPr>
            <w:tcW w:w="1316" w:type="dxa"/>
            <w:vAlign w:val="center"/>
          </w:tcPr>
          <w:p w14:paraId="249B4B3D">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43841C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74E596ED">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4383DF99">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5E1FC7B9">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position w:val="0"/>
                <w:sz w:val="21"/>
                <w:szCs w:val="21"/>
              </w:rPr>
              <w:t>复用餐饮具（餐馆自行消毒）</w:t>
            </w:r>
          </w:p>
        </w:tc>
        <w:tc>
          <w:tcPr>
            <w:tcW w:w="892" w:type="dxa"/>
            <w:shd w:val="clear" w:color="auto" w:fill="FFFFFF"/>
            <w:vAlign w:val="center"/>
          </w:tcPr>
          <w:p w14:paraId="006F5AA5">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高</w:t>
            </w:r>
          </w:p>
        </w:tc>
        <w:tc>
          <w:tcPr>
            <w:tcW w:w="6199" w:type="dxa"/>
            <w:vAlign w:val="center"/>
          </w:tcPr>
          <w:p w14:paraId="462027D7">
            <w:pPr>
              <w:widowControl/>
              <w:spacing w:line="380" w:lineRule="exact"/>
              <w:jc w:val="both"/>
              <w:textAlignment w:val="top"/>
              <w:rPr>
                <w:rFonts w:hint="eastAsia" w:ascii="宋体" w:hAnsi="宋体" w:eastAsia="宋体" w:cs="宋体"/>
                <w:color w:val="000000" w:themeColor="text1"/>
                <w:spacing w:val="0"/>
                <w:position w:val="0"/>
                <w:sz w:val="21"/>
                <w:szCs w:val="21"/>
                <w:lang w:val="zh-TW"/>
                <w14:textFill>
                  <w14:solidFill>
                    <w14:schemeClr w14:val="tx1"/>
                  </w14:solidFill>
                </w14:textFill>
              </w:rPr>
            </w:pPr>
            <w:r>
              <w:rPr>
                <w:rFonts w:hint="eastAsia" w:ascii="宋体" w:hAnsi="宋体" w:eastAsia="宋体" w:cs="宋体"/>
                <w:spacing w:val="0"/>
                <w:w w:val="95"/>
                <w:position w:val="0"/>
                <w:sz w:val="21"/>
                <w:szCs w:val="21"/>
              </w:rPr>
              <w:t>阴离子合成洗涤剂（以十二烷基苯磺酸钠计）、大肠菌群</w:t>
            </w:r>
          </w:p>
        </w:tc>
        <w:tc>
          <w:tcPr>
            <w:tcW w:w="1367" w:type="dxa"/>
            <w:vAlign w:val="center"/>
          </w:tcPr>
          <w:p w14:paraId="2F812378">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20</w:t>
            </w:r>
          </w:p>
        </w:tc>
        <w:tc>
          <w:tcPr>
            <w:tcW w:w="1316" w:type="dxa"/>
            <w:vAlign w:val="center"/>
          </w:tcPr>
          <w:p w14:paraId="5A2918A7">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10A1A9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012CAE38">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0183AFE0">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424A230D">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糕点（自制）</w:t>
            </w:r>
          </w:p>
        </w:tc>
        <w:tc>
          <w:tcPr>
            <w:tcW w:w="892" w:type="dxa"/>
            <w:shd w:val="clear" w:color="auto" w:fill="FFFFFF"/>
            <w:vAlign w:val="center"/>
          </w:tcPr>
          <w:p w14:paraId="1597F202">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一般</w:t>
            </w:r>
          </w:p>
        </w:tc>
        <w:tc>
          <w:tcPr>
            <w:tcW w:w="6199" w:type="dxa"/>
            <w:vAlign w:val="center"/>
          </w:tcPr>
          <w:p w14:paraId="4B97ED44">
            <w:pPr>
              <w:pStyle w:val="34"/>
              <w:spacing w:before="49" w:line="228" w:lineRule="auto"/>
              <w:ind w:left="3" w:right="-15"/>
              <w:jc w:val="both"/>
              <w:rPr>
                <w:rFonts w:hint="eastAsia" w:ascii="宋体" w:hAnsi="宋体" w:eastAsia="宋体" w:cs="宋体"/>
                <w:color w:val="000000" w:themeColor="text1"/>
                <w:spacing w:val="0"/>
                <w:position w:val="0"/>
                <w:sz w:val="21"/>
                <w:szCs w:val="21"/>
                <w:lang w:val="zh-TW"/>
                <w14:textFill>
                  <w14:solidFill>
                    <w14:schemeClr w14:val="tx1"/>
                  </w14:solidFill>
                </w14:textFill>
              </w:rPr>
            </w:pPr>
            <w:r>
              <w:rPr>
                <w:rFonts w:hint="eastAsia" w:ascii="宋体" w:hAnsi="宋体" w:eastAsia="宋体" w:cs="宋体"/>
                <w:spacing w:val="0"/>
                <w:position w:val="0"/>
                <w:sz w:val="21"/>
                <w:szCs w:val="21"/>
              </w:rPr>
              <w:t xml:space="preserve">酸价（以脂肪计）(KOH) 、过氧化值（以脂肪计）、山梨酸及其钾盐（以山梨酸计） </w:t>
            </w:r>
            <w:r>
              <w:rPr>
                <w:rFonts w:hint="eastAsia" w:ascii="宋体" w:hAnsi="宋体" w:eastAsia="宋体" w:cs="宋体"/>
                <w:spacing w:val="0"/>
                <w:w w:val="95"/>
                <w:position w:val="0"/>
                <w:sz w:val="21"/>
                <w:szCs w:val="21"/>
              </w:rPr>
              <w:t>脱氢乙酸及其钠盐（以脱氢乙酸计）、防腐剂混合使用时各自用量占其最大使用量的比</w:t>
            </w:r>
            <w:r>
              <w:rPr>
                <w:rFonts w:hint="eastAsia" w:ascii="宋体" w:hAnsi="宋体" w:eastAsia="宋体" w:cs="宋体"/>
                <w:spacing w:val="0"/>
                <w:position w:val="0"/>
                <w:sz w:val="21"/>
                <w:szCs w:val="21"/>
              </w:rPr>
              <w:t>例之和、铝的残留量（干样品，以Al计）</w:t>
            </w:r>
          </w:p>
        </w:tc>
        <w:tc>
          <w:tcPr>
            <w:tcW w:w="1367" w:type="dxa"/>
            <w:vAlign w:val="center"/>
          </w:tcPr>
          <w:p w14:paraId="61318C4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15</w:t>
            </w:r>
          </w:p>
        </w:tc>
        <w:tc>
          <w:tcPr>
            <w:tcW w:w="1316" w:type="dxa"/>
            <w:vAlign w:val="center"/>
          </w:tcPr>
          <w:p w14:paraId="6283FCF4">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9FA49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22F13C06">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44503227">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43F5D87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煎炸过程用油</w:t>
            </w:r>
          </w:p>
        </w:tc>
        <w:tc>
          <w:tcPr>
            <w:tcW w:w="892" w:type="dxa"/>
            <w:shd w:val="clear" w:color="auto" w:fill="FFFFFF"/>
            <w:vAlign w:val="center"/>
          </w:tcPr>
          <w:p w14:paraId="62EA484C">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较高</w:t>
            </w:r>
          </w:p>
        </w:tc>
        <w:tc>
          <w:tcPr>
            <w:tcW w:w="6199" w:type="dxa"/>
            <w:vAlign w:val="center"/>
          </w:tcPr>
          <w:p w14:paraId="665F8C13">
            <w:pPr>
              <w:widowControl/>
              <w:spacing w:line="380" w:lineRule="exact"/>
              <w:jc w:val="both"/>
              <w:textAlignment w:val="top"/>
              <w:rPr>
                <w:rFonts w:hint="eastAsia" w:ascii="宋体" w:hAnsi="宋体" w:eastAsia="宋体" w:cs="宋体"/>
                <w:color w:val="000000" w:themeColor="text1"/>
                <w:spacing w:val="0"/>
                <w:position w:val="0"/>
                <w:sz w:val="21"/>
                <w:szCs w:val="21"/>
                <w:lang w:val="zh-TW"/>
                <w14:textFill>
                  <w14:solidFill>
                    <w14:schemeClr w14:val="tx1"/>
                  </w14:solidFill>
                </w14:textFill>
              </w:rPr>
            </w:pPr>
            <w:r>
              <w:rPr>
                <w:rFonts w:hint="eastAsia" w:ascii="宋体" w:hAnsi="宋体" w:eastAsia="宋体" w:cs="宋体"/>
                <w:spacing w:val="0"/>
                <w:w w:val="95"/>
                <w:position w:val="0"/>
                <w:sz w:val="21"/>
                <w:szCs w:val="21"/>
              </w:rPr>
              <w:t>极性组分、酸价（KOH）</w:t>
            </w:r>
          </w:p>
        </w:tc>
        <w:tc>
          <w:tcPr>
            <w:tcW w:w="1367" w:type="dxa"/>
            <w:vAlign w:val="center"/>
          </w:tcPr>
          <w:p w14:paraId="206FDFDB">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10</w:t>
            </w:r>
          </w:p>
        </w:tc>
        <w:tc>
          <w:tcPr>
            <w:tcW w:w="1316" w:type="dxa"/>
            <w:vAlign w:val="center"/>
          </w:tcPr>
          <w:p w14:paraId="439F1F9B">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1ACA9B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794DD14E">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7A43E6C2">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29B8E13C">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spacing w:val="0"/>
                <w:w w:val="95"/>
                <w:position w:val="0"/>
                <w:sz w:val="21"/>
                <w:szCs w:val="21"/>
              </w:rPr>
              <w:t>奶茶（自制）</w:t>
            </w:r>
          </w:p>
        </w:tc>
        <w:tc>
          <w:tcPr>
            <w:tcW w:w="892" w:type="dxa"/>
            <w:shd w:val="clear" w:color="auto" w:fill="FFFFFF"/>
            <w:vAlign w:val="center"/>
          </w:tcPr>
          <w:p w14:paraId="2685A248">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较高</w:t>
            </w:r>
          </w:p>
        </w:tc>
        <w:tc>
          <w:tcPr>
            <w:tcW w:w="6199" w:type="dxa"/>
            <w:vAlign w:val="center"/>
          </w:tcPr>
          <w:p w14:paraId="24CF2CC7">
            <w:pPr>
              <w:widowControl/>
              <w:spacing w:line="380" w:lineRule="exact"/>
              <w:jc w:val="both"/>
              <w:textAlignment w:val="top"/>
              <w:rPr>
                <w:rFonts w:hint="eastAsia" w:ascii="宋体" w:hAnsi="宋体" w:eastAsia="宋体" w:cs="宋体"/>
                <w:color w:val="000000" w:themeColor="text1"/>
                <w:spacing w:val="0"/>
                <w:position w:val="0"/>
                <w:sz w:val="21"/>
                <w:szCs w:val="21"/>
                <w:lang w:val="zh-TW" w:eastAsia="zh-CN"/>
                <w14:textFill>
                  <w14:solidFill>
                    <w14:schemeClr w14:val="tx1"/>
                  </w14:solidFill>
                </w14:textFill>
              </w:rPr>
            </w:pPr>
            <w:r>
              <w:rPr>
                <w:rFonts w:hint="eastAsia" w:ascii="宋体" w:hAnsi="宋体" w:eastAsia="宋体" w:cs="宋体"/>
                <w:spacing w:val="0"/>
                <w:w w:val="95"/>
                <w:position w:val="0"/>
                <w:sz w:val="21"/>
                <w:szCs w:val="21"/>
              </w:rPr>
              <w:t>脱氢乙酸及其钠盐（以脱氢乙酸计</w:t>
            </w:r>
            <w:r>
              <w:rPr>
                <w:rFonts w:hint="eastAsia" w:ascii="宋体" w:hAnsi="宋体" w:eastAsia="宋体" w:cs="宋体"/>
                <w:spacing w:val="0"/>
                <w:w w:val="95"/>
                <w:position w:val="0"/>
                <w:sz w:val="21"/>
                <w:szCs w:val="21"/>
                <w:lang w:eastAsia="zh-CN"/>
              </w:rPr>
              <w:t>）</w:t>
            </w:r>
          </w:p>
        </w:tc>
        <w:tc>
          <w:tcPr>
            <w:tcW w:w="1367" w:type="dxa"/>
            <w:vAlign w:val="center"/>
          </w:tcPr>
          <w:p w14:paraId="33F07607">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10</w:t>
            </w:r>
          </w:p>
        </w:tc>
        <w:tc>
          <w:tcPr>
            <w:tcW w:w="1316" w:type="dxa"/>
            <w:vAlign w:val="center"/>
          </w:tcPr>
          <w:p w14:paraId="4CD0CD3A">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28AD64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828" w:hRule="atLeast"/>
        </w:trPr>
        <w:tc>
          <w:tcPr>
            <w:tcW w:w="726" w:type="dxa"/>
            <w:vMerge w:val="continue"/>
            <w:shd w:val="clear" w:color="auto" w:fill="auto"/>
            <w:vAlign w:val="center"/>
          </w:tcPr>
          <w:p w14:paraId="27110F08">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418" w:type="dxa"/>
            <w:vMerge w:val="continue"/>
            <w:shd w:val="clear" w:color="auto" w:fill="auto"/>
            <w:vAlign w:val="center"/>
          </w:tcPr>
          <w:p w14:paraId="18A305CF">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2268" w:type="dxa"/>
            <w:shd w:val="clear" w:color="auto" w:fill="auto"/>
            <w:vAlign w:val="center"/>
          </w:tcPr>
          <w:p w14:paraId="165DF144">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其他餐饮食品</w:t>
            </w:r>
          </w:p>
        </w:tc>
        <w:tc>
          <w:tcPr>
            <w:tcW w:w="892" w:type="dxa"/>
            <w:shd w:val="clear" w:color="auto" w:fill="FFFFFF"/>
            <w:vAlign w:val="center"/>
          </w:tcPr>
          <w:p w14:paraId="6CB17755">
            <w:pPr>
              <w:widowControl/>
              <w:spacing w:line="280" w:lineRule="exact"/>
              <w:jc w:val="center"/>
              <w:textAlignment w:val="center"/>
              <w:rPr>
                <w:rFonts w:hint="eastAsia" w:ascii="宋体" w:hAnsi="宋体" w:eastAsia="宋体" w:cs="宋体"/>
                <w:color w:val="000000" w:themeColor="text1"/>
                <w:spacing w:val="0"/>
                <w:position w:val="0"/>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w:t>
            </w:r>
          </w:p>
        </w:tc>
        <w:tc>
          <w:tcPr>
            <w:tcW w:w="6199" w:type="dxa"/>
            <w:vAlign w:val="center"/>
          </w:tcPr>
          <w:p w14:paraId="5DE02347">
            <w:pPr>
              <w:widowControl/>
              <w:spacing w:line="380" w:lineRule="exact"/>
              <w:jc w:val="both"/>
              <w:textAlignment w:val="top"/>
              <w:rPr>
                <w:rFonts w:hint="eastAsia" w:ascii="宋体" w:hAnsi="宋体" w:eastAsia="宋体" w:cs="宋体"/>
                <w:color w:val="000000" w:themeColor="text1"/>
                <w:spacing w:val="0"/>
                <w:position w:val="0"/>
                <w:sz w:val="21"/>
                <w:szCs w:val="21"/>
                <w:lang w:val="zh-TW" w:eastAsia="zh-TW"/>
                <w14:textFill>
                  <w14:solidFill>
                    <w14:schemeClr w14:val="tx1"/>
                  </w14:solidFill>
                </w14:textFill>
              </w:rPr>
            </w:pPr>
            <w:r>
              <w:rPr>
                <w:rFonts w:hint="eastAsia" w:ascii="宋体" w:hAnsi="宋体" w:eastAsia="宋体" w:cs="宋体"/>
                <w:color w:val="000000" w:themeColor="text1"/>
                <w:spacing w:val="0"/>
                <w:position w:val="0"/>
                <w:sz w:val="21"/>
                <w:szCs w:val="21"/>
                <w:lang w:val="zh-TW"/>
                <w14:textFill>
                  <w14:solidFill>
                    <w14:schemeClr w14:val="tx1"/>
                  </w14:solidFill>
                </w14:textFill>
              </w:rPr>
              <w:t>抽检</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学校</w:t>
            </w:r>
            <w:r>
              <w:rPr>
                <w:rFonts w:hint="eastAsia" w:ascii="宋体" w:hAnsi="宋体" w:eastAsia="宋体" w:cs="宋体"/>
                <w:color w:val="000000" w:themeColor="text1"/>
                <w:spacing w:val="0"/>
                <w:position w:val="0"/>
                <w:sz w:val="21"/>
                <w:szCs w:val="21"/>
                <w:lang w:val="zh-TW"/>
                <w14:textFill>
                  <w14:solidFill>
                    <w14:schemeClr w14:val="tx1"/>
                  </w14:solidFill>
                </w14:textFill>
              </w:rPr>
              <w:t>（托幼机构）</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食堂</w:t>
            </w:r>
            <w:r>
              <w:rPr>
                <w:rFonts w:hint="eastAsia" w:ascii="宋体" w:hAnsi="宋体" w:eastAsia="宋体" w:cs="宋体"/>
                <w:color w:val="000000" w:themeColor="text1"/>
                <w:spacing w:val="0"/>
                <w:position w:val="0"/>
                <w:sz w:val="21"/>
                <w:szCs w:val="21"/>
                <w:lang w:val="zh-TW"/>
                <w14:textFill>
                  <w14:solidFill>
                    <w14:schemeClr w14:val="tx1"/>
                  </w14:solidFill>
                </w14:textFill>
              </w:rPr>
              <w:t>、</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配餐</w:t>
            </w:r>
            <w:r>
              <w:rPr>
                <w:rFonts w:hint="eastAsia" w:ascii="宋体" w:hAnsi="宋体" w:eastAsia="宋体" w:cs="宋体"/>
                <w:color w:val="000000" w:themeColor="text1"/>
                <w:spacing w:val="0"/>
                <w:position w:val="0"/>
                <w:sz w:val="21"/>
                <w:szCs w:val="21"/>
                <w:lang w:val="zh-TW"/>
                <w14:textFill>
                  <w14:solidFill>
                    <w14:schemeClr w14:val="tx1"/>
                  </w14:solidFill>
                </w14:textFill>
              </w:rPr>
              <w:t>企业及养老机构食堂</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购买的食用油、米、面、蔬菜、调味料</w:t>
            </w:r>
            <w:r>
              <w:rPr>
                <w:rFonts w:hint="eastAsia" w:ascii="宋体" w:hAnsi="宋体" w:eastAsia="宋体" w:cs="宋体"/>
                <w:color w:val="000000" w:themeColor="text1"/>
                <w:spacing w:val="0"/>
                <w:position w:val="0"/>
                <w:sz w:val="21"/>
                <w:szCs w:val="21"/>
                <w:lang w:val="zh-TW"/>
                <w14:textFill>
                  <w14:solidFill>
                    <w14:schemeClr w14:val="tx1"/>
                  </w14:solidFill>
                </w14:textFill>
              </w:rPr>
              <w:t>、自制饮料、动物血制品</w:t>
            </w:r>
            <w:r>
              <w:rPr>
                <w:rFonts w:hint="eastAsia" w:ascii="宋体" w:hAnsi="宋体" w:eastAsia="宋体" w:cs="宋体"/>
                <w:color w:val="000000" w:themeColor="text1"/>
                <w:spacing w:val="0"/>
                <w:position w:val="0"/>
                <w:sz w:val="21"/>
                <w:szCs w:val="21"/>
                <w:lang w:val="zh-TW" w:eastAsia="zh-TW"/>
                <w14:textFill>
                  <w14:solidFill>
                    <w14:schemeClr w14:val="tx1"/>
                  </w14:solidFill>
                </w14:textFill>
              </w:rPr>
              <w:t>等，按相应食品类别检验项目</w:t>
            </w:r>
            <w:r>
              <w:rPr>
                <w:rFonts w:hint="eastAsia" w:ascii="宋体" w:hAnsi="宋体" w:eastAsia="宋体" w:cs="宋体"/>
                <w:color w:val="000000" w:themeColor="text1"/>
                <w:spacing w:val="0"/>
                <w:position w:val="0"/>
                <w:sz w:val="21"/>
                <w:szCs w:val="21"/>
                <w:lang w:val="zh-TW"/>
                <w14:textFill>
                  <w14:solidFill>
                    <w14:schemeClr w14:val="tx1"/>
                  </w14:solidFill>
                </w14:textFill>
              </w:rPr>
              <w:t>。</w:t>
            </w:r>
          </w:p>
        </w:tc>
        <w:tc>
          <w:tcPr>
            <w:tcW w:w="1367" w:type="dxa"/>
            <w:vAlign w:val="center"/>
          </w:tcPr>
          <w:p w14:paraId="2614CF73">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50</w:t>
            </w:r>
          </w:p>
        </w:tc>
        <w:tc>
          <w:tcPr>
            <w:tcW w:w="1316" w:type="dxa"/>
            <w:vAlign w:val="center"/>
          </w:tcPr>
          <w:p w14:paraId="65148E7C">
            <w:pPr>
              <w:widowControl/>
              <w:spacing w:line="280" w:lineRule="exact"/>
              <w:jc w:val="left"/>
              <w:rPr>
                <w:rFonts w:hint="eastAsia" w:ascii="宋体" w:hAnsi="宋体" w:eastAsia="宋体" w:cs="宋体"/>
                <w:color w:val="000000" w:themeColor="text1"/>
                <w:spacing w:val="0"/>
                <w:position w:val="0"/>
                <w:sz w:val="21"/>
                <w:szCs w:val="21"/>
                <w14:textFill>
                  <w14:solidFill>
                    <w14:schemeClr w14:val="tx1"/>
                  </w14:solidFill>
                </w14:textFill>
              </w:rPr>
            </w:pPr>
          </w:p>
        </w:tc>
      </w:tr>
      <w:tr w14:paraId="52AB78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7" w:type="dxa"/>
            <w:left w:w="17" w:type="dxa"/>
            <w:bottom w:w="17" w:type="dxa"/>
            <w:right w:w="17" w:type="dxa"/>
          </w:tblCellMar>
        </w:tblPrEx>
        <w:trPr>
          <w:trHeight w:val="589" w:hRule="atLeast"/>
        </w:trPr>
        <w:tc>
          <w:tcPr>
            <w:tcW w:w="4412" w:type="dxa"/>
            <w:gridSpan w:val="3"/>
            <w:vAlign w:val="center"/>
          </w:tcPr>
          <w:p w14:paraId="4B65AE65">
            <w:pPr>
              <w:widowControl/>
              <w:spacing w:line="280" w:lineRule="exact"/>
              <w:jc w:val="center"/>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r>
              <w:rPr>
                <w:rFonts w:hint="eastAsia" w:ascii="宋体" w:hAnsi="宋体" w:eastAsia="宋体" w:cs="宋体"/>
                <w:color w:val="000000" w:themeColor="text1"/>
                <w:spacing w:val="0"/>
                <w:position w:val="0"/>
                <w:sz w:val="21"/>
                <w:szCs w:val="21"/>
                <w14:textFill>
                  <w14:solidFill>
                    <w14:schemeClr w14:val="tx1"/>
                  </w14:solidFill>
                </w14:textFill>
              </w:rPr>
              <w:t>合        计</w:t>
            </w:r>
          </w:p>
        </w:tc>
        <w:tc>
          <w:tcPr>
            <w:tcW w:w="892" w:type="dxa"/>
            <w:vAlign w:val="center"/>
          </w:tcPr>
          <w:p w14:paraId="4D9D8C51">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6199" w:type="dxa"/>
            <w:vAlign w:val="center"/>
          </w:tcPr>
          <w:p w14:paraId="1017AB2E">
            <w:pPr>
              <w:widowControl/>
              <w:spacing w:line="380" w:lineRule="exact"/>
              <w:jc w:val="both"/>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c>
          <w:tcPr>
            <w:tcW w:w="1367" w:type="dxa"/>
            <w:vAlign w:val="center"/>
          </w:tcPr>
          <w:p w14:paraId="345E2584">
            <w:pPr>
              <w:widowControl/>
              <w:spacing w:line="280" w:lineRule="exact"/>
              <w:jc w:val="center"/>
              <w:textAlignment w:val="center"/>
              <w:rPr>
                <w:rFonts w:hint="eastAsia" w:ascii="宋体" w:hAnsi="宋体" w:eastAsia="宋体" w:cs="宋体"/>
                <w:color w:val="000000" w:themeColor="text1"/>
                <w:spacing w:val="0"/>
                <w:position w:val="0"/>
                <w:sz w:val="21"/>
                <w:szCs w:val="21"/>
                <w:lang w:val="en-US"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880</w:t>
            </w:r>
          </w:p>
        </w:tc>
        <w:tc>
          <w:tcPr>
            <w:tcW w:w="1316" w:type="dxa"/>
            <w:vAlign w:val="center"/>
          </w:tcPr>
          <w:p w14:paraId="6EBDBF99">
            <w:pPr>
              <w:widowControl/>
              <w:spacing w:line="280" w:lineRule="exact"/>
              <w:jc w:val="left"/>
              <w:textAlignment w:val="center"/>
              <w:rPr>
                <w:rFonts w:hint="eastAsia" w:ascii="宋体" w:hAnsi="宋体" w:eastAsia="宋体" w:cs="宋体"/>
                <w:color w:val="000000" w:themeColor="text1"/>
                <w:spacing w:val="0"/>
                <w:position w:val="0"/>
                <w:sz w:val="21"/>
                <w:szCs w:val="21"/>
                <w14:textFill>
                  <w14:solidFill>
                    <w14:schemeClr w14:val="tx1"/>
                  </w14:solidFill>
                </w14:textFill>
              </w:rPr>
            </w:pPr>
          </w:p>
        </w:tc>
      </w:tr>
    </w:tbl>
    <w:p w14:paraId="5CB38F1B">
      <w:pPr>
        <w:spacing w:after="0"/>
        <w:rPr>
          <w:spacing w:val="0"/>
          <w:position w:val="0"/>
          <w:sz w:val="17"/>
        </w:rPr>
        <w:sectPr>
          <w:pgSz w:w="16840" w:h="11910" w:orient="landscape"/>
          <w:pgMar w:top="1340" w:right="820" w:bottom="280" w:left="200" w:header="720" w:footer="720" w:gutter="0"/>
          <w:pgNumType w:fmt="decimal"/>
          <w:cols w:space="720" w:num="1"/>
        </w:sectPr>
      </w:pPr>
    </w:p>
    <w:p w14:paraId="0F2A4222">
      <w:pPr>
        <w:spacing w:before="0" w:line="560" w:lineRule="exact"/>
        <w:ind w:right="0" w:firstLine="420" w:firstLineChars="200"/>
        <w:jc w:val="left"/>
        <w:rPr>
          <w:rFonts w:ascii="思源黑体 CN"/>
          <w:spacing w:val="0"/>
          <w:position w:val="0"/>
          <w:sz w:val="48"/>
        </w:rPr>
      </w:pPr>
      <w:bookmarkStart w:id="211" w:name="2025年食用农产品必检品种、项目表"/>
      <w:bookmarkEnd w:id="211"/>
      <w:r>
        <w:rPr>
          <w:spacing w:val="0"/>
          <w:position w:val="0"/>
        </w:rPr>
        <w:br w:type="column"/>
      </w:r>
    </w:p>
    <w:tbl>
      <w:tblPr>
        <w:tblStyle w:val="17"/>
        <w:tblpPr w:leftFromText="180" w:rightFromText="180" w:vertAnchor="text" w:horzAnchor="page" w:tblpX="1156" w:tblpY="-65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1170"/>
        <w:gridCol w:w="1245"/>
        <w:gridCol w:w="2610"/>
        <w:gridCol w:w="7305"/>
        <w:gridCol w:w="1338"/>
      </w:tblGrid>
      <w:tr w14:paraId="2DA4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7" w:type="dxa"/>
          </w:tcPr>
          <w:p w14:paraId="05BFEDBB">
            <w:pPr>
              <w:pStyle w:val="34"/>
              <w:spacing w:before="76"/>
              <w:ind w:left="16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食品亚类</w:t>
            </w:r>
          </w:p>
          <w:p w14:paraId="55FE4143">
            <w:pPr>
              <w:pStyle w:val="34"/>
              <w:spacing w:before="88" w:line="225" w:lineRule="exact"/>
              <w:ind w:left="16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（二级</w:t>
            </w:r>
          </w:p>
        </w:tc>
        <w:tc>
          <w:tcPr>
            <w:tcW w:w="1170" w:type="dxa"/>
          </w:tcPr>
          <w:p w14:paraId="64840BD8">
            <w:pPr>
              <w:pStyle w:val="34"/>
              <w:spacing w:before="76"/>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食品品种</w:t>
            </w:r>
          </w:p>
          <w:p w14:paraId="7CA0B3E9">
            <w:pPr>
              <w:pStyle w:val="34"/>
              <w:spacing w:before="88" w:line="225" w:lineRule="exact"/>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（三级</w:t>
            </w:r>
          </w:p>
        </w:tc>
        <w:tc>
          <w:tcPr>
            <w:tcW w:w="1245" w:type="dxa"/>
          </w:tcPr>
          <w:p w14:paraId="42116A59">
            <w:pPr>
              <w:pStyle w:val="34"/>
              <w:spacing w:before="76"/>
              <w:ind w:left="26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食品细类</w:t>
            </w:r>
          </w:p>
          <w:p w14:paraId="5E31F304">
            <w:pPr>
              <w:pStyle w:val="34"/>
              <w:spacing w:before="88" w:line="225" w:lineRule="exact"/>
              <w:ind w:left="26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（四级</w:t>
            </w:r>
          </w:p>
        </w:tc>
        <w:tc>
          <w:tcPr>
            <w:tcW w:w="2610" w:type="dxa"/>
          </w:tcPr>
          <w:p w14:paraId="6E5B1CC0">
            <w:pPr>
              <w:pStyle w:val="34"/>
              <w:spacing w:before="6"/>
              <w:rPr>
                <w:rFonts w:hint="eastAsia" w:asciiTheme="minorEastAsia" w:hAnsiTheme="minorEastAsia" w:eastAsiaTheme="minorEastAsia" w:cstheme="minorEastAsia"/>
                <w:spacing w:val="0"/>
                <w:position w:val="0"/>
                <w:sz w:val="21"/>
                <w:szCs w:val="21"/>
              </w:rPr>
            </w:pPr>
          </w:p>
          <w:p w14:paraId="6BD43493">
            <w:pPr>
              <w:pStyle w:val="34"/>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必检项目</w:t>
            </w:r>
          </w:p>
        </w:tc>
        <w:tc>
          <w:tcPr>
            <w:tcW w:w="7305" w:type="dxa"/>
          </w:tcPr>
          <w:p w14:paraId="32F8DA21">
            <w:pPr>
              <w:pStyle w:val="34"/>
              <w:spacing w:before="6"/>
              <w:rPr>
                <w:rFonts w:hint="eastAsia" w:asciiTheme="minorEastAsia" w:hAnsiTheme="minorEastAsia" w:eastAsiaTheme="minorEastAsia" w:cstheme="minorEastAsia"/>
                <w:spacing w:val="0"/>
                <w:position w:val="0"/>
                <w:sz w:val="21"/>
                <w:szCs w:val="21"/>
              </w:rPr>
            </w:pPr>
          </w:p>
          <w:p w14:paraId="4AB81C06">
            <w:pPr>
              <w:pStyle w:val="34"/>
              <w:ind w:right="327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lang w:val="en-US" w:eastAsia="zh-CN"/>
              </w:rPr>
              <w:t xml:space="preserve">                              </w:t>
            </w:r>
            <w:r>
              <w:rPr>
                <w:rFonts w:hint="eastAsia" w:asciiTheme="minorEastAsia" w:hAnsiTheme="minorEastAsia" w:eastAsiaTheme="minorEastAsia" w:cstheme="minorEastAsia"/>
                <w:spacing w:val="0"/>
                <w:position w:val="0"/>
                <w:sz w:val="21"/>
                <w:szCs w:val="21"/>
              </w:rPr>
              <w:t>可选项目</w:t>
            </w:r>
          </w:p>
        </w:tc>
        <w:tc>
          <w:tcPr>
            <w:tcW w:w="1338" w:type="dxa"/>
          </w:tcPr>
          <w:p w14:paraId="333F9B74">
            <w:pPr>
              <w:pStyle w:val="34"/>
              <w:spacing w:before="6"/>
              <w:rPr>
                <w:rFonts w:hint="eastAsia" w:asciiTheme="minorEastAsia" w:hAnsiTheme="minorEastAsia" w:eastAsiaTheme="minorEastAsia" w:cstheme="minorEastAsia"/>
                <w:spacing w:val="0"/>
                <w:position w:val="0"/>
                <w:sz w:val="21"/>
                <w:szCs w:val="21"/>
              </w:rPr>
            </w:pPr>
          </w:p>
          <w:p w14:paraId="1182BDEF">
            <w:pPr>
              <w:pStyle w:val="34"/>
              <w:ind w:right="465"/>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备注</w:t>
            </w:r>
          </w:p>
        </w:tc>
      </w:tr>
      <w:tr w14:paraId="6E127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057" w:type="dxa"/>
            <w:vMerge w:val="restart"/>
          </w:tcPr>
          <w:p w14:paraId="4C76DD69">
            <w:pPr>
              <w:pStyle w:val="34"/>
              <w:rPr>
                <w:rFonts w:hint="eastAsia" w:asciiTheme="minorEastAsia" w:hAnsiTheme="minorEastAsia" w:eastAsiaTheme="minorEastAsia" w:cstheme="minorEastAsia"/>
                <w:spacing w:val="0"/>
                <w:position w:val="0"/>
                <w:sz w:val="21"/>
                <w:szCs w:val="21"/>
              </w:rPr>
            </w:pPr>
          </w:p>
          <w:p w14:paraId="578CC3B8">
            <w:pPr>
              <w:pStyle w:val="34"/>
              <w:rPr>
                <w:rFonts w:hint="eastAsia" w:asciiTheme="minorEastAsia" w:hAnsiTheme="minorEastAsia" w:eastAsiaTheme="minorEastAsia" w:cstheme="minorEastAsia"/>
                <w:spacing w:val="0"/>
                <w:position w:val="0"/>
                <w:sz w:val="21"/>
                <w:szCs w:val="21"/>
              </w:rPr>
            </w:pPr>
          </w:p>
          <w:p w14:paraId="05A81958">
            <w:pPr>
              <w:pStyle w:val="34"/>
              <w:rPr>
                <w:rFonts w:hint="eastAsia" w:asciiTheme="minorEastAsia" w:hAnsiTheme="minorEastAsia" w:eastAsiaTheme="minorEastAsia" w:cstheme="minorEastAsia"/>
                <w:spacing w:val="0"/>
                <w:position w:val="0"/>
                <w:sz w:val="21"/>
                <w:szCs w:val="21"/>
              </w:rPr>
            </w:pPr>
          </w:p>
          <w:p w14:paraId="7008F6F0">
            <w:pPr>
              <w:pStyle w:val="34"/>
              <w:spacing w:before="8"/>
              <w:rPr>
                <w:rFonts w:hint="eastAsia" w:asciiTheme="minorEastAsia" w:hAnsiTheme="minorEastAsia" w:eastAsiaTheme="minorEastAsia" w:cstheme="minorEastAsia"/>
                <w:spacing w:val="0"/>
                <w:position w:val="0"/>
                <w:sz w:val="21"/>
                <w:szCs w:val="21"/>
              </w:rPr>
            </w:pPr>
          </w:p>
          <w:p w14:paraId="020E8B48">
            <w:pPr>
              <w:pStyle w:val="34"/>
              <w:spacing w:before="1" w:line="304" w:lineRule="auto"/>
              <w:ind w:left="257" w:right="158" w:hanging="92"/>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畜禽肉及副产品</w:t>
            </w:r>
          </w:p>
        </w:tc>
        <w:tc>
          <w:tcPr>
            <w:tcW w:w="1170" w:type="dxa"/>
            <w:vMerge w:val="restart"/>
          </w:tcPr>
          <w:p w14:paraId="4EC0CFC6">
            <w:pPr>
              <w:pStyle w:val="34"/>
              <w:rPr>
                <w:rFonts w:hint="eastAsia" w:asciiTheme="minorEastAsia" w:hAnsiTheme="minorEastAsia" w:eastAsiaTheme="minorEastAsia" w:cstheme="minorEastAsia"/>
                <w:spacing w:val="0"/>
                <w:position w:val="0"/>
                <w:sz w:val="21"/>
                <w:szCs w:val="21"/>
              </w:rPr>
            </w:pPr>
          </w:p>
          <w:p w14:paraId="2F170FBA">
            <w:pPr>
              <w:pStyle w:val="34"/>
              <w:rPr>
                <w:rFonts w:hint="eastAsia" w:asciiTheme="minorEastAsia" w:hAnsiTheme="minorEastAsia" w:eastAsiaTheme="minorEastAsia" w:cstheme="minorEastAsia"/>
                <w:spacing w:val="0"/>
                <w:position w:val="0"/>
                <w:sz w:val="21"/>
                <w:szCs w:val="21"/>
              </w:rPr>
            </w:pPr>
          </w:p>
          <w:p w14:paraId="68871939">
            <w:pPr>
              <w:pStyle w:val="34"/>
              <w:spacing w:before="3"/>
              <w:rPr>
                <w:rFonts w:hint="eastAsia" w:asciiTheme="minorEastAsia" w:hAnsiTheme="minorEastAsia" w:eastAsiaTheme="minorEastAsia" w:cstheme="minorEastAsia"/>
                <w:spacing w:val="0"/>
                <w:position w:val="0"/>
                <w:sz w:val="21"/>
                <w:szCs w:val="21"/>
              </w:rPr>
            </w:pPr>
          </w:p>
          <w:p w14:paraId="170B51D1">
            <w:pPr>
              <w:pStyle w:val="34"/>
              <w:ind w:left="390" w:right="379"/>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畜肉</w:t>
            </w:r>
          </w:p>
        </w:tc>
        <w:tc>
          <w:tcPr>
            <w:tcW w:w="1245" w:type="dxa"/>
          </w:tcPr>
          <w:p w14:paraId="68040498">
            <w:pPr>
              <w:pStyle w:val="34"/>
              <w:spacing w:before="6"/>
              <w:rPr>
                <w:rFonts w:hint="eastAsia" w:asciiTheme="minorEastAsia" w:hAnsiTheme="minorEastAsia" w:eastAsiaTheme="minorEastAsia" w:cstheme="minorEastAsia"/>
                <w:spacing w:val="0"/>
                <w:position w:val="0"/>
                <w:sz w:val="21"/>
                <w:szCs w:val="21"/>
              </w:rPr>
            </w:pPr>
          </w:p>
          <w:p w14:paraId="4DC26840">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猪肉</w:t>
            </w:r>
          </w:p>
        </w:tc>
        <w:tc>
          <w:tcPr>
            <w:tcW w:w="2610" w:type="dxa"/>
          </w:tcPr>
          <w:p w14:paraId="06AD78C6">
            <w:pPr>
              <w:pStyle w:val="34"/>
              <w:spacing w:before="7"/>
              <w:rPr>
                <w:rFonts w:hint="eastAsia" w:asciiTheme="minorEastAsia" w:hAnsiTheme="minorEastAsia" w:eastAsiaTheme="minorEastAsia" w:cstheme="minorEastAsia"/>
                <w:spacing w:val="0"/>
                <w:position w:val="0"/>
                <w:sz w:val="21"/>
                <w:szCs w:val="21"/>
              </w:rPr>
            </w:pPr>
          </w:p>
          <w:p w14:paraId="29AB4CE0">
            <w:pPr>
              <w:pStyle w:val="34"/>
              <w:spacing w:line="304" w:lineRule="auto"/>
              <w:ind w:left="945" w:right="304" w:hanging="812"/>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恩诺沙星、磺胺类（总量）甲氧苄啶</w:t>
            </w:r>
          </w:p>
        </w:tc>
        <w:tc>
          <w:tcPr>
            <w:tcW w:w="7305" w:type="dxa"/>
          </w:tcPr>
          <w:p w14:paraId="0D1E7F33">
            <w:pPr>
              <w:pStyle w:val="34"/>
              <w:spacing w:before="76" w:line="304" w:lineRule="auto"/>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挥发性盐基氮、呋喃唑酮代谢物、呋喃西林代谢物、氯霉素、克伦特罗、莱克多巴胺、沙丁胺醇、喹乙醇、替米考星、氟苯尼考、多西环素、地塞米松、甲硝唑、氯丙嗪、土霉素</w:t>
            </w:r>
            <w:r>
              <w:rPr>
                <w:rFonts w:hint="eastAsia" w:asciiTheme="minorEastAsia" w:hAnsiTheme="minorEastAsia" w:eastAsiaTheme="minorEastAsia" w:cstheme="minorEastAsia"/>
                <w:spacing w:val="0"/>
                <w:w w:val="170"/>
                <w:position w:val="0"/>
                <w:sz w:val="21"/>
                <w:szCs w:val="21"/>
              </w:rPr>
              <w:t>/</w:t>
            </w:r>
          </w:p>
          <w:p w14:paraId="2E23CE20">
            <w:pPr>
              <w:pStyle w:val="34"/>
              <w:spacing w:before="2" w:line="223" w:lineRule="exact"/>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金霉素/四环素（组合含量）、林可霉素</w:t>
            </w:r>
          </w:p>
        </w:tc>
        <w:tc>
          <w:tcPr>
            <w:tcW w:w="1338" w:type="dxa"/>
          </w:tcPr>
          <w:p w14:paraId="16B6FE0A">
            <w:pPr>
              <w:pStyle w:val="34"/>
              <w:rPr>
                <w:rFonts w:hint="eastAsia" w:asciiTheme="minorEastAsia" w:hAnsiTheme="minorEastAsia" w:eastAsiaTheme="minorEastAsia" w:cstheme="minorEastAsia"/>
                <w:spacing w:val="0"/>
                <w:position w:val="0"/>
                <w:sz w:val="21"/>
                <w:szCs w:val="21"/>
              </w:rPr>
            </w:pPr>
          </w:p>
        </w:tc>
      </w:tr>
      <w:tr w14:paraId="6AEAC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057" w:type="dxa"/>
            <w:vMerge w:val="continue"/>
            <w:tcBorders>
              <w:top w:val="nil"/>
            </w:tcBorders>
          </w:tcPr>
          <w:p w14:paraId="732A8CE4">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79F02024">
            <w:pPr>
              <w:rPr>
                <w:rFonts w:hint="eastAsia" w:asciiTheme="minorEastAsia" w:hAnsiTheme="minorEastAsia" w:eastAsiaTheme="minorEastAsia" w:cstheme="minorEastAsia"/>
                <w:spacing w:val="0"/>
                <w:position w:val="0"/>
                <w:sz w:val="21"/>
                <w:szCs w:val="21"/>
              </w:rPr>
            </w:pPr>
          </w:p>
        </w:tc>
        <w:tc>
          <w:tcPr>
            <w:tcW w:w="1245" w:type="dxa"/>
          </w:tcPr>
          <w:p w14:paraId="44939320">
            <w:pPr>
              <w:pStyle w:val="34"/>
              <w:spacing w:before="5"/>
              <w:rPr>
                <w:rFonts w:hint="eastAsia" w:asciiTheme="minorEastAsia" w:hAnsiTheme="minorEastAsia" w:eastAsiaTheme="minorEastAsia" w:cstheme="minorEastAsia"/>
                <w:spacing w:val="0"/>
                <w:position w:val="0"/>
                <w:sz w:val="21"/>
                <w:szCs w:val="21"/>
              </w:rPr>
            </w:pPr>
          </w:p>
          <w:p w14:paraId="013C81B3">
            <w:pPr>
              <w:pStyle w:val="34"/>
              <w:spacing w:before="1"/>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牛肉</w:t>
            </w:r>
          </w:p>
        </w:tc>
        <w:tc>
          <w:tcPr>
            <w:tcW w:w="2610" w:type="dxa"/>
          </w:tcPr>
          <w:p w14:paraId="3AEED957">
            <w:pPr>
              <w:pStyle w:val="34"/>
              <w:spacing w:before="5"/>
              <w:rPr>
                <w:rFonts w:hint="eastAsia" w:asciiTheme="minorEastAsia" w:hAnsiTheme="minorEastAsia" w:eastAsiaTheme="minorEastAsia" w:cstheme="minorEastAsia"/>
                <w:spacing w:val="0"/>
                <w:position w:val="0"/>
                <w:sz w:val="21"/>
                <w:szCs w:val="21"/>
              </w:rPr>
            </w:pPr>
          </w:p>
          <w:p w14:paraId="39BEB03E">
            <w:pPr>
              <w:pStyle w:val="34"/>
              <w:spacing w:before="1"/>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克伦特罗、磺胺类（总量）</w:t>
            </w:r>
          </w:p>
        </w:tc>
        <w:tc>
          <w:tcPr>
            <w:tcW w:w="7305" w:type="dxa"/>
          </w:tcPr>
          <w:p w14:paraId="205E3314">
            <w:pPr>
              <w:pStyle w:val="34"/>
              <w:spacing w:before="76" w:line="304" w:lineRule="auto"/>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挥发性盐基氮、水分、呋喃唑酮代谢物、呋喃西林代谢物、氯霉素、莱克多巴胺、沙丁胺醇、恩诺沙星、甲氧苄啶、氟苯尼考、多西环素、地塞米松、林可霉素、倍他米松、土霉</w:t>
            </w:r>
          </w:p>
          <w:p w14:paraId="5FDE9DAA">
            <w:pPr>
              <w:pStyle w:val="34"/>
              <w:spacing w:before="1" w:line="223" w:lineRule="exact"/>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素/金霉素/四环素（组合含量）</w:t>
            </w:r>
          </w:p>
        </w:tc>
        <w:tc>
          <w:tcPr>
            <w:tcW w:w="1338" w:type="dxa"/>
          </w:tcPr>
          <w:p w14:paraId="2BCAE437">
            <w:pPr>
              <w:pStyle w:val="34"/>
              <w:rPr>
                <w:rFonts w:hint="eastAsia" w:asciiTheme="minorEastAsia" w:hAnsiTheme="minorEastAsia" w:eastAsiaTheme="minorEastAsia" w:cstheme="minorEastAsia"/>
                <w:spacing w:val="0"/>
                <w:position w:val="0"/>
                <w:sz w:val="21"/>
                <w:szCs w:val="21"/>
              </w:rPr>
            </w:pPr>
          </w:p>
        </w:tc>
      </w:tr>
      <w:tr w14:paraId="4C9A9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7" w:type="dxa"/>
            <w:vMerge w:val="continue"/>
            <w:tcBorders>
              <w:top w:val="nil"/>
            </w:tcBorders>
          </w:tcPr>
          <w:p w14:paraId="199810FE">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28D0143F">
            <w:pPr>
              <w:rPr>
                <w:rFonts w:hint="eastAsia" w:asciiTheme="minorEastAsia" w:hAnsiTheme="minorEastAsia" w:eastAsiaTheme="minorEastAsia" w:cstheme="minorEastAsia"/>
                <w:spacing w:val="0"/>
                <w:position w:val="0"/>
                <w:sz w:val="21"/>
                <w:szCs w:val="21"/>
              </w:rPr>
            </w:pPr>
          </w:p>
        </w:tc>
        <w:tc>
          <w:tcPr>
            <w:tcW w:w="1245" w:type="dxa"/>
          </w:tcPr>
          <w:p w14:paraId="40ED286A">
            <w:pPr>
              <w:pStyle w:val="34"/>
              <w:spacing w:before="6"/>
              <w:rPr>
                <w:rFonts w:hint="eastAsia" w:asciiTheme="minorEastAsia" w:hAnsiTheme="minorEastAsia" w:eastAsiaTheme="minorEastAsia" w:cstheme="minorEastAsia"/>
                <w:spacing w:val="0"/>
                <w:position w:val="0"/>
                <w:sz w:val="21"/>
                <w:szCs w:val="21"/>
              </w:rPr>
            </w:pPr>
          </w:p>
          <w:p w14:paraId="33DA34A5">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羊肉</w:t>
            </w:r>
          </w:p>
        </w:tc>
        <w:tc>
          <w:tcPr>
            <w:tcW w:w="2610" w:type="dxa"/>
          </w:tcPr>
          <w:p w14:paraId="50D06F54">
            <w:pPr>
              <w:pStyle w:val="34"/>
              <w:spacing w:before="6"/>
              <w:rPr>
                <w:rFonts w:hint="eastAsia" w:asciiTheme="minorEastAsia" w:hAnsiTheme="minorEastAsia" w:eastAsiaTheme="minorEastAsia" w:cstheme="minorEastAsia"/>
                <w:spacing w:val="0"/>
                <w:position w:val="0"/>
                <w:sz w:val="21"/>
                <w:szCs w:val="21"/>
              </w:rPr>
            </w:pPr>
          </w:p>
          <w:p w14:paraId="205C3550">
            <w:pPr>
              <w:pStyle w:val="34"/>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氯霉素</w:t>
            </w:r>
          </w:p>
        </w:tc>
        <w:tc>
          <w:tcPr>
            <w:tcW w:w="7305" w:type="dxa"/>
          </w:tcPr>
          <w:p w14:paraId="4F3AB803">
            <w:pPr>
              <w:pStyle w:val="34"/>
              <w:spacing w:line="320" w:lineRule="atLeast"/>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呋喃唑酮代谢物、呋喃西林代谢物、克伦特罗、莱克多巴胺、沙丁胺醇、恩诺沙星、磺胺类（总量）、氟苯尼考、林可霉素、环丙氨嗪、土霉素</w:t>
            </w:r>
            <w:r>
              <w:rPr>
                <w:rFonts w:hint="eastAsia" w:asciiTheme="minorEastAsia" w:hAnsiTheme="minorEastAsia" w:eastAsiaTheme="minorEastAsia" w:cstheme="minorEastAsia"/>
                <w:spacing w:val="0"/>
                <w:w w:val="170"/>
                <w:position w:val="0"/>
                <w:sz w:val="21"/>
                <w:szCs w:val="21"/>
              </w:rPr>
              <w:t>/</w:t>
            </w:r>
            <w:r>
              <w:rPr>
                <w:rFonts w:hint="eastAsia" w:asciiTheme="minorEastAsia" w:hAnsiTheme="minorEastAsia" w:eastAsiaTheme="minorEastAsia" w:cstheme="minorEastAsia"/>
                <w:spacing w:val="0"/>
                <w:position w:val="0"/>
                <w:sz w:val="21"/>
                <w:szCs w:val="21"/>
              </w:rPr>
              <w:t>金霉素</w:t>
            </w:r>
            <w:r>
              <w:rPr>
                <w:rFonts w:hint="eastAsia" w:asciiTheme="minorEastAsia" w:hAnsiTheme="minorEastAsia" w:eastAsiaTheme="minorEastAsia" w:cstheme="minorEastAsia"/>
                <w:spacing w:val="0"/>
                <w:w w:val="170"/>
                <w:position w:val="0"/>
                <w:sz w:val="21"/>
                <w:szCs w:val="21"/>
              </w:rPr>
              <w:t>/</w:t>
            </w:r>
            <w:r>
              <w:rPr>
                <w:rFonts w:hint="eastAsia" w:asciiTheme="minorEastAsia" w:hAnsiTheme="minorEastAsia" w:eastAsiaTheme="minorEastAsia" w:cstheme="minorEastAsia"/>
                <w:spacing w:val="0"/>
                <w:position w:val="0"/>
                <w:sz w:val="21"/>
                <w:szCs w:val="21"/>
              </w:rPr>
              <w:t>四环素（组合含量）</w:t>
            </w:r>
          </w:p>
        </w:tc>
        <w:tc>
          <w:tcPr>
            <w:tcW w:w="1338" w:type="dxa"/>
          </w:tcPr>
          <w:p w14:paraId="6ECF8213">
            <w:pPr>
              <w:pStyle w:val="34"/>
              <w:rPr>
                <w:rFonts w:hint="eastAsia" w:asciiTheme="minorEastAsia" w:hAnsiTheme="minorEastAsia" w:eastAsiaTheme="minorEastAsia" w:cstheme="minorEastAsia"/>
                <w:spacing w:val="0"/>
                <w:position w:val="0"/>
                <w:sz w:val="21"/>
                <w:szCs w:val="21"/>
              </w:rPr>
            </w:pPr>
          </w:p>
        </w:tc>
      </w:tr>
      <w:tr w14:paraId="68BA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057" w:type="dxa"/>
            <w:vMerge w:val="continue"/>
            <w:tcBorders>
              <w:top w:val="nil"/>
            </w:tcBorders>
          </w:tcPr>
          <w:p w14:paraId="7149172D">
            <w:pPr>
              <w:rPr>
                <w:rFonts w:hint="eastAsia" w:asciiTheme="minorEastAsia" w:hAnsiTheme="minorEastAsia" w:eastAsiaTheme="minorEastAsia" w:cstheme="minorEastAsia"/>
                <w:spacing w:val="0"/>
                <w:position w:val="0"/>
                <w:sz w:val="21"/>
                <w:szCs w:val="21"/>
              </w:rPr>
            </w:pPr>
          </w:p>
        </w:tc>
        <w:tc>
          <w:tcPr>
            <w:tcW w:w="1170" w:type="dxa"/>
          </w:tcPr>
          <w:p w14:paraId="668FCC0D">
            <w:pPr>
              <w:pStyle w:val="34"/>
              <w:spacing w:before="5"/>
              <w:rPr>
                <w:rFonts w:hint="eastAsia" w:asciiTheme="minorEastAsia" w:hAnsiTheme="minorEastAsia" w:eastAsiaTheme="minorEastAsia" w:cstheme="minorEastAsia"/>
                <w:spacing w:val="0"/>
                <w:position w:val="0"/>
                <w:sz w:val="21"/>
                <w:szCs w:val="21"/>
              </w:rPr>
            </w:pPr>
          </w:p>
          <w:p w14:paraId="4B1A2DA2">
            <w:pPr>
              <w:pStyle w:val="34"/>
              <w:spacing w:before="1"/>
              <w:ind w:left="119" w:righ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禽肉</w:t>
            </w:r>
          </w:p>
        </w:tc>
        <w:tc>
          <w:tcPr>
            <w:tcW w:w="1245" w:type="dxa"/>
          </w:tcPr>
          <w:p w14:paraId="1B0480FA">
            <w:pPr>
              <w:pStyle w:val="34"/>
              <w:spacing w:before="5"/>
              <w:rPr>
                <w:rFonts w:hint="eastAsia" w:asciiTheme="minorEastAsia" w:hAnsiTheme="minorEastAsia" w:eastAsiaTheme="minorEastAsia" w:cstheme="minorEastAsia"/>
                <w:spacing w:val="0"/>
                <w:position w:val="0"/>
                <w:sz w:val="21"/>
                <w:szCs w:val="21"/>
              </w:rPr>
            </w:pPr>
          </w:p>
          <w:p w14:paraId="7E904829">
            <w:pPr>
              <w:pStyle w:val="34"/>
              <w:spacing w:before="1"/>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鸡肉</w:t>
            </w:r>
          </w:p>
        </w:tc>
        <w:tc>
          <w:tcPr>
            <w:tcW w:w="2610" w:type="dxa"/>
          </w:tcPr>
          <w:p w14:paraId="7668DE48">
            <w:pPr>
              <w:pStyle w:val="34"/>
              <w:spacing w:before="6"/>
              <w:rPr>
                <w:rFonts w:hint="eastAsia" w:asciiTheme="minorEastAsia" w:hAnsiTheme="minorEastAsia" w:eastAsiaTheme="minorEastAsia" w:cstheme="minorEastAsia"/>
                <w:spacing w:val="0"/>
                <w:position w:val="0"/>
                <w:sz w:val="21"/>
                <w:szCs w:val="21"/>
              </w:rPr>
            </w:pPr>
          </w:p>
          <w:p w14:paraId="0D415869">
            <w:pPr>
              <w:pStyle w:val="34"/>
              <w:spacing w:line="304" w:lineRule="auto"/>
              <w:ind w:left="1213" w:right="124" w:hanging="108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氟苯尼考、多西环素、尼卡巴嗪</w:t>
            </w:r>
          </w:p>
        </w:tc>
        <w:tc>
          <w:tcPr>
            <w:tcW w:w="7305" w:type="dxa"/>
          </w:tcPr>
          <w:p w14:paraId="2BB6C0DF">
            <w:pPr>
              <w:pStyle w:val="34"/>
              <w:spacing w:before="76" w:line="304" w:lineRule="auto"/>
              <w:ind w:left="108" w:right="3"/>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挥发性盐基氮、呋喃唑酮代谢物、呋喃西林代谢物、呋喃它酮代谢物、氯霉素、氧氟沙星、培氟沙星、诺氟沙星、恩诺沙星、沙拉沙星、替米考星、磺胺类（总量）、甲氧苄啶、甲</w:t>
            </w:r>
          </w:p>
          <w:p w14:paraId="48AEC13F">
            <w:pPr>
              <w:pStyle w:val="34"/>
              <w:spacing w:before="1" w:line="223" w:lineRule="exact"/>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硝唑、环丙氨嗪、土霉素/金霉素/四环素（组合含量）</w:t>
            </w:r>
          </w:p>
        </w:tc>
        <w:tc>
          <w:tcPr>
            <w:tcW w:w="1338" w:type="dxa"/>
          </w:tcPr>
          <w:p w14:paraId="627B7B8A">
            <w:pPr>
              <w:pStyle w:val="34"/>
              <w:rPr>
                <w:rFonts w:hint="eastAsia" w:asciiTheme="minorEastAsia" w:hAnsiTheme="minorEastAsia" w:eastAsiaTheme="minorEastAsia" w:cstheme="minorEastAsia"/>
                <w:spacing w:val="0"/>
                <w:position w:val="0"/>
                <w:sz w:val="21"/>
                <w:szCs w:val="21"/>
              </w:rPr>
            </w:pPr>
          </w:p>
        </w:tc>
      </w:tr>
      <w:tr w14:paraId="7BA48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7" w:type="dxa"/>
            <w:vMerge w:val="restart"/>
          </w:tcPr>
          <w:p w14:paraId="31D073E9">
            <w:pPr>
              <w:pStyle w:val="34"/>
              <w:rPr>
                <w:rFonts w:hint="eastAsia" w:asciiTheme="minorEastAsia" w:hAnsiTheme="minorEastAsia" w:eastAsiaTheme="minorEastAsia" w:cstheme="minorEastAsia"/>
                <w:spacing w:val="0"/>
                <w:position w:val="0"/>
                <w:sz w:val="21"/>
                <w:szCs w:val="21"/>
              </w:rPr>
            </w:pPr>
          </w:p>
          <w:p w14:paraId="1A949617">
            <w:pPr>
              <w:pStyle w:val="34"/>
              <w:rPr>
                <w:rFonts w:hint="eastAsia" w:asciiTheme="minorEastAsia" w:hAnsiTheme="minorEastAsia" w:eastAsiaTheme="minorEastAsia" w:cstheme="minorEastAsia"/>
                <w:spacing w:val="0"/>
                <w:position w:val="0"/>
                <w:sz w:val="21"/>
                <w:szCs w:val="21"/>
              </w:rPr>
            </w:pPr>
          </w:p>
          <w:p w14:paraId="087C46D7">
            <w:pPr>
              <w:pStyle w:val="34"/>
              <w:spacing w:before="1"/>
              <w:rPr>
                <w:rFonts w:hint="eastAsia" w:asciiTheme="minorEastAsia" w:hAnsiTheme="minorEastAsia" w:eastAsiaTheme="minorEastAsia" w:cstheme="minorEastAsia"/>
                <w:spacing w:val="0"/>
                <w:position w:val="0"/>
                <w:sz w:val="21"/>
                <w:szCs w:val="21"/>
              </w:rPr>
            </w:pPr>
          </w:p>
          <w:p w14:paraId="1942AA5F">
            <w:pPr>
              <w:pStyle w:val="34"/>
              <w:ind w:left="34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蔬菜</w:t>
            </w:r>
          </w:p>
        </w:tc>
        <w:tc>
          <w:tcPr>
            <w:tcW w:w="1170" w:type="dxa"/>
            <w:vMerge w:val="restart"/>
          </w:tcPr>
          <w:p w14:paraId="013CDD8D">
            <w:pPr>
              <w:pStyle w:val="34"/>
              <w:rPr>
                <w:rFonts w:hint="eastAsia" w:asciiTheme="minorEastAsia" w:hAnsiTheme="minorEastAsia" w:eastAsiaTheme="minorEastAsia" w:cstheme="minorEastAsia"/>
                <w:spacing w:val="0"/>
                <w:position w:val="0"/>
                <w:sz w:val="21"/>
                <w:szCs w:val="21"/>
              </w:rPr>
            </w:pPr>
          </w:p>
          <w:p w14:paraId="1C99C60A">
            <w:pPr>
              <w:pStyle w:val="34"/>
              <w:rPr>
                <w:rFonts w:hint="eastAsia" w:asciiTheme="minorEastAsia" w:hAnsiTheme="minorEastAsia" w:eastAsiaTheme="minorEastAsia" w:cstheme="minorEastAsia"/>
                <w:spacing w:val="0"/>
                <w:position w:val="0"/>
                <w:sz w:val="21"/>
                <w:szCs w:val="21"/>
              </w:rPr>
            </w:pPr>
          </w:p>
          <w:p w14:paraId="3EF4F158">
            <w:pPr>
              <w:pStyle w:val="34"/>
              <w:spacing w:before="1"/>
              <w:rPr>
                <w:rFonts w:hint="eastAsia" w:asciiTheme="minorEastAsia" w:hAnsiTheme="minorEastAsia" w:eastAsiaTheme="minorEastAsia" w:cstheme="minorEastAsia"/>
                <w:spacing w:val="0"/>
                <w:position w:val="0"/>
                <w:sz w:val="21"/>
                <w:szCs w:val="21"/>
              </w:rPr>
            </w:pPr>
          </w:p>
          <w:p w14:paraId="48095073">
            <w:pPr>
              <w:pStyle w:val="34"/>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豆类蔬菜</w:t>
            </w:r>
          </w:p>
        </w:tc>
        <w:tc>
          <w:tcPr>
            <w:tcW w:w="1245" w:type="dxa"/>
          </w:tcPr>
          <w:p w14:paraId="492CABAF">
            <w:pPr>
              <w:pStyle w:val="34"/>
              <w:spacing w:before="6"/>
              <w:rPr>
                <w:rFonts w:hint="eastAsia" w:asciiTheme="minorEastAsia" w:hAnsiTheme="minorEastAsia" w:eastAsiaTheme="minorEastAsia" w:cstheme="minorEastAsia"/>
                <w:spacing w:val="0"/>
                <w:position w:val="0"/>
                <w:sz w:val="21"/>
                <w:szCs w:val="21"/>
              </w:rPr>
            </w:pPr>
          </w:p>
          <w:p w14:paraId="7D8EFA93">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菜豆</w:t>
            </w:r>
          </w:p>
        </w:tc>
        <w:tc>
          <w:tcPr>
            <w:tcW w:w="2610" w:type="dxa"/>
          </w:tcPr>
          <w:p w14:paraId="6FECB797">
            <w:pPr>
              <w:pStyle w:val="34"/>
              <w:spacing w:before="6"/>
              <w:rPr>
                <w:rFonts w:hint="eastAsia" w:asciiTheme="minorEastAsia" w:hAnsiTheme="minorEastAsia" w:eastAsiaTheme="minorEastAsia" w:cstheme="minorEastAsia"/>
                <w:spacing w:val="0"/>
                <w:position w:val="0"/>
                <w:sz w:val="21"/>
                <w:szCs w:val="21"/>
              </w:rPr>
            </w:pPr>
          </w:p>
          <w:p w14:paraId="5FBE30AF">
            <w:pPr>
              <w:pStyle w:val="34"/>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噻虫胺</w:t>
            </w:r>
          </w:p>
        </w:tc>
        <w:tc>
          <w:tcPr>
            <w:tcW w:w="7305" w:type="dxa"/>
          </w:tcPr>
          <w:p w14:paraId="32D01A3A">
            <w:pPr>
              <w:pStyle w:val="34"/>
              <w:spacing w:line="320" w:lineRule="atLeast"/>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倍硫磷、氧乐果、灭蝇胺、甲氨基阿维菌素苯甲酸盐、乙酰甲胺磷、甲胺磷、吡虫啉、氯氟氰菊酯和高效氯氟氰菊酯、毒死蜱、多菌灵、克百威、水胺硫磷</w:t>
            </w:r>
          </w:p>
        </w:tc>
        <w:tc>
          <w:tcPr>
            <w:tcW w:w="1338" w:type="dxa"/>
          </w:tcPr>
          <w:p w14:paraId="14154C13">
            <w:pPr>
              <w:pStyle w:val="34"/>
              <w:rPr>
                <w:rFonts w:hint="eastAsia" w:asciiTheme="minorEastAsia" w:hAnsiTheme="minorEastAsia" w:eastAsiaTheme="minorEastAsia" w:cstheme="minorEastAsia"/>
                <w:spacing w:val="0"/>
                <w:position w:val="0"/>
                <w:sz w:val="21"/>
                <w:szCs w:val="21"/>
              </w:rPr>
            </w:pPr>
          </w:p>
        </w:tc>
      </w:tr>
      <w:tr w14:paraId="06FA3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057" w:type="dxa"/>
            <w:vMerge w:val="continue"/>
            <w:tcBorders>
              <w:top w:val="nil"/>
            </w:tcBorders>
          </w:tcPr>
          <w:p w14:paraId="29799E02">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2353AFD3">
            <w:pPr>
              <w:rPr>
                <w:rFonts w:hint="eastAsia" w:asciiTheme="minorEastAsia" w:hAnsiTheme="minorEastAsia" w:eastAsiaTheme="minorEastAsia" w:cstheme="minorEastAsia"/>
                <w:spacing w:val="0"/>
                <w:position w:val="0"/>
                <w:sz w:val="21"/>
                <w:szCs w:val="21"/>
              </w:rPr>
            </w:pPr>
          </w:p>
        </w:tc>
        <w:tc>
          <w:tcPr>
            <w:tcW w:w="1245" w:type="dxa"/>
          </w:tcPr>
          <w:p w14:paraId="1F0DD105">
            <w:pPr>
              <w:pStyle w:val="34"/>
              <w:spacing w:before="5"/>
              <w:rPr>
                <w:rFonts w:hint="eastAsia" w:asciiTheme="minorEastAsia" w:hAnsiTheme="minorEastAsia" w:eastAsiaTheme="minorEastAsia" w:cstheme="minorEastAsia"/>
                <w:spacing w:val="0"/>
                <w:position w:val="0"/>
                <w:sz w:val="21"/>
                <w:szCs w:val="21"/>
              </w:rPr>
            </w:pPr>
          </w:p>
          <w:p w14:paraId="0BD372B6">
            <w:pPr>
              <w:pStyle w:val="34"/>
              <w:spacing w:before="1"/>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豇豆</w:t>
            </w:r>
          </w:p>
        </w:tc>
        <w:tc>
          <w:tcPr>
            <w:tcW w:w="2610" w:type="dxa"/>
          </w:tcPr>
          <w:p w14:paraId="4D3B30CB">
            <w:pPr>
              <w:pStyle w:val="34"/>
              <w:spacing w:before="5"/>
              <w:rPr>
                <w:rFonts w:hint="eastAsia" w:asciiTheme="minorEastAsia" w:hAnsiTheme="minorEastAsia" w:eastAsiaTheme="minorEastAsia" w:cstheme="minorEastAsia"/>
                <w:spacing w:val="0"/>
                <w:position w:val="0"/>
                <w:sz w:val="21"/>
                <w:szCs w:val="21"/>
              </w:rPr>
            </w:pPr>
          </w:p>
          <w:p w14:paraId="5EDB5ED6">
            <w:pPr>
              <w:pStyle w:val="34"/>
              <w:spacing w:before="1"/>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倍硫磷、噻虫胺、噻虫嗪</w:t>
            </w:r>
          </w:p>
        </w:tc>
        <w:tc>
          <w:tcPr>
            <w:tcW w:w="7305" w:type="dxa"/>
          </w:tcPr>
          <w:p w14:paraId="164B0FA1">
            <w:pPr>
              <w:pStyle w:val="34"/>
              <w:spacing w:before="76" w:line="304" w:lineRule="auto"/>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灭蝇胺、啶虫脒、毒死蜱、氯氟氰菊酯和高效氯氟氰菊酯、水胺硫磷、氟虫腈、氧乐果</w:t>
            </w:r>
            <w:r>
              <w:rPr>
                <w:rFonts w:hint="eastAsia" w:asciiTheme="minorEastAsia" w:hAnsiTheme="minorEastAsia" w:eastAsiaTheme="minorEastAsia" w:cstheme="minorEastAsia"/>
                <w:spacing w:val="0"/>
                <w:position w:val="0"/>
                <w:sz w:val="21"/>
                <w:szCs w:val="21"/>
                <w:lang w:eastAsia="zh-CN"/>
              </w:rPr>
              <w:t>、</w:t>
            </w:r>
            <w:r>
              <w:rPr>
                <w:rFonts w:hint="eastAsia" w:asciiTheme="minorEastAsia" w:hAnsiTheme="minorEastAsia" w:eastAsiaTheme="minorEastAsia" w:cstheme="minorEastAsia"/>
                <w:spacing w:val="0"/>
                <w:position w:val="0"/>
                <w:sz w:val="21"/>
                <w:szCs w:val="21"/>
              </w:rPr>
              <w:t>乐果、阿维菌素、甲基异柳磷、克百威、甲氨基阿维菌素苯甲酸盐、甲胺磷、甲拌磷、乙</w:t>
            </w:r>
          </w:p>
          <w:p w14:paraId="14ED1638">
            <w:pPr>
              <w:pStyle w:val="34"/>
              <w:spacing w:before="1" w:line="223" w:lineRule="exact"/>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酰甲胺磷、三唑磷、氯氰菊酯和高效氯氰菊酯</w:t>
            </w:r>
          </w:p>
        </w:tc>
        <w:tc>
          <w:tcPr>
            <w:tcW w:w="1338" w:type="dxa"/>
          </w:tcPr>
          <w:p w14:paraId="187264D2">
            <w:pPr>
              <w:pStyle w:val="34"/>
              <w:rPr>
                <w:rFonts w:hint="eastAsia" w:asciiTheme="minorEastAsia" w:hAnsiTheme="minorEastAsia" w:eastAsiaTheme="minorEastAsia" w:cstheme="minorEastAsia"/>
                <w:spacing w:val="0"/>
                <w:position w:val="0"/>
                <w:sz w:val="21"/>
                <w:szCs w:val="21"/>
              </w:rPr>
            </w:pPr>
          </w:p>
        </w:tc>
      </w:tr>
      <w:tr w14:paraId="1F46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057" w:type="dxa"/>
            <w:vMerge w:val="continue"/>
            <w:tcBorders>
              <w:top w:val="nil"/>
            </w:tcBorders>
          </w:tcPr>
          <w:p w14:paraId="61739201">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6D9D9A1E">
            <w:pPr>
              <w:rPr>
                <w:rFonts w:hint="eastAsia" w:asciiTheme="minorEastAsia" w:hAnsiTheme="minorEastAsia" w:eastAsiaTheme="minorEastAsia" w:cstheme="minorEastAsia"/>
                <w:spacing w:val="0"/>
                <w:position w:val="0"/>
                <w:sz w:val="21"/>
                <w:szCs w:val="21"/>
              </w:rPr>
            </w:pPr>
          </w:p>
        </w:tc>
        <w:tc>
          <w:tcPr>
            <w:tcW w:w="1245" w:type="dxa"/>
          </w:tcPr>
          <w:p w14:paraId="64B5CF40">
            <w:pPr>
              <w:pStyle w:val="34"/>
              <w:spacing w:before="6"/>
              <w:rPr>
                <w:rFonts w:hint="eastAsia" w:asciiTheme="minorEastAsia" w:hAnsiTheme="minorEastAsia" w:eastAsiaTheme="minorEastAsia" w:cstheme="minorEastAsia"/>
                <w:spacing w:val="0"/>
                <w:position w:val="0"/>
                <w:sz w:val="21"/>
                <w:szCs w:val="21"/>
              </w:rPr>
            </w:pPr>
          </w:p>
          <w:p w14:paraId="7797FDFB">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食荚豌豆</w:t>
            </w:r>
          </w:p>
        </w:tc>
        <w:tc>
          <w:tcPr>
            <w:tcW w:w="2610" w:type="dxa"/>
          </w:tcPr>
          <w:p w14:paraId="04AEDC2D">
            <w:pPr>
              <w:pStyle w:val="34"/>
              <w:spacing w:before="6"/>
              <w:rPr>
                <w:rFonts w:hint="eastAsia" w:asciiTheme="minorEastAsia" w:hAnsiTheme="minorEastAsia" w:eastAsiaTheme="minorEastAsia" w:cstheme="minorEastAsia"/>
                <w:spacing w:val="0"/>
                <w:position w:val="0"/>
                <w:sz w:val="21"/>
                <w:szCs w:val="21"/>
              </w:rPr>
            </w:pPr>
          </w:p>
          <w:p w14:paraId="37D7BE88">
            <w:pPr>
              <w:pStyle w:val="34"/>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噻虫胺、多菌灵</w:t>
            </w:r>
          </w:p>
        </w:tc>
        <w:tc>
          <w:tcPr>
            <w:tcW w:w="7305" w:type="dxa"/>
          </w:tcPr>
          <w:p w14:paraId="547DCAC4">
            <w:pPr>
              <w:pStyle w:val="34"/>
              <w:spacing w:line="320" w:lineRule="atLeast"/>
              <w:ind w:left="108" w:right="3"/>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阿维菌素、氧乐果、毒死蜱、灭蝇胺、烯酰吗啉、吡唑醚菌酯、甲氨基阿维菌素苯甲酸盐、乙酰甲胺磷</w:t>
            </w:r>
          </w:p>
        </w:tc>
        <w:tc>
          <w:tcPr>
            <w:tcW w:w="1338" w:type="dxa"/>
          </w:tcPr>
          <w:p w14:paraId="3E675135">
            <w:pPr>
              <w:pStyle w:val="34"/>
              <w:rPr>
                <w:rFonts w:hint="eastAsia" w:asciiTheme="minorEastAsia" w:hAnsiTheme="minorEastAsia" w:eastAsiaTheme="minorEastAsia" w:cstheme="minorEastAsia"/>
                <w:spacing w:val="0"/>
                <w:position w:val="0"/>
                <w:sz w:val="21"/>
                <w:szCs w:val="21"/>
              </w:rPr>
            </w:pPr>
          </w:p>
        </w:tc>
      </w:tr>
    </w:tbl>
    <w:p w14:paraId="616831C4">
      <w:pPr>
        <w:pStyle w:val="6"/>
        <w:spacing w:before="13"/>
        <w:rPr>
          <w:rFonts w:ascii="Arial Unicode MS"/>
          <w:spacing w:val="0"/>
          <w:position w:val="0"/>
          <w:sz w:val="23"/>
        </w:rPr>
      </w:pPr>
    </w:p>
    <w:p w14:paraId="67475399">
      <w:pPr>
        <w:spacing w:after="0"/>
        <w:rPr>
          <w:rFonts w:hint="eastAsia" w:ascii="仿宋_GB2312" w:hAnsi="仿宋_GB2312" w:eastAsia="仿宋_GB2312" w:cs="仿宋_GB2312"/>
          <w:spacing w:val="0"/>
          <w:position w:val="0"/>
          <w:sz w:val="18"/>
        </w:rPr>
        <w:sectPr>
          <w:type w:val="continuous"/>
          <w:pgSz w:w="16840" w:h="11910" w:orient="landscape"/>
          <w:pgMar w:top="1920" w:right="820" w:bottom="280" w:left="200" w:header="720" w:footer="720" w:gutter="0"/>
          <w:pgNumType w:fmt="decimal"/>
          <w:cols w:space="720" w:num="1"/>
        </w:sectPr>
      </w:pPr>
    </w:p>
    <w:p w14:paraId="641513FE">
      <w:pPr>
        <w:pStyle w:val="6"/>
        <w:spacing w:before="8"/>
        <w:rPr>
          <w:rFonts w:hint="eastAsia" w:ascii="仿宋_GB2312" w:hAnsi="仿宋_GB2312" w:eastAsia="仿宋_GB2312" w:cs="仿宋_GB2312"/>
          <w:spacing w:val="0"/>
          <w:position w:val="0"/>
          <w:sz w:val="10"/>
        </w:rPr>
      </w:pPr>
    </w:p>
    <w:tbl>
      <w:tblPr>
        <w:tblStyle w:val="17"/>
        <w:tblW w:w="0" w:type="auto"/>
        <w:tblInd w:w="8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1170"/>
        <w:gridCol w:w="1245"/>
        <w:gridCol w:w="2610"/>
        <w:gridCol w:w="7305"/>
        <w:gridCol w:w="1338"/>
      </w:tblGrid>
      <w:tr w14:paraId="31AB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7" w:type="dxa"/>
          </w:tcPr>
          <w:p w14:paraId="753E679C">
            <w:pPr>
              <w:pStyle w:val="34"/>
              <w:spacing w:before="76"/>
              <w:ind w:left="16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食品亚类</w:t>
            </w:r>
          </w:p>
          <w:p w14:paraId="1AE1492F">
            <w:pPr>
              <w:pStyle w:val="34"/>
              <w:spacing w:before="89" w:line="224" w:lineRule="exact"/>
              <w:ind w:left="16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（二级</w:t>
            </w:r>
          </w:p>
        </w:tc>
        <w:tc>
          <w:tcPr>
            <w:tcW w:w="1170" w:type="dxa"/>
          </w:tcPr>
          <w:p w14:paraId="77253BF4">
            <w:pPr>
              <w:pStyle w:val="34"/>
              <w:spacing w:before="76"/>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食品品种</w:t>
            </w:r>
          </w:p>
          <w:p w14:paraId="676C0B76">
            <w:pPr>
              <w:pStyle w:val="34"/>
              <w:spacing w:before="89" w:line="224" w:lineRule="exact"/>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（三级</w:t>
            </w:r>
          </w:p>
        </w:tc>
        <w:tc>
          <w:tcPr>
            <w:tcW w:w="1245" w:type="dxa"/>
          </w:tcPr>
          <w:p w14:paraId="6090EDA5">
            <w:pPr>
              <w:pStyle w:val="34"/>
              <w:spacing w:before="76"/>
              <w:ind w:left="26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食品细类</w:t>
            </w:r>
          </w:p>
          <w:p w14:paraId="09C65752">
            <w:pPr>
              <w:pStyle w:val="34"/>
              <w:spacing w:before="89" w:line="224" w:lineRule="exact"/>
              <w:ind w:left="26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（四级</w:t>
            </w:r>
          </w:p>
        </w:tc>
        <w:tc>
          <w:tcPr>
            <w:tcW w:w="2610" w:type="dxa"/>
          </w:tcPr>
          <w:p w14:paraId="6F43AC37">
            <w:pPr>
              <w:pStyle w:val="34"/>
              <w:spacing w:before="5"/>
              <w:rPr>
                <w:rFonts w:hint="eastAsia" w:asciiTheme="minorEastAsia" w:hAnsiTheme="minorEastAsia" w:eastAsiaTheme="minorEastAsia" w:cstheme="minorEastAsia"/>
                <w:spacing w:val="0"/>
                <w:position w:val="0"/>
                <w:sz w:val="21"/>
                <w:szCs w:val="21"/>
              </w:rPr>
            </w:pPr>
          </w:p>
          <w:p w14:paraId="5D9F4436">
            <w:pPr>
              <w:pStyle w:val="34"/>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必检项目</w:t>
            </w:r>
          </w:p>
        </w:tc>
        <w:tc>
          <w:tcPr>
            <w:tcW w:w="7305" w:type="dxa"/>
          </w:tcPr>
          <w:p w14:paraId="1662664D">
            <w:pPr>
              <w:pStyle w:val="34"/>
              <w:spacing w:before="5"/>
              <w:rPr>
                <w:rFonts w:hint="eastAsia" w:asciiTheme="minorEastAsia" w:hAnsiTheme="minorEastAsia" w:eastAsiaTheme="minorEastAsia" w:cstheme="minorEastAsia"/>
                <w:spacing w:val="0"/>
                <w:position w:val="0"/>
                <w:sz w:val="21"/>
                <w:szCs w:val="21"/>
              </w:rPr>
            </w:pPr>
          </w:p>
          <w:p w14:paraId="427A4359">
            <w:pPr>
              <w:pStyle w:val="34"/>
              <w:ind w:left="3277" w:right="327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可选项目</w:t>
            </w:r>
          </w:p>
        </w:tc>
        <w:tc>
          <w:tcPr>
            <w:tcW w:w="1338" w:type="dxa"/>
          </w:tcPr>
          <w:p w14:paraId="42373E17">
            <w:pPr>
              <w:pStyle w:val="34"/>
              <w:spacing w:before="5"/>
              <w:rPr>
                <w:rFonts w:hint="eastAsia" w:asciiTheme="minorEastAsia" w:hAnsiTheme="minorEastAsia" w:eastAsiaTheme="minorEastAsia" w:cstheme="minorEastAsia"/>
                <w:spacing w:val="0"/>
                <w:position w:val="0"/>
                <w:sz w:val="21"/>
                <w:szCs w:val="21"/>
              </w:rPr>
            </w:pPr>
          </w:p>
          <w:p w14:paraId="01F2EA6C">
            <w:pPr>
              <w:pStyle w:val="34"/>
              <w:ind w:left="473" w:right="465"/>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备注</w:t>
            </w:r>
          </w:p>
        </w:tc>
      </w:tr>
      <w:tr w14:paraId="549A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7" w:type="dxa"/>
            <w:vMerge w:val="restart"/>
          </w:tcPr>
          <w:p w14:paraId="702311ED">
            <w:pPr>
              <w:pStyle w:val="34"/>
              <w:rPr>
                <w:rFonts w:hint="eastAsia" w:asciiTheme="minorEastAsia" w:hAnsiTheme="minorEastAsia" w:eastAsiaTheme="minorEastAsia" w:cstheme="minorEastAsia"/>
                <w:spacing w:val="0"/>
                <w:position w:val="0"/>
                <w:sz w:val="21"/>
                <w:szCs w:val="21"/>
              </w:rPr>
            </w:pPr>
          </w:p>
          <w:p w14:paraId="7F2BAFD9">
            <w:pPr>
              <w:pStyle w:val="34"/>
              <w:rPr>
                <w:rFonts w:hint="eastAsia" w:asciiTheme="minorEastAsia" w:hAnsiTheme="minorEastAsia" w:eastAsiaTheme="minorEastAsia" w:cstheme="minorEastAsia"/>
                <w:spacing w:val="0"/>
                <w:position w:val="0"/>
                <w:sz w:val="21"/>
                <w:szCs w:val="21"/>
              </w:rPr>
            </w:pPr>
          </w:p>
          <w:p w14:paraId="7BB63E31">
            <w:pPr>
              <w:pStyle w:val="34"/>
              <w:rPr>
                <w:rFonts w:hint="eastAsia" w:asciiTheme="minorEastAsia" w:hAnsiTheme="minorEastAsia" w:eastAsiaTheme="minorEastAsia" w:cstheme="minorEastAsia"/>
                <w:spacing w:val="0"/>
                <w:position w:val="0"/>
                <w:sz w:val="21"/>
                <w:szCs w:val="21"/>
              </w:rPr>
            </w:pPr>
          </w:p>
          <w:p w14:paraId="1F9CAC3C">
            <w:pPr>
              <w:pStyle w:val="34"/>
              <w:rPr>
                <w:rFonts w:hint="eastAsia" w:asciiTheme="minorEastAsia" w:hAnsiTheme="minorEastAsia" w:eastAsiaTheme="minorEastAsia" w:cstheme="minorEastAsia"/>
                <w:spacing w:val="0"/>
                <w:position w:val="0"/>
                <w:sz w:val="21"/>
                <w:szCs w:val="21"/>
              </w:rPr>
            </w:pPr>
          </w:p>
          <w:p w14:paraId="11B7A4D3">
            <w:pPr>
              <w:pStyle w:val="34"/>
              <w:rPr>
                <w:rFonts w:hint="eastAsia" w:asciiTheme="minorEastAsia" w:hAnsiTheme="minorEastAsia" w:eastAsiaTheme="minorEastAsia" w:cstheme="minorEastAsia"/>
                <w:spacing w:val="0"/>
                <w:position w:val="0"/>
                <w:sz w:val="21"/>
                <w:szCs w:val="21"/>
              </w:rPr>
            </w:pPr>
          </w:p>
          <w:p w14:paraId="348727FC">
            <w:pPr>
              <w:pStyle w:val="34"/>
              <w:rPr>
                <w:rFonts w:hint="eastAsia" w:asciiTheme="minorEastAsia" w:hAnsiTheme="minorEastAsia" w:eastAsiaTheme="minorEastAsia" w:cstheme="minorEastAsia"/>
                <w:spacing w:val="0"/>
                <w:position w:val="0"/>
                <w:sz w:val="21"/>
                <w:szCs w:val="21"/>
              </w:rPr>
            </w:pPr>
          </w:p>
          <w:p w14:paraId="4EC30ABE">
            <w:pPr>
              <w:pStyle w:val="34"/>
              <w:rPr>
                <w:rFonts w:hint="eastAsia" w:asciiTheme="minorEastAsia" w:hAnsiTheme="minorEastAsia" w:eastAsiaTheme="minorEastAsia" w:cstheme="minorEastAsia"/>
                <w:spacing w:val="0"/>
                <w:position w:val="0"/>
                <w:sz w:val="21"/>
                <w:szCs w:val="21"/>
              </w:rPr>
            </w:pPr>
          </w:p>
          <w:p w14:paraId="07AD02D9">
            <w:pPr>
              <w:pStyle w:val="34"/>
              <w:spacing w:before="2"/>
              <w:rPr>
                <w:rFonts w:hint="eastAsia" w:asciiTheme="minorEastAsia" w:hAnsiTheme="minorEastAsia" w:eastAsiaTheme="minorEastAsia" w:cstheme="minorEastAsia"/>
                <w:spacing w:val="0"/>
                <w:position w:val="0"/>
                <w:sz w:val="21"/>
                <w:szCs w:val="21"/>
              </w:rPr>
            </w:pPr>
          </w:p>
          <w:p w14:paraId="5F70BAC0">
            <w:pPr>
              <w:pStyle w:val="34"/>
              <w:ind w:left="34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蔬菜</w:t>
            </w:r>
          </w:p>
        </w:tc>
        <w:tc>
          <w:tcPr>
            <w:tcW w:w="1170" w:type="dxa"/>
          </w:tcPr>
          <w:p w14:paraId="12C1A68D">
            <w:pPr>
              <w:pStyle w:val="34"/>
              <w:spacing w:before="9"/>
              <w:rPr>
                <w:rFonts w:hint="eastAsia" w:asciiTheme="minorEastAsia" w:hAnsiTheme="minorEastAsia" w:eastAsiaTheme="minorEastAsia" w:cstheme="minorEastAsia"/>
                <w:spacing w:val="0"/>
                <w:position w:val="0"/>
                <w:sz w:val="21"/>
                <w:szCs w:val="21"/>
              </w:rPr>
            </w:pPr>
          </w:p>
          <w:p w14:paraId="130932C6">
            <w:pPr>
              <w:pStyle w:val="34"/>
              <w:ind w:left="119" w:righ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豆芽</w:t>
            </w:r>
          </w:p>
        </w:tc>
        <w:tc>
          <w:tcPr>
            <w:tcW w:w="1245" w:type="dxa"/>
          </w:tcPr>
          <w:p w14:paraId="0AD3E963">
            <w:pPr>
              <w:pStyle w:val="34"/>
              <w:spacing w:before="9"/>
              <w:rPr>
                <w:rFonts w:hint="eastAsia" w:asciiTheme="minorEastAsia" w:hAnsiTheme="minorEastAsia" w:eastAsiaTheme="minorEastAsia" w:cstheme="minorEastAsia"/>
                <w:spacing w:val="0"/>
                <w:position w:val="0"/>
                <w:sz w:val="21"/>
                <w:szCs w:val="21"/>
              </w:rPr>
            </w:pPr>
          </w:p>
          <w:p w14:paraId="6A27980B">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豆芽</w:t>
            </w:r>
          </w:p>
        </w:tc>
        <w:tc>
          <w:tcPr>
            <w:tcW w:w="2610" w:type="dxa"/>
          </w:tcPr>
          <w:p w14:paraId="7FCE6171">
            <w:pPr>
              <w:pStyle w:val="34"/>
              <w:spacing w:line="340" w:lineRule="atLeast"/>
              <w:ind w:left="107" w:right="6" w:firstLine="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4- 氯苯氧乙酸钠（以 4- 氯苯氧</w:t>
            </w:r>
            <w:r>
              <w:rPr>
                <w:rFonts w:hint="eastAsia" w:asciiTheme="minorEastAsia" w:hAnsiTheme="minorEastAsia" w:eastAsiaTheme="minorEastAsia" w:cstheme="minorEastAsia"/>
                <w:spacing w:val="0"/>
                <w:w w:val="95"/>
                <w:position w:val="0"/>
                <w:sz w:val="21"/>
                <w:szCs w:val="21"/>
              </w:rPr>
              <w:t>乙酸计）、6-</w:t>
            </w:r>
            <w:r>
              <w:rPr>
                <w:rFonts w:hint="eastAsia" w:asciiTheme="minorEastAsia" w:hAnsiTheme="minorEastAsia" w:eastAsiaTheme="minorEastAsia" w:cstheme="minorEastAsia"/>
                <w:spacing w:val="0"/>
                <w:position w:val="0"/>
                <w:sz w:val="21"/>
                <w:szCs w:val="21"/>
              </w:rPr>
              <w:t xml:space="preserve"> </w:t>
            </w:r>
            <w:r>
              <w:rPr>
                <w:rFonts w:hint="eastAsia" w:asciiTheme="minorEastAsia" w:hAnsiTheme="minorEastAsia" w:eastAsiaTheme="minorEastAsia" w:cstheme="minorEastAsia"/>
                <w:spacing w:val="0"/>
                <w:w w:val="95"/>
                <w:position w:val="0"/>
                <w:sz w:val="21"/>
                <w:szCs w:val="21"/>
              </w:rPr>
              <w:t>苄基腺嘌呤（6-</w:t>
            </w:r>
            <w:r>
              <w:rPr>
                <w:rFonts w:hint="eastAsia" w:asciiTheme="minorEastAsia" w:hAnsiTheme="minorEastAsia" w:eastAsiaTheme="minorEastAsia" w:cstheme="minorEastAsia"/>
                <w:spacing w:val="0"/>
                <w:position w:val="0"/>
                <w:sz w:val="21"/>
                <w:szCs w:val="21"/>
              </w:rPr>
              <w:t xml:space="preserve"> </w:t>
            </w:r>
            <w:r>
              <w:rPr>
                <w:rFonts w:hint="eastAsia" w:asciiTheme="minorEastAsia" w:hAnsiTheme="minorEastAsia" w:eastAsiaTheme="minorEastAsia" w:cstheme="minorEastAsia"/>
                <w:spacing w:val="0"/>
                <w:w w:val="95"/>
                <w:position w:val="0"/>
                <w:sz w:val="21"/>
                <w:szCs w:val="21"/>
              </w:rPr>
              <w:t>BA）</w:t>
            </w:r>
          </w:p>
        </w:tc>
        <w:tc>
          <w:tcPr>
            <w:tcW w:w="7305" w:type="dxa"/>
          </w:tcPr>
          <w:p w14:paraId="463EBE67">
            <w:pPr>
              <w:pStyle w:val="34"/>
              <w:spacing w:before="14"/>
              <w:rPr>
                <w:rFonts w:hint="eastAsia" w:asciiTheme="minorEastAsia" w:hAnsiTheme="minorEastAsia" w:eastAsiaTheme="minorEastAsia" w:cstheme="minorEastAsia"/>
                <w:spacing w:val="0"/>
                <w:position w:val="0"/>
                <w:sz w:val="21"/>
                <w:szCs w:val="21"/>
              </w:rPr>
            </w:pPr>
          </w:p>
          <w:p w14:paraId="5FDFF303">
            <w:pPr>
              <w:pStyle w:val="34"/>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亚硫酸盐（以SO₂计）、铅（以 Pb 计）、总汞（以 Hg 计）</w:t>
            </w:r>
          </w:p>
        </w:tc>
        <w:tc>
          <w:tcPr>
            <w:tcW w:w="1338" w:type="dxa"/>
          </w:tcPr>
          <w:p w14:paraId="564DD4BB">
            <w:pPr>
              <w:pStyle w:val="34"/>
              <w:rPr>
                <w:rFonts w:hint="eastAsia" w:asciiTheme="minorEastAsia" w:hAnsiTheme="minorEastAsia" w:eastAsiaTheme="minorEastAsia" w:cstheme="minorEastAsia"/>
                <w:spacing w:val="0"/>
                <w:position w:val="0"/>
                <w:sz w:val="21"/>
                <w:szCs w:val="21"/>
              </w:rPr>
            </w:pPr>
          </w:p>
        </w:tc>
      </w:tr>
      <w:tr w14:paraId="38BC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057" w:type="dxa"/>
            <w:vMerge w:val="continue"/>
            <w:tcBorders>
              <w:top w:val="nil"/>
            </w:tcBorders>
          </w:tcPr>
          <w:p w14:paraId="7A18F16A">
            <w:pPr>
              <w:rPr>
                <w:rFonts w:hint="eastAsia" w:asciiTheme="minorEastAsia" w:hAnsiTheme="minorEastAsia" w:eastAsiaTheme="minorEastAsia" w:cstheme="minorEastAsia"/>
                <w:spacing w:val="0"/>
                <w:position w:val="0"/>
                <w:sz w:val="21"/>
                <w:szCs w:val="21"/>
              </w:rPr>
            </w:pPr>
          </w:p>
        </w:tc>
        <w:tc>
          <w:tcPr>
            <w:tcW w:w="1170" w:type="dxa"/>
            <w:vMerge w:val="restart"/>
          </w:tcPr>
          <w:p w14:paraId="64E8DC36">
            <w:pPr>
              <w:pStyle w:val="34"/>
              <w:rPr>
                <w:rFonts w:hint="eastAsia" w:asciiTheme="minorEastAsia" w:hAnsiTheme="minorEastAsia" w:eastAsiaTheme="minorEastAsia" w:cstheme="minorEastAsia"/>
                <w:spacing w:val="0"/>
                <w:position w:val="0"/>
                <w:sz w:val="21"/>
                <w:szCs w:val="21"/>
              </w:rPr>
            </w:pPr>
          </w:p>
          <w:p w14:paraId="6E201E05">
            <w:pPr>
              <w:pStyle w:val="34"/>
              <w:spacing w:before="8"/>
              <w:rPr>
                <w:rFonts w:hint="eastAsia" w:asciiTheme="minorEastAsia" w:hAnsiTheme="minorEastAsia" w:eastAsiaTheme="minorEastAsia" w:cstheme="minorEastAsia"/>
                <w:spacing w:val="0"/>
                <w:position w:val="0"/>
                <w:sz w:val="21"/>
                <w:szCs w:val="21"/>
              </w:rPr>
            </w:pPr>
          </w:p>
          <w:p w14:paraId="50FFCD7A">
            <w:pPr>
              <w:pStyle w:val="34"/>
              <w:spacing w:line="304" w:lineRule="auto"/>
              <w:ind w:left="225" w:right="123" w:hanging="92"/>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根茎类和薯芋类蔬菜</w:t>
            </w:r>
          </w:p>
        </w:tc>
        <w:tc>
          <w:tcPr>
            <w:tcW w:w="1245" w:type="dxa"/>
          </w:tcPr>
          <w:p w14:paraId="6E122E44">
            <w:pPr>
              <w:pStyle w:val="34"/>
              <w:spacing w:before="1"/>
              <w:rPr>
                <w:rFonts w:hint="eastAsia" w:asciiTheme="minorEastAsia" w:hAnsiTheme="minorEastAsia" w:eastAsiaTheme="minorEastAsia" w:cstheme="minorEastAsia"/>
                <w:spacing w:val="0"/>
                <w:position w:val="0"/>
                <w:sz w:val="21"/>
                <w:szCs w:val="21"/>
              </w:rPr>
            </w:pPr>
          </w:p>
          <w:p w14:paraId="66AF1270">
            <w:pPr>
              <w:pStyle w:val="34"/>
              <w:ind w:left="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姜</w:t>
            </w:r>
          </w:p>
        </w:tc>
        <w:tc>
          <w:tcPr>
            <w:tcW w:w="2610" w:type="dxa"/>
          </w:tcPr>
          <w:p w14:paraId="6C09FA0F">
            <w:pPr>
              <w:pStyle w:val="34"/>
              <w:spacing w:before="15"/>
              <w:rPr>
                <w:rFonts w:hint="eastAsia" w:asciiTheme="minorEastAsia" w:hAnsiTheme="minorEastAsia" w:eastAsiaTheme="minorEastAsia" w:cstheme="minorEastAsia"/>
                <w:spacing w:val="0"/>
                <w:position w:val="0"/>
                <w:sz w:val="21"/>
                <w:szCs w:val="21"/>
              </w:rPr>
            </w:pPr>
          </w:p>
          <w:p w14:paraId="3D1E4CC9">
            <w:pPr>
              <w:pStyle w:val="34"/>
              <w:spacing w:line="321" w:lineRule="auto"/>
              <w:ind w:left="493" w:right="95" w:hanging="38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噻虫胺、铅（以Pb 计）、毒死蜱、噻虫嗪、吡虫啉</w:t>
            </w:r>
          </w:p>
        </w:tc>
        <w:tc>
          <w:tcPr>
            <w:tcW w:w="7305" w:type="dxa"/>
          </w:tcPr>
          <w:p w14:paraId="23A03288">
            <w:pPr>
              <w:pStyle w:val="34"/>
              <w:spacing w:before="92" w:line="321" w:lineRule="auto"/>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吡唑醚菌酯、甲胺磷、咪鲜胺和咪鲜胺锰盐、镉（以 Cd 计）、二氧化硫残留量、氯氟氰菊酯和高效氯氟氰菊酯、氯氰菊酯和高效氯氰菊酯、甲拌磷、氯唑磷、敌敌畏、克百威、六六六</w:t>
            </w:r>
          </w:p>
        </w:tc>
        <w:tc>
          <w:tcPr>
            <w:tcW w:w="1338" w:type="dxa"/>
          </w:tcPr>
          <w:p w14:paraId="0F550B31">
            <w:pPr>
              <w:pStyle w:val="34"/>
              <w:rPr>
                <w:rFonts w:hint="eastAsia" w:asciiTheme="minorEastAsia" w:hAnsiTheme="minorEastAsia" w:eastAsiaTheme="minorEastAsia" w:cstheme="minorEastAsia"/>
                <w:spacing w:val="0"/>
                <w:position w:val="0"/>
                <w:sz w:val="21"/>
                <w:szCs w:val="21"/>
              </w:rPr>
            </w:pPr>
          </w:p>
        </w:tc>
      </w:tr>
      <w:tr w14:paraId="42F8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057" w:type="dxa"/>
            <w:vMerge w:val="continue"/>
            <w:tcBorders>
              <w:top w:val="nil"/>
            </w:tcBorders>
          </w:tcPr>
          <w:p w14:paraId="0773BFF9">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2B077E3E">
            <w:pPr>
              <w:rPr>
                <w:rFonts w:hint="eastAsia" w:asciiTheme="minorEastAsia" w:hAnsiTheme="minorEastAsia" w:eastAsiaTheme="minorEastAsia" w:cstheme="minorEastAsia"/>
                <w:spacing w:val="0"/>
                <w:position w:val="0"/>
                <w:sz w:val="21"/>
                <w:szCs w:val="21"/>
              </w:rPr>
            </w:pPr>
          </w:p>
        </w:tc>
        <w:tc>
          <w:tcPr>
            <w:tcW w:w="1245" w:type="dxa"/>
          </w:tcPr>
          <w:p w14:paraId="0601F9BE">
            <w:pPr>
              <w:pStyle w:val="34"/>
              <w:spacing w:before="133"/>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山药</w:t>
            </w:r>
          </w:p>
        </w:tc>
        <w:tc>
          <w:tcPr>
            <w:tcW w:w="2610" w:type="dxa"/>
          </w:tcPr>
          <w:p w14:paraId="6D2FD5A5">
            <w:pPr>
              <w:pStyle w:val="34"/>
              <w:spacing w:before="138"/>
              <w:ind w:left="493"/>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咪鲜胺和咪鲜胺锰盐</w:t>
            </w:r>
          </w:p>
        </w:tc>
        <w:tc>
          <w:tcPr>
            <w:tcW w:w="7305" w:type="dxa"/>
          </w:tcPr>
          <w:p w14:paraId="5EEC85F8">
            <w:pPr>
              <w:pStyle w:val="34"/>
              <w:spacing w:before="138"/>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毒死蜱、氯氟氰菊酯和高效氯氟氰菊酯、铅（以Pb 计）、涕灭威</w:t>
            </w:r>
          </w:p>
        </w:tc>
        <w:tc>
          <w:tcPr>
            <w:tcW w:w="1338" w:type="dxa"/>
          </w:tcPr>
          <w:p w14:paraId="5EC964E8">
            <w:pPr>
              <w:pStyle w:val="34"/>
              <w:rPr>
                <w:rFonts w:hint="eastAsia" w:asciiTheme="minorEastAsia" w:hAnsiTheme="minorEastAsia" w:eastAsiaTheme="minorEastAsia" w:cstheme="minorEastAsia"/>
                <w:spacing w:val="0"/>
                <w:position w:val="0"/>
                <w:sz w:val="21"/>
                <w:szCs w:val="21"/>
              </w:rPr>
            </w:pPr>
          </w:p>
        </w:tc>
      </w:tr>
      <w:tr w14:paraId="30065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57" w:type="dxa"/>
            <w:vMerge w:val="continue"/>
            <w:tcBorders>
              <w:top w:val="nil"/>
            </w:tcBorders>
          </w:tcPr>
          <w:p w14:paraId="6A439C49">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20EDD5AD">
            <w:pPr>
              <w:rPr>
                <w:rFonts w:hint="eastAsia" w:asciiTheme="minorEastAsia" w:hAnsiTheme="minorEastAsia" w:eastAsiaTheme="minorEastAsia" w:cstheme="minorEastAsia"/>
                <w:spacing w:val="0"/>
                <w:position w:val="0"/>
                <w:sz w:val="21"/>
                <w:szCs w:val="21"/>
              </w:rPr>
            </w:pPr>
          </w:p>
        </w:tc>
        <w:tc>
          <w:tcPr>
            <w:tcW w:w="1245" w:type="dxa"/>
          </w:tcPr>
          <w:p w14:paraId="7707ADE5">
            <w:pPr>
              <w:pStyle w:val="34"/>
              <w:spacing w:before="156"/>
              <w:ind w:left="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芋</w:t>
            </w:r>
          </w:p>
        </w:tc>
        <w:tc>
          <w:tcPr>
            <w:tcW w:w="2610" w:type="dxa"/>
          </w:tcPr>
          <w:p w14:paraId="14BFD189">
            <w:pPr>
              <w:pStyle w:val="34"/>
              <w:spacing w:before="161"/>
              <w:ind w:left="10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铅（以 Pb 计）、镉（以 Cd 计）</w:t>
            </w:r>
          </w:p>
        </w:tc>
        <w:tc>
          <w:tcPr>
            <w:tcW w:w="7305" w:type="dxa"/>
          </w:tcPr>
          <w:p w14:paraId="47ED914F">
            <w:pPr>
              <w:pStyle w:val="34"/>
              <w:spacing w:before="161"/>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氯氰菊酯和高效氯氰菊酯</w:t>
            </w:r>
          </w:p>
        </w:tc>
        <w:tc>
          <w:tcPr>
            <w:tcW w:w="1338" w:type="dxa"/>
          </w:tcPr>
          <w:p w14:paraId="1E4DF464">
            <w:pPr>
              <w:pStyle w:val="34"/>
              <w:rPr>
                <w:rFonts w:hint="eastAsia" w:asciiTheme="minorEastAsia" w:hAnsiTheme="minorEastAsia" w:eastAsiaTheme="minorEastAsia" w:cstheme="minorEastAsia"/>
                <w:spacing w:val="0"/>
                <w:position w:val="0"/>
                <w:sz w:val="21"/>
                <w:szCs w:val="21"/>
              </w:rPr>
            </w:pPr>
          </w:p>
        </w:tc>
      </w:tr>
      <w:tr w14:paraId="32E59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7" w:type="dxa"/>
            <w:vMerge w:val="continue"/>
            <w:tcBorders>
              <w:top w:val="nil"/>
            </w:tcBorders>
          </w:tcPr>
          <w:p w14:paraId="5B6140F6">
            <w:pPr>
              <w:rPr>
                <w:rFonts w:hint="eastAsia" w:asciiTheme="minorEastAsia" w:hAnsiTheme="minorEastAsia" w:eastAsiaTheme="minorEastAsia" w:cstheme="minorEastAsia"/>
                <w:spacing w:val="0"/>
                <w:position w:val="0"/>
                <w:sz w:val="21"/>
                <w:szCs w:val="21"/>
              </w:rPr>
            </w:pPr>
          </w:p>
        </w:tc>
        <w:tc>
          <w:tcPr>
            <w:tcW w:w="1170" w:type="dxa"/>
            <w:vMerge w:val="restart"/>
          </w:tcPr>
          <w:p w14:paraId="51692BF0">
            <w:pPr>
              <w:pStyle w:val="34"/>
              <w:rPr>
                <w:rFonts w:hint="eastAsia" w:asciiTheme="minorEastAsia" w:hAnsiTheme="minorEastAsia" w:eastAsiaTheme="minorEastAsia" w:cstheme="minorEastAsia"/>
                <w:spacing w:val="0"/>
                <w:position w:val="0"/>
                <w:sz w:val="21"/>
                <w:szCs w:val="21"/>
              </w:rPr>
            </w:pPr>
          </w:p>
          <w:p w14:paraId="4A5105E6">
            <w:pPr>
              <w:pStyle w:val="34"/>
              <w:spacing w:before="7"/>
              <w:rPr>
                <w:rFonts w:hint="eastAsia" w:asciiTheme="minorEastAsia" w:hAnsiTheme="minorEastAsia" w:eastAsiaTheme="minorEastAsia" w:cstheme="minorEastAsia"/>
                <w:spacing w:val="0"/>
                <w:position w:val="0"/>
                <w:sz w:val="21"/>
                <w:szCs w:val="21"/>
              </w:rPr>
            </w:pPr>
          </w:p>
          <w:p w14:paraId="0953D331">
            <w:pPr>
              <w:pStyle w:val="34"/>
              <w:ind w:left="13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鳞茎类蔬菜</w:t>
            </w:r>
          </w:p>
        </w:tc>
        <w:tc>
          <w:tcPr>
            <w:tcW w:w="1245" w:type="dxa"/>
          </w:tcPr>
          <w:p w14:paraId="4807CB87">
            <w:pPr>
              <w:pStyle w:val="34"/>
              <w:spacing w:before="8"/>
              <w:rPr>
                <w:rFonts w:hint="eastAsia" w:asciiTheme="minorEastAsia" w:hAnsiTheme="minorEastAsia" w:eastAsiaTheme="minorEastAsia" w:cstheme="minorEastAsia"/>
                <w:spacing w:val="0"/>
                <w:position w:val="0"/>
                <w:sz w:val="21"/>
                <w:szCs w:val="21"/>
              </w:rPr>
            </w:pPr>
          </w:p>
          <w:p w14:paraId="15245449">
            <w:pPr>
              <w:pStyle w:val="34"/>
              <w:spacing w:before="1"/>
              <w:ind w:left="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葱</w:t>
            </w:r>
          </w:p>
        </w:tc>
        <w:tc>
          <w:tcPr>
            <w:tcW w:w="2610" w:type="dxa"/>
          </w:tcPr>
          <w:p w14:paraId="4BC8E467">
            <w:pPr>
              <w:pStyle w:val="34"/>
              <w:spacing w:before="13"/>
              <w:rPr>
                <w:rFonts w:hint="eastAsia" w:asciiTheme="minorEastAsia" w:hAnsiTheme="minorEastAsia" w:eastAsiaTheme="minorEastAsia" w:cstheme="minorEastAsia"/>
                <w:spacing w:val="0"/>
                <w:position w:val="0"/>
                <w:sz w:val="21"/>
                <w:szCs w:val="21"/>
              </w:rPr>
            </w:pPr>
          </w:p>
          <w:p w14:paraId="23BABAFD">
            <w:pPr>
              <w:pStyle w:val="34"/>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噻虫嗪</w:t>
            </w:r>
          </w:p>
        </w:tc>
        <w:tc>
          <w:tcPr>
            <w:tcW w:w="7305" w:type="dxa"/>
          </w:tcPr>
          <w:p w14:paraId="41EFC87A">
            <w:pPr>
              <w:pStyle w:val="34"/>
              <w:spacing w:line="340" w:lineRule="atLeast"/>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乙酰甲胺磷、毒死蜱、氯氟氰菊酯和高效氯氟氰菊酯、丙环唑、水胺硫磷、戊唑醇、甲基异柳磷、氧乐果、镉（以 Cd 计）、甲拌磷、克百威、铅（以 Pb 计）、三唑磷</w:t>
            </w:r>
          </w:p>
        </w:tc>
        <w:tc>
          <w:tcPr>
            <w:tcW w:w="1338" w:type="dxa"/>
          </w:tcPr>
          <w:p w14:paraId="54206E33">
            <w:pPr>
              <w:pStyle w:val="34"/>
              <w:rPr>
                <w:rFonts w:hint="eastAsia" w:asciiTheme="minorEastAsia" w:hAnsiTheme="minorEastAsia" w:eastAsiaTheme="minorEastAsia" w:cstheme="minorEastAsia"/>
                <w:spacing w:val="0"/>
                <w:position w:val="0"/>
                <w:sz w:val="21"/>
                <w:szCs w:val="21"/>
              </w:rPr>
            </w:pPr>
          </w:p>
        </w:tc>
      </w:tr>
      <w:tr w14:paraId="567D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1057" w:type="dxa"/>
            <w:vMerge w:val="continue"/>
            <w:tcBorders>
              <w:top w:val="nil"/>
            </w:tcBorders>
          </w:tcPr>
          <w:p w14:paraId="2DF4536D">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300F06CE">
            <w:pPr>
              <w:rPr>
                <w:rFonts w:hint="eastAsia" w:asciiTheme="minorEastAsia" w:hAnsiTheme="minorEastAsia" w:eastAsiaTheme="minorEastAsia" w:cstheme="minorEastAsia"/>
                <w:spacing w:val="0"/>
                <w:position w:val="0"/>
                <w:sz w:val="21"/>
                <w:szCs w:val="21"/>
              </w:rPr>
            </w:pPr>
          </w:p>
        </w:tc>
        <w:tc>
          <w:tcPr>
            <w:tcW w:w="1245" w:type="dxa"/>
          </w:tcPr>
          <w:p w14:paraId="7EBE960F">
            <w:pPr>
              <w:pStyle w:val="34"/>
              <w:spacing w:before="16"/>
              <w:rPr>
                <w:rFonts w:hint="eastAsia" w:asciiTheme="minorEastAsia" w:hAnsiTheme="minorEastAsia" w:eastAsiaTheme="minorEastAsia" w:cstheme="minorEastAsia"/>
                <w:spacing w:val="0"/>
                <w:position w:val="0"/>
                <w:sz w:val="21"/>
                <w:szCs w:val="21"/>
              </w:rPr>
            </w:pPr>
          </w:p>
          <w:p w14:paraId="7CB96575">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韭菜</w:t>
            </w:r>
          </w:p>
        </w:tc>
        <w:tc>
          <w:tcPr>
            <w:tcW w:w="2610" w:type="dxa"/>
          </w:tcPr>
          <w:p w14:paraId="79ACE28B">
            <w:pPr>
              <w:pStyle w:val="34"/>
              <w:spacing w:before="3"/>
              <w:rPr>
                <w:rFonts w:hint="eastAsia" w:asciiTheme="minorEastAsia" w:hAnsiTheme="minorEastAsia" w:eastAsiaTheme="minorEastAsia" w:cstheme="minorEastAsia"/>
                <w:spacing w:val="0"/>
                <w:position w:val="0"/>
                <w:sz w:val="21"/>
                <w:szCs w:val="21"/>
              </w:rPr>
            </w:pPr>
          </w:p>
          <w:p w14:paraId="48A3C244">
            <w:pPr>
              <w:pStyle w:val="34"/>
              <w:spacing w:before="1"/>
              <w:ind w:left="133"/>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氯氟氰菊酯和高效氯氟氰菊酯</w:t>
            </w:r>
          </w:p>
        </w:tc>
        <w:tc>
          <w:tcPr>
            <w:tcW w:w="7305" w:type="dxa"/>
          </w:tcPr>
          <w:p w14:paraId="34829613">
            <w:pPr>
              <w:pStyle w:val="34"/>
              <w:spacing w:before="88" w:line="340" w:lineRule="atLeast"/>
              <w:ind w:left="108" w:right="91"/>
              <w:jc w:val="both"/>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三氯杀螨醇、镉（以 Cd 计）、毒死蜱、六六六、克百威、铅（以Pb 计）、甲拌磷、多菌灵、氧乐果、阿维菌素、氯氰菊酯和高效氯氰菊酯、辛硫磷、乙酰甲胺磷、敌敌畏、甲胺磷、腐霉利、三唑磷、水胺硫磷、二甲戊灵、乐果、氟虫腈</w:t>
            </w:r>
          </w:p>
        </w:tc>
        <w:tc>
          <w:tcPr>
            <w:tcW w:w="1338" w:type="dxa"/>
          </w:tcPr>
          <w:p w14:paraId="19C3E563">
            <w:pPr>
              <w:pStyle w:val="34"/>
              <w:rPr>
                <w:rFonts w:hint="eastAsia" w:asciiTheme="minorEastAsia" w:hAnsiTheme="minorEastAsia" w:eastAsiaTheme="minorEastAsia" w:cstheme="minorEastAsia"/>
                <w:spacing w:val="0"/>
                <w:position w:val="0"/>
                <w:sz w:val="21"/>
                <w:szCs w:val="21"/>
              </w:rPr>
            </w:pPr>
          </w:p>
        </w:tc>
      </w:tr>
      <w:tr w14:paraId="32B1C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057" w:type="dxa"/>
            <w:vMerge w:val="continue"/>
            <w:tcBorders>
              <w:top w:val="nil"/>
            </w:tcBorders>
          </w:tcPr>
          <w:p w14:paraId="1CD78C0E">
            <w:pPr>
              <w:rPr>
                <w:rFonts w:hint="eastAsia" w:asciiTheme="minorEastAsia" w:hAnsiTheme="minorEastAsia" w:eastAsiaTheme="minorEastAsia" w:cstheme="minorEastAsia"/>
                <w:spacing w:val="0"/>
                <w:position w:val="0"/>
                <w:sz w:val="21"/>
                <w:szCs w:val="21"/>
              </w:rPr>
            </w:pPr>
          </w:p>
        </w:tc>
        <w:tc>
          <w:tcPr>
            <w:tcW w:w="1170" w:type="dxa"/>
            <w:vMerge w:val="restart"/>
          </w:tcPr>
          <w:p w14:paraId="4721881E">
            <w:pPr>
              <w:pStyle w:val="34"/>
              <w:rPr>
                <w:rFonts w:hint="eastAsia" w:asciiTheme="minorEastAsia" w:hAnsiTheme="minorEastAsia" w:eastAsiaTheme="minorEastAsia" w:cstheme="minorEastAsia"/>
                <w:spacing w:val="0"/>
                <w:position w:val="0"/>
                <w:sz w:val="21"/>
                <w:szCs w:val="21"/>
              </w:rPr>
            </w:pPr>
          </w:p>
          <w:p w14:paraId="17FE1B03">
            <w:pPr>
              <w:pStyle w:val="34"/>
              <w:rPr>
                <w:rFonts w:hint="eastAsia" w:asciiTheme="minorEastAsia" w:hAnsiTheme="minorEastAsia" w:eastAsiaTheme="minorEastAsia" w:cstheme="minorEastAsia"/>
                <w:spacing w:val="0"/>
                <w:position w:val="0"/>
                <w:sz w:val="21"/>
                <w:szCs w:val="21"/>
              </w:rPr>
            </w:pPr>
          </w:p>
          <w:p w14:paraId="74D55336">
            <w:pPr>
              <w:pStyle w:val="34"/>
              <w:spacing w:before="5"/>
              <w:rPr>
                <w:rFonts w:hint="eastAsia" w:asciiTheme="minorEastAsia" w:hAnsiTheme="minorEastAsia" w:eastAsiaTheme="minorEastAsia" w:cstheme="minorEastAsia"/>
                <w:spacing w:val="0"/>
                <w:position w:val="0"/>
                <w:sz w:val="21"/>
                <w:szCs w:val="21"/>
              </w:rPr>
            </w:pPr>
          </w:p>
          <w:p w14:paraId="5685C73C">
            <w:pPr>
              <w:pStyle w:val="34"/>
              <w:ind w:left="13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茄果类蔬菜</w:t>
            </w:r>
          </w:p>
        </w:tc>
        <w:tc>
          <w:tcPr>
            <w:tcW w:w="1245" w:type="dxa"/>
          </w:tcPr>
          <w:p w14:paraId="7D206D9D">
            <w:pPr>
              <w:pStyle w:val="34"/>
              <w:spacing w:before="1"/>
              <w:rPr>
                <w:rFonts w:hint="eastAsia" w:asciiTheme="minorEastAsia" w:hAnsiTheme="minorEastAsia" w:eastAsiaTheme="minorEastAsia" w:cstheme="minorEastAsia"/>
                <w:spacing w:val="0"/>
                <w:position w:val="0"/>
                <w:sz w:val="21"/>
                <w:szCs w:val="21"/>
              </w:rPr>
            </w:pPr>
          </w:p>
          <w:p w14:paraId="7B1FC57F">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辣椒</w:t>
            </w:r>
          </w:p>
        </w:tc>
        <w:tc>
          <w:tcPr>
            <w:tcW w:w="2610" w:type="dxa"/>
          </w:tcPr>
          <w:p w14:paraId="56A8C7F4">
            <w:pPr>
              <w:pStyle w:val="34"/>
              <w:spacing w:before="14"/>
              <w:rPr>
                <w:rFonts w:hint="eastAsia" w:asciiTheme="minorEastAsia" w:hAnsiTheme="minorEastAsia" w:eastAsiaTheme="minorEastAsia" w:cstheme="minorEastAsia"/>
                <w:spacing w:val="0"/>
                <w:position w:val="0"/>
                <w:sz w:val="21"/>
                <w:szCs w:val="21"/>
              </w:rPr>
            </w:pPr>
          </w:p>
          <w:p w14:paraId="784B95BD">
            <w:pPr>
              <w:pStyle w:val="34"/>
              <w:spacing w:before="1" w:line="321" w:lineRule="auto"/>
              <w:ind w:left="493" w:right="95" w:hanging="38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毒死蜱、镉（以 Cd 计）、噻虫胺、倍硫磷、啶虫脒</w:t>
            </w:r>
          </w:p>
        </w:tc>
        <w:tc>
          <w:tcPr>
            <w:tcW w:w="7305" w:type="dxa"/>
          </w:tcPr>
          <w:p w14:paraId="5787D851">
            <w:pPr>
              <w:pStyle w:val="34"/>
              <w:spacing w:before="92"/>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氟吡菌胺、苯醚甲环唑、呋虫胺、氯氟氰菊酯和高效氯氟氰菊酯、氧乐果、克百威、联苯</w:t>
            </w:r>
          </w:p>
          <w:p w14:paraId="644D8C5B">
            <w:pPr>
              <w:pStyle w:val="34"/>
              <w:spacing w:line="340" w:lineRule="atLeast"/>
              <w:ind w:left="108" w:right="25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菊酯、甲氨基阿维菌素苯甲酸盐、乐果、甲拌磷、氟虫腈、三唑磷、噻虫嗪、水胺硫磷吡虫啉、吡唑醚菌酯、敌敌畏、甲胺磷、铅（以Pb 计）、杀扑磷、乙酰甲胺磷、丙溴磷</w:t>
            </w:r>
          </w:p>
        </w:tc>
        <w:tc>
          <w:tcPr>
            <w:tcW w:w="1338" w:type="dxa"/>
          </w:tcPr>
          <w:p w14:paraId="7A9E0EF0">
            <w:pPr>
              <w:pStyle w:val="34"/>
              <w:rPr>
                <w:rFonts w:hint="eastAsia" w:asciiTheme="minorEastAsia" w:hAnsiTheme="minorEastAsia" w:eastAsiaTheme="minorEastAsia" w:cstheme="minorEastAsia"/>
                <w:spacing w:val="0"/>
                <w:position w:val="0"/>
                <w:sz w:val="21"/>
                <w:szCs w:val="21"/>
              </w:rPr>
            </w:pPr>
          </w:p>
        </w:tc>
      </w:tr>
      <w:tr w14:paraId="0B57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057" w:type="dxa"/>
            <w:vMerge w:val="continue"/>
            <w:tcBorders>
              <w:top w:val="nil"/>
            </w:tcBorders>
          </w:tcPr>
          <w:p w14:paraId="2C890884">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6B3656DA">
            <w:pPr>
              <w:rPr>
                <w:rFonts w:hint="eastAsia" w:asciiTheme="minorEastAsia" w:hAnsiTheme="minorEastAsia" w:eastAsiaTheme="minorEastAsia" w:cstheme="minorEastAsia"/>
                <w:spacing w:val="0"/>
                <w:position w:val="0"/>
                <w:sz w:val="21"/>
                <w:szCs w:val="21"/>
              </w:rPr>
            </w:pPr>
          </w:p>
        </w:tc>
        <w:tc>
          <w:tcPr>
            <w:tcW w:w="1245" w:type="dxa"/>
          </w:tcPr>
          <w:p w14:paraId="0CAA56D2">
            <w:pPr>
              <w:pStyle w:val="34"/>
              <w:spacing w:before="8"/>
              <w:rPr>
                <w:rFonts w:hint="eastAsia" w:asciiTheme="minorEastAsia" w:hAnsiTheme="minorEastAsia" w:eastAsiaTheme="minorEastAsia" w:cstheme="minorEastAsia"/>
                <w:spacing w:val="0"/>
                <w:position w:val="0"/>
                <w:sz w:val="21"/>
                <w:szCs w:val="21"/>
              </w:rPr>
            </w:pPr>
          </w:p>
          <w:p w14:paraId="10ADA38F">
            <w:pPr>
              <w:pStyle w:val="34"/>
              <w:spacing w:before="1"/>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茄子</w:t>
            </w:r>
          </w:p>
        </w:tc>
        <w:tc>
          <w:tcPr>
            <w:tcW w:w="2610" w:type="dxa"/>
          </w:tcPr>
          <w:p w14:paraId="5299B19C">
            <w:pPr>
              <w:pStyle w:val="34"/>
              <w:spacing w:before="16"/>
              <w:rPr>
                <w:rFonts w:hint="eastAsia" w:asciiTheme="minorEastAsia" w:hAnsiTheme="minorEastAsia" w:eastAsiaTheme="minorEastAsia" w:cstheme="minorEastAsia"/>
                <w:spacing w:val="0"/>
                <w:position w:val="0"/>
                <w:sz w:val="21"/>
                <w:szCs w:val="21"/>
              </w:rPr>
            </w:pPr>
          </w:p>
          <w:p w14:paraId="32EE022C">
            <w:pPr>
              <w:pStyle w:val="34"/>
              <w:ind w:left="359"/>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镉（以 Cd 计）、噻虫胺</w:t>
            </w:r>
          </w:p>
        </w:tc>
        <w:tc>
          <w:tcPr>
            <w:tcW w:w="7305" w:type="dxa"/>
          </w:tcPr>
          <w:p w14:paraId="77CFD159">
            <w:pPr>
              <w:pStyle w:val="34"/>
              <w:spacing w:before="40" w:line="340" w:lineRule="atLeast"/>
              <w:ind w:left="108" w:right="9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铅（以 Pb 计）、吡唑醚菌酯、毒死蜱、氟虫腈、甲氨基阿维菌素苯甲酸盐、甲胺磷、甲拌磷、克百威、噻虫嗪、霜霉威和霜霉威盐酸盐、水胺硫磷、氧乐果、乙酰甲胺磷</w:t>
            </w:r>
          </w:p>
        </w:tc>
        <w:tc>
          <w:tcPr>
            <w:tcW w:w="1338" w:type="dxa"/>
          </w:tcPr>
          <w:p w14:paraId="283B37C6">
            <w:pPr>
              <w:pStyle w:val="34"/>
              <w:rPr>
                <w:rFonts w:hint="eastAsia" w:asciiTheme="minorEastAsia" w:hAnsiTheme="minorEastAsia" w:eastAsiaTheme="minorEastAsia" w:cstheme="minorEastAsia"/>
                <w:spacing w:val="0"/>
                <w:position w:val="0"/>
                <w:sz w:val="21"/>
                <w:szCs w:val="21"/>
              </w:rPr>
            </w:pPr>
          </w:p>
        </w:tc>
      </w:tr>
      <w:tr w14:paraId="733AC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57" w:type="dxa"/>
            <w:vMerge w:val="continue"/>
            <w:tcBorders>
              <w:top w:val="nil"/>
            </w:tcBorders>
          </w:tcPr>
          <w:p w14:paraId="1A4C93FC">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34258375">
            <w:pPr>
              <w:rPr>
                <w:rFonts w:hint="eastAsia" w:asciiTheme="minorEastAsia" w:hAnsiTheme="minorEastAsia" w:eastAsiaTheme="minorEastAsia" w:cstheme="minorEastAsia"/>
                <w:spacing w:val="0"/>
                <w:position w:val="0"/>
                <w:sz w:val="21"/>
                <w:szCs w:val="21"/>
              </w:rPr>
            </w:pPr>
          </w:p>
        </w:tc>
        <w:tc>
          <w:tcPr>
            <w:tcW w:w="1245" w:type="dxa"/>
          </w:tcPr>
          <w:p w14:paraId="2E4BC61A">
            <w:pPr>
              <w:pStyle w:val="34"/>
              <w:spacing w:before="7"/>
              <w:rPr>
                <w:rFonts w:hint="eastAsia" w:asciiTheme="minorEastAsia" w:hAnsiTheme="minorEastAsia" w:eastAsiaTheme="minorEastAsia" w:cstheme="minorEastAsia"/>
                <w:spacing w:val="0"/>
                <w:position w:val="0"/>
                <w:sz w:val="21"/>
                <w:szCs w:val="21"/>
              </w:rPr>
            </w:pPr>
          </w:p>
          <w:p w14:paraId="7799386B">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甜椒</w:t>
            </w:r>
          </w:p>
        </w:tc>
        <w:tc>
          <w:tcPr>
            <w:tcW w:w="2610" w:type="dxa"/>
          </w:tcPr>
          <w:p w14:paraId="059CE733">
            <w:pPr>
              <w:pStyle w:val="34"/>
              <w:spacing w:before="14"/>
              <w:rPr>
                <w:rFonts w:hint="eastAsia" w:asciiTheme="minorEastAsia" w:hAnsiTheme="minorEastAsia" w:eastAsiaTheme="minorEastAsia" w:cstheme="minorEastAsia"/>
                <w:spacing w:val="0"/>
                <w:position w:val="0"/>
                <w:sz w:val="21"/>
                <w:szCs w:val="21"/>
              </w:rPr>
            </w:pPr>
          </w:p>
          <w:p w14:paraId="6D8A51BB">
            <w:pPr>
              <w:pStyle w:val="34"/>
              <w:spacing w:before="1"/>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噻虫胺</w:t>
            </w:r>
          </w:p>
        </w:tc>
        <w:tc>
          <w:tcPr>
            <w:tcW w:w="7305" w:type="dxa"/>
          </w:tcPr>
          <w:p w14:paraId="7D079E55">
            <w:pPr>
              <w:pStyle w:val="34"/>
              <w:spacing w:line="340" w:lineRule="atLeast"/>
              <w:ind w:left="108" w:right="8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阿维菌素、吡虫啉、倍硫磷、毒死蜱、噻虫嗪、镉（以 Cd 计）、吡唑醚菌酯、氧乐果、克百威</w:t>
            </w:r>
          </w:p>
        </w:tc>
        <w:tc>
          <w:tcPr>
            <w:tcW w:w="1338" w:type="dxa"/>
          </w:tcPr>
          <w:p w14:paraId="1EBB14C9">
            <w:pPr>
              <w:pStyle w:val="34"/>
              <w:rPr>
                <w:rFonts w:hint="eastAsia" w:asciiTheme="minorEastAsia" w:hAnsiTheme="minorEastAsia" w:eastAsiaTheme="minorEastAsia" w:cstheme="minorEastAsia"/>
                <w:spacing w:val="0"/>
                <w:position w:val="0"/>
                <w:sz w:val="21"/>
                <w:szCs w:val="21"/>
              </w:rPr>
            </w:pPr>
          </w:p>
        </w:tc>
      </w:tr>
      <w:tr w14:paraId="159A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057" w:type="dxa"/>
            <w:vMerge w:val="continue"/>
            <w:tcBorders>
              <w:top w:val="nil"/>
            </w:tcBorders>
          </w:tcPr>
          <w:p w14:paraId="5DB83B04">
            <w:pPr>
              <w:rPr>
                <w:rFonts w:hint="eastAsia" w:asciiTheme="minorEastAsia" w:hAnsiTheme="minorEastAsia" w:eastAsiaTheme="minorEastAsia" w:cstheme="minorEastAsia"/>
                <w:spacing w:val="0"/>
                <w:position w:val="0"/>
                <w:sz w:val="21"/>
                <w:szCs w:val="21"/>
              </w:rPr>
            </w:pPr>
          </w:p>
        </w:tc>
        <w:tc>
          <w:tcPr>
            <w:tcW w:w="1170" w:type="dxa"/>
          </w:tcPr>
          <w:p w14:paraId="4536E7F9">
            <w:pPr>
              <w:pStyle w:val="34"/>
              <w:spacing w:before="2"/>
              <w:rPr>
                <w:rFonts w:hint="eastAsia" w:asciiTheme="minorEastAsia" w:hAnsiTheme="minorEastAsia" w:eastAsiaTheme="minorEastAsia" w:cstheme="minorEastAsia"/>
                <w:spacing w:val="0"/>
                <w:position w:val="0"/>
                <w:sz w:val="21"/>
                <w:szCs w:val="21"/>
              </w:rPr>
            </w:pPr>
          </w:p>
          <w:p w14:paraId="5A4550F1">
            <w:pPr>
              <w:pStyle w:val="34"/>
              <w:ind w:left="13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叶菜类蔬菜</w:t>
            </w:r>
          </w:p>
        </w:tc>
        <w:tc>
          <w:tcPr>
            <w:tcW w:w="1245" w:type="dxa"/>
          </w:tcPr>
          <w:p w14:paraId="1D42CAA4">
            <w:pPr>
              <w:pStyle w:val="34"/>
              <w:spacing w:before="2"/>
              <w:rPr>
                <w:rFonts w:hint="eastAsia" w:asciiTheme="minorEastAsia" w:hAnsiTheme="minorEastAsia" w:eastAsiaTheme="minorEastAsia" w:cstheme="minorEastAsia"/>
                <w:spacing w:val="0"/>
                <w:position w:val="0"/>
                <w:sz w:val="21"/>
                <w:szCs w:val="21"/>
              </w:rPr>
            </w:pPr>
          </w:p>
          <w:p w14:paraId="091D818F">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芹菜</w:t>
            </w:r>
          </w:p>
        </w:tc>
        <w:tc>
          <w:tcPr>
            <w:tcW w:w="2610" w:type="dxa"/>
          </w:tcPr>
          <w:p w14:paraId="52DF9740">
            <w:pPr>
              <w:pStyle w:val="34"/>
              <w:spacing w:before="7"/>
              <w:rPr>
                <w:rFonts w:hint="eastAsia" w:asciiTheme="minorEastAsia" w:hAnsiTheme="minorEastAsia" w:eastAsiaTheme="minorEastAsia" w:cstheme="minorEastAsia"/>
                <w:spacing w:val="0"/>
                <w:position w:val="0"/>
                <w:sz w:val="21"/>
                <w:szCs w:val="21"/>
              </w:rPr>
            </w:pPr>
          </w:p>
          <w:p w14:paraId="41A22E60">
            <w:pPr>
              <w:pStyle w:val="34"/>
              <w:ind w:left="313"/>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毒死蜱、噻虫胺、甲拌磷</w:t>
            </w:r>
          </w:p>
        </w:tc>
        <w:tc>
          <w:tcPr>
            <w:tcW w:w="7305" w:type="dxa"/>
          </w:tcPr>
          <w:p w14:paraId="09975B9E">
            <w:pPr>
              <w:pStyle w:val="34"/>
              <w:spacing w:line="340" w:lineRule="atLeast"/>
              <w:ind w:left="108" w:right="97"/>
              <w:jc w:val="both"/>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氧乐果、氯氟氰菊酯和高效氯氟氰菊酯、噻虫嗪、阿维菌素、苯醚甲环唑、辛硫磷、铅（以 Pb 计）、镉（以 Cd 计）、水胺硫磷、克百威、氟虫腈、腈菌唑、敌敌畏、甲基异柳磷、啶虫脒、百菌清、乐果、乙酰甲胺磷、二甲戊灵、三氯杀螨醇、氯氰菊酯和高效氯氰菊酯</w:t>
            </w:r>
          </w:p>
        </w:tc>
        <w:tc>
          <w:tcPr>
            <w:tcW w:w="1338" w:type="dxa"/>
          </w:tcPr>
          <w:p w14:paraId="0C2CD8B6">
            <w:pPr>
              <w:pStyle w:val="34"/>
              <w:rPr>
                <w:rFonts w:hint="eastAsia" w:asciiTheme="minorEastAsia" w:hAnsiTheme="minorEastAsia" w:eastAsiaTheme="minorEastAsia" w:cstheme="minorEastAsia"/>
                <w:spacing w:val="0"/>
                <w:position w:val="0"/>
                <w:sz w:val="21"/>
                <w:szCs w:val="21"/>
              </w:rPr>
            </w:pPr>
          </w:p>
        </w:tc>
      </w:tr>
    </w:tbl>
    <w:p w14:paraId="6742CAAF">
      <w:pPr>
        <w:pStyle w:val="6"/>
        <w:spacing w:before="8"/>
        <w:rPr>
          <w:rFonts w:ascii="Arial Unicode MS"/>
          <w:spacing w:val="0"/>
          <w:position w:val="0"/>
          <w:sz w:val="10"/>
        </w:rPr>
      </w:pPr>
    </w:p>
    <w:p w14:paraId="490684AD"/>
    <w:tbl>
      <w:tblPr>
        <w:tblStyle w:val="17"/>
        <w:tblW w:w="0" w:type="auto"/>
        <w:tblInd w:w="8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1170"/>
        <w:gridCol w:w="1245"/>
        <w:gridCol w:w="2245"/>
        <w:gridCol w:w="7670"/>
        <w:gridCol w:w="1338"/>
      </w:tblGrid>
      <w:tr w14:paraId="2B5BF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7" w:type="dxa"/>
          </w:tcPr>
          <w:p w14:paraId="73C60F5E">
            <w:pPr>
              <w:pStyle w:val="34"/>
              <w:spacing w:before="76"/>
              <w:ind w:left="16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食品亚类</w:t>
            </w:r>
          </w:p>
          <w:p w14:paraId="3F33F1D3">
            <w:pPr>
              <w:pStyle w:val="34"/>
              <w:spacing w:before="89" w:line="224" w:lineRule="exact"/>
              <w:ind w:left="16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（二级</w:t>
            </w:r>
          </w:p>
        </w:tc>
        <w:tc>
          <w:tcPr>
            <w:tcW w:w="1170" w:type="dxa"/>
          </w:tcPr>
          <w:p w14:paraId="6881519B">
            <w:pPr>
              <w:pStyle w:val="34"/>
              <w:spacing w:before="76"/>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食品品种</w:t>
            </w:r>
          </w:p>
          <w:p w14:paraId="21983635">
            <w:pPr>
              <w:pStyle w:val="34"/>
              <w:spacing w:before="89" w:line="224" w:lineRule="exact"/>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（三级</w:t>
            </w:r>
          </w:p>
        </w:tc>
        <w:tc>
          <w:tcPr>
            <w:tcW w:w="1245" w:type="dxa"/>
          </w:tcPr>
          <w:p w14:paraId="095FD524">
            <w:pPr>
              <w:pStyle w:val="34"/>
              <w:spacing w:before="76"/>
              <w:ind w:left="26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食品细类</w:t>
            </w:r>
          </w:p>
          <w:p w14:paraId="27F97563">
            <w:pPr>
              <w:pStyle w:val="34"/>
              <w:spacing w:before="89" w:line="224" w:lineRule="exact"/>
              <w:ind w:left="26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（四级</w:t>
            </w:r>
          </w:p>
        </w:tc>
        <w:tc>
          <w:tcPr>
            <w:tcW w:w="2245" w:type="dxa"/>
          </w:tcPr>
          <w:p w14:paraId="2BE2A005">
            <w:pPr>
              <w:pStyle w:val="34"/>
              <w:spacing w:before="5"/>
              <w:rPr>
                <w:rFonts w:hint="eastAsia" w:asciiTheme="minorEastAsia" w:hAnsiTheme="minorEastAsia" w:eastAsiaTheme="minorEastAsia" w:cstheme="minorEastAsia"/>
                <w:spacing w:val="0"/>
                <w:position w:val="0"/>
                <w:sz w:val="21"/>
                <w:szCs w:val="21"/>
              </w:rPr>
            </w:pPr>
          </w:p>
          <w:p w14:paraId="640DFC7A">
            <w:pPr>
              <w:pStyle w:val="34"/>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必检项目</w:t>
            </w:r>
          </w:p>
        </w:tc>
        <w:tc>
          <w:tcPr>
            <w:tcW w:w="7670" w:type="dxa"/>
          </w:tcPr>
          <w:p w14:paraId="5BE31DAB">
            <w:pPr>
              <w:pStyle w:val="34"/>
              <w:spacing w:before="5"/>
              <w:rPr>
                <w:rFonts w:hint="eastAsia" w:asciiTheme="minorEastAsia" w:hAnsiTheme="minorEastAsia" w:eastAsiaTheme="minorEastAsia" w:cstheme="minorEastAsia"/>
                <w:spacing w:val="0"/>
                <w:position w:val="0"/>
                <w:sz w:val="21"/>
                <w:szCs w:val="21"/>
              </w:rPr>
            </w:pPr>
          </w:p>
          <w:p w14:paraId="38DA6FDD">
            <w:pPr>
              <w:pStyle w:val="34"/>
              <w:ind w:right="3270"/>
              <w:jc w:val="center"/>
              <w:rPr>
                <w:rFonts w:hint="eastAsia" w:asciiTheme="minorEastAsia" w:hAnsiTheme="minorEastAsia" w:eastAsiaTheme="minorEastAsia" w:cstheme="minorEastAsia"/>
                <w:spacing w:val="0"/>
                <w:position w:val="0"/>
                <w:sz w:val="21"/>
                <w:szCs w:val="21"/>
                <w:lang w:eastAsia="zh-CN"/>
              </w:rPr>
            </w:pPr>
            <w:r>
              <w:rPr>
                <w:rFonts w:hint="eastAsia" w:asciiTheme="minorEastAsia" w:hAnsiTheme="minorEastAsia" w:eastAsiaTheme="minorEastAsia" w:cstheme="minorEastAsia"/>
                <w:spacing w:val="0"/>
                <w:position w:val="0"/>
                <w:sz w:val="21"/>
                <w:szCs w:val="21"/>
              </w:rPr>
              <w:t>可选</w:t>
            </w:r>
            <w:r>
              <w:rPr>
                <w:rFonts w:hint="eastAsia" w:asciiTheme="minorEastAsia" w:hAnsiTheme="minorEastAsia" w:eastAsiaTheme="minorEastAsia" w:cstheme="minorEastAsia"/>
                <w:spacing w:val="0"/>
                <w:position w:val="0"/>
                <w:sz w:val="21"/>
                <w:szCs w:val="21"/>
                <w:lang w:val="en-US" w:eastAsia="zh-CN"/>
              </w:rPr>
              <w:t>项目</w:t>
            </w:r>
          </w:p>
        </w:tc>
        <w:tc>
          <w:tcPr>
            <w:tcW w:w="1338" w:type="dxa"/>
          </w:tcPr>
          <w:p w14:paraId="5CD47AF8">
            <w:pPr>
              <w:pStyle w:val="34"/>
              <w:spacing w:before="5"/>
              <w:rPr>
                <w:rFonts w:hint="eastAsia" w:asciiTheme="minorEastAsia" w:hAnsiTheme="minorEastAsia" w:eastAsiaTheme="minorEastAsia" w:cstheme="minorEastAsia"/>
                <w:spacing w:val="0"/>
                <w:position w:val="0"/>
                <w:sz w:val="21"/>
                <w:szCs w:val="21"/>
              </w:rPr>
            </w:pPr>
          </w:p>
          <w:p w14:paraId="4201C854">
            <w:pPr>
              <w:pStyle w:val="34"/>
              <w:ind w:right="465"/>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备注</w:t>
            </w:r>
          </w:p>
        </w:tc>
      </w:tr>
      <w:tr w14:paraId="40ED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57" w:type="dxa"/>
            <w:vMerge w:val="restart"/>
          </w:tcPr>
          <w:p w14:paraId="55F77323">
            <w:pPr>
              <w:pStyle w:val="34"/>
              <w:rPr>
                <w:rFonts w:hint="eastAsia" w:asciiTheme="minorEastAsia" w:hAnsiTheme="minorEastAsia" w:eastAsiaTheme="minorEastAsia" w:cstheme="minorEastAsia"/>
                <w:spacing w:val="0"/>
                <w:position w:val="0"/>
                <w:sz w:val="21"/>
                <w:szCs w:val="21"/>
              </w:rPr>
            </w:pPr>
          </w:p>
          <w:p w14:paraId="3FA4B739">
            <w:pPr>
              <w:pStyle w:val="34"/>
              <w:rPr>
                <w:rFonts w:hint="eastAsia" w:asciiTheme="minorEastAsia" w:hAnsiTheme="minorEastAsia" w:eastAsiaTheme="minorEastAsia" w:cstheme="minorEastAsia"/>
                <w:spacing w:val="0"/>
                <w:position w:val="0"/>
                <w:sz w:val="21"/>
                <w:szCs w:val="21"/>
              </w:rPr>
            </w:pPr>
          </w:p>
          <w:p w14:paraId="22330386">
            <w:pPr>
              <w:pStyle w:val="34"/>
              <w:rPr>
                <w:rFonts w:hint="eastAsia" w:asciiTheme="minorEastAsia" w:hAnsiTheme="minorEastAsia" w:eastAsiaTheme="minorEastAsia" w:cstheme="minorEastAsia"/>
                <w:spacing w:val="0"/>
                <w:position w:val="0"/>
                <w:sz w:val="21"/>
                <w:szCs w:val="21"/>
              </w:rPr>
            </w:pPr>
          </w:p>
          <w:p w14:paraId="5B007CBE">
            <w:pPr>
              <w:pStyle w:val="34"/>
              <w:rPr>
                <w:rFonts w:hint="eastAsia" w:asciiTheme="minorEastAsia" w:hAnsiTheme="minorEastAsia" w:eastAsiaTheme="minorEastAsia" w:cstheme="minorEastAsia"/>
                <w:spacing w:val="0"/>
                <w:position w:val="0"/>
                <w:sz w:val="21"/>
                <w:szCs w:val="21"/>
              </w:rPr>
            </w:pPr>
          </w:p>
          <w:p w14:paraId="375D47A9">
            <w:pPr>
              <w:pStyle w:val="34"/>
              <w:spacing w:before="15"/>
              <w:rPr>
                <w:rFonts w:hint="eastAsia" w:asciiTheme="minorEastAsia" w:hAnsiTheme="minorEastAsia" w:eastAsiaTheme="minorEastAsia" w:cstheme="minorEastAsia"/>
                <w:spacing w:val="0"/>
                <w:position w:val="0"/>
                <w:sz w:val="21"/>
                <w:szCs w:val="21"/>
              </w:rPr>
            </w:pPr>
          </w:p>
          <w:p w14:paraId="0EDEFAB0">
            <w:pPr>
              <w:pStyle w:val="34"/>
              <w:ind w:left="25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水产品</w:t>
            </w:r>
          </w:p>
        </w:tc>
        <w:tc>
          <w:tcPr>
            <w:tcW w:w="1170" w:type="dxa"/>
          </w:tcPr>
          <w:p w14:paraId="14D55A0D">
            <w:pPr>
              <w:pStyle w:val="34"/>
              <w:rPr>
                <w:rFonts w:hint="eastAsia" w:asciiTheme="minorEastAsia" w:hAnsiTheme="minorEastAsia" w:eastAsiaTheme="minorEastAsia" w:cstheme="minorEastAsia"/>
                <w:spacing w:val="0"/>
                <w:position w:val="0"/>
                <w:sz w:val="21"/>
                <w:szCs w:val="21"/>
              </w:rPr>
            </w:pPr>
          </w:p>
          <w:p w14:paraId="6FCD784B">
            <w:pPr>
              <w:pStyle w:val="34"/>
              <w:ind w:left="119" w:righ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淡水产品</w:t>
            </w:r>
          </w:p>
        </w:tc>
        <w:tc>
          <w:tcPr>
            <w:tcW w:w="1245" w:type="dxa"/>
          </w:tcPr>
          <w:p w14:paraId="42423711">
            <w:pPr>
              <w:pStyle w:val="34"/>
              <w:rPr>
                <w:rFonts w:hint="eastAsia" w:asciiTheme="minorEastAsia" w:hAnsiTheme="minorEastAsia" w:eastAsiaTheme="minorEastAsia" w:cstheme="minorEastAsia"/>
                <w:spacing w:val="0"/>
                <w:position w:val="0"/>
                <w:sz w:val="21"/>
                <w:szCs w:val="21"/>
              </w:rPr>
            </w:pPr>
          </w:p>
          <w:p w14:paraId="58B606C9">
            <w:pPr>
              <w:pStyle w:val="34"/>
              <w:ind w:left="246" w:right="23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淡水鱼</w:t>
            </w:r>
          </w:p>
        </w:tc>
        <w:tc>
          <w:tcPr>
            <w:tcW w:w="2245" w:type="dxa"/>
          </w:tcPr>
          <w:p w14:paraId="1EA279DB">
            <w:pPr>
              <w:pStyle w:val="34"/>
              <w:spacing w:before="43" w:line="268" w:lineRule="auto"/>
              <w:ind w:left="133" w:right="6" w:hanging="2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恩诺沙星、孔雀石绿、地西泮、五氯酚酸钠（以五氯酚计）</w:t>
            </w:r>
          </w:p>
          <w:p w14:paraId="47A16723">
            <w:pPr>
              <w:pStyle w:val="34"/>
              <w:spacing w:line="213" w:lineRule="exact"/>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磺胺类（总量）、氧氟沙星</w:t>
            </w:r>
          </w:p>
        </w:tc>
        <w:tc>
          <w:tcPr>
            <w:tcW w:w="7670" w:type="dxa"/>
          </w:tcPr>
          <w:p w14:paraId="62E78D0A">
            <w:pPr>
              <w:pStyle w:val="34"/>
              <w:spacing w:before="185" w:line="266" w:lineRule="auto"/>
              <w:ind w:left="108" w:right="9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挥发性盐基氮、镉（以 Cd 计）、氯霉素、呋喃唑酮代谢物、呋喃西林代谢物、呋喃妥因代谢物、沙拉沙星、甲氧苄啶、氟苯尼考、甲硝唑、诺氟沙星、培氟沙星</w:t>
            </w:r>
          </w:p>
        </w:tc>
        <w:tc>
          <w:tcPr>
            <w:tcW w:w="1338" w:type="dxa"/>
          </w:tcPr>
          <w:p w14:paraId="71E6CD77">
            <w:pPr>
              <w:pStyle w:val="34"/>
              <w:rPr>
                <w:rFonts w:hint="eastAsia" w:asciiTheme="minorEastAsia" w:hAnsiTheme="minorEastAsia" w:eastAsiaTheme="minorEastAsia" w:cstheme="minorEastAsia"/>
                <w:spacing w:val="0"/>
                <w:position w:val="0"/>
                <w:sz w:val="21"/>
                <w:szCs w:val="21"/>
              </w:rPr>
            </w:pPr>
          </w:p>
        </w:tc>
      </w:tr>
      <w:tr w14:paraId="4750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057" w:type="dxa"/>
            <w:vMerge w:val="continue"/>
            <w:tcBorders>
              <w:top w:val="nil"/>
            </w:tcBorders>
          </w:tcPr>
          <w:p w14:paraId="035071AA">
            <w:pPr>
              <w:rPr>
                <w:rFonts w:hint="eastAsia" w:asciiTheme="minorEastAsia" w:hAnsiTheme="minorEastAsia" w:eastAsiaTheme="minorEastAsia" w:cstheme="minorEastAsia"/>
                <w:spacing w:val="0"/>
                <w:position w:val="0"/>
                <w:sz w:val="21"/>
                <w:szCs w:val="21"/>
              </w:rPr>
            </w:pPr>
          </w:p>
        </w:tc>
        <w:tc>
          <w:tcPr>
            <w:tcW w:w="1170" w:type="dxa"/>
            <w:vMerge w:val="restart"/>
          </w:tcPr>
          <w:p w14:paraId="0C63B426">
            <w:pPr>
              <w:pStyle w:val="34"/>
              <w:rPr>
                <w:rFonts w:hint="eastAsia" w:asciiTheme="minorEastAsia" w:hAnsiTheme="minorEastAsia" w:eastAsiaTheme="minorEastAsia" w:cstheme="minorEastAsia"/>
                <w:spacing w:val="0"/>
                <w:position w:val="0"/>
                <w:sz w:val="21"/>
                <w:szCs w:val="21"/>
              </w:rPr>
            </w:pPr>
          </w:p>
          <w:p w14:paraId="338CF5D0">
            <w:pPr>
              <w:pStyle w:val="34"/>
              <w:spacing w:before="12"/>
              <w:rPr>
                <w:rFonts w:hint="eastAsia" w:asciiTheme="minorEastAsia" w:hAnsiTheme="minorEastAsia" w:eastAsiaTheme="minorEastAsia" w:cstheme="minorEastAsia"/>
                <w:spacing w:val="0"/>
                <w:position w:val="0"/>
                <w:sz w:val="21"/>
                <w:szCs w:val="21"/>
              </w:rPr>
            </w:pPr>
          </w:p>
          <w:p w14:paraId="23EA6499">
            <w:pPr>
              <w:pStyle w:val="34"/>
              <w:spacing w:before="1"/>
              <w:ind w:left="22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海水产品</w:t>
            </w:r>
          </w:p>
        </w:tc>
        <w:tc>
          <w:tcPr>
            <w:tcW w:w="1245" w:type="dxa"/>
          </w:tcPr>
          <w:p w14:paraId="086D5AC5">
            <w:pPr>
              <w:pStyle w:val="34"/>
              <w:spacing w:before="17"/>
              <w:rPr>
                <w:rFonts w:hint="eastAsia" w:asciiTheme="minorEastAsia" w:hAnsiTheme="minorEastAsia" w:eastAsiaTheme="minorEastAsia" w:cstheme="minorEastAsia"/>
                <w:spacing w:val="0"/>
                <w:position w:val="0"/>
                <w:sz w:val="21"/>
                <w:szCs w:val="21"/>
              </w:rPr>
            </w:pPr>
          </w:p>
          <w:p w14:paraId="70FAF351">
            <w:pPr>
              <w:pStyle w:val="34"/>
              <w:ind w:left="246" w:right="23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海水虾</w:t>
            </w:r>
          </w:p>
        </w:tc>
        <w:tc>
          <w:tcPr>
            <w:tcW w:w="2245" w:type="dxa"/>
          </w:tcPr>
          <w:p w14:paraId="0D283253">
            <w:pPr>
              <w:pStyle w:val="34"/>
              <w:spacing w:before="5"/>
              <w:rPr>
                <w:rFonts w:hint="eastAsia" w:asciiTheme="minorEastAsia" w:hAnsiTheme="minorEastAsia" w:eastAsiaTheme="minorEastAsia" w:cstheme="minorEastAsia"/>
                <w:spacing w:val="0"/>
                <w:position w:val="0"/>
                <w:sz w:val="21"/>
                <w:szCs w:val="21"/>
              </w:rPr>
            </w:pPr>
          </w:p>
          <w:p w14:paraId="1755367A">
            <w:pPr>
              <w:pStyle w:val="34"/>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二氧化硫残留量</w:t>
            </w:r>
          </w:p>
        </w:tc>
        <w:tc>
          <w:tcPr>
            <w:tcW w:w="7670" w:type="dxa"/>
          </w:tcPr>
          <w:p w14:paraId="65D5B3F2">
            <w:pPr>
              <w:pStyle w:val="34"/>
              <w:spacing w:line="280" w:lineRule="atLeast"/>
              <w:ind w:left="108" w:right="75"/>
              <w:jc w:val="both"/>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挥发性盐基氮、镉（以 Cd 计）、孔雀石绿、氯霉素、呋喃唑酮代谢物、呋喃它酮代谢物、呋喃妥因代谢物、五氯酚酸钠（以五氯酚计）、恩诺沙星、磺胺类（总量）、土霉素</w:t>
            </w:r>
            <w:r>
              <w:rPr>
                <w:rFonts w:hint="eastAsia" w:asciiTheme="minorEastAsia" w:hAnsiTheme="minorEastAsia" w:eastAsiaTheme="minorEastAsia" w:cstheme="minorEastAsia"/>
                <w:spacing w:val="0"/>
                <w:w w:val="170"/>
                <w:position w:val="0"/>
                <w:sz w:val="21"/>
                <w:szCs w:val="21"/>
              </w:rPr>
              <w:t>/</w:t>
            </w:r>
            <w:r>
              <w:rPr>
                <w:rFonts w:hint="eastAsia" w:asciiTheme="minorEastAsia" w:hAnsiTheme="minorEastAsia" w:eastAsiaTheme="minorEastAsia" w:cstheme="minorEastAsia"/>
                <w:spacing w:val="0"/>
                <w:position w:val="0"/>
                <w:sz w:val="21"/>
                <w:szCs w:val="21"/>
              </w:rPr>
              <w:t>金霉素</w:t>
            </w:r>
            <w:r>
              <w:rPr>
                <w:rFonts w:hint="eastAsia" w:asciiTheme="minorEastAsia" w:hAnsiTheme="minorEastAsia" w:eastAsiaTheme="minorEastAsia" w:cstheme="minorEastAsia"/>
                <w:spacing w:val="0"/>
                <w:w w:val="170"/>
                <w:position w:val="0"/>
                <w:sz w:val="21"/>
                <w:szCs w:val="21"/>
              </w:rPr>
              <w:t>/</w:t>
            </w:r>
            <w:r>
              <w:rPr>
                <w:rFonts w:hint="eastAsia" w:asciiTheme="minorEastAsia" w:hAnsiTheme="minorEastAsia" w:eastAsiaTheme="minorEastAsia" w:cstheme="minorEastAsia"/>
                <w:spacing w:val="0"/>
                <w:position w:val="0"/>
                <w:sz w:val="21"/>
                <w:szCs w:val="21"/>
              </w:rPr>
              <w:t>四环素（组合含量）、诺氟沙星</w:t>
            </w:r>
          </w:p>
        </w:tc>
        <w:tc>
          <w:tcPr>
            <w:tcW w:w="1338" w:type="dxa"/>
          </w:tcPr>
          <w:p w14:paraId="7E0BAAB2">
            <w:pPr>
              <w:pStyle w:val="34"/>
              <w:rPr>
                <w:rFonts w:hint="eastAsia" w:asciiTheme="minorEastAsia" w:hAnsiTheme="minorEastAsia" w:eastAsiaTheme="minorEastAsia" w:cstheme="minorEastAsia"/>
                <w:spacing w:val="0"/>
                <w:position w:val="0"/>
                <w:sz w:val="21"/>
                <w:szCs w:val="21"/>
              </w:rPr>
            </w:pPr>
          </w:p>
        </w:tc>
      </w:tr>
      <w:tr w14:paraId="58303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1057" w:type="dxa"/>
            <w:vMerge w:val="continue"/>
            <w:tcBorders>
              <w:top w:val="nil"/>
            </w:tcBorders>
          </w:tcPr>
          <w:p w14:paraId="0636B73C">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0C710749">
            <w:pPr>
              <w:rPr>
                <w:rFonts w:hint="eastAsia" w:asciiTheme="minorEastAsia" w:hAnsiTheme="minorEastAsia" w:eastAsiaTheme="minorEastAsia" w:cstheme="minorEastAsia"/>
                <w:spacing w:val="0"/>
                <w:position w:val="0"/>
                <w:sz w:val="21"/>
                <w:szCs w:val="21"/>
              </w:rPr>
            </w:pPr>
          </w:p>
        </w:tc>
        <w:tc>
          <w:tcPr>
            <w:tcW w:w="1245" w:type="dxa"/>
          </w:tcPr>
          <w:p w14:paraId="27407744">
            <w:pPr>
              <w:pStyle w:val="34"/>
              <w:spacing w:before="12"/>
              <w:rPr>
                <w:rFonts w:hint="eastAsia" w:asciiTheme="minorEastAsia" w:hAnsiTheme="minorEastAsia" w:eastAsiaTheme="minorEastAsia" w:cstheme="minorEastAsia"/>
                <w:spacing w:val="0"/>
                <w:position w:val="0"/>
                <w:sz w:val="21"/>
                <w:szCs w:val="21"/>
              </w:rPr>
            </w:pPr>
          </w:p>
          <w:p w14:paraId="0BF87B92">
            <w:pPr>
              <w:pStyle w:val="34"/>
              <w:ind w:left="246" w:right="23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海水鱼</w:t>
            </w:r>
          </w:p>
        </w:tc>
        <w:tc>
          <w:tcPr>
            <w:tcW w:w="2245" w:type="dxa"/>
          </w:tcPr>
          <w:p w14:paraId="7BEC1414">
            <w:pPr>
              <w:pStyle w:val="34"/>
              <w:rPr>
                <w:rFonts w:hint="eastAsia" w:asciiTheme="minorEastAsia" w:hAnsiTheme="minorEastAsia" w:eastAsiaTheme="minorEastAsia" w:cstheme="minorEastAsia"/>
                <w:spacing w:val="0"/>
                <w:position w:val="0"/>
                <w:sz w:val="21"/>
                <w:szCs w:val="21"/>
              </w:rPr>
            </w:pPr>
          </w:p>
          <w:p w14:paraId="5E1782C7">
            <w:pPr>
              <w:pStyle w:val="34"/>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恩诺沙星</w:t>
            </w:r>
          </w:p>
        </w:tc>
        <w:tc>
          <w:tcPr>
            <w:tcW w:w="7670" w:type="dxa"/>
          </w:tcPr>
          <w:p w14:paraId="4818170B">
            <w:pPr>
              <w:pStyle w:val="34"/>
              <w:spacing w:before="182" w:line="266" w:lineRule="auto"/>
              <w:ind w:left="108" w:right="94"/>
              <w:jc w:val="both"/>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挥发性盐基氮、组胺、镉（以 Cd 计）、孔雀石绿、氯霉素、呋喃唑酮代谢物、呋喃它酮代谢物、呋喃西林代谢物、五氯酚酸钠（以五氯酚计）、磺胺类（总量）、土霉素</w:t>
            </w:r>
            <w:r>
              <w:rPr>
                <w:rFonts w:hint="eastAsia" w:asciiTheme="minorEastAsia" w:hAnsiTheme="minorEastAsia" w:eastAsiaTheme="minorEastAsia" w:cstheme="minorEastAsia"/>
                <w:spacing w:val="0"/>
                <w:w w:val="170"/>
                <w:position w:val="0"/>
                <w:sz w:val="21"/>
                <w:szCs w:val="21"/>
              </w:rPr>
              <w:t>/</w:t>
            </w:r>
            <w:r>
              <w:rPr>
                <w:rFonts w:hint="eastAsia" w:asciiTheme="minorEastAsia" w:hAnsiTheme="minorEastAsia" w:eastAsiaTheme="minorEastAsia" w:cstheme="minorEastAsia"/>
                <w:spacing w:val="0"/>
                <w:position w:val="0"/>
                <w:sz w:val="21"/>
                <w:szCs w:val="21"/>
              </w:rPr>
              <w:t>金霉素</w:t>
            </w:r>
            <w:r>
              <w:rPr>
                <w:rFonts w:hint="eastAsia" w:asciiTheme="minorEastAsia" w:hAnsiTheme="minorEastAsia" w:eastAsiaTheme="minorEastAsia" w:cstheme="minorEastAsia"/>
                <w:spacing w:val="0"/>
                <w:w w:val="170"/>
                <w:position w:val="0"/>
                <w:sz w:val="21"/>
                <w:szCs w:val="21"/>
              </w:rPr>
              <w:t>/</w:t>
            </w:r>
            <w:r>
              <w:rPr>
                <w:rFonts w:hint="eastAsia" w:asciiTheme="minorEastAsia" w:hAnsiTheme="minorEastAsia" w:eastAsiaTheme="minorEastAsia" w:cstheme="minorEastAsia"/>
                <w:spacing w:val="0"/>
                <w:position w:val="0"/>
                <w:sz w:val="21"/>
                <w:szCs w:val="21"/>
              </w:rPr>
              <w:t>四环素（组合含量）、甲氧苄啶、甲硝唑、氧氟沙星、培氟沙星、诺氟沙星</w:t>
            </w:r>
          </w:p>
        </w:tc>
        <w:tc>
          <w:tcPr>
            <w:tcW w:w="1338" w:type="dxa"/>
          </w:tcPr>
          <w:p w14:paraId="19F8BE43">
            <w:pPr>
              <w:pStyle w:val="34"/>
              <w:rPr>
                <w:rFonts w:hint="eastAsia" w:asciiTheme="minorEastAsia" w:hAnsiTheme="minorEastAsia" w:eastAsiaTheme="minorEastAsia" w:cstheme="minorEastAsia"/>
                <w:spacing w:val="0"/>
                <w:position w:val="0"/>
                <w:sz w:val="21"/>
                <w:szCs w:val="21"/>
              </w:rPr>
            </w:pPr>
          </w:p>
        </w:tc>
      </w:tr>
      <w:tr w14:paraId="1D8BD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057" w:type="dxa"/>
            <w:vMerge w:val="continue"/>
            <w:tcBorders>
              <w:top w:val="nil"/>
            </w:tcBorders>
          </w:tcPr>
          <w:p w14:paraId="64ADB6F4">
            <w:pPr>
              <w:rPr>
                <w:rFonts w:hint="eastAsia" w:asciiTheme="minorEastAsia" w:hAnsiTheme="minorEastAsia" w:eastAsiaTheme="minorEastAsia" w:cstheme="minorEastAsia"/>
                <w:spacing w:val="0"/>
                <w:position w:val="0"/>
                <w:sz w:val="21"/>
                <w:szCs w:val="21"/>
              </w:rPr>
            </w:pPr>
          </w:p>
        </w:tc>
        <w:tc>
          <w:tcPr>
            <w:tcW w:w="1170" w:type="dxa"/>
          </w:tcPr>
          <w:p w14:paraId="1F4F195D">
            <w:pPr>
              <w:pStyle w:val="34"/>
              <w:rPr>
                <w:rFonts w:hint="eastAsia" w:asciiTheme="minorEastAsia" w:hAnsiTheme="minorEastAsia" w:eastAsiaTheme="minorEastAsia" w:cstheme="minorEastAsia"/>
                <w:spacing w:val="0"/>
                <w:position w:val="0"/>
                <w:sz w:val="21"/>
                <w:szCs w:val="21"/>
              </w:rPr>
            </w:pPr>
          </w:p>
          <w:p w14:paraId="17883B54">
            <w:pPr>
              <w:pStyle w:val="34"/>
              <w:spacing w:before="13"/>
              <w:rPr>
                <w:rFonts w:hint="eastAsia" w:asciiTheme="minorEastAsia" w:hAnsiTheme="minorEastAsia" w:eastAsiaTheme="minorEastAsia" w:cstheme="minorEastAsia"/>
                <w:spacing w:val="0"/>
                <w:position w:val="0"/>
                <w:sz w:val="21"/>
                <w:szCs w:val="21"/>
              </w:rPr>
            </w:pPr>
          </w:p>
          <w:p w14:paraId="25A46A95">
            <w:pPr>
              <w:pStyle w:val="34"/>
              <w:spacing w:before="1"/>
              <w:ind w:left="119" w:right="11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其他水产品</w:t>
            </w:r>
          </w:p>
        </w:tc>
        <w:tc>
          <w:tcPr>
            <w:tcW w:w="1245" w:type="dxa"/>
          </w:tcPr>
          <w:p w14:paraId="284BD55B">
            <w:pPr>
              <w:pStyle w:val="34"/>
              <w:spacing w:before="13"/>
              <w:rPr>
                <w:rFonts w:hint="eastAsia" w:asciiTheme="minorEastAsia" w:hAnsiTheme="minorEastAsia" w:eastAsiaTheme="minorEastAsia" w:cstheme="minorEastAsia"/>
                <w:spacing w:val="0"/>
                <w:position w:val="0"/>
                <w:sz w:val="21"/>
                <w:szCs w:val="21"/>
              </w:rPr>
            </w:pPr>
          </w:p>
          <w:p w14:paraId="0EB65D94">
            <w:pPr>
              <w:pStyle w:val="34"/>
              <w:ind w:left="17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其他水产品</w:t>
            </w:r>
          </w:p>
          <w:p w14:paraId="0AA1FFD6">
            <w:pPr>
              <w:pStyle w:val="34"/>
              <w:spacing w:before="67" w:line="307" w:lineRule="auto"/>
              <w:ind w:left="351" w:right="46" w:hanging="245"/>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（重点品种：牛蛙）</w:t>
            </w:r>
          </w:p>
        </w:tc>
        <w:tc>
          <w:tcPr>
            <w:tcW w:w="2245" w:type="dxa"/>
          </w:tcPr>
          <w:p w14:paraId="041CE4FE">
            <w:pPr>
              <w:pStyle w:val="34"/>
              <w:spacing w:before="1"/>
              <w:rPr>
                <w:rFonts w:hint="eastAsia" w:asciiTheme="minorEastAsia" w:hAnsiTheme="minorEastAsia" w:eastAsiaTheme="minorEastAsia" w:cstheme="minorEastAsia"/>
                <w:spacing w:val="0"/>
                <w:position w:val="0"/>
                <w:sz w:val="21"/>
                <w:szCs w:val="21"/>
              </w:rPr>
            </w:pPr>
          </w:p>
          <w:p w14:paraId="1BCF3776">
            <w:pPr>
              <w:pStyle w:val="34"/>
              <w:spacing w:before="1"/>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恩诺沙星 a、呋喃西林代谢物</w:t>
            </w:r>
          </w:p>
        </w:tc>
        <w:tc>
          <w:tcPr>
            <w:tcW w:w="7670" w:type="dxa"/>
          </w:tcPr>
          <w:p w14:paraId="3845FD86">
            <w:pPr>
              <w:pStyle w:val="34"/>
              <w:spacing w:before="4"/>
              <w:rPr>
                <w:rFonts w:hint="eastAsia" w:asciiTheme="minorEastAsia" w:hAnsiTheme="minorEastAsia" w:eastAsiaTheme="minorEastAsia" w:cstheme="minorEastAsia"/>
                <w:spacing w:val="0"/>
                <w:position w:val="0"/>
                <w:sz w:val="21"/>
                <w:szCs w:val="21"/>
              </w:rPr>
            </w:pPr>
          </w:p>
          <w:p w14:paraId="5708C201">
            <w:pPr>
              <w:pStyle w:val="34"/>
              <w:spacing w:line="268" w:lineRule="auto"/>
              <w:ind w:left="108" w:right="9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镉（以 Cd 计）b、孔雀石绿、氯霉素、呋喃唑酮代谢物、呋喃妥因代谢物、五氯酚酸钠（以五氯酚计）、磺胺类（总量）a、氟苯尼考 a、甲硝唑 a、氧氟沙星 a、诺氟沙星 a</w:t>
            </w:r>
          </w:p>
        </w:tc>
        <w:tc>
          <w:tcPr>
            <w:tcW w:w="1338" w:type="dxa"/>
          </w:tcPr>
          <w:p w14:paraId="78E678D8">
            <w:pPr>
              <w:pStyle w:val="34"/>
              <w:spacing w:before="44" w:line="266" w:lineRule="auto"/>
              <w:ind w:left="128" w:right="117"/>
              <w:jc w:val="both"/>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a. 仅蛙科、鳖科食品动物检测 b. 限头足类、腹足类棘皮类检测</w:t>
            </w:r>
          </w:p>
        </w:tc>
      </w:tr>
      <w:tr w14:paraId="50EB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57" w:type="dxa"/>
            <w:vMerge w:val="restart"/>
          </w:tcPr>
          <w:p w14:paraId="61EC5B08">
            <w:pPr>
              <w:pStyle w:val="34"/>
              <w:rPr>
                <w:rFonts w:hint="eastAsia" w:asciiTheme="minorEastAsia" w:hAnsiTheme="minorEastAsia" w:eastAsiaTheme="minorEastAsia" w:cstheme="minorEastAsia"/>
                <w:spacing w:val="0"/>
                <w:position w:val="0"/>
                <w:sz w:val="21"/>
                <w:szCs w:val="21"/>
              </w:rPr>
            </w:pPr>
          </w:p>
          <w:p w14:paraId="6E57FBA9">
            <w:pPr>
              <w:pStyle w:val="34"/>
              <w:rPr>
                <w:rFonts w:hint="eastAsia" w:asciiTheme="minorEastAsia" w:hAnsiTheme="minorEastAsia" w:eastAsiaTheme="minorEastAsia" w:cstheme="minorEastAsia"/>
                <w:spacing w:val="0"/>
                <w:position w:val="0"/>
                <w:sz w:val="21"/>
                <w:szCs w:val="21"/>
              </w:rPr>
            </w:pPr>
          </w:p>
          <w:p w14:paraId="6B866D3C">
            <w:pPr>
              <w:pStyle w:val="34"/>
              <w:rPr>
                <w:rFonts w:hint="eastAsia" w:asciiTheme="minorEastAsia" w:hAnsiTheme="minorEastAsia" w:eastAsiaTheme="minorEastAsia" w:cstheme="minorEastAsia"/>
                <w:spacing w:val="0"/>
                <w:position w:val="0"/>
                <w:sz w:val="21"/>
                <w:szCs w:val="21"/>
              </w:rPr>
            </w:pPr>
          </w:p>
          <w:p w14:paraId="16BCFE5A">
            <w:pPr>
              <w:pStyle w:val="34"/>
              <w:spacing w:before="15"/>
              <w:rPr>
                <w:rFonts w:hint="eastAsia" w:asciiTheme="minorEastAsia" w:hAnsiTheme="minorEastAsia" w:eastAsiaTheme="minorEastAsia" w:cstheme="minorEastAsia"/>
                <w:spacing w:val="0"/>
                <w:position w:val="0"/>
                <w:sz w:val="21"/>
                <w:szCs w:val="21"/>
              </w:rPr>
            </w:pPr>
          </w:p>
          <w:p w14:paraId="11F07249">
            <w:pPr>
              <w:pStyle w:val="34"/>
              <w:ind w:left="25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水果类</w:t>
            </w:r>
          </w:p>
        </w:tc>
        <w:tc>
          <w:tcPr>
            <w:tcW w:w="1170" w:type="dxa"/>
            <w:vMerge w:val="restart"/>
          </w:tcPr>
          <w:p w14:paraId="0799006D">
            <w:pPr>
              <w:pStyle w:val="34"/>
              <w:rPr>
                <w:rFonts w:hint="eastAsia" w:asciiTheme="minorEastAsia" w:hAnsiTheme="minorEastAsia" w:eastAsiaTheme="minorEastAsia" w:cstheme="minorEastAsia"/>
                <w:spacing w:val="0"/>
                <w:position w:val="0"/>
                <w:sz w:val="21"/>
                <w:szCs w:val="21"/>
              </w:rPr>
            </w:pPr>
          </w:p>
          <w:p w14:paraId="22A16D2D">
            <w:pPr>
              <w:pStyle w:val="34"/>
              <w:spacing w:before="8"/>
              <w:rPr>
                <w:rFonts w:hint="eastAsia" w:asciiTheme="minorEastAsia" w:hAnsiTheme="minorEastAsia" w:eastAsiaTheme="minorEastAsia" w:cstheme="minorEastAsia"/>
                <w:spacing w:val="0"/>
                <w:position w:val="0"/>
                <w:sz w:val="21"/>
                <w:szCs w:val="21"/>
              </w:rPr>
            </w:pPr>
          </w:p>
          <w:p w14:paraId="68985965">
            <w:pPr>
              <w:pStyle w:val="34"/>
              <w:ind w:left="13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柑橘类水果</w:t>
            </w:r>
          </w:p>
        </w:tc>
        <w:tc>
          <w:tcPr>
            <w:tcW w:w="1245" w:type="dxa"/>
          </w:tcPr>
          <w:p w14:paraId="4439D662">
            <w:pPr>
              <w:pStyle w:val="34"/>
              <w:spacing w:before="196"/>
              <w:ind w:left="246" w:right="23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柑、橘</w:t>
            </w:r>
          </w:p>
        </w:tc>
        <w:tc>
          <w:tcPr>
            <w:tcW w:w="2245" w:type="dxa"/>
          </w:tcPr>
          <w:p w14:paraId="010E9387">
            <w:pPr>
              <w:pStyle w:val="34"/>
              <w:spacing w:before="184"/>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苯醚甲环唑、联苯菊酯</w:t>
            </w:r>
          </w:p>
        </w:tc>
        <w:tc>
          <w:tcPr>
            <w:tcW w:w="7670" w:type="dxa"/>
          </w:tcPr>
          <w:p w14:paraId="4DBE1AD2">
            <w:pPr>
              <w:pStyle w:val="34"/>
              <w:spacing w:line="280" w:lineRule="atLeast"/>
              <w:ind w:left="108" w:right="273"/>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丙溴磷、克百威、氯唑磷、三唑磷、水胺硫磷、氧乐果、氯氟氰菊酯和高效氯氟氰菊酯甲拌磷</w:t>
            </w:r>
            <w:r>
              <w:rPr>
                <w:rFonts w:hint="eastAsia" w:asciiTheme="minorEastAsia" w:hAnsiTheme="minorEastAsia" w:eastAsiaTheme="minorEastAsia" w:cstheme="minorEastAsia"/>
                <w:spacing w:val="0"/>
                <w:w w:val="150"/>
                <w:position w:val="0"/>
                <w:sz w:val="21"/>
                <w:szCs w:val="21"/>
              </w:rPr>
              <w:t xml:space="preserve"> </w:t>
            </w:r>
            <w:r>
              <w:rPr>
                <w:rFonts w:hint="eastAsia" w:asciiTheme="minorEastAsia" w:hAnsiTheme="minorEastAsia" w:eastAsiaTheme="minorEastAsia" w:cstheme="minorEastAsia"/>
                <w:spacing w:val="0"/>
                <w:position w:val="0"/>
                <w:sz w:val="21"/>
                <w:szCs w:val="21"/>
              </w:rPr>
              <w:t>2, 4- 滴和 2, 4－滴钠盐、狄氏剂、毒死蜱、杀扑磷、敌敌畏、联苯肼酯</w:t>
            </w:r>
          </w:p>
        </w:tc>
        <w:tc>
          <w:tcPr>
            <w:tcW w:w="1338" w:type="dxa"/>
          </w:tcPr>
          <w:p w14:paraId="13C01349">
            <w:pPr>
              <w:pStyle w:val="34"/>
              <w:rPr>
                <w:rFonts w:hint="eastAsia" w:asciiTheme="minorEastAsia" w:hAnsiTheme="minorEastAsia" w:eastAsiaTheme="minorEastAsia" w:cstheme="minorEastAsia"/>
                <w:spacing w:val="0"/>
                <w:position w:val="0"/>
                <w:sz w:val="21"/>
                <w:szCs w:val="21"/>
              </w:rPr>
            </w:pPr>
          </w:p>
        </w:tc>
      </w:tr>
      <w:tr w14:paraId="05075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57" w:type="dxa"/>
            <w:vMerge w:val="continue"/>
            <w:tcBorders>
              <w:top w:val="nil"/>
            </w:tcBorders>
          </w:tcPr>
          <w:p w14:paraId="37380C7D">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3C3AF266">
            <w:pPr>
              <w:rPr>
                <w:rFonts w:hint="eastAsia" w:asciiTheme="minorEastAsia" w:hAnsiTheme="minorEastAsia" w:eastAsiaTheme="minorEastAsia" w:cstheme="minorEastAsia"/>
                <w:spacing w:val="0"/>
                <w:position w:val="0"/>
                <w:sz w:val="21"/>
                <w:szCs w:val="21"/>
              </w:rPr>
            </w:pPr>
          </w:p>
        </w:tc>
        <w:tc>
          <w:tcPr>
            <w:tcW w:w="1245" w:type="dxa"/>
          </w:tcPr>
          <w:p w14:paraId="0786AA6C">
            <w:pPr>
              <w:pStyle w:val="34"/>
              <w:spacing w:before="195"/>
              <w:ind w:left="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橙</w:t>
            </w:r>
          </w:p>
        </w:tc>
        <w:tc>
          <w:tcPr>
            <w:tcW w:w="2245" w:type="dxa"/>
          </w:tcPr>
          <w:p w14:paraId="74E338F9">
            <w:pPr>
              <w:pStyle w:val="34"/>
              <w:spacing w:before="183"/>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联苯菊酯、氯唑磷</w:t>
            </w:r>
          </w:p>
        </w:tc>
        <w:tc>
          <w:tcPr>
            <w:tcW w:w="7670" w:type="dxa"/>
          </w:tcPr>
          <w:p w14:paraId="0DB61749">
            <w:pPr>
              <w:pStyle w:val="34"/>
              <w:spacing w:line="280" w:lineRule="atLeast"/>
              <w:ind w:left="108" w:right="96"/>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丙溴磷、克百威、三唑磷、杀扑磷、水胺硫磷、氧乐果</w:t>
            </w:r>
            <w:r>
              <w:rPr>
                <w:rFonts w:hint="eastAsia" w:asciiTheme="minorEastAsia" w:hAnsiTheme="minorEastAsia" w:eastAsiaTheme="minorEastAsia" w:cstheme="minorEastAsia"/>
                <w:spacing w:val="0"/>
                <w:w w:val="150"/>
                <w:position w:val="0"/>
                <w:sz w:val="21"/>
                <w:szCs w:val="21"/>
              </w:rPr>
              <w:t xml:space="preserve"> </w:t>
            </w:r>
            <w:r>
              <w:rPr>
                <w:rFonts w:hint="eastAsia" w:asciiTheme="minorEastAsia" w:hAnsiTheme="minorEastAsia" w:eastAsiaTheme="minorEastAsia" w:cstheme="minorEastAsia"/>
                <w:spacing w:val="0"/>
                <w:position w:val="0"/>
                <w:sz w:val="21"/>
                <w:szCs w:val="21"/>
              </w:rPr>
              <w:t>2, 4- 滴和 2, 4- 滴钠盐、苯醚甲环唑、敌敌畏、氯氟氰菊酯和高效氯氟氰菊酯、乙酰甲胺磷</w:t>
            </w:r>
          </w:p>
        </w:tc>
        <w:tc>
          <w:tcPr>
            <w:tcW w:w="1338" w:type="dxa"/>
          </w:tcPr>
          <w:p w14:paraId="630CEFB7">
            <w:pPr>
              <w:pStyle w:val="34"/>
              <w:rPr>
                <w:rFonts w:hint="eastAsia" w:asciiTheme="minorEastAsia" w:hAnsiTheme="minorEastAsia" w:eastAsiaTheme="minorEastAsia" w:cstheme="minorEastAsia"/>
                <w:spacing w:val="0"/>
                <w:position w:val="0"/>
                <w:sz w:val="21"/>
                <w:szCs w:val="21"/>
              </w:rPr>
            </w:pPr>
          </w:p>
        </w:tc>
      </w:tr>
      <w:tr w14:paraId="00EA8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57" w:type="dxa"/>
            <w:vMerge w:val="continue"/>
            <w:tcBorders>
              <w:top w:val="nil"/>
            </w:tcBorders>
          </w:tcPr>
          <w:p w14:paraId="0D5C52AB">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7CAFDE52">
            <w:pPr>
              <w:rPr>
                <w:rFonts w:hint="eastAsia" w:asciiTheme="minorEastAsia" w:hAnsiTheme="minorEastAsia" w:eastAsiaTheme="minorEastAsia" w:cstheme="minorEastAsia"/>
                <w:spacing w:val="0"/>
                <w:position w:val="0"/>
                <w:sz w:val="21"/>
                <w:szCs w:val="21"/>
              </w:rPr>
            </w:pPr>
          </w:p>
        </w:tc>
        <w:tc>
          <w:tcPr>
            <w:tcW w:w="1245" w:type="dxa"/>
          </w:tcPr>
          <w:p w14:paraId="2DF8A215">
            <w:pPr>
              <w:pStyle w:val="34"/>
              <w:spacing w:before="76" w:line="223" w:lineRule="exact"/>
              <w:ind w:left="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柚</w:t>
            </w:r>
          </w:p>
        </w:tc>
        <w:tc>
          <w:tcPr>
            <w:tcW w:w="2245" w:type="dxa"/>
          </w:tcPr>
          <w:p w14:paraId="71FA89D3">
            <w:pPr>
              <w:pStyle w:val="34"/>
              <w:spacing w:before="64" w:line="235" w:lineRule="exact"/>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氯唑磷</w:t>
            </w:r>
          </w:p>
        </w:tc>
        <w:tc>
          <w:tcPr>
            <w:tcW w:w="7670" w:type="dxa"/>
          </w:tcPr>
          <w:p w14:paraId="4003CA84">
            <w:pPr>
              <w:pStyle w:val="34"/>
              <w:spacing w:before="64" w:line="235" w:lineRule="exact"/>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水胺硫磷、联苯菊酯、氯氟氰菊酯和高效氯氟氰菊酯、多菌灵、克百威</w:t>
            </w:r>
          </w:p>
        </w:tc>
        <w:tc>
          <w:tcPr>
            <w:tcW w:w="1338" w:type="dxa"/>
          </w:tcPr>
          <w:p w14:paraId="2946BAF5">
            <w:pPr>
              <w:pStyle w:val="34"/>
              <w:rPr>
                <w:rFonts w:hint="eastAsia" w:asciiTheme="minorEastAsia" w:hAnsiTheme="minorEastAsia" w:eastAsiaTheme="minorEastAsia" w:cstheme="minorEastAsia"/>
                <w:spacing w:val="0"/>
                <w:position w:val="0"/>
                <w:sz w:val="21"/>
                <w:szCs w:val="21"/>
              </w:rPr>
            </w:pPr>
          </w:p>
        </w:tc>
      </w:tr>
      <w:tr w14:paraId="726F8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57" w:type="dxa"/>
            <w:vMerge w:val="continue"/>
            <w:tcBorders>
              <w:top w:val="nil"/>
            </w:tcBorders>
          </w:tcPr>
          <w:p w14:paraId="60F9C1C3">
            <w:pPr>
              <w:rPr>
                <w:rFonts w:hint="eastAsia" w:asciiTheme="minorEastAsia" w:hAnsiTheme="minorEastAsia" w:eastAsiaTheme="minorEastAsia" w:cstheme="minorEastAsia"/>
                <w:spacing w:val="0"/>
                <w:position w:val="0"/>
                <w:sz w:val="21"/>
                <w:szCs w:val="21"/>
              </w:rPr>
            </w:pPr>
          </w:p>
        </w:tc>
        <w:tc>
          <w:tcPr>
            <w:tcW w:w="1170" w:type="dxa"/>
            <w:vMerge w:val="restart"/>
          </w:tcPr>
          <w:p w14:paraId="160749AF">
            <w:pPr>
              <w:pStyle w:val="34"/>
              <w:spacing w:before="14"/>
              <w:rPr>
                <w:rFonts w:hint="eastAsia" w:asciiTheme="minorEastAsia" w:hAnsiTheme="minorEastAsia" w:eastAsiaTheme="minorEastAsia" w:cstheme="minorEastAsia"/>
                <w:spacing w:val="0"/>
                <w:position w:val="0"/>
                <w:sz w:val="21"/>
                <w:szCs w:val="21"/>
              </w:rPr>
            </w:pPr>
          </w:p>
          <w:p w14:paraId="1FF4FFAB">
            <w:pPr>
              <w:pStyle w:val="34"/>
              <w:spacing w:line="304" w:lineRule="auto"/>
              <w:ind w:left="225" w:right="123" w:hanging="92"/>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浆果和其他小型水果</w:t>
            </w:r>
          </w:p>
        </w:tc>
        <w:tc>
          <w:tcPr>
            <w:tcW w:w="1245" w:type="dxa"/>
          </w:tcPr>
          <w:p w14:paraId="6C997FA3">
            <w:pPr>
              <w:pStyle w:val="34"/>
              <w:spacing w:before="11"/>
              <w:rPr>
                <w:rFonts w:hint="eastAsia" w:asciiTheme="minorEastAsia" w:hAnsiTheme="minorEastAsia" w:eastAsiaTheme="minorEastAsia" w:cstheme="minorEastAsia"/>
                <w:spacing w:val="0"/>
                <w:position w:val="0"/>
                <w:sz w:val="21"/>
                <w:szCs w:val="21"/>
              </w:rPr>
            </w:pPr>
          </w:p>
          <w:p w14:paraId="08E11EA8">
            <w:pPr>
              <w:pStyle w:val="34"/>
              <w:ind w:left="35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猕猴桃</w:t>
            </w:r>
          </w:p>
        </w:tc>
        <w:tc>
          <w:tcPr>
            <w:tcW w:w="2245" w:type="dxa"/>
          </w:tcPr>
          <w:p w14:paraId="51A35D33">
            <w:pPr>
              <w:pStyle w:val="34"/>
              <w:spacing w:before="11"/>
              <w:rPr>
                <w:rFonts w:hint="eastAsia" w:asciiTheme="minorEastAsia" w:hAnsiTheme="minorEastAsia" w:eastAsiaTheme="minorEastAsia" w:cstheme="minorEastAsia"/>
                <w:spacing w:val="0"/>
                <w:position w:val="0"/>
                <w:sz w:val="21"/>
                <w:szCs w:val="21"/>
              </w:rPr>
            </w:pPr>
          </w:p>
          <w:p w14:paraId="67252A88">
            <w:pPr>
              <w:pStyle w:val="34"/>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氯吡脲</w:t>
            </w:r>
          </w:p>
        </w:tc>
        <w:tc>
          <w:tcPr>
            <w:tcW w:w="7670" w:type="dxa"/>
          </w:tcPr>
          <w:p w14:paraId="1E37333D">
            <w:pPr>
              <w:pStyle w:val="34"/>
              <w:spacing w:before="11"/>
              <w:rPr>
                <w:rFonts w:hint="eastAsia" w:asciiTheme="minorEastAsia" w:hAnsiTheme="minorEastAsia" w:eastAsiaTheme="minorEastAsia" w:cstheme="minorEastAsia"/>
                <w:spacing w:val="0"/>
                <w:position w:val="0"/>
                <w:sz w:val="21"/>
                <w:szCs w:val="21"/>
              </w:rPr>
            </w:pPr>
          </w:p>
          <w:p w14:paraId="1A8B8705">
            <w:pPr>
              <w:pStyle w:val="34"/>
              <w:ind w:left="108"/>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敌敌畏、多菌灵、氧乐果</w:t>
            </w:r>
          </w:p>
        </w:tc>
        <w:tc>
          <w:tcPr>
            <w:tcW w:w="1338" w:type="dxa"/>
          </w:tcPr>
          <w:p w14:paraId="0DB39CA7">
            <w:pPr>
              <w:pStyle w:val="34"/>
              <w:rPr>
                <w:rFonts w:hint="eastAsia" w:asciiTheme="minorEastAsia" w:hAnsiTheme="minorEastAsia" w:eastAsiaTheme="minorEastAsia" w:cstheme="minorEastAsia"/>
                <w:spacing w:val="0"/>
                <w:position w:val="0"/>
                <w:sz w:val="21"/>
                <w:szCs w:val="21"/>
              </w:rPr>
            </w:pPr>
          </w:p>
        </w:tc>
      </w:tr>
      <w:tr w14:paraId="6A3A1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57" w:type="dxa"/>
            <w:vMerge w:val="continue"/>
            <w:tcBorders>
              <w:top w:val="nil"/>
            </w:tcBorders>
          </w:tcPr>
          <w:p w14:paraId="3364F2CF">
            <w:pP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tcPr>
          <w:p w14:paraId="2F06ADE4">
            <w:pPr>
              <w:rPr>
                <w:rFonts w:hint="eastAsia" w:asciiTheme="minorEastAsia" w:hAnsiTheme="minorEastAsia" w:eastAsiaTheme="minorEastAsia" w:cstheme="minorEastAsia"/>
                <w:spacing w:val="0"/>
                <w:position w:val="0"/>
                <w:sz w:val="21"/>
                <w:szCs w:val="21"/>
              </w:rPr>
            </w:pPr>
          </w:p>
        </w:tc>
        <w:tc>
          <w:tcPr>
            <w:tcW w:w="1245" w:type="dxa"/>
          </w:tcPr>
          <w:p w14:paraId="08518334">
            <w:pPr>
              <w:pStyle w:val="34"/>
              <w:spacing w:before="8"/>
              <w:rPr>
                <w:rFonts w:hint="eastAsia" w:asciiTheme="minorEastAsia" w:hAnsiTheme="minorEastAsia" w:eastAsiaTheme="minorEastAsia" w:cstheme="minorEastAsia"/>
                <w:spacing w:val="0"/>
                <w:position w:val="0"/>
                <w:sz w:val="21"/>
                <w:szCs w:val="21"/>
              </w:rPr>
            </w:pPr>
          </w:p>
          <w:p w14:paraId="40EEF134">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桑葚</w:t>
            </w:r>
          </w:p>
        </w:tc>
        <w:tc>
          <w:tcPr>
            <w:tcW w:w="2245" w:type="dxa"/>
          </w:tcPr>
          <w:p w14:paraId="54DD261E">
            <w:pPr>
              <w:pStyle w:val="34"/>
              <w:spacing w:before="173" w:line="268" w:lineRule="auto"/>
              <w:ind w:left="133" w:right="124"/>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脱氢乙酸及其钠盐（以脱氢乙酸计）、糖精钠（以糖精计）</w:t>
            </w:r>
          </w:p>
        </w:tc>
        <w:tc>
          <w:tcPr>
            <w:tcW w:w="7670" w:type="dxa"/>
          </w:tcPr>
          <w:p w14:paraId="68384288">
            <w:pPr>
              <w:pStyle w:val="34"/>
              <w:spacing w:before="173" w:line="268" w:lineRule="auto"/>
              <w:ind w:left="108" w:right="97"/>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苯甲酸及其钠盐（以苯甲酸计）、山梨酸及其钾盐（以山梨酸计）、三氯蔗糖、甜蜜素（以环己基氨基磺酸计）、多菌灵</w:t>
            </w:r>
          </w:p>
        </w:tc>
        <w:tc>
          <w:tcPr>
            <w:tcW w:w="1338" w:type="dxa"/>
          </w:tcPr>
          <w:p w14:paraId="0CEAF7D4">
            <w:pPr>
              <w:pStyle w:val="34"/>
              <w:rPr>
                <w:rFonts w:hint="eastAsia" w:asciiTheme="minorEastAsia" w:hAnsiTheme="minorEastAsia" w:eastAsiaTheme="minorEastAsia" w:cstheme="minorEastAsia"/>
                <w:spacing w:val="0"/>
                <w:position w:val="0"/>
                <w:sz w:val="21"/>
                <w:szCs w:val="21"/>
              </w:rPr>
            </w:pPr>
          </w:p>
        </w:tc>
      </w:tr>
      <w:tr w14:paraId="429B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057" w:type="dxa"/>
            <w:vMerge w:val="continue"/>
            <w:tcBorders>
              <w:top w:val="nil"/>
            </w:tcBorders>
          </w:tcPr>
          <w:p w14:paraId="309F50F8">
            <w:pPr>
              <w:rPr>
                <w:rFonts w:hint="eastAsia" w:asciiTheme="minorEastAsia" w:hAnsiTheme="minorEastAsia" w:eastAsiaTheme="minorEastAsia" w:cstheme="minorEastAsia"/>
                <w:spacing w:val="0"/>
                <w:position w:val="0"/>
                <w:sz w:val="21"/>
                <w:szCs w:val="21"/>
              </w:rPr>
            </w:pPr>
          </w:p>
        </w:tc>
        <w:tc>
          <w:tcPr>
            <w:tcW w:w="1170" w:type="dxa"/>
          </w:tcPr>
          <w:p w14:paraId="401DC91D">
            <w:pPr>
              <w:pStyle w:val="34"/>
              <w:spacing w:before="72" w:line="320" w:lineRule="atLeast"/>
              <w:ind w:left="314" w:right="123" w:hanging="180"/>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热带和亚热带水果</w:t>
            </w:r>
          </w:p>
        </w:tc>
        <w:tc>
          <w:tcPr>
            <w:tcW w:w="1245" w:type="dxa"/>
          </w:tcPr>
          <w:p w14:paraId="19216505">
            <w:pPr>
              <w:pStyle w:val="34"/>
              <w:spacing w:before="13"/>
              <w:rPr>
                <w:rFonts w:hint="eastAsia" w:asciiTheme="minorEastAsia" w:hAnsiTheme="minorEastAsia" w:eastAsiaTheme="minorEastAsia" w:cstheme="minorEastAsia"/>
                <w:spacing w:val="0"/>
                <w:position w:val="0"/>
                <w:sz w:val="21"/>
                <w:szCs w:val="21"/>
              </w:rPr>
            </w:pPr>
          </w:p>
          <w:p w14:paraId="390B1C28">
            <w:pPr>
              <w:pStyle w:val="34"/>
              <w:spacing w:before="1"/>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荔枝</w:t>
            </w:r>
          </w:p>
        </w:tc>
        <w:tc>
          <w:tcPr>
            <w:tcW w:w="2245" w:type="dxa"/>
          </w:tcPr>
          <w:p w14:paraId="60E9384D">
            <w:pPr>
              <w:pStyle w:val="34"/>
              <w:spacing w:before="140" w:line="268" w:lineRule="auto"/>
              <w:ind w:left="765" w:right="124" w:hanging="632"/>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吡唑醚菌酯、氯氟氰菊酯和高效氯氟氰菊酯</w:t>
            </w:r>
          </w:p>
        </w:tc>
        <w:tc>
          <w:tcPr>
            <w:tcW w:w="7670" w:type="dxa"/>
          </w:tcPr>
          <w:p w14:paraId="6F1CD0E6">
            <w:pPr>
              <w:pStyle w:val="34"/>
              <w:spacing w:before="140" w:line="268" w:lineRule="auto"/>
              <w:ind w:left="108" w:right="91"/>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多菌灵、氧乐果、毒死蜱、苯醚甲环唑、氯氰菊酯和高效氯氰菊酯、除虫脲、氰霜唑、氟吗啉、咪鲜胺和咪鲜胺锰盐、乐果</w:t>
            </w:r>
          </w:p>
        </w:tc>
        <w:tc>
          <w:tcPr>
            <w:tcW w:w="1338" w:type="dxa"/>
          </w:tcPr>
          <w:p w14:paraId="06238356">
            <w:pPr>
              <w:pStyle w:val="34"/>
              <w:rPr>
                <w:rFonts w:hint="eastAsia" w:asciiTheme="minorEastAsia" w:hAnsiTheme="minorEastAsia" w:eastAsiaTheme="minorEastAsia" w:cstheme="minorEastAsia"/>
                <w:spacing w:val="0"/>
                <w:position w:val="0"/>
                <w:sz w:val="21"/>
                <w:szCs w:val="21"/>
              </w:rPr>
            </w:pPr>
          </w:p>
        </w:tc>
      </w:tr>
    </w:tbl>
    <w:p w14:paraId="188E1129">
      <w:pPr>
        <w:spacing w:after="0"/>
        <w:rPr>
          <w:rFonts w:ascii="Times New Roman"/>
          <w:spacing w:val="0"/>
          <w:position w:val="0"/>
          <w:sz w:val="16"/>
        </w:rPr>
      </w:pPr>
    </w:p>
    <w:p w14:paraId="13B3987A">
      <w:pPr>
        <w:spacing w:after="0"/>
        <w:rPr>
          <w:rFonts w:ascii="Times New Roman"/>
          <w:spacing w:val="0"/>
          <w:position w:val="0"/>
          <w:sz w:val="16"/>
        </w:rPr>
      </w:pPr>
    </w:p>
    <w:p w14:paraId="1DFCB500">
      <w:pPr>
        <w:spacing w:after="0"/>
        <w:rPr>
          <w:rFonts w:ascii="Times New Roman"/>
          <w:spacing w:val="0"/>
          <w:position w:val="0"/>
          <w:sz w:val="16"/>
        </w:rPr>
      </w:pPr>
    </w:p>
    <w:p w14:paraId="5F13C71E">
      <w:pPr>
        <w:spacing w:after="0"/>
        <w:rPr>
          <w:rFonts w:ascii="Times New Roman"/>
          <w:spacing w:val="0"/>
          <w:position w:val="0"/>
          <w:sz w:val="16"/>
        </w:rPr>
      </w:pPr>
    </w:p>
    <w:p w14:paraId="7E6A2F38">
      <w:pPr>
        <w:spacing w:after="0"/>
        <w:rPr>
          <w:rFonts w:ascii="Times New Roman"/>
          <w:spacing w:val="0"/>
          <w:position w:val="0"/>
          <w:sz w:val="16"/>
        </w:rPr>
      </w:pPr>
    </w:p>
    <w:p w14:paraId="5FB290DA">
      <w:pPr>
        <w:spacing w:after="0"/>
        <w:rPr>
          <w:rFonts w:ascii="Times New Roman"/>
          <w:spacing w:val="0"/>
          <w:position w:val="0"/>
          <w:sz w:val="16"/>
        </w:rPr>
        <w:sectPr>
          <w:pgSz w:w="16840" w:h="11910" w:orient="landscape"/>
          <w:pgMar w:top="1340" w:right="820" w:bottom="280" w:left="200" w:header="720" w:footer="720" w:gutter="0"/>
          <w:pgNumType w:fmt="decimal"/>
          <w:cols w:space="720" w:num="1"/>
        </w:sectPr>
      </w:pPr>
    </w:p>
    <w:tbl>
      <w:tblPr>
        <w:tblStyle w:val="17"/>
        <w:tblpPr w:leftFromText="180" w:rightFromText="180" w:vertAnchor="text" w:horzAnchor="page" w:tblpX="1336" w:tblpY="6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1170"/>
        <w:gridCol w:w="1245"/>
        <w:gridCol w:w="2610"/>
        <w:gridCol w:w="7305"/>
        <w:gridCol w:w="1338"/>
      </w:tblGrid>
      <w:tr w14:paraId="6676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57" w:type="dxa"/>
            <w:vAlign w:val="center"/>
          </w:tcPr>
          <w:p w14:paraId="7F15C27F">
            <w:pPr>
              <w:pStyle w:val="34"/>
              <w:spacing w:before="76"/>
              <w:ind w:left="166"/>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食品亚类</w:t>
            </w:r>
          </w:p>
          <w:p w14:paraId="39AC6922">
            <w:pPr>
              <w:pStyle w:val="34"/>
              <w:spacing w:before="89" w:line="224" w:lineRule="exact"/>
              <w:ind w:left="166"/>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（二级</w:t>
            </w:r>
          </w:p>
        </w:tc>
        <w:tc>
          <w:tcPr>
            <w:tcW w:w="1170" w:type="dxa"/>
            <w:vAlign w:val="center"/>
          </w:tcPr>
          <w:p w14:paraId="6F07B861">
            <w:pPr>
              <w:pStyle w:val="34"/>
              <w:spacing w:before="76"/>
              <w:ind w:left="225"/>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食品品种</w:t>
            </w:r>
          </w:p>
          <w:p w14:paraId="7F49FAE5">
            <w:pPr>
              <w:pStyle w:val="34"/>
              <w:spacing w:before="89" w:line="224" w:lineRule="exact"/>
              <w:ind w:left="225"/>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（三级</w:t>
            </w:r>
          </w:p>
        </w:tc>
        <w:tc>
          <w:tcPr>
            <w:tcW w:w="1245" w:type="dxa"/>
            <w:vAlign w:val="center"/>
          </w:tcPr>
          <w:p w14:paraId="6DC27F66">
            <w:pPr>
              <w:pStyle w:val="34"/>
              <w:spacing w:before="76"/>
              <w:ind w:left="26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食品细类</w:t>
            </w:r>
          </w:p>
          <w:p w14:paraId="5E654F91">
            <w:pPr>
              <w:pStyle w:val="34"/>
              <w:spacing w:before="89" w:line="224" w:lineRule="exact"/>
              <w:ind w:left="26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（四级</w:t>
            </w:r>
          </w:p>
        </w:tc>
        <w:tc>
          <w:tcPr>
            <w:tcW w:w="2610" w:type="dxa"/>
            <w:vAlign w:val="center"/>
          </w:tcPr>
          <w:p w14:paraId="4A11DCFE">
            <w:pPr>
              <w:pStyle w:val="34"/>
              <w:ind w:left="168"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必检项目</w:t>
            </w:r>
          </w:p>
        </w:tc>
        <w:tc>
          <w:tcPr>
            <w:tcW w:w="7305" w:type="dxa"/>
            <w:vAlign w:val="center"/>
          </w:tcPr>
          <w:p w14:paraId="1841500D">
            <w:pPr>
              <w:pStyle w:val="34"/>
              <w:ind w:right="327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lang w:val="en-US" w:eastAsia="zh-CN"/>
              </w:rPr>
              <w:t xml:space="preserve">                         </w:t>
            </w:r>
            <w:r>
              <w:rPr>
                <w:rFonts w:hint="eastAsia" w:asciiTheme="minorEastAsia" w:hAnsiTheme="minorEastAsia" w:eastAsiaTheme="minorEastAsia" w:cstheme="minorEastAsia"/>
                <w:spacing w:val="0"/>
                <w:position w:val="0"/>
                <w:sz w:val="21"/>
                <w:szCs w:val="21"/>
              </w:rPr>
              <w:t>可选项目</w:t>
            </w:r>
          </w:p>
        </w:tc>
        <w:tc>
          <w:tcPr>
            <w:tcW w:w="1338" w:type="dxa"/>
            <w:vAlign w:val="center"/>
          </w:tcPr>
          <w:p w14:paraId="6F596FCB">
            <w:pPr>
              <w:pStyle w:val="34"/>
              <w:ind w:right="465"/>
              <w:jc w:val="center"/>
              <w:rPr>
                <w:rFonts w:hint="eastAsia" w:asciiTheme="minorEastAsia" w:hAnsiTheme="minorEastAsia" w:eastAsiaTheme="minorEastAsia" w:cstheme="minorEastAsia"/>
                <w:spacing w:val="0"/>
                <w:position w:val="0"/>
                <w:sz w:val="21"/>
                <w:szCs w:val="21"/>
                <w:lang w:val="en-US" w:eastAsia="zh-CN"/>
              </w:rPr>
            </w:pPr>
            <w:r>
              <w:rPr>
                <w:rFonts w:hint="eastAsia" w:asciiTheme="minorEastAsia" w:hAnsiTheme="minorEastAsia" w:eastAsiaTheme="minorEastAsia" w:cstheme="minorEastAsia"/>
                <w:spacing w:val="0"/>
                <w:position w:val="0"/>
                <w:sz w:val="21"/>
                <w:szCs w:val="21"/>
                <w:lang w:val="en-US" w:eastAsia="zh-CN"/>
              </w:rPr>
              <w:t xml:space="preserve">    备注</w:t>
            </w:r>
          </w:p>
        </w:tc>
      </w:tr>
      <w:tr w14:paraId="040D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57" w:type="dxa"/>
            <w:vMerge w:val="restart"/>
            <w:vAlign w:val="center"/>
          </w:tcPr>
          <w:p w14:paraId="3E0E4560">
            <w:pPr>
              <w:pStyle w:val="34"/>
              <w:jc w:val="center"/>
              <w:rPr>
                <w:rFonts w:hint="eastAsia" w:asciiTheme="minorEastAsia" w:hAnsiTheme="minorEastAsia" w:eastAsiaTheme="minorEastAsia" w:cstheme="minorEastAsia"/>
                <w:spacing w:val="0"/>
                <w:position w:val="0"/>
                <w:sz w:val="21"/>
                <w:szCs w:val="21"/>
              </w:rPr>
            </w:pPr>
          </w:p>
          <w:p w14:paraId="07A652B0">
            <w:pPr>
              <w:pStyle w:val="34"/>
              <w:jc w:val="center"/>
              <w:rPr>
                <w:rFonts w:hint="eastAsia" w:asciiTheme="minorEastAsia" w:hAnsiTheme="minorEastAsia" w:eastAsiaTheme="minorEastAsia" w:cstheme="minorEastAsia"/>
                <w:spacing w:val="0"/>
                <w:position w:val="0"/>
                <w:sz w:val="21"/>
                <w:szCs w:val="21"/>
              </w:rPr>
            </w:pPr>
          </w:p>
          <w:p w14:paraId="5E213CA8">
            <w:pPr>
              <w:pStyle w:val="34"/>
              <w:spacing w:before="10"/>
              <w:jc w:val="center"/>
              <w:rPr>
                <w:rFonts w:hint="eastAsia" w:asciiTheme="minorEastAsia" w:hAnsiTheme="minorEastAsia" w:eastAsiaTheme="minorEastAsia" w:cstheme="minorEastAsia"/>
                <w:spacing w:val="0"/>
                <w:position w:val="0"/>
                <w:sz w:val="21"/>
                <w:szCs w:val="21"/>
              </w:rPr>
            </w:pPr>
          </w:p>
          <w:p w14:paraId="7A48FB8C">
            <w:pPr>
              <w:pStyle w:val="34"/>
              <w:spacing w:before="1"/>
              <w:ind w:left="257"/>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水果类</w:t>
            </w:r>
          </w:p>
        </w:tc>
        <w:tc>
          <w:tcPr>
            <w:tcW w:w="1170" w:type="dxa"/>
            <w:vMerge w:val="restart"/>
            <w:vAlign w:val="center"/>
          </w:tcPr>
          <w:p w14:paraId="7A3F7071">
            <w:pPr>
              <w:pStyle w:val="34"/>
              <w:jc w:val="center"/>
              <w:rPr>
                <w:rFonts w:hint="eastAsia" w:asciiTheme="minorEastAsia" w:hAnsiTheme="minorEastAsia" w:eastAsiaTheme="minorEastAsia" w:cstheme="minorEastAsia"/>
                <w:spacing w:val="0"/>
                <w:position w:val="0"/>
                <w:sz w:val="21"/>
                <w:szCs w:val="21"/>
              </w:rPr>
            </w:pPr>
          </w:p>
          <w:p w14:paraId="048D5B79">
            <w:pPr>
              <w:pStyle w:val="34"/>
              <w:jc w:val="center"/>
              <w:rPr>
                <w:rFonts w:hint="eastAsia" w:asciiTheme="minorEastAsia" w:hAnsiTheme="minorEastAsia" w:eastAsiaTheme="minorEastAsia" w:cstheme="minorEastAsia"/>
                <w:spacing w:val="0"/>
                <w:position w:val="0"/>
                <w:sz w:val="21"/>
                <w:szCs w:val="21"/>
              </w:rPr>
            </w:pPr>
          </w:p>
          <w:p w14:paraId="01054176">
            <w:pPr>
              <w:pStyle w:val="34"/>
              <w:spacing w:before="10"/>
              <w:jc w:val="center"/>
              <w:rPr>
                <w:rFonts w:hint="eastAsia" w:asciiTheme="minorEastAsia" w:hAnsiTheme="minorEastAsia" w:eastAsiaTheme="minorEastAsia" w:cstheme="minorEastAsia"/>
                <w:spacing w:val="0"/>
                <w:position w:val="0"/>
                <w:sz w:val="21"/>
                <w:szCs w:val="21"/>
              </w:rPr>
            </w:pPr>
          </w:p>
          <w:p w14:paraId="7A95BBDC">
            <w:pPr>
              <w:pStyle w:val="34"/>
              <w:spacing w:before="1" w:line="304" w:lineRule="auto"/>
              <w:ind w:left="314" w:right="123" w:hanging="18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热带和亚热带水果</w:t>
            </w:r>
          </w:p>
        </w:tc>
        <w:tc>
          <w:tcPr>
            <w:tcW w:w="1245" w:type="dxa"/>
            <w:vAlign w:val="center"/>
          </w:tcPr>
          <w:p w14:paraId="2D741E75">
            <w:pPr>
              <w:pStyle w:val="34"/>
              <w:spacing w:before="185"/>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芒果</w:t>
            </w:r>
          </w:p>
        </w:tc>
        <w:tc>
          <w:tcPr>
            <w:tcW w:w="2610" w:type="dxa"/>
            <w:vAlign w:val="center"/>
          </w:tcPr>
          <w:p w14:paraId="0E5C77BC">
            <w:pPr>
              <w:pStyle w:val="34"/>
              <w:spacing w:line="280" w:lineRule="atLeast"/>
              <w:ind w:left="853" w:right="6" w:hanging="747"/>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吡唑醚菌酯、噻虫胺、戊唑醇、苯醚甲环唑</w:t>
            </w:r>
          </w:p>
        </w:tc>
        <w:tc>
          <w:tcPr>
            <w:tcW w:w="7305" w:type="dxa"/>
            <w:vAlign w:val="center"/>
          </w:tcPr>
          <w:p w14:paraId="5A378776">
            <w:pPr>
              <w:pStyle w:val="34"/>
              <w:spacing w:before="185"/>
              <w:ind w:lef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氧乐果、乙酰甲胺磷、吡虫啉、噻虫嗪、噻嗪酮</w:t>
            </w:r>
          </w:p>
        </w:tc>
        <w:tc>
          <w:tcPr>
            <w:tcW w:w="1338" w:type="dxa"/>
            <w:vAlign w:val="center"/>
          </w:tcPr>
          <w:p w14:paraId="15E0065F">
            <w:pPr>
              <w:pStyle w:val="34"/>
              <w:jc w:val="center"/>
              <w:rPr>
                <w:rFonts w:hint="eastAsia" w:asciiTheme="minorEastAsia" w:hAnsiTheme="minorEastAsia" w:eastAsiaTheme="minorEastAsia" w:cstheme="minorEastAsia"/>
                <w:spacing w:val="0"/>
                <w:position w:val="0"/>
                <w:sz w:val="21"/>
                <w:szCs w:val="21"/>
              </w:rPr>
            </w:pPr>
          </w:p>
        </w:tc>
      </w:tr>
      <w:tr w14:paraId="2A29A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57" w:type="dxa"/>
            <w:vMerge w:val="continue"/>
            <w:tcBorders>
              <w:top w:val="nil"/>
            </w:tcBorders>
            <w:vAlign w:val="center"/>
          </w:tcPr>
          <w:p w14:paraId="59F521E8">
            <w:pPr>
              <w:jc w:val="cente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vAlign w:val="center"/>
          </w:tcPr>
          <w:p w14:paraId="360F36CE">
            <w:pPr>
              <w:jc w:val="center"/>
              <w:rPr>
                <w:rFonts w:hint="eastAsia" w:asciiTheme="minorEastAsia" w:hAnsiTheme="minorEastAsia" w:eastAsiaTheme="minorEastAsia" w:cstheme="minorEastAsia"/>
                <w:spacing w:val="0"/>
                <w:position w:val="0"/>
                <w:sz w:val="21"/>
                <w:szCs w:val="21"/>
              </w:rPr>
            </w:pPr>
          </w:p>
        </w:tc>
        <w:tc>
          <w:tcPr>
            <w:tcW w:w="1245" w:type="dxa"/>
            <w:vAlign w:val="center"/>
          </w:tcPr>
          <w:p w14:paraId="595BB97B">
            <w:pPr>
              <w:pStyle w:val="34"/>
              <w:spacing w:before="14"/>
              <w:jc w:val="center"/>
              <w:rPr>
                <w:rFonts w:hint="eastAsia" w:asciiTheme="minorEastAsia" w:hAnsiTheme="minorEastAsia" w:eastAsiaTheme="minorEastAsia" w:cstheme="minorEastAsia"/>
                <w:spacing w:val="0"/>
                <w:position w:val="0"/>
                <w:sz w:val="21"/>
                <w:szCs w:val="21"/>
              </w:rPr>
            </w:pPr>
          </w:p>
          <w:p w14:paraId="015542D6">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香蕉</w:t>
            </w:r>
          </w:p>
        </w:tc>
        <w:tc>
          <w:tcPr>
            <w:tcW w:w="2610" w:type="dxa"/>
            <w:vAlign w:val="center"/>
          </w:tcPr>
          <w:p w14:paraId="5D4AAF8B">
            <w:pPr>
              <w:pStyle w:val="34"/>
              <w:spacing w:before="31" w:line="280" w:lineRule="atLeast"/>
              <w:ind w:left="1125" w:right="124" w:hanging="992"/>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吡虫啉、噻虫胺、噻虫嗪、腈苯唑</w:t>
            </w:r>
          </w:p>
        </w:tc>
        <w:tc>
          <w:tcPr>
            <w:tcW w:w="7305" w:type="dxa"/>
            <w:vAlign w:val="center"/>
          </w:tcPr>
          <w:p w14:paraId="6428397F">
            <w:pPr>
              <w:pStyle w:val="34"/>
              <w:spacing w:before="31" w:line="280" w:lineRule="atLeast"/>
              <w:ind w:left="108" w:right="91"/>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苯醚甲环唑、吡唑醚菌酯、多菌灵、氟虫腈、甲拌磷、联苯菊酯、烯唑醇、百菌清、噻唑膦、氟唑菌酰胺</w:t>
            </w:r>
          </w:p>
        </w:tc>
        <w:tc>
          <w:tcPr>
            <w:tcW w:w="1338" w:type="dxa"/>
            <w:vAlign w:val="center"/>
          </w:tcPr>
          <w:p w14:paraId="65ED6B04">
            <w:pPr>
              <w:pStyle w:val="34"/>
              <w:jc w:val="center"/>
              <w:rPr>
                <w:rFonts w:hint="eastAsia" w:asciiTheme="minorEastAsia" w:hAnsiTheme="minorEastAsia" w:eastAsiaTheme="minorEastAsia" w:cstheme="minorEastAsia"/>
                <w:spacing w:val="0"/>
                <w:position w:val="0"/>
                <w:sz w:val="21"/>
                <w:szCs w:val="21"/>
              </w:rPr>
            </w:pPr>
          </w:p>
        </w:tc>
      </w:tr>
      <w:tr w14:paraId="0C58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57" w:type="dxa"/>
            <w:vMerge w:val="continue"/>
            <w:tcBorders>
              <w:top w:val="nil"/>
            </w:tcBorders>
            <w:vAlign w:val="center"/>
          </w:tcPr>
          <w:p w14:paraId="36EC06AD">
            <w:pPr>
              <w:jc w:val="cente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vAlign w:val="center"/>
          </w:tcPr>
          <w:p w14:paraId="67945C5D">
            <w:pPr>
              <w:jc w:val="center"/>
              <w:rPr>
                <w:rFonts w:hint="eastAsia" w:asciiTheme="minorEastAsia" w:hAnsiTheme="minorEastAsia" w:eastAsiaTheme="minorEastAsia" w:cstheme="minorEastAsia"/>
                <w:spacing w:val="0"/>
                <w:position w:val="0"/>
                <w:sz w:val="21"/>
                <w:szCs w:val="21"/>
              </w:rPr>
            </w:pPr>
          </w:p>
        </w:tc>
        <w:tc>
          <w:tcPr>
            <w:tcW w:w="1245" w:type="dxa"/>
            <w:vAlign w:val="center"/>
          </w:tcPr>
          <w:p w14:paraId="47EFFDE9">
            <w:pPr>
              <w:pStyle w:val="34"/>
              <w:spacing w:before="3"/>
              <w:jc w:val="center"/>
              <w:rPr>
                <w:rFonts w:hint="eastAsia" w:asciiTheme="minorEastAsia" w:hAnsiTheme="minorEastAsia" w:eastAsiaTheme="minorEastAsia" w:cstheme="minorEastAsia"/>
                <w:spacing w:val="0"/>
                <w:position w:val="0"/>
                <w:sz w:val="21"/>
                <w:szCs w:val="21"/>
              </w:rPr>
            </w:pPr>
          </w:p>
          <w:p w14:paraId="3A15C99E">
            <w:pPr>
              <w:pStyle w:val="34"/>
              <w:spacing w:before="1"/>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杨梅</w:t>
            </w:r>
          </w:p>
        </w:tc>
        <w:tc>
          <w:tcPr>
            <w:tcW w:w="2610" w:type="dxa"/>
            <w:vAlign w:val="center"/>
          </w:tcPr>
          <w:p w14:paraId="05623673">
            <w:pPr>
              <w:pStyle w:val="34"/>
              <w:spacing w:before="66" w:line="280" w:lineRule="atLeast"/>
              <w:ind w:left="133" w:right="124"/>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脱氢乙酸及其钠盐（以脱氢乙酸计）、糖精钠（以糖精计）</w:t>
            </w:r>
          </w:p>
        </w:tc>
        <w:tc>
          <w:tcPr>
            <w:tcW w:w="7305" w:type="dxa"/>
            <w:vAlign w:val="center"/>
          </w:tcPr>
          <w:p w14:paraId="7149B6C4">
            <w:pPr>
              <w:pStyle w:val="34"/>
              <w:spacing w:before="66" w:line="280" w:lineRule="atLeast"/>
              <w:ind w:left="108" w:right="97"/>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苯甲酸及其钠盐（以苯甲酸计）、山梨酸及其钾盐（以山梨酸计）、三氯蔗糖、甜蜜素（以环己基氨基磺酸计）、敌敌畏、氧乐果、啶虫脒</w:t>
            </w:r>
          </w:p>
        </w:tc>
        <w:tc>
          <w:tcPr>
            <w:tcW w:w="1338" w:type="dxa"/>
            <w:vAlign w:val="center"/>
          </w:tcPr>
          <w:p w14:paraId="7E2408CB">
            <w:pPr>
              <w:pStyle w:val="34"/>
              <w:jc w:val="center"/>
              <w:rPr>
                <w:rFonts w:hint="eastAsia" w:asciiTheme="minorEastAsia" w:hAnsiTheme="minorEastAsia" w:eastAsiaTheme="minorEastAsia" w:cstheme="minorEastAsia"/>
                <w:spacing w:val="0"/>
                <w:position w:val="0"/>
                <w:sz w:val="21"/>
                <w:szCs w:val="21"/>
              </w:rPr>
            </w:pPr>
          </w:p>
        </w:tc>
      </w:tr>
      <w:tr w14:paraId="7A60C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57" w:type="dxa"/>
            <w:vMerge w:val="continue"/>
            <w:tcBorders>
              <w:top w:val="nil"/>
            </w:tcBorders>
            <w:vAlign w:val="center"/>
          </w:tcPr>
          <w:p w14:paraId="71F4AD46">
            <w:pPr>
              <w:jc w:val="cente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vAlign w:val="center"/>
          </w:tcPr>
          <w:p w14:paraId="38EDA526">
            <w:pPr>
              <w:jc w:val="center"/>
              <w:rPr>
                <w:rFonts w:hint="eastAsia" w:asciiTheme="minorEastAsia" w:hAnsiTheme="minorEastAsia" w:eastAsiaTheme="minorEastAsia" w:cstheme="minorEastAsia"/>
                <w:spacing w:val="0"/>
                <w:position w:val="0"/>
                <w:sz w:val="21"/>
                <w:szCs w:val="21"/>
              </w:rPr>
            </w:pPr>
          </w:p>
        </w:tc>
        <w:tc>
          <w:tcPr>
            <w:tcW w:w="1245" w:type="dxa"/>
            <w:vAlign w:val="center"/>
          </w:tcPr>
          <w:p w14:paraId="09C70BC7">
            <w:pPr>
              <w:pStyle w:val="34"/>
              <w:spacing w:before="63" w:line="237" w:lineRule="exact"/>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龙眼</w:t>
            </w:r>
          </w:p>
        </w:tc>
        <w:tc>
          <w:tcPr>
            <w:tcW w:w="2610" w:type="dxa"/>
            <w:vAlign w:val="center"/>
          </w:tcPr>
          <w:p w14:paraId="3BDBAF70">
            <w:pPr>
              <w:pStyle w:val="34"/>
              <w:spacing w:before="63" w:line="237" w:lineRule="exact"/>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二氧化硫残留量</w:t>
            </w:r>
          </w:p>
        </w:tc>
        <w:tc>
          <w:tcPr>
            <w:tcW w:w="7305" w:type="dxa"/>
            <w:vAlign w:val="center"/>
          </w:tcPr>
          <w:p w14:paraId="4C411EB9">
            <w:pPr>
              <w:pStyle w:val="34"/>
              <w:spacing w:before="63" w:line="237" w:lineRule="exact"/>
              <w:ind w:lef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克百威、氯氰菊酯和高效氯氰菊酯、氧乐果</w:t>
            </w:r>
          </w:p>
        </w:tc>
        <w:tc>
          <w:tcPr>
            <w:tcW w:w="1338" w:type="dxa"/>
            <w:vAlign w:val="center"/>
          </w:tcPr>
          <w:p w14:paraId="24B2C0AA">
            <w:pPr>
              <w:pStyle w:val="34"/>
              <w:jc w:val="center"/>
              <w:rPr>
                <w:rFonts w:hint="eastAsia" w:asciiTheme="minorEastAsia" w:hAnsiTheme="minorEastAsia" w:eastAsiaTheme="minorEastAsia" w:cstheme="minorEastAsia"/>
                <w:spacing w:val="0"/>
                <w:position w:val="0"/>
                <w:sz w:val="21"/>
                <w:szCs w:val="21"/>
              </w:rPr>
            </w:pPr>
          </w:p>
        </w:tc>
      </w:tr>
      <w:tr w14:paraId="6B548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57" w:type="dxa"/>
            <w:vMerge w:val="continue"/>
            <w:tcBorders>
              <w:top w:val="nil"/>
            </w:tcBorders>
            <w:vAlign w:val="center"/>
          </w:tcPr>
          <w:p w14:paraId="367698B6">
            <w:pPr>
              <w:jc w:val="center"/>
              <w:rPr>
                <w:rFonts w:hint="eastAsia" w:asciiTheme="minorEastAsia" w:hAnsiTheme="minorEastAsia" w:eastAsiaTheme="minorEastAsia" w:cstheme="minorEastAsia"/>
                <w:spacing w:val="0"/>
                <w:position w:val="0"/>
                <w:sz w:val="21"/>
                <w:szCs w:val="21"/>
              </w:rPr>
            </w:pPr>
          </w:p>
        </w:tc>
        <w:tc>
          <w:tcPr>
            <w:tcW w:w="1170" w:type="dxa"/>
            <w:vMerge w:val="continue"/>
            <w:tcBorders>
              <w:top w:val="nil"/>
            </w:tcBorders>
            <w:vAlign w:val="center"/>
          </w:tcPr>
          <w:p w14:paraId="1ED13353">
            <w:pPr>
              <w:jc w:val="center"/>
              <w:rPr>
                <w:rFonts w:hint="eastAsia" w:asciiTheme="minorEastAsia" w:hAnsiTheme="minorEastAsia" w:eastAsiaTheme="minorEastAsia" w:cstheme="minorEastAsia"/>
                <w:spacing w:val="0"/>
                <w:position w:val="0"/>
                <w:sz w:val="21"/>
                <w:szCs w:val="21"/>
              </w:rPr>
            </w:pPr>
          </w:p>
        </w:tc>
        <w:tc>
          <w:tcPr>
            <w:tcW w:w="1245" w:type="dxa"/>
            <w:vAlign w:val="center"/>
          </w:tcPr>
          <w:p w14:paraId="34304948">
            <w:pPr>
              <w:pStyle w:val="34"/>
              <w:spacing w:before="64" w:line="236" w:lineRule="exact"/>
              <w:ind w:left="246" w:right="23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番木瓜</w:t>
            </w:r>
          </w:p>
        </w:tc>
        <w:tc>
          <w:tcPr>
            <w:tcW w:w="2610" w:type="dxa"/>
            <w:vAlign w:val="center"/>
          </w:tcPr>
          <w:p w14:paraId="66B79C1E">
            <w:pPr>
              <w:pStyle w:val="34"/>
              <w:spacing w:before="64" w:line="236" w:lineRule="exact"/>
              <w:ind w:left="165" w:right="15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噻虫胺、噻虫嗪</w:t>
            </w:r>
          </w:p>
        </w:tc>
        <w:tc>
          <w:tcPr>
            <w:tcW w:w="7305" w:type="dxa"/>
            <w:vAlign w:val="center"/>
          </w:tcPr>
          <w:p w14:paraId="3CE4A0FB">
            <w:pPr>
              <w:pStyle w:val="34"/>
              <w:spacing w:before="64" w:line="236" w:lineRule="exact"/>
              <w:ind w:lef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乙酰甲胺磷</w:t>
            </w:r>
          </w:p>
        </w:tc>
        <w:tc>
          <w:tcPr>
            <w:tcW w:w="1338" w:type="dxa"/>
            <w:vAlign w:val="center"/>
          </w:tcPr>
          <w:p w14:paraId="4E5D217A">
            <w:pPr>
              <w:pStyle w:val="34"/>
              <w:jc w:val="center"/>
              <w:rPr>
                <w:rFonts w:hint="eastAsia" w:asciiTheme="minorEastAsia" w:hAnsiTheme="minorEastAsia" w:eastAsiaTheme="minorEastAsia" w:cstheme="minorEastAsia"/>
                <w:spacing w:val="0"/>
                <w:position w:val="0"/>
                <w:sz w:val="21"/>
                <w:szCs w:val="21"/>
              </w:rPr>
            </w:pPr>
          </w:p>
        </w:tc>
      </w:tr>
      <w:tr w14:paraId="1F7D5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057" w:type="dxa"/>
            <w:vAlign w:val="center"/>
          </w:tcPr>
          <w:p w14:paraId="58D62D9B">
            <w:pPr>
              <w:pStyle w:val="34"/>
              <w:spacing w:before="195"/>
              <w:ind w:left="346"/>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鲜蛋</w:t>
            </w:r>
          </w:p>
        </w:tc>
        <w:tc>
          <w:tcPr>
            <w:tcW w:w="1170" w:type="dxa"/>
            <w:vAlign w:val="center"/>
          </w:tcPr>
          <w:p w14:paraId="53416FC8">
            <w:pPr>
              <w:pStyle w:val="34"/>
              <w:spacing w:before="195"/>
              <w:ind w:left="119" w:righ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鲜蛋</w:t>
            </w:r>
          </w:p>
        </w:tc>
        <w:tc>
          <w:tcPr>
            <w:tcW w:w="1245" w:type="dxa"/>
            <w:vAlign w:val="center"/>
          </w:tcPr>
          <w:p w14:paraId="3B5720A8">
            <w:pPr>
              <w:pStyle w:val="34"/>
              <w:spacing w:before="183"/>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鸡蛋</w:t>
            </w:r>
          </w:p>
        </w:tc>
        <w:tc>
          <w:tcPr>
            <w:tcW w:w="2610" w:type="dxa"/>
            <w:vAlign w:val="center"/>
          </w:tcPr>
          <w:p w14:paraId="64EA23B9">
            <w:pPr>
              <w:pStyle w:val="34"/>
              <w:spacing w:line="280" w:lineRule="atLeast"/>
              <w:ind w:left="945" w:right="304" w:hanging="812"/>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甲氧苄啶、磺胺类（总量）多西环素</w:t>
            </w:r>
          </w:p>
        </w:tc>
        <w:tc>
          <w:tcPr>
            <w:tcW w:w="7305" w:type="dxa"/>
            <w:vAlign w:val="center"/>
          </w:tcPr>
          <w:p w14:paraId="0E3F2A2D">
            <w:pPr>
              <w:pStyle w:val="34"/>
              <w:spacing w:line="280" w:lineRule="atLeast"/>
              <w:ind w:left="108" w:right="6"/>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甲硝唑、地美硝唑、呋喃唑酮代谢物、氟虫腈、氯霉素、氟苯尼考、甲砜霉素、恩诺沙星、氧氟沙星、沙拉沙星、地克珠利、托曲珠利</w:t>
            </w:r>
          </w:p>
        </w:tc>
        <w:tc>
          <w:tcPr>
            <w:tcW w:w="1338" w:type="dxa"/>
            <w:vAlign w:val="center"/>
          </w:tcPr>
          <w:p w14:paraId="609BDC37">
            <w:pPr>
              <w:pStyle w:val="34"/>
              <w:jc w:val="center"/>
              <w:rPr>
                <w:rFonts w:hint="eastAsia" w:asciiTheme="minorEastAsia" w:hAnsiTheme="minorEastAsia" w:eastAsiaTheme="minorEastAsia" w:cstheme="minorEastAsia"/>
                <w:spacing w:val="0"/>
                <w:position w:val="0"/>
                <w:sz w:val="21"/>
                <w:szCs w:val="21"/>
              </w:rPr>
            </w:pPr>
          </w:p>
        </w:tc>
      </w:tr>
      <w:tr w14:paraId="09CE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057" w:type="dxa"/>
            <w:vAlign w:val="center"/>
          </w:tcPr>
          <w:p w14:paraId="29777754">
            <w:pPr>
              <w:pStyle w:val="34"/>
              <w:spacing w:before="44"/>
              <w:ind w:left="166"/>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生干坚果</w:t>
            </w:r>
          </w:p>
          <w:p w14:paraId="642D888E">
            <w:pPr>
              <w:pStyle w:val="34"/>
              <w:spacing w:line="280" w:lineRule="atLeast"/>
              <w:ind w:left="437" w:right="158" w:hanging="272"/>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与籽类食品</w:t>
            </w:r>
          </w:p>
        </w:tc>
        <w:tc>
          <w:tcPr>
            <w:tcW w:w="1170" w:type="dxa"/>
            <w:vAlign w:val="center"/>
          </w:tcPr>
          <w:p w14:paraId="2F31DEBA">
            <w:pPr>
              <w:pStyle w:val="34"/>
              <w:spacing w:before="183" w:line="268" w:lineRule="auto"/>
              <w:ind w:left="225" w:right="123" w:hanging="92"/>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生干坚果与籽类食品</w:t>
            </w:r>
          </w:p>
        </w:tc>
        <w:tc>
          <w:tcPr>
            <w:tcW w:w="1245" w:type="dxa"/>
            <w:vAlign w:val="center"/>
          </w:tcPr>
          <w:p w14:paraId="32FDBAED">
            <w:pPr>
              <w:pStyle w:val="34"/>
              <w:spacing w:before="6"/>
              <w:jc w:val="center"/>
              <w:rPr>
                <w:rFonts w:hint="eastAsia" w:asciiTheme="minorEastAsia" w:hAnsiTheme="minorEastAsia" w:eastAsiaTheme="minorEastAsia" w:cstheme="minorEastAsia"/>
                <w:spacing w:val="0"/>
                <w:position w:val="0"/>
                <w:sz w:val="21"/>
                <w:szCs w:val="21"/>
              </w:rPr>
            </w:pPr>
          </w:p>
          <w:p w14:paraId="58C21281">
            <w:pPr>
              <w:pStyle w:val="34"/>
              <w:ind w:left="246" w:right="240"/>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生干籽类</w:t>
            </w:r>
          </w:p>
        </w:tc>
        <w:tc>
          <w:tcPr>
            <w:tcW w:w="2610" w:type="dxa"/>
            <w:vAlign w:val="center"/>
          </w:tcPr>
          <w:p w14:paraId="4CA0D641">
            <w:pPr>
              <w:pStyle w:val="34"/>
              <w:spacing w:before="183" w:line="268" w:lineRule="auto"/>
              <w:ind w:left="179" w:right="95" w:hanging="72"/>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酸价（以脂肪计）( KOH) 、黄曲霉毒素 B1（重点品种：花生）</w:t>
            </w:r>
          </w:p>
        </w:tc>
        <w:tc>
          <w:tcPr>
            <w:tcW w:w="7305" w:type="dxa"/>
            <w:vAlign w:val="center"/>
          </w:tcPr>
          <w:p w14:paraId="41F08854">
            <w:pPr>
              <w:pStyle w:val="34"/>
              <w:spacing w:before="6"/>
              <w:jc w:val="center"/>
              <w:rPr>
                <w:rFonts w:hint="eastAsia" w:asciiTheme="minorEastAsia" w:hAnsiTheme="minorEastAsia" w:eastAsiaTheme="minorEastAsia" w:cstheme="minorEastAsia"/>
                <w:spacing w:val="0"/>
                <w:position w:val="0"/>
                <w:sz w:val="21"/>
                <w:szCs w:val="21"/>
              </w:rPr>
            </w:pPr>
          </w:p>
          <w:p w14:paraId="41CFDBCE">
            <w:pPr>
              <w:pStyle w:val="34"/>
              <w:ind w:left="108"/>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过氧化值（以脂肪计）、铅（以Pb 计）、镉（以 Cd 计）、噻虫嗪、噻虫胺</w:t>
            </w:r>
          </w:p>
        </w:tc>
        <w:tc>
          <w:tcPr>
            <w:tcW w:w="1338" w:type="dxa"/>
            <w:vAlign w:val="center"/>
          </w:tcPr>
          <w:p w14:paraId="0FC85E1C">
            <w:pPr>
              <w:pStyle w:val="34"/>
              <w:spacing w:before="183" w:line="268" w:lineRule="auto"/>
              <w:ind w:left="219" w:right="117" w:hanging="92"/>
              <w:jc w:val="center"/>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仅花生检测黄曲霉毒素B1</w:t>
            </w:r>
          </w:p>
        </w:tc>
      </w:tr>
    </w:tbl>
    <w:p w14:paraId="1F3ADA65">
      <w:pPr>
        <w:spacing w:line="540" w:lineRule="exact"/>
        <w:ind w:firstLine="402" w:firstLineChars="200"/>
        <w:rPr>
          <w:rFonts w:asciiTheme="minorEastAsia" w:hAnsiTheme="minorEastAsia" w:eastAsiaTheme="minorEastAsia"/>
          <w:b/>
          <w:bCs/>
          <w:color w:val="000000" w:themeColor="text1"/>
          <w:kern w:val="0"/>
          <w:sz w:val="20"/>
          <w:szCs w:val="20"/>
          <w:highlight w:val="none"/>
          <w14:textFill>
            <w14:solidFill>
              <w14:schemeClr w14:val="tx1"/>
            </w14:solidFill>
          </w14:textFill>
        </w:rPr>
        <w:sectPr>
          <w:headerReference r:id="rId5" w:type="default"/>
          <w:footerReference r:id="rId6" w:type="default"/>
          <w:pgSz w:w="16838" w:h="11906" w:orient="landscape"/>
          <w:pgMar w:top="1588" w:right="1418" w:bottom="1418" w:left="1418" w:header="851" w:footer="771" w:gutter="0"/>
          <w:cols w:space="720" w:num="1"/>
          <w:docGrid w:linePitch="326" w:charSpace="0"/>
        </w:sectPr>
      </w:pPr>
      <w:r>
        <w:rPr>
          <w:rFonts w:hint="eastAsia" w:asciiTheme="minorEastAsia" w:hAnsiTheme="minorEastAsia" w:eastAsiaTheme="minorEastAsia"/>
          <w:b/>
          <w:bCs/>
          <w:color w:val="000000" w:themeColor="text1"/>
          <w:kern w:val="0"/>
          <w:sz w:val="20"/>
          <w:szCs w:val="20"/>
          <w:highlight w:val="none"/>
          <w14:textFill>
            <w14:solidFill>
              <w14:schemeClr w14:val="tx1"/>
            </w14:solidFill>
          </w14:textFill>
        </w:rPr>
        <w:t>注：该表格覆盖所有食品抽检项目，均为总体计划，在实际抽检中甲方将根据举报投诉、专项检查、时期热点等工作需要适时调整抽检产品。</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5C64383C">
      <w:pPr>
        <w:widowControl/>
        <w:spacing w:line="560" w:lineRule="exact"/>
        <w:ind w:firstLine="856" w:firstLineChars="200"/>
        <w:jc w:val="both"/>
        <w:rPr>
          <w:rFonts w:hint="eastAsia" w:ascii="仿宋_GB2312" w:eastAsia="方正小标宋简体"/>
          <w:sz w:val="32"/>
          <w:szCs w:val="32"/>
          <w:lang w:val="en-US" w:eastAsia="zh-CN"/>
        </w:rPr>
      </w:pPr>
      <w:r>
        <w:rPr>
          <w:rFonts w:ascii="Times New Roman" w:hAnsi="Times New Roman" w:eastAsia="方正小标宋简体" w:cs="Times New Roman"/>
          <w:color w:val="000000"/>
          <w:spacing w:val="-6"/>
          <w:sz w:val="44"/>
          <w:szCs w:val="44"/>
        </w:rPr>
        <w:t>202</w:t>
      </w:r>
      <w:r>
        <w:rPr>
          <w:rFonts w:hint="eastAsia" w:ascii="Times New Roman" w:hAnsi="Times New Roman" w:eastAsia="方正小标宋简体" w:cs="Times New Roman"/>
          <w:color w:val="000000"/>
          <w:spacing w:val="-6"/>
          <w:sz w:val="44"/>
          <w:szCs w:val="44"/>
          <w:lang w:val="en-US" w:eastAsia="zh-CN"/>
        </w:rPr>
        <w:t>5</w:t>
      </w:r>
      <w:r>
        <w:rPr>
          <w:rFonts w:ascii="Times New Roman" w:hAnsi="Times New Roman" w:eastAsia="方正小标宋简体" w:cs="Times New Roman"/>
          <w:color w:val="000000"/>
          <w:spacing w:val="-6"/>
          <w:sz w:val="44"/>
          <w:szCs w:val="44"/>
        </w:rPr>
        <w:t>年</w:t>
      </w:r>
      <w:r>
        <w:rPr>
          <w:rFonts w:hint="eastAsia" w:ascii="Times New Roman" w:hAnsi="Times New Roman" w:eastAsia="方正小标宋简体" w:cs="Times New Roman"/>
          <w:color w:val="000000"/>
          <w:spacing w:val="-6"/>
          <w:sz w:val="44"/>
          <w:szCs w:val="44"/>
          <w:lang w:val="en-US" w:eastAsia="zh-CN"/>
        </w:rPr>
        <w:t>灵宝</w:t>
      </w:r>
      <w:r>
        <w:rPr>
          <w:rFonts w:ascii="Times New Roman" w:hAnsi="Times New Roman" w:eastAsia="方正小标宋简体" w:cs="Times New Roman"/>
          <w:color w:val="000000"/>
          <w:spacing w:val="-6"/>
          <w:sz w:val="44"/>
          <w:szCs w:val="44"/>
        </w:rPr>
        <w:t>市产品质量监督抽查计划</w:t>
      </w:r>
      <w:r>
        <w:rPr>
          <w:rFonts w:hint="eastAsia" w:eastAsia="方正小标宋简体" w:cs="Times New Roman"/>
          <w:color w:val="000000"/>
          <w:spacing w:val="-6"/>
          <w:sz w:val="44"/>
          <w:szCs w:val="44"/>
          <w:lang w:val="en-US" w:eastAsia="zh-CN"/>
        </w:rPr>
        <w:t>表</w:t>
      </w:r>
    </w:p>
    <w:tbl>
      <w:tblPr>
        <w:tblStyle w:val="17"/>
        <w:tblW w:w="901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031"/>
        <w:gridCol w:w="4193"/>
        <w:gridCol w:w="1758"/>
      </w:tblGrid>
      <w:tr w14:paraId="2DE6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045DCA2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31" w:type="dxa"/>
            <w:noWrap w:val="0"/>
            <w:vAlign w:val="bottom"/>
          </w:tcPr>
          <w:p w14:paraId="262ABE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产品类别</w:t>
            </w:r>
          </w:p>
        </w:tc>
        <w:tc>
          <w:tcPr>
            <w:tcW w:w="4193" w:type="dxa"/>
            <w:noWrap w:val="0"/>
            <w:vAlign w:val="bottom"/>
          </w:tcPr>
          <w:p w14:paraId="13E4B9C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1758" w:type="dxa"/>
            <w:noWrap w:val="0"/>
            <w:vAlign w:val="bottom"/>
          </w:tcPr>
          <w:p w14:paraId="39DE49E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抽查领域</w:t>
            </w:r>
          </w:p>
        </w:tc>
      </w:tr>
      <w:tr w14:paraId="6F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36" w:type="dxa"/>
            <w:noWrap w:val="0"/>
            <w:vAlign w:val="bottom"/>
          </w:tcPr>
          <w:p w14:paraId="16D738C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31" w:type="dxa"/>
            <w:noWrap w:val="0"/>
            <w:vAlign w:val="bottom"/>
          </w:tcPr>
          <w:p w14:paraId="0974074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交通用具及相关产品</w:t>
            </w:r>
          </w:p>
        </w:tc>
        <w:tc>
          <w:tcPr>
            <w:tcW w:w="4193" w:type="dxa"/>
            <w:noWrap w:val="0"/>
            <w:vAlign w:val="bottom"/>
          </w:tcPr>
          <w:p w14:paraId="1941E91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车用燃油（车用汽油、车用柴油）</w:t>
            </w:r>
          </w:p>
        </w:tc>
        <w:tc>
          <w:tcPr>
            <w:tcW w:w="1758" w:type="dxa"/>
            <w:noWrap w:val="0"/>
            <w:vAlign w:val="bottom"/>
          </w:tcPr>
          <w:p w14:paraId="2B2A3C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32B3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2258536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31" w:type="dxa"/>
            <w:noWrap w:val="0"/>
            <w:vAlign w:val="bottom"/>
          </w:tcPr>
          <w:p w14:paraId="35CB6BD0">
            <w:pPr>
              <w:jc w:val="center"/>
              <w:rPr>
                <w:rFonts w:hint="eastAsia" w:ascii="宋体" w:hAnsi="宋体" w:eastAsia="宋体" w:cs="宋体"/>
                <w:i w:val="0"/>
                <w:iCs w:val="0"/>
                <w:color w:val="000000"/>
                <w:sz w:val="21"/>
                <w:szCs w:val="21"/>
                <w:u w:val="none"/>
              </w:rPr>
            </w:pPr>
          </w:p>
        </w:tc>
        <w:tc>
          <w:tcPr>
            <w:tcW w:w="4193" w:type="dxa"/>
            <w:noWrap w:val="0"/>
            <w:vAlign w:val="bottom"/>
          </w:tcPr>
          <w:p w14:paraId="1AAC36D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车用防冻液</w:t>
            </w:r>
          </w:p>
        </w:tc>
        <w:tc>
          <w:tcPr>
            <w:tcW w:w="1758" w:type="dxa"/>
            <w:noWrap w:val="0"/>
            <w:vAlign w:val="bottom"/>
          </w:tcPr>
          <w:p w14:paraId="5BDE29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2C1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56C480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31" w:type="dxa"/>
            <w:noWrap w:val="0"/>
            <w:vAlign w:val="bottom"/>
          </w:tcPr>
          <w:p w14:paraId="58C3B4D8">
            <w:pPr>
              <w:jc w:val="center"/>
              <w:rPr>
                <w:rFonts w:hint="eastAsia" w:ascii="宋体" w:hAnsi="宋体" w:eastAsia="宋体" w:cs="宋体"/>
                <w:i w:val="0"/>
                <w:iCs w:val="0"/>
                <w:color w:val="000000"/>
                <w:sz w:val="21"/>
                <w:szCs w:val="21"/>
                <w:u w:val="none"/>
              </w:rPr>
            </w:pPr>
          </w:p>
        </w:tc>
        <w:tc>
          <w:tcPr>
            <w:tcW w:w="4193" w:type="dxa"/>
            <w:noWrap w:val="0"/>
            <w:vAlign w:val="bottom"/>
          </w:tcPr>
          <w:p w14:paraId="3981F40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机动车制动液</w:t>
            </w:r>
          </w:p>
        </w:tc>
        <w:tc>
          <w:tcPr>
            <w:tcW w:w="1758" w:type="dxa"/>
            <w:noWrap w:val="0"/>
            <w:vAlign w:val="bottom"/>
          </w:tcPr>
          <w:p w14:paraId="1DD149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2217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712A2D6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31" w:type="dxa"/>
            <w:noWrap w:val="0"/>
            <w:vAlign w:val="bottom"/>
          </w:tcPr>
          <w:p w14:paraId="2DAF17BE">
            <w:pPr>
              <w:jc w:val="center"/>
              <w:rPr>
                <w:rFonts w:hint="eastAsia" w:ascii="宋体" w:hAnsi="宋体" w:eastAsia="宋体" w:cs="宋体"/>
                <w:i w:val="0"/>
                <w:iCs w:val="0"/>
                <w:color w:val="000000"/>
                <w:sz w:val="21"/>
                <w:szCs w:val="21"/>
                <w:u w:val="none"/>
              </w:rPr>
            </w:pPr>
          </w:p>
        </w:tc>
        <w:tc>
          <w:tcPr>
            <w:tcW w:w="4193" w:type="dxa"/>
            <w:noWrap w:val="0"/>
            <w:vAlign w:val="bottom"/>
          </w:tcPr>
          <w:p w14:paraId="55EB2C5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w:t>
            </w:r>
          </w:p>
        </w:tc>
        <w:tc>
          <w:tcPr>
            <w:tcW w:w="1758" w:type="dxa"/>
            <w:noWrap w:val="0"/>
            <w:vAlign w:val="bottom"/>
          </w:tcPr>
          <w:p w14:paraId="4A007BE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2344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5CB0922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31" w:type="dxa"/>
            <w:noWrap w:val="0"/>
            <w:vAlign w:val="bottom"/>
          </w:tcPr>
          <w:p w14:paraId="04A75E6A">
            <w:pPr>
              <w:jc w:val="center"/>
              <w:rPr>
                <w:rFonts w:hint="eastAsia" w:ascii="宋体" w:hAnsi="宋体" w:eastAsia="宋体" w:cs="宋体"/>
                <w:i w:val="0"/>
                <w:iCs w:val="0"/>
                <w:color w:val="000000"/>
                <w:sz w:val="21"/>
                <w:szCs w:val="21"/>
                <w:u w:val="none"/>
              </w:rPr>
            </w:pPr>
          </w:p>
        </w:tc>
        <w:tc>
          <w:tcPr>
            <w:tcW w:w="4193" w:type="dxa"/>
            <w:noWrap w:val="0"/>
            <w:vAlign w:val="center"/>
          </w:tcPr>
          <w:p w14:paraId="5D023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润滑脂</w:t>
            </w:r>
          </w:p>
        </w:tc>
        <w:tc>
          <w:tcPr>
            <w:tcW w:w="1758" w:type="dxa"/>
            <w:noWrap w:val="0"/>
            <w:vAlign w:val="bottom"/>
          </w:tcPr>
          <w:p w14:paraId="702A36A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2C3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7C1B3E6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31" w:type="dxa"/>
            <w:noWrap w:val="0"/>
            <w:vAlign w:val="bottom"/>
          </w:tcPr>
          <w:p w14:paraId="0FB8C7BC">
            <w:pPr>
              <w:jc w:val="center"/>
              <w:rPr>
                <w:rFonts w:hint="eastAsia" w:ascii="宋体" w:hAnsi="宋体" w:eastAsia="宋体" w:cs="宋体"/>
                <w:i w:val="0"/>
                <w:iCs w:val="0"/>
                <w:color w:val="000000"/>
                <w:sz w:val="21"/>
                <w:szCs w:val="21"/>
                <w:u w:val="none"/>
              </w:rPr>
            </w:pPr>
          </w:p>
        </w:tc>
        <w:tc>
          <w:tcPr>
            <w:tcW w:w="4193" w:type="dxa"/>
            <w:noWrap w:val="0"/>
            <w:vAlign w:val="center"/>
          </w:tcPr>
          <w:p w14:paraId="2F63E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车用尿素</w:t>
            </w:r>
          </w:p>
        </w:tc>
        <w:tc>
          <w:tcPr>
            <w:tcW w:w="1758" w:type="dxa"/>
            <w:noWrap w:val="0"/>
            <w:vAlign w:val="bottom"/>
          </w:tcPr>
          <w:p w14:paraId="0FD910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067C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6191D46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31" w:type="dxa"/>
            <w:noWrap w:val="0"/>
            <w:vAlign w:val="bottom"/>
          </w:tcPr>
          <w:p w14:paraId="1AB6552D">
            <w:pPr>
              <w:jc w:val="center"/>
              <w:rPr>
                <w:rFonts w:hint="eastAsia" w:ascii="宋体" w:hAnsi="宋体" w:eastAsia="宋体" w:cs="宋体"/>
                <w:i w:val="0"/>
                <w:iCs w:val="0"/>
                <w:color w:val="000000"/>
                <w:sz w:val="21"/>
                <w:szCs w:val="21"/>
                <w:u w:val="none"/>
              </w:rPr>
            </w:pPr>
          </w:p>
        </w:tc>
        <w:tc>
          <w:tcPr>
            <w:tcW w:w="4193" w:type="dxa"/>
            <w:noWrap w:val="0"/>
            <w:vAlign w:val="center"/>
          </w:tcPr>
          <w:p w14:paraId="7245F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车用压缩天然气</w:t>
            </w:r>
          </w:p>
        </w:tc>
        <w:tc>
          <w:tcPr>
            <w:tcW w:w="1758" w:type="dxa"/>
            <w:noWrap w:val="0"/>
            <w:vAlign w:val="bottom"/>
          </w:tcPr>
          <w:p w14:paraId="697CE00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50D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16E3DCC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31" w:type="dxa"/>
            <w:noWrap w:val="0"/>
            <w:vAlign w:val="bottom"/>
          </w:tcPr>
          <w:p w14:paraId="61B0C30D">
            <w:pPr>
              <w:jc w:val="center"/>
              <w:rPr>
                <w:rFonts w:hint="eastAsia" w:ascii="宋体" w:hAnsi="宋体" w:eastAsia="宋体" w:cs="宋体"/>
                <w:i w:val="0"/>
                <w:iCs w:val="0"/>
                <w:color w:val="000000"/>
                <w:sz w:val="21"/>
                <w:szCs w:val="21"/>
                <w:u w:val="none"/>
              </w:rPr>
            </w:pPr>
          </w:p>
        </w:tc>
        <w:tc>
          <w:tcPr>
            <w:tcW w:w="4193" w:type="dxa"/>
            <w:noWrap w:val="0"/>
            <w:vAlign w:val="center"/>
          </w:tcPr>
          <w:p w14:paraId="77845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液化石油气</w:t>
            </w:r>
          </w:p>
        </w:tc>
        <w:tc>
          <w:tcPr>
            <w:tcW w:w="1758" w:type="dxa"/>
            <w:noWrap w:val="0"/>
            <w:vAlign w:val="bottom"/>
          </w:tcPr>
          <w:p w14:paraId="20B13F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5063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2823632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031" w:type="dxa"/>
            <w:noWrap w:val="0"/>
            <w:vAlign w:val="bottom"/>
          </w:tcPr>
          <w:p w14:paraId="3E823C15">
            <w:pPr>
              <w:jc w:val="center"/>
              <w:rPr>
                <w:rFonts w:hint="eastAsia" w:ascii="宋体" w:hAnsi="宋体" w:eastAsia="宋体" w:cs="宋体"/>
                <w:i w:val="0"/>
                <w:iCs w:val="0"/>
                <w:color w:val="000000"/>
                <w:sz w:val="21"/>
                <w:szCs w:val="21"/>
                <w:u w:val="none"/>
              </w:rPr>
            </w:pPr>
          </w:p>
        </w:tc>
        <w:tc>
          <w:tcPr>
            <w:tcW w:w="4193" w:type="dxa"/>
            <w:noWrap w:val="0"/>
            <w:vAlign w:val="center"/>
          </w:tcPr>
          <w:p w14:paraId="3D0CF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车用汽油清净剂</w:t>
            </w:r>
          </w:p>
        </w:tc>
        <w:tc>
          <w:tcPr>
            <w:tcW w:w="1758" w:type="dxa"/>
            <w:noWrap w:val="0"/>
            <w:vAlign w:val="bottom"/>
          </w:tcPr>
          <w:p w14:paraId="454F2F9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70A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45BA616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031" w:type="dxa"/>
            <w:noWrap w:val="0"/>
            <w:vAlign w:val="bottom"/>
          </w:tcPr>
          <w:p w14:paraId="41FDBAE0">
            <w:pPr>
              <w:jc w:val="center"/>
              <w:rPr>
                <w:rFonts w:hint="eastAsia" w:ascii="宋体" w:hAnsi="宋体" w:eastAsia="宋体" w:cs="宋体"/>
                <w:i w:val="0"/>
                <w:iCs w:val="0"/>
                <w:color w:val="000000"/>
                <w:sz w:val="21"/>
                <w:szCs w:val="21"/>
                <w:u w:val="none"/>
              </w:rPr>
            </w:pPr>
          </w:p>
        </w:tc>
        <w:tc>
          <w:tcPr>
            <w:tcW w:w="4193" w:type="dxa"/>
            <w:noWrap w:val="0"/>
            <w:vAlign w:val="center"/>
          </w:tcPr>
          <w:p w14:paraId="3E12D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车用柴油清净剂</w:t>
            </w:r>
          </w:p>
        </w:tc>
        <w:tc>
          <w:tcPr>
            <w:tcW w:w="1758" w:type="dxa"/>
            <w:noWrap w:val="0"/>
            <w:vAlign w:val="bottom"/>
          </w:tcPr>
          <w:p w14:paraId="4785F9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5A8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31CCE71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31" w:type="dxa"/>
            <w:noWrap w:val="0"/>
            <w:vAlign w:val="bottom"/>
          </w:tcPr>
          <w:p w14:paraId="4E8C7833">
            <w:pPr>
              <w:jc w:val="center"/>
              <w:rPr>
                <w:rFonts w:hint="eastAsia" w:ascii="宋体" w:hAnsi="宋体" w:eastAsia="宋体" w:cs="宋体"/>
                <w:i w:val="0"/>
                <w:iCs w:val="0"/>
                <w:color w:val="000000"/>
                <w:sz w:val="21"/>
                <w:szCs w:val="21"/>
                <w:u w:val="none"/>
              </w:rPr>
            </w:pPr>
          </w:p>
        </w:tc>
        <w:tc>
          <w:tcPr>
            <w:tcW w:w="4193" w:type="dxa"/>
            <w:noWrap w:val="0"/>
            <w:vAlign w:val="center"/>
          </w:tcPr>
          <w:p w14:paraId="74360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乙二醇型和丙二醇型发动机冷却液</w:t>
            </w:r>
          </w:p>
        </w:tc>
        <w:tc>
          <w:tcPr>
            <w:tcW w:w="1758" w:type="dxa"/>
            <w:noWrap w:val="0"/>
            <w:vAlign w:val="bottom"/>
          </w:tcPr>
          <w:p w14:paraId="3C51DCF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74EA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0BFF4D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31" w:type="dxa"/>
            <w:noWrap w:val="0"/>
            <w:vAlign w:val="bottom"/>
          </w:tcPr>
          <w:p w14:paraId="41E54188">
            <w:pPr>
              <w:jc w:val="center"/>
              <w:rPr>
                <w:rFonts w:hint="eastAsia" w:ascii="宋体" w:hAnsi="宋体" w:eastAsia="宋体" w:cs="宋体"/>
                <w:i w:val="0"/>
                <w:iCs w:val="0"/>
                <w:color w:val="000000"/>
                <w:sz w:val="21"/>
                <w:szCs w:val="21"/>
                <w:u w:val="none"/>
              </w:rPr>
            </w:pPr>
          </w:p>
        </w:tc>
        <w:tc>
          <w:tcPr>
            <w:tcW w:w="4193" w:type="dxa"/>
            <w:noWrap w:val="0"/>
            <w:vAlign w:val="center"/>
          </w:tcPr>
          <w:p w14:paraId="5A0CD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机动车发动机冷却液</w:t>
            </w:r>
          </w:p>
        </w:tc>
        <w:tc>
          <w:tcPr>
            <w:tcW w:w="1758" w:type="dxa"/>
            <w:noWrap w:val="0"/>
            <w:vAlign w:val="bottom"/>
          </w:tcPr>
          <w:p w14:paraId="2F506F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7E68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3B9DA32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31" w:type="dxa"/>
            <w:noWrap w:val="0"/>
            <w:vAlign w:val="bottom"/>
          </w:tcPr>
          <w:p w14:paraId="1E87E8F0">
            <w:pPr>
              <w:jc w:val="center"/>
              <w:rPr>
                <w:rFonts w:hint="eastAsia" w:ascii="宋体" w:hAnsi="宋体" w:eastAsia="宋体" w:cs="宋体"/>
                <w:i w:val="0"/>
                <w:iCs w:val="0"/>
                <w:color w:val="000000"/>
                <w:sz w:val="21"/>
                <w:szCs w:val="21"/>
                <w:u w:val="none"/>
              </w:rPr>
            </w:pPr>
          </w:p>
        </w:tc>
        <w:tc>
          <w:tcPr>
            <w:tcW w:w="4193" w:type="dxa"/>
            <w:noWrap w:val="0"/>
            <w:vAlign w:val="center"/>
          </w:tcPr>
          <w:p w14:paraId="73D83E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汽车风窗玻璃清洗液</w:t>
            </w:r>
          </w:p>
        </w:tc>
        <w:tc>
          <w:tcPr>
            <w:tcW w:w="1758" w:type="dxa"/>
            <w:noWrap w:val="0"/>
            <w:vAlign w:val="bottom"/>
          </w:tcPr>
          <w:p w14:paraId="38A73FF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1787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454EC80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31" w:type="dxa"/>
            <w:noWrap w:val="0"/>
            <w:vAlign w:val="bottom"/>
          </w:tcPr>
          <w:p w14:paraId="1489A64F">
            <w:pPr>
              <w:jc w:val="center"/>
              <w:rPr>
                <w:rFonts w:hint="eastAsia" w:ascii="宋体" w:hAnsi="宋体" w:eastAsia="宋体" w:cs="宋体"/>
                <w:i w:val="0"/>
                <w:iCs w:val="0"/>
                <w:color w:val="000000"/>
                <w:sz w:val="21"/>
                <w:szCs w:val="21"/>
                <w:u w:val="none"/>
              </w:rPr>
            </w:pPr>
          </w:p>
        </w:tc>
        <w:tc>
          <w:tcPr>
            <w:tcW w:w="4193" w:type="dxa"/>
            <w:noWrap w:val="0"/>
            <w:vAlign w:val="bottom"/>
          </w:tcPr>
          <w:p w14:paraId="61019E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电动车配件（充电器、充电线等）</w:t>
            </w:r>
          </w:p>
        </w:tc>
        <w:tc>
          <w:tcPr>
            <w:tcW w:w="1758" w:type="dxa"/>
            <w:noWrap w:val="0"/>
            <w:vAlign w:val="bottom"/>
          </w:tcPr>
          <w:p w14:paraId="08D74EB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14C7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22A12D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31" w:type="dxa"/>
            <w:noWrap w:val="0"/>
            <w:vAlign w:val="bottom"/>
          </w:tcPr>
          <w:p w14:paraId="61A6CDA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农业生产资料</w:t>
            </w:r>
          </w:p>
        </w:tc>
        <w:tc>
          <w:tcPr>
            <w:tcW w:w="4193" w:type="dxa"/>
            <w:noWrap w:val="0"/>
            <w:vAlign w:val="bottom"/>
          </w:tcPr>
          <w:p w14:paraId="446CA33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化肥</w:t>
            </w:r>
          </w:p>
        </w:tc>
        <w:tc>
          <w:tcPr>
            <w:tcW w:w="1758" w:type="dxa"/>
            <w:noWrap w:val="0"/>
            <w:vAlign w:val="bottom"/>
          </w:tcPr>
          <w:p w14:paraId="0A67667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1692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559D028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031" w:type="dxa"/>
            <w:noWrap w:val="0"/>
            <w:vAlign w:val="bottom"/>
          </w:tcPr>
          <w:p w14:paraId="17C1BF6E">
            <w:pPr>
              <w:jc w:val="center"/>
              <w:rPr>
                <w:rFonts w:hint="eastAsia" w:ascii="宋体" w:hAnsi="宋体" w:eastAsia="宋体" w:cs="宋体"/>
                <w:i w:val="0"/>
                <w:iCs w:val="0"/>
                <w:color w:val="000000"/>
                <w:sz w:val="21"/>
                <w:szCs w:val="21"/>
                <w:u w:val="none"/>
              </w:rPr>
            </w:pPr>
          </w:p>
        </w:tc>
        <w:tc>
          <w:tcPr>
            <w:tcW w:w="4193" w:type="dxa"/>
            <w:noWrap w:val="0"/>
            <w:vAlign w:val="bottom"/>
          </w:tcPr>
          <w:p w14:paraId="248AFE1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农膜</w:t>
            </w:r>
          </w:p>
        </w:tc>
        <w:tc>
          <w:tcPr>
            <w:tcW w:w="1758" w:type="dxa"/>
            <w:noWrap w:val="0"/>
            <w:vAlign w:val="bottom"/>
          </w:tcPr>
          <w:p w14:paraId="659CE1D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6629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6843C1D8">
            <w:pPr>
              <w:keepNext w:val="0"/>
              <w:keepLines w:val="0"/>
              <w:widowControl/>
              <w:suppressLineNumbers w:val="0"/>
              <w:jc w:val="center"/>
              <w:textAlignment w:val="bottom"/>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17</w:t>
            </w:r>
          </w:p>
        </w:tc>
        <w:tc>
          <w:tcPr>
            <w:tcW w:w="2031" w:type="dxa"/>
            <w:noWrap w:val="0"/>
            <w:vAlign w:val="bottom"/>
          </w:tcPr>
          <w:p w14:paraId="08AADE14">
            <w:pPr>
              <w:jc w:val="center"/>
              <w:rPr>
                <w:rFonts w:hint="eastAsia" w:ascii="宋体" w:hAnsi="宋体" w:eastAsia="宋体" w:cs="宋体"/>
                <w:i w:val="0"/>
                <w:iCs w:val="0"/>
                <w:color w:val="000000"/>
                <w:sz w:val="21"/>
                <w:szCs w:val="21"/>
                <w:u w:val="none"/>
              </w:rPr>
            </w:pPr>
          </w:p>
        </w:tc>
        <w:tc>
          <w:tcPr>
            <w:tcW w:w="4193" w:type="dxa"/>
            <w:noWrap w:val="0"/>
            <w:vAlign w:val="bottom"/>
          </w:tcPr>
          <w:p w14:paraId="4AA8A3D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内墙涂料、外墙涂料、防水涂料、防火涂料</w:t>
            </w:r>
          </w:p>
        </w:tc>
        <w:tc>
          <w:tcPr>
            <w:tcW w:w="1758" w:type="dxa"/>
            <w:noWrap w:val="0"/>
            <w:vAlign w:val="bottom"/>
          </w:tcPr>
          <w:p w14:paraId="208324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1874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784150D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2031" w:type="dxa"/>
            <w:noWrap w:val="0"/>
            <w:vAlign w:val="bottom"/>
          </w:tcPr>
          <w:p w14:paraId="13AE3F67">
            <w:pPr>
              <w:jc w:val="center"/>
              <w:rPr>
                <w:rFonts w:hint="eastAsia" w:ascii="宋体" w:hAnsi="宋体" w:eastAsia="宋体" w:cs="宋体"/>
                <w:i w:val="0"/>
                <w:iCs w:val="0"/>
                <w:color w:val="000000"/>
                <w:sz w:val="21"/>
                <w:szCs w:val="21"/>
                <w:u w:val="none"/>
              </w:rPr>
            </w:pPr>
          </w:p>
        </w:tc>
        <w:tc>
          <w:tcPr>
            <w:tcW w:w="4193" w:type="dxa"/>
            <w:noWrap w:val="0"/>
            <w:vAlign w:val="bottom"/>
          </w:tcPr>
          <w:p w14:paraId="48D0DE9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油漆</w:t>
            </w:r>
          </w:p>
        </w:tc>
        <w:tc>
          <w:tcPr>
            <w:tcW w:w="1758" w:type="dxa"/>
            <w:noWrap w:val="0"/>
            <w:vAlign w:val="bottom"/>
          </w:tcPr>
          <w:p w14:paraId="4D09A0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FFB3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3463ED4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031" w:type="dxa"/>
            <w:noWrap w:val="0"/>
            <w:vAlign w:val="bottom"/>
          </w:tcPr>
          <w:p w14:paraId="27641CF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胶粘剂</w:t>
            </w:r>
          </w:p>
        </w:tc>
        <w:tc>
          <w:tcPr>
            <w:tcW w:w="4193" w:type="dxa"/>
            <w:noWrap w:val="0"/>
            <w:vAlign w:val="bottom"/>
          </w:tcPr>
          <w:p w14:paraId="4DE6CCD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白乳胶</w:t>
            </w:r>
          </w:p>
        </w:tc>
        <w:tc>
          <w:tcPr>
            <w:tcW w:w="1758" w:type="dxa"/>
            <w:noWrap w:val="0"/>
            <w:vAlign w:val="bottom"/>
          </w:tcPr>
          <w:p w14:paraId="2E7151C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18A1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695EAA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031" w:type="dxa"/>
            <w:noWrap w:val="0"/>
            <w:vAlign w:val="bottom"/>
          </w:tcPr>
          <w:p w14:paraId="630AEDE7">
            <w:pPr>
              <w:jc w:val="center"/>
              <w:rPr>
                <w:rFonts w:hint="eastAsia" w:ascii="宋体" w:hAnsi="宋体" w:eastAsia="宋体" w:cs="宋体"/>
                <w:i w:val="0"/>
                <w:iCs w:val="0"/>
                <w:color w:val="000000"/>
                <w:sz w:val="21"/>
                <w:szCs w:val="21"/>
                <w:u w:val="none"/>
              </w:rPr>
            </w:pPr>
          </w:p>
        </w:tc>
        <w:tc>
          <w:tcPr>
            <w:tcW w:w="4193" w:type="dxa"/>
            <w:noWrap w:val="0"/>
            <w:vAlign w:val="bottom"/>
          </w:tcPr>
          <w:p w14:paraId="066A3BD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木工板</w:t>
            </w:r>
          </w:p>
        </w:tc>
        <w:tc>
          <w:tcPr>
            <w:tcW w:w="1758" w:type="dxa"/>
            <w:noWrap w:val="0"/>
            <w:vAlign w:val="bottom"/>
          </w:tcPr>
          <w:p w14:paraId="0D9944D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751D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5C43EB5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031" w:type="dxa"/>
            <w:noWrap w:val="0"/>
            <w:vAlign w:val="bottom"/>
          </w:tcPr>
          <w:p w14:paraId="68736E1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工业生产资料</w:t>
            </w:r>
          </w:p>
        </w:tc>
        <w:tc>
          <w:tcPr>
            <w:tcW w:w="4193" w:type="dxa"/>
            <w:noWrap w:val="0"/>
            <w:vAlign w:val="bottom"/>
          </w:tcPr>
          <w:p w14:paraId="67FBA95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w:t>
            </w:r>
          </w:p>
        </w:tc>
        <w:tc>
          <w:tcPr>
            <w:tcW w:w="1758" w:type="dxa"/>
            <w:noWrap w:val="0"/>
            <w:vAlign w:val="bottom"/>
          </w:tcPr>
          <w:p w14:paraId="010240A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w:t>
            </w:r>
          </w:p>
        </w:tc>
      </w:tr>
      <w:tr w14:paraId="2D01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286C963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031" w:type="dxa"/>
            <w:noWrap w:val="0"/>
            <w:vAlign w:val="bottom"/>
          </w:tcPr>
          <w:p w14:paraId="5141AC4F">
            <w:pPr>
              <w:jc w:val="center"/>
              <w:rPr>
                <w:rFonts w:hint="eastAsia" w:ascii="宋体" w:hAnsi="宋体" w:eastAsia="宋体" w:cs="宋体"/>
                <w:i w:val="0"/>
                <w:iCs w:val="0"/>
                <w:color w:val="000000"/>
                <w:sz w:val="21"/>
                <w:szCs w:val="21"/>
                <w:u w:val="none"/>
              </w:rPr>
            </w:pPr>
          </w:p>
        </w:tc>
        <w:tc>
          <w:tcPr>
            <w:tcW w:w="4193" w:type="dxa"/>
            <w:noWrap w:val="0"/>
            <w:vAlign w:val="bottom"/>
          </w:tcPr>
          <w:p w14:paraId="17F1472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电线电缆</w:t>
            </w:r>
          </w:p>
        </w:tc>
        <w:tc>
          <w:tcPr>
            <w:tcW w:w="1758" w:type="dxa"/>
            <w:noWrap w:val="0"/>
            <w:vAlign w:val="bottom"/>
          </w:tcPr>
          <w:p w14:paraId="54FDB4F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7506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35901EF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031" w:type="dxa"/>
            <w:noWrap w:val="0"/>
            <w:vAlign w:val="bottom"/>
          </w:tcPr>
          <w:p w14:paraId="344EF14E">
            <w:pPr>
              <w:jc w:val="center"/>
              <w:rPr>
                <w:rFonts w:hint="eastAsia" w:ascii="宋体" w:hAnsi="宋体" w:eastAsia="宋体" w:cs="宋体"/>
                <w:i w:val="0"/>
                <w:iCs w:val="0"/>
                <w:color w:val="000000"/>
                <w:sz w:val="21"/>
                <w:szCs w:val="21"/>
                <w:u w:val="none"/>
              </w:rPr>
            </w:pPr>
          </w:p>
        </w:tc>
        <w:tc>
          <w:tcPr>
            <w:tcW w:w="4193" w:type="dxa"/>
            <w:noWrap w:val="0"/>
            <w:vAlign w:val="bottom"/>
          </w:tcPr>
          <w:p w14:paraId="2728B38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钢筋（冷、热轧带肋钢筋）</w:t>
            </w:r>
          </w:p>
        </w:tc>
        <w:tc>
          <w:tcPr>
            <w:tcW w:w="1758" w:type="dxa"/>
            <w:noWrap w:val="0"/>
            <w:vAlign w:val="bottom"/>
          </w:tcPr>
          <w:p w14:paraId="21FF1D7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5777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57E6AA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031" w:type="dxa"/>
            <w:noWrap w:val="0"/>
            <w:vAlign w:val="bottom"/>
          </w:tcPr>
          <w:p w14:paraId="003F172F">
            <w:pPr>
              <w:jc w:val="center"/>
              <w:rPr>
                <w:rFonts w:hint="eastAsia" w:ascii="宋体" w:hAnsi="宋体" w:eastAsia="宋体" w:cs="宋体"/>
                <w:i w:val="0"/>
                <w:iCs w:val="0"/>
                <w:color w:val="000000"/>
                <w:sz w:val="21"/>
                <w:szCs w:val="21"/>
                <w:u w:val="none"/>
              </w:rPr>
            </w:pPr>
          </w:p>
        </w:tc>
        <w:tc>
          <w:tcPr>
            <w:tcW w:w="4193" w:type="dxa"/>
            <w:noWrap w:val="0"/>
            <w:vAlign w:val="bottom"/>
          </w:tcPr>
          <w:p w14:paraId="3D033BA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w:t>
            </w:r>
          </w:p>
        </w:tc>
        <w:tc>
          <w:tcPr>
            <w:tcW w:w="1758" w:type="dxa"/>
            <w:noWrap w:val="0"/>
            <w:vAlign w:val="bottom"/>
          </w:tcPr>
          <w:p w14:paraId="36A8025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2FBF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282008E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031" w:type="dxa"/>
            <w:noWrap w:val="0"/>
            <w:vAlign w:val="bottom"/>
          </w:tcPr>
          <w:p w14:paraId="3E72ACD2">
            <w:pPr>
              <w:jc w:val="center"/>
              <w:rPr>
                <w:rFonts w:hint="eastAsia" w:ascii="宋体" w:hAnsi="宋体" w:eastAsia="宋体" w:cs="宋体"/>
                <w:i w:val="0"/>
                <w:iCs w:val="0"/>
                <w:color w:val="000000"/>
                <w:sz w:val="21"/>
                <w:szCs w:val="21"/>
                <w:u w:val="none"/>
              </w:rPr>
            </w:pPr>
          </w:p>
        </w:tc>
        <w:tc>
          <w:tcPr>
            <w:tcW w:w="4193" w:type="dxa"/>
            <w:noWrap w:val="0"/>
            <w:vAlign w:val="bottom"/>
          </w:tcPr>
          <w:p w14:paraId="5BAC866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消防产品（灭火器等）</w:t>
            </w:r>
          </w:p>
        </w:tc>
        <w:tc>
          <w:tcPr>
            <w:tcW w:w="1758" w:type="dxa"/>
            <w:noWrap w:val="0"/>
            <w:vAlign w:val="bottom"/>
          </w:tcPr>
          <w:p w14:paraId="1A26FAE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7673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36" w:type="dxa"/>
            <w:noWrap w:val="0"/>
            <w:vAlign w:val="bottom"/>
          </w:tcPr>
          <w:p w14:paraId="11B4AEE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031" w:type="dxa"/>
            <w:noWrap w:val="0"/>
            <w:vAlign w:val="bottom"/>
          </w:tcPr>
          <w:p w14:paraId="7B68E64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燃气器具及配件产品</w:t>
            </w:r>
          </w:p>
        </w:tc>
        <w:tc>
          <w:tcPr>
            <w:tcW w:w="4193" w:type="dxa"/>
            <w:noWrap w:val="0"/>
            <w:vAlign w:val="bottom"/>
          </w:tcPr>
          <w:p w14:paraId="65FEA9A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燃气具及配件</w:t>
            </w:r>
          </w:p>
        </w:tc>
        <w:tc>
          <w:tcPr>
            <w:tcW w:w="1758" w:type="dxa"/>
            <w:noWrap w:val="0"/>
            <w:vAlign w:val="bottom"/>
          </w:tcPr>
          <w:p w14:paraId="64F9E5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5CEC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bottom"/>
          </w:tcPr>
          <w:p w14:paraId="3DE9607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031" w:type="dxa"/>
            <w:noWrap w:val="0"/>
            <w:vAlign w:val="bottom"/>
          </w:tcPr>
          <w:p w14:paraId="1E84BE8C">
            <w:pPr>
              <w:jc w:val="center"/>
              <w:rPr>
                <w:rFonts w:hint="eastAsia" w:ascii="宋体" w:hAnsi="宋体" w:eastAsia="宋体" w:cs="宋体"/>
                <w:i w:val="0"/>
                <w:iCs w:val="0"/>
                <w:color w:val="000000"/>
                <w:sz w:val="21"/>
                <w:szCs w:val="21"/>
                <w:u w:val="none"/>
              </w:rPr>
            </w:pPr>
          </w:p>
        </w:tc>
        <w:tc>
          <w:tcPr>
            <w:tcW w:w="4193" w:type="dxa"/>
            <w:noWrap w:val="0"/>
            <w:vAlign w:val="bottom"/>
          </w:tcPr>
          <w:p w14:paraId="7E6B988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液化石油气</w:t>
            </w:r>
          </w:p>
        </w:tc>
        <w:tc>
          <w:tcPr>
            <w:tcW w:w="1758" w:type="dxa"/>
            <w:noWrap w:val="0"/>
            <w:vAlign w:val="bottom"/>
          </w:tcPr>
          <w:p w14:paraId="48FE175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523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36" w:type="dxa"/>
            <w:shd w:val="clear" w:color="auto" w:fill="auto"/>
            <w:noWrap w:val="0"/>
            <w:vAlign w:val="bottom"/>
          </w:tcPr>
          <w:p w14:paraId="4512DEE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031" w:type="dxa"/>
            <w:shd w:val="clear" w:color="auto" w:fill="FFFFFF"/>
            <w:noWrap w:val="0"/>
            <w:vAlign w:val="bottom"/>
          </w:tcPr>
          <w:p w14:paraId="561017B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家用电器及电器附件</w:t>
            </w:r>
          </w:p>
        </w:tc>
        <w:tc>
          <w:tcPr>
            <w:tcW w:w="4193" w:type="dxa"/>
            <w:shd w:val="clear" w:color="auto" w:fill="FFFFFF"/>
            <w:noWrap w:val="0"/>
            <w:vAlign w:val="bottom"/>
          </w:tcPr>
          <w:p w14:paraId="08DFA09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电热毯、小太阳、暖风机等</w:t>
            </w:r>
          </w:p>
        </w:tc>
        <w:tc>
          <w:tcPr>
            <w:tcW w:w="1758" w:type="dxa"/>
            <w:noWrap w:val="0"/>
            <w:vAlign w:val="bottom"/>
          </w:tcPr>
          <w:p w14:paraId="34C78A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36FF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shd w:val="clear" w:color="auto" w:fill="auto"/>
            <w:noWrap w:val="0"/>
            <w:vAlign w:val="bottom"/>
          </w:tcPr>
          <w:p w14:paraId="0A5D002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031" w:type="dxa"/>
            <w:shd w:val="clear" w:color="auto" w:fill="auto"/>
            <w:noWrap w:val="0"/>
            <w:vAlign w:val="bottom"/>
          </w:tcPr>
          <w:p w14:paraId="3EF3D081">
            <w:pPr>
              <w:jc w:val="center"/>
              <w:rPr>
                <w:rFonts w:hint="eastAsia" w:ascii="宋体" w:hAnsi="宋体" w:eastAsia="宋体" w:cs="宋体"/>
                <w:i w:val="0"/>
                <w:iCs w:val="0"/>
                <w:color w:val="000000"/>
                <w:sz w:val="21"/>
                <w:szCs w:val="21"/>
                <w:u w:val="none"/>
              </w:rPr>
            </w:pPr>
          </w:p>
        </w:tc>
        <w:tc>
          <w:tcPr>
            <w:tcW w:w="4193" w:type="dxa"/>
            <w:shd w:val="clear" w:color="auto" w:fill="FFFFFF"/>
            <w:noWrap w:val="0"/>
            <w:vAlign w:val="bottom"/>
          </w:tcPr>
          <w:p w14:paraId="2A26593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家用及类似用途插头插座</w:t>
            </w:r>
          </w:p>
        </w:tc>
        <w:tc>
          <w:tcPr>
            <w:tcW w:w="1758" w:type="dxa"/>
            <w:noWrap w:val="0"/>
            <w:vAlign w:val="bottom"/>
          </w:tcPr>
          <w:p w14:paraId="3CC360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6CE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shd w:val="clear" w:color="auto" w:fill="auto"/>
            <w:noWrap w:val="0"/>
            <w:vAlign w:val="center"/>
          </w:tcPr>
          <w:p w14:paraId="2E6B4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031" w:type="dxa"/>
            <w:shd w:val="clear" w:color="auto" w:fill="auto"/>
            <w:noWrap w:val="0"/>
            <w:vAlign w:val="bottom"/>
          </w:tcPr>
          <w:p w14:paraId="7EBC0A1E">
            <w:pPr>
              <w:jc w:val="center"/>
              <w:rPr>
                <w:rFonts w:hint="eastAsia" w:ascii="宋体" w:hAnsi="宋体" w:eastAsia="宋体" w:cs="宋体"/>
                <w:i w:val="0"/>
                <w:iCs w:val="0"/>
                <w:color w:val="000000"/>
                <w:sz w:val="21"/>
                <w:szCs w:val="21"/>
                <w:u w:val="none"/>
              </w:rPr>
            </w:pPr>
          </w:p>
        </w:tc>
        <w:tc>
          <w:tcPr>
            <w:tcW w:w="4193" w:type="dxa"/>
            <w:shd w:val="clear" w:color="auto" w:fill="FFFFFF"/>
            <w:noWrap w:val="0"/>
            <w:vAlign w:val="bottom"/>
          </w:tcPr>
          <w:p w14:paraId="30592D6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电水壶</w:t>
            </w:r>
          </w:p>
        </w:tc>
        <w:tc>
          <w:tcPr>
            <w:tcW w:w="1758" w:type="dxa"/>
            <w:noWrap w:val="0"/>
            <w:vAlign w:val="bottom"/>
          </w:tcPr>
          <w:p w14:paraId="2028AF0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BE5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5F739E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031" w:type="dxa"/>
            <w:noWrap w:val="0"/>
            <w:vAlign w:val="bottom"/>
          </w:tcPr>
          <w:p w14:paraId="5DD6DD8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民用煤</w:t>
            </w:r>
          </w:p>
        </w:tc>
        <w:tc>
          <w:tcPr>
            <w:tcW w:w="4193" w:type="dxa"/>
            <w:noWrap w:val="0"/>
            <w:vAlign w:val="bottom"/>
          </w:tcPr>
          <w:p w14:paraId="6A2E636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民用型煤等</w:t>
            </w:r>
          </w:p>
        </w:tc>
        <w:tc>
          <w:tcPr>
            <w:tcW w:w="1758" w:type="dxa"/>
            <w:noWrap w:val="0"/>
            <w:vAlign w:val="bottom"/>
          </w:tcPr>
          <w:p w14:paraId="21EFBDA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3665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37A7F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031" w:type="dxa"/>
            <w:noWrap w:val="0"/>
            <w:vAlign w:val="bottom"/>
          </w:tcPr>
          <w:p w14:paraId="0555337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儿童用品</w:t>
            </w:r>
          </w:p>
        </w:tc>
        <w:tc>
          <w:tcPr>
            <w:tcW w:w="4193" w:type="dxa"/>
            <w:noWrap w:val="0"/>
            <w:vAlign w:val="bottom"/>
          </w:tcPr>
          <w:p w14:paraId="1FC1DFDE">
            <w:pPr>
              <w:keepNext w:val="0"/>
              <w:keepLines w:val="0"/>
              <w:widowControl/>
              <w:suppressLineNumbers w:val="0"/>
              <w:jc w:val="center"/>
              <w:textAlignment w:val="bottom"/>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儿童相关产品</w:t>
            </w:r>
          </w:p>
        </w:tc>
        <w:tc>
          <w:tcPr>
            <w:tcW w:w="1758" w:type="dxa"/>
            <w:noWrap w:val="0"/>
            <w:vAlign w:val="bottom"/>
          </w:tcPr>
          <w:p w14:paraId="1BC6A4D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w:t>
            </w:r>
          </w:p>
        </w:tc>
      </w:tr>
      <w:tr w14:paraId="650E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43063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w:t>
            </w:r>
          </w:p>
        </w:tc>
        <w:tc>
          <w:tcPr>
            <w:tcW w:w="2031" w:type="dxa"/>
            <w:noWrap w:val="0"/>
            <w:vAlign w:val="bottom"/>
          </w:tcPr>
          <w:p w14:paraId="0EF001F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学生用品</w:t>
            </w:r>
          </w:p>
        </w:tc>
        <w:tc>
          <w:tcPr>
            <w:tcW w:w="4193" w:type="dxa"/>
            <w:noWrap w:val="0"/>
            <w:vAlign w:val="bottom"/>
          </w:tcPr>
          <w:p w14:paraId="3155B89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校服</w:t>
            </w:r>
          </w:p>
        </w:tc>
        <w:tc>
          <w:tcPr>
            <w:tcW w:w="1758" w:type="dxa"/>
            <w:noWrap w:val="0"/>
            <w:vAlign w:val="bottom"/>
          </w:tcPr>
          <w:p w14:paraId="3070476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3B2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4C189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w:t>
            </w:r>
          </w:p>
        </w:tc>
        <w:tc>
          <w:tcPr>
            <w:tcW w:w="2031" w:type="dxa"/>
            <w:noWrap w:val="0"/>
            <w:vAlign w:val="bottom"/>
          </w:tcPr>
          <w:p w14:paraId="6E2EE27C">
            <w:pPr>
              <w:jc w:val="center"/>
              <w:rPr>
                <w:rFonts w:hint="eastAsia" w:ascii="宋体" w:hAnsi="宋体" w:eastAsia="宋体" w:cs="宋体"/>
                <w:i w:val="0"/>
                <w:iCs w:val="0"/>
                <w:color w:val="000000"/>
                <w:sz w:val="21"/>
                <w:szCs w:val="21"/>
                <w:u w:val="none"/>
              </w:rPr>
            </w:pPr>
          </w:p>
        </w:tc>
        <w:tc>
          <w:tcPr>
            <w:tcW w:w="4193" w:type="dxa"/>
            <w:noWrap w:val="0"/>
            <w:vAlign w:val="bottom"/>
          </w:tcPr>
          <w:p w14:paraId="4A075F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本、笔等</w:t>
            </w:r>
          </w:p>
        </w:tc>
        <w:tc>
          <w:tcPr>
            <w:tcW w:w="1758" w:type="dxa"/>
            <w:noWrap w:val="0"/>
            <w:vAlign w:val="bottom"/>
          </w:tcPr>
          <w:p w14:paraId="29B0BD3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C8E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437E8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2031" w:type="dxa"/>
            <w:noWrap w:val="0"/>
            <w:vAlign w:val="bottom"/>
          </w:tcPr>
          <w:p w14:paraId="16C3092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老年人用品</w:t>
            </w:r>
          </w:p>
        </w:tc>
        <w:tc>
          <w:tcPr>
            <w:tcW w:w="4193" w:type="dxa"/>
            <w:noWrap w:val="0"/>
            <w:vAlign w:val="bottom"/>
          </w:tcPr>
          <w:p w14:paraId="38D4962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老人鞋</w:t>
            </w:r>
          </w:p>
        </w:tc>
        <w:tc>
          <w:tcPr>
            <w:tcW w:w="1758" w:type="dxa"/>
            <w:noWrap w:val="0"/>
            <w:vAlign w:val="bottom"/>
          </w:tcPr>
          <w:p w14:paraId="4CCC05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2C62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18EFE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w:t>
            </w:r>
          </w:p>
        </w:tc>
        <w:tc>
          <w:tcPr>
            <w:tcW w:w="2031" w:type="dxa"/>
            <w:noWrap w:val="0"/>
            <w:vAlign w:val="bottom"/>
          </w:tcPr>
          <w:p w14:paraId="3D41FB2C">
            <w:pPr>
              <w:jc w:val="center"/>
              <w:rPr>
                <w:rFonts w:hint="eastAsia" w:ascii="宋体" w:hAnsi="宋体" w:eastAsia="宋体" w:cs="宋体"/>
                <w:i w:val="0"/>
                <w:iCs w:val="0"/>
                <w:color w:val="000000"/>
                <w:sz w:val="21"/>
                <w:szCs w:val="21"/>
                <w:u w:val="none"/>
              </w:rPr>
            </w:pPr>
          </w:p>
        </w:tc>
        <w:tc>
          <w:tcPr>
            <w:tcW w:w="4193" w:type="dxa"/>
            <w:noWrap w:val="0"/>
            <w:vAlign w:val="bottom"/>
          </w:tcPr>
          <w:p w14:paraId="4F85163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老视成镜</w:t>
            </w:r>
          </w:p>
        </w:tc>
        <w:tc>
          <w:tcPr>
            <w:tcW w:w="1758" w:type="dxa"/>
            <w:noWrap w:val="0"/>
            <w:vAlign w:val="bottom"/>
          </w:tcPr>
          <w:p w14:paraId="2366E69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0F1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4D88A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2031" w:type="dxa"/>
            <w:noWrap w:val="0"/>
            <w:vAlign w:val="bottom"/>
          </w:tcPr>
          <w:p w14:paraId="04DC6CC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卫生用品</w:t>
            </w:r>
          </w:p>
        </w:tc>
        <w:tc>
          <w:tcPr>
            <w:tcW w:w="4193" w:type="dxa"/>
            <w:noWrap w:val="0"/>
            <w:vAlign w:val="bottom"/>
          </w:tcPr>
          <w:p w14:paraId="2C41F434">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隔尿垫、纸尿裤、一次性内裤</w:t>
            </w:r>
          </w:p>
        </w:tc>
        <w:tc>
          <w:tcPr>
            <w:tcW w:w="1758" w:type="dxa"/>
            <w:noWrap w:val="0"/>
            <w:vAlign w:val="bottom"/>
          </w:tcPr>
          <w:p w14:paraId="680429B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8A0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19C45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w:t>
            </w:r>
          </w:p>
        </w:tc>
        <w:tc>
          <w:tcPr>
            <w:tcW w:w="2031" w:type="dxa"/>
            <w:noWrap w:val="0"/>
            <w:vAlign w:val="bottom"/>
          </w:tcPr>
          <w:p w14:paraId="4C2467B8">
            <w:pPr>
              <w:jc w:val="center"/>
              <w:rPr>
                <w:rFonts w:hint="eastAsia" w:ascii="宋体" w:hAnsi="宋体" w:eastAsia="宋体" w:cs="宋体"/>
                <w:i w:val="0"/>
                <w:iCs w:val="0"/>
                <w:color w:val="000000"/>
                <w:sz w:val="21"/>
                <w:szCs w:val="21"/>
                <w:u w:val="none"/>
              </w:rPr>
            </w:pPr>
          </w:p>
        </w:tc>
        <w:tc>
          <w:tcPr>
            <w:tcW w:w="4193" w:type="dxa"/>
            <w:noWrap w:val="0"/>
            <w:vAlign w:val="bottom"/>
          </w:tcPr>
          <w:p w14:paraId="7FFFCA7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女性卫生巾等卫生护理用品</w:t>
            </w:r>
          </w:p>
        </w:tc>
        <w:tc>
          <w:tcPr>
            <w:tcW w:w="1758" w:type="dxa"/>
            <w:noWrap w:val="0"/>
            <w:vAlign w:val="bottom"/>
          </w:tcPr>
          <w:p w14:paraId="7B987F1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72B3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629E6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39</w:t>
            </w:r>
          </w:p>
        </w:tc>
        <w:tc>
          <w:tcPr>
            <w:tcW w:w="2031" w:type="dxa"/>
            <w:noWrap w:val="0"/>
            <w:vAlign w:val="bottom"/>
          </w:tcPr>
          <w:p w14:paraId="20545233">
            <w:pPr>
              <w:jc w:val="center"/>
              <w:rPr>
                <w:rFonts w:hint="eastAsia" w:ascii="宋体" w:hAnsi="宋体" w:eastAsia="宋体" w:cs="宋体"/>
                <w:i w:val="0"/>
                <w:iCs w:val="0"/>
                <w:color w:val="000000"/>
                <w:sz w:val="21"/>
                <w:szCs w:val="21"/>
                <w:u w:val="none"/>
              </w:rPr>
            </w:pPr>
          </w:p>
        </w:tc>
        <w:tc>
          <w:tcPr>
            <w:tcW w:w="4193" w:type="dxa"/>
            <w:noWrap w:val="0"/>
            <w:vAlign w:val="bottom"/>
          </w:tcPr>
          <w:p w14:paraId="64AB2B1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卫生纸</w:t>
            </w:r>
          </w:p>
        </w:tc>
        <w:tc>
          <w:tcPr>
            <w:tcW w:w="1758" w:type="dxa"/>
            <w:noWrap w:val="0"/>
            <w:vAlign w:val="bottom"/>
          </w:tcPr>
          <w:p w14:paraId="4274C82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5CBF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69C79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w:t>
            </w:r>
          </w:p>
        </w:tc>
        <w:tc>
          <w:tcPr>
            <w:tcW w:w="2031" w:type="dxa"/>
            <w:noWrap w:val="0"/>
            <w:vAlign w:val="bottom"/>
          </w:tcPr>
          <w:p w14:paraId="17E0037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纺织品</w:t>
            </w:r>
          </w:p>
        </w:tc>
        <w:tc>
          <w:tcPr>
            <w:tcW w:w="4193" w:type="dxa"/>
            <w:noWrap w:val="0"/>
            <w:vAlign w:val="bottom"/>
          </w:tcPr>
          <w:p w14:paraId="4C5408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床上用品</w:t>
            </w:r>
          </w:p>
        </w:tc>
        <w:tc>
          <w:tcPr>
            <w:tcW w:w="1758" w:type="dxa"/>
            <w:noWrap w:val="0"/>
            <w:vAlign w:val="bottom"/>
          </w:tcPr>
          <w:p w14:paraId="7E508E9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E8C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7F898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w:t>
            </w:r>
          </w:p>
        </w:tc>
        <w:tc>
          <w:tcPr>
            <w:tcW w:w="2031" w:type="dxa"/>
            <w:noWrap w:val="0"/>
            <w:vAlign w:val="bottom"/>
          </w:tcPr>
          <w:p w14:paraId="32EEFDB9">
            <w:pPr>
              <w:jc w:val="center"/>
              <w:rPr>
                <w:rFonts w:hint="eastAsia" w:ascii="宋体" w:hAnsi="宋体" w:eastAsia="宋体" w:cs="宋体"/>
                <w:i w:val="0"/>
                <w:iCs w:val="0"/>
                <w:color w:val="000000"/>
                <w:sz w:val="21"/>
                <w:szCs w:val="21"/>
                <w:u w:val="none"/>
              </w:rPr>
            </w:pPr>
          </w:p>
        </w:tc>
        <w:tc>
          <w:tcPr>
            <w:tcW w:w="4193" w:type="dxa"/>
            <w:noWrap w:val="0"/>
            <w:vAlign w:val="bottom"/>
          </w:tcPr>
          <w:p w14:paraId="4D04D85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休闲服饰</w:t>
            </w:r>
          </w:p>
        </w:tc>
        <w:tc>
          <w:tcPr>
            <w:tcW w:w="1758" w:type="dxa"/>
            <w:noWrap w:val="0"/>
            <w:vAlign w:val="bottom"/>
          </w:tcPr>
          <w:p w14:paraId="4BA455F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2803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6E3D7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w:t>
            </w:r>
          </w:p>
        </w:tc>
        <w:tc>
          <w:tcPr>
            <w:tcW w:w="2031" w:type="dxa"/>
            <w:noWrap w:val="0"/>
            <w:vAlign w:val="bottom"/>
          </w:tcPr>
          <w:p w14:paraId="3209F849">
            <w:pPr>
              <w:jc w:val="center"/>
              <w:rPr>
                <w:rFonts w:hint="eastAsia" w:ascii="宋体" w:hAnsi="宋体" w:eastAsia="宋体" w:cs="宋体"/>
                <w:i w:val="0"/>
                <w:iCs w:val="0"/>
                <w:color w:val="000000"/>
                <w:sz w:val="21"/>
                <w:szCs w:val="21"/>
                <w:u w:val="none"/>
              </w:rPr>
            </w:pPr>
          </w:p>
        </w:tc>
        <w:tc>
          <w:tcPr>
            <w:tcW w:w="4193" w:type="dxa"/>
            <w:noWrap w:val="0"/>
            <w:vAlign w:val="bottom"/>
          </w:tcPr>
          <w:p w14:paraId="5DED4AB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毛针织品</w:t>
            </w:r>
          </w:p>
        </w:tc>
        <w:tc>
          <w:tcPr>
            <w:tcW w:w="1758" w:type="dxa"/>
            <w:noWrap w:val="0"/>
            <w:vAlign w:val="bottom"/>
          </w:tcPr>
          <w:p w14:paraId="554A4E9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4E3A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1A5A9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w:t>
            </w:r>
          </w:p>
        </w:tc>
        <w:tc>
          <w:tcPr>
            <w:tcW w:w="2031" w:type="dxa"/>
            <w:noWrap w:val="0"/>
            <w:vAlign w:val="bottom"/>
          </w:tcPr>
          <w:p w14:paraId="38A68A7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日化用品</w:t>
            </w:r>
          </w:p>
        </w:tc>
        <w:tc>
          <w:tcPr>
            <w:tcW w:w="4193" w:type="dxa"/>
            <w:noWrap w:val="0"/>
            <w:vAlign w:val="bottom"/>
          </w:tcPr>
          <w:p w14:paraId="6FBFE48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1758" w:type="dxa"/>
            <w:noWrap w:val="0"/>
            <w:vAlign w:val="bottom"/>
          </w:tcPr>
          <w:p w14:paraId="1B0F7CD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023AA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11930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44</w:t>
            </w:r>
          </w:p>
        </w:tc>
        <w:tc>
          <w:tcPr>
            <w:tcW w:w="2031" w:type="dxa"/>
            <w:noWrap w:val="0"/>
            <w:vAlign w:val="bottom"/>
          </w:tcPr>
          <w:p w14:paraId="7EC6E129">
            <w:pPr>
              <w:jc w:val="center"/>
              <w:rPr>
                <w:rFonts w:hint="eastAsia" w:ascii="宋体" w:hAnsi="宋体" w:eastAsia="宋体" w:cs="宋体"/>
                <w:i w:val="0"/>
                <w:iCs w:val="0"/>
                <w:color w:val="000000"/>
                <w:sz w:val="21"/>
                <w:szCs w:val="21"/>
                <w:u w:val="none"/>
              </w:rPr>
            </w:pPr>
          </w:p>
        </w:tc>
        <w:tc>
          <w:tcPr>
            <w:tcW w:w="4193" w:type="dxa"/>
            <w:noWrap w:val="0"/>
            <w:vAlign w:val="bottom"/>
          </w:tcPr>
          <w:p w14:paraId="1CCA95D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1758" w:type="dxa"/>
            <w:noWrap w:val="0"/>
            <w:vAlign w:val="bottom"/>
          </w:tcPr>
          <w:p w14:paraId="3800350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0D53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10619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2031" w:type="dxa"/>
            <w:noWrap w:val="0"/>
            <w:vAlign w:val="bottom"/>
          </w:tcPr>
          <w:p w14:paraId="02A4D161">
            <w:pPr>
              <w:jc w:val="center"/>
              <w:rPr>
                <w:rFonts w:hint="eastAsia" w:ascii="宋体" w:hAnsi="宋体" w:eastAsia="宋体" w:cs="宋体"/>
                <w:i w:val="0"/>
                <w:iCs w:val="0"/>
                <w:color w:val="000000"/>
                <w:sz w:val="21"/>
                <w:szCs w:val="21"/>
                <w:u w:val="none"/>
              </w:rPr>
            </w:pPr>
          </w:p>
        </w:tc>
        <w:tc>
          <w:tcPr>
            <w:tcW w:w="4193" w:type="dxa"/>
            <w:noWrap w:val="0"/>
            <w:vAlign w:val="bottom"/>
          </w:tcPr>
          <w:p w14:paraId="063C6CA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清洁剂</w:t>
            </w:r>
          </w:p>
        </w:tc>
        <w:tc>
          <w:tcPr>
            <w:tcW w:w="1758" w:type="dxa"/>
            <w:noWrap w:val="0"/>
            <w:vAlign w:val="bottom"/>
          </w:tcPr>
          <w:p w14:paraId="20749AA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5CA4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05BDF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46</w:t>
            </w:r>
          </w:p>
        </w:tc>
        <w:tc>
          <w:tcPr>
            <w:tcW w:w="2031" w:type="dxa"/>
            <w:noWrap w:val="0"/>
            <w:vAlign w:val="bottom"/>
          </w:tcPr>
          <w:p w14:paraId="489C6FCE">
            <w:pPr>
              <w:jc w:val="center"/>
              <w:rPr>
                <w:rFonts w:hint="eastAsia" w:ascii="宋体" w:hAnsi="宋体" w:eastAsia="宋体" w:cs="宋体"/>
                <w:i w:val="0"/>
                <w:iCs w:val="0"/>
                <w:color w:val="000000"/>
                <w:sz w:val="21"/>
                <w:szCs w:val="21"/>
                <w:u w:val="none"/>
              </w:rPr>
            </w:pPr>
          </w:p>
        </w:tc>
        <w:tc>
          <w:tcPr>
            <w:tcW w:w="4193" w:type="dxa"/>
            <w:noWrap w:val="0"/>
            <w:vAlign w:val="bottom"/>
          </w:tcPr>
          <w:p w14:paraId="5347590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84消毒液</w:t>
            </w:r>
          </w:p>
        </w:tc>
        <w:tc>
          <w:tcPr>
            <w:tcW w:w="1758" w:type="dxa"/>
            <w:noWrap w:val="0"/>
            <w:vAlign w:val="bottom"/>
          </w:tcPr>
          <w:p w14:paraId="124FE5B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7C4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39071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w:t>
            </w:r>
          </w:p>
        </w:tc>
        <w:tc>
          <w:tcPr>
            <w:tcW w:w="2031" w:type="dxa"/>
            <w:noWrap w:val="0"/>
            <w:vAlign w:val="bottom"/>
          </w:tcPr>
          <w:p w14:paraId="3B2A546B">
            <w:pPr>
              <w:jc w:val="center"/>
              <w:rPr>
                <w:rFonts w:hint="eastAsia" w:ascii="宋体" w:hAnsi="宋体" w:eastAsia="宋体" w:cs="宋体"/>
                <w:i w:val="0"/>
                <w:iCs w:val="0"/>
                <w:color w:val="000000"/>
                <w:sz w:val="21"/>
                <w:szCs w:val="21"/>
                <w:u w:val="none"/>
              </w:rPr>
            </w:pPr>
          </w:p>
        </w:tc>
        <w:tc>
          <w:tcPr>
            <w:tcW w:w="4193" w:type="dxa"/>
            <w:noWrap w:val="0"/>
            <w:vAlign w:val="bottom"/>
          </w:tcPr>
          <w:p w14:paraId="6B15B7E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洗手液</w:t>
            </w:r>
          </w:p>
        </w:tc>
        <w:tc>
          <w:tcPr>
            <w:tcW w:w="1758" w:type="dxa"/>
            <w:noWrap w:val="0"/>
            <w:vAlign w:val="bottom"/>
          </w:tcPr>
          <w:p w14:paraId="256A076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369A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70EC9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48</w:t>
            </w:r>
          </w:p>
        </w:tc>
        <w:tc>
          <w:tcPr>
            <w:tcW w:w="2031" w:type="dxa"/>
            <w:noWrap w:val="0"/>
            <w:vAlign w:val="bottom"/>
          </w:tcPr>
          <w:p w14:paraId="6A1318AB">
            <w:pPr>
              <w:jc w:val="center"/>
              <w:rPr>
                <w:rFonts w:hint="eastAsia" w:ascii="宋体" w:hAnsi="宋体" w:eastAsia="宋体" w:cs="宋体"/>
                <w:i w:val="0"/>
                <w:iCs w:val="0"/>
                <w:color w:val="000000"/>
                <w:sz w:val="21"/>
                <w:szCs w:val="21"/>
                <w:u w:val="none"/>
              </w:rPr>
            </w:pPr>
          </w:p>
        </w:tc>
        <w:tc>
          <w:tcPr>
            <w:tcW w:w="4193" w:type="dxa"/>
            <w:noWrap w:val="0"/>
            <w:vAlign w:val="bottom"/>
          </w:tcPr>
          <w:p w14:paraId="02AAD9B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沐浴液</w:t>
            </w:r>
          </w:p>
        </w:tc>
        <w:tc>
          <w:tcPr>
            <w:tcW w:w="1758" w:type="dxa"/>
            <w:noWrap w:val="0"/>
            <w:vAlign w:val="bottom"/>
          </w:tcPr>
          <w:p w14:paraId="7D79234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3B41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0BF4D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w:t>
            </w:r>
          </w:p>
        </w:tc>
        <w:tc>
          <w:tcPr>
            <w:tcW w:w="2031" w:type="dxa"/>
            <w:noWrap w:val="0"/>
            <w:vAlign w:val="bottom"/>
          </w:tcPr>
          <w:p w14:paraId="4960423B">
            <w:pPr>
              <w:jc w:val="center"/>
              <w:rPr>
                <w:rFonts w:hint="eastAsia" w:ascii="宋体" w:hAnsi="宋体" w:eastAsia="宋体" w:cs="宋体"/>
                <w:i w:val="0"/>
                <w:iCs w:val="0"/>
                <w:color w:val="000000"/>
                <w:sz w:val="21"/>
                <w:szCs w:val="21"/>
                <w:u w:val="none"/>
              </w:rPr>
            </w:pPr>
          </w:p>
        </w:tc>
        <w:tc>
          <w:tcPr>
            <w:tcW w:w="4193" w:type="dxa"/>
            <w:noWrap w:val="0"/>
            <w:vAlign w:val="bottom"/>
          </w:tcPr>
          <w:p w14:paraId="4E0EE89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洗面奶/膏</w:t>
            </w:r>
          </w:p>
        </w:tc>
        <w:tc>
          <w:tcPr>
            <w:tcW w:w="1758" w:type="dxa"/>
            <w:noWrap w:val="0"/>
            <w:vAlign w:val="bottom"/>
          </w:tcPr>
          <w:p w14:paraId="3054D4C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3A9A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4BDF8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2031" w:type="dxa"/>
            <w:noWrap w:val="0"/>
            <w:vAlign w:val="bottom"/>
          </w:tcPr>
          <w:p w14:paraId="2A2AAF18">
            <w:pPr>
              <w:jc w:val="center"/>
              <w:rPr>
                <w:rFonts w:hint="eastAsia" w:ascii="宋体" w:hAnsi="宋体" w:eastAsia="宋体" w:cs="宋体"/>
                <w:i w:val="0"/>
                <w:iCs w:val="0"/>
                <w:color w:val="000000"/>
                <w:sz w:val="21"/>
                <w:szCs w:val="21"/>
                <w:u w:val="none"/>
              </w:rPr>
            </w:pPr>
          </w:p>
        </w:tc>
        <w:tc>
          <w:tcPr>
            <w:tcW w:w="4193" w:type="dxa"/>
            <w:noWrap w:val="0"/>
            <w:vAlign w:val="bottom"/>
          </w:tcPr>
          <w:p w14:paraId="28E35DC9">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洗发液/膏</w:t>
            </w:r>
          </w:p>
        </w:tc>
        <w:tc>
          <w:tcPr>
            <w:tcW w:w="1758" w:type="dxa"/>
            <w:noWrap w:val="0"/>
            <w:vAlign w:val="bottom"/>
          </w:tcPr>
          <w:p w14:paraId="0C89C1B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1340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4B415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51</w:t>
            </w:r>
          </w:p>
        </w:tc>
        <w:tc>
          <w:tcPr>
            <w:tcW w:w="2031" w:type="dxa"/>
            <w:noWrap w:val="0"/>
            <w:vAlign w:val="bottom"/>
          </w:tcPr>
          <w:p w14:paraId="4C12B462">
            <w:pPr>
              <w:jc w:val="center"/>
              <w:rPr>
                <w:rFonts w:hint="eastAsia" w:ascii="宋体" w:hAnsi="宋体" w:eastAsia="宋体" w:cs="宋体"/>
                <w:i w:val="0"/>
                <w:iCs w:val="0"/>
                <w:color w:val="000000"/>
                <w:sz w:val="21"/>
                <w:szCs w:val="21"/>
                <w:u w:val="none"/>
              </w:rPr>
            </w:pPr>
          </w:p>
        </w:tc>
        <w:tc>
          <w:tcPr>
            <w:tcW w:w="4193" w:type="dxa"/>
            <w:noWrap w:val="0"/>
            <w:vAlign w:val="bottom"/>
          </w:tcPr>
          <w:p w14:paraId="72C5EA60">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牙膏</w:t>
            </w:r>
          </w:p>
        </w:tc>
        <w:tc>
          <w:tcPr>
            <w:tcW w:w="1758" w:type="dxa"/>
            <w:noWrap w:val="0"/>
            <w:vAlign w:val="bottom"/>
          </w:tcPr>
          <w:p w14:paraId="3102FD7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05B4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20078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w:t>
            </w:r>
          </w:p>
        </w:tc>
        <w:tc>
          <w:tcPr>
            <w:tcW w:w="2031" w:type="dxa"/>
            <w:noWrap w:val="0"/>
            <w:vAlign w:val="bottom"/>
          </w:tcPr>
          <w:p w14:paraId="4273D066">
            <w:pPr>
              <w:jc w:val="center"/>
              <w:rPr>
                <w:rFonts w:hint="eastAsia" w:ascii="宋体" w:hAnsi="宋体" w:eastAsia="宋体" w:cs="宋体"/>
                <w:i w:val="0"/>
                <w:iCs w:val="0"/>
                <w:color w:val="000000"/>
                <w:sz w:val="21"/>
                <w:szCs w:val="21"/>
                <w:u w:val="none"/>
              </w:rPr>
            </w:pPr>
          </w:p>
        </w:tc>
        <w:tc>
          <w:tcPr>
            <w:tcW w:w="4193" w:type="dxa"/>
            <w:noWrap w:val="0"/>
            <w:vAlign w:val="bottom"/>
          </w:tcPr>
          <w:p w14:paraId="1BDD3C1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衣料用液体洗涤剂</w:t>
            </w:r>
          </w:p>
        </w:tc>
        <w:tc>
          <w:tcPr>
            <w:tcW w:w="1758" w:type="dxa"/>
            <w:noWrap w:val="0"/>
            <w:vAlign w:val="bottom"/>
          </w:tcPr>
          <w:p w14:paraId="425596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2E3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0FA5C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53</w:t>
            </w:r>
          </w:p>
        </w:tc>
        <w:tc>
          <w:tcPr>
            <w:tcW w:w="2031" w:type="dxa"/>
            <w:noWrap w:val="0"/>
            <w:vAlign w:val="bottom"/>
          </w:tcPr>
          <w:p w14:paraId="3F6D00FD">
            <w:pPr>
              <w:jc w:val="center"/>
              <w:rPr>
                <w:rFonts w:hint="eastAsia" w:ascii="宋体" w:hAnsi="宋体" w:eastAsia="宋体" w:cs="宋体"/>
                <w:i w:val="0"/>
                <w:iCs w:val="0"/>
                <w:color w:val="000000"/>
                <w:sz w:val="21"/>
                <w:szCs w:val="21"/>
                <w:u w:val="none"/>
              </w:rPr>
            </w:pPr>
          </w:p>
        </w:tc>
        <w:tc>
          <w:tcPr>
            <w:tcW w:w="4193" w:type="dxa"/>
            <w:noWrap w:val="0"/>
            <w:vAlign w:val="bottom"/>
          </w:tcPr>
          <w:p w14:paraId="4B32A9D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洗涤剂</w:t>
            </w:r>
          </w:p>
        </w:tc>
        <w:tc>
          <w:tcPr>
            <w:tcW w:w="1758" w:type="dxa"/>
            <w:noWrap w:val="0"/>
            <w:vAlign w:val="bottom"/>
          </w:tcPr>
          <w:p w14:paraId="6F967135">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64C9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36" w:type="dxa"/>
            <w:noWrap w:val="0"/>
            <w:vAlign w:val="center"/>
          </w:tcPr>
          <w:p w14:paraId="5199B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w:t>
            </w:r>
          </w:p>
        </w:tc>
        <w:tc>
          <w:tcPr>
            <w:tcW w:w="2031" w:type="dxa"/>
            <w:noWrap w:val="0"/>
            <w:vAlign w:val="bottom"/>
          </w:tcPr>
          <w:p w14:paraId="3EF568DD">
            <w:pPr>
              <w:jc w:val="center"/>
              <w:rPr>
                <w:rFonts w:hint="eastAsia" w:ascii="宋体" w:hAnsi="宋体" w:eastAsia="宋体" w:cs="宋体"/>
                <w:i w:val="0"/>
                <w:iCs w:val="0"/>
                <w:color w:val="000000"/>
                <w:sz w:val="21"/>
                <w:szCs w:val="21"/>
                <w:u w:val="none"/>
              </w:rPr>
            </w:pPr>
          </w:p>
        </w:tc>
        <w:tc>
          <w:tcPr>
            <w:tcW w:w="4193" w:type="dxa"/>
            <w:noWrap w:val="0"/>
            <w:vAlign w:val="bottom"/>
          </w:tcPr>
          <w:p w14:paraId="7DCA91BA">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洁厕净</w:t>
            </w:r>
          </w:p>
        </w:tc>
        <w:tc>
          <w:tcPr>
            <w:tcW w:w="1758" w:type="dxa"/>
            <w:noWrap w:val="0"/>
            <w:vAlign w:val="bottom"/>
          </w:tcPr>
          <w:p w14:paraId="0C91748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w:t>
            </w:r>
          </w:p>
        </w:tc>
      </w:tr>
      <w:tr w14:paraId="0786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18" w:type="dxa"/>
            <w:gridSpan w:val="4"/>
            <w:noWrap w:val="0"/>
            <w:vAlign w:val="bottom"/>
          </w:tcPr>
          <w:p w14:paraId="2C198C05">
            <w:pPr>
              <w:keepNext w:val="0"/>
              <w:keepLines w:val="0"/>
              <w:widowControl/>
              <w:suppressLineNumbers w:val="0"/>
              <w:jc w:val="left"/>
              <w:textAlignment w:val="bottom"/>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注：该表格系较为全面的商品抽检项目，均为总体计划，在实际抽检中甲方将根据上级要求、举报投诉、专项检查、民生关注等工作需要适时调整抽检产品，并以常规产品抽检为主。</w:t>
            </w:r>
          </w:p>
        </w:tc>
      </w:tr>
    </w:tbl>
    <w:p w14:paraId="465D47F6">
      <w:pPr>
        <w:pStyle w:val="2"/>
        <w:spacing w:line="240" w:lineRule="auto"/>
        <w:jc w:val="center"/>
        <w:rPr>
          <w:rFonts w:asciiTheme="minorEastAsia" w:hAnsiTheme="minorEastAsia" w:eastAsiaTheme="minorEastAsia"/>
          <w:color w:val="000000" w:themeColor="text1"/>
          <w:sz w:val="36"/>
          <w:szCs w:val="36"/>
          <w:highlight w:val="none"/>
          <w14:textFill>
            <w14:solidFill>
              <w14:schemeClr w14:val="tx1"/>
            </w14:solidFill>
          </w14:textFill>
        </w:rPr>
      </w:pPr>
      <w:r>
        <w:rPr>
          <w:rFonts w:hint="eastAsia" w:asciiTheme="minorEastAsia" w:hAnsiTheme="minorEastAsia" w:eastAsiaTheme="minorEastAsia"/>
          <w:color w:val="000000" w:themeColor="text1"/>
          <w:sz w:val="36"/>
          <w:szCs w:val="36"/>
          <w:highlight w:val="none"/>
          <w14:textFill>
            <w14:solidFill>
              <w14:schemeClr w14:val="tx1"/>
            </w14:solidFill>
          </w14:textFill>
        </w:rPr>
        <w:t>第四章 评审办法</w:t>
      </w:r>
    </w:p>
    <w:p w14:paraId="159A8849">
      <w:pPr>
        <w:snapToGrid w:val="0"/>
        <w:spacing w:line="500" w:lineRule="exact"/>
        <w:ind w:left="1"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1. 磋商响应文件的评审、比较和否决</w:t>
      </w:r>
    </w:p>
    <w:p w14:paraId="1D37C0DA">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 磋商小组将按照竞争性磋商文件的规定，仅对在实质上响应竞争性磋商文件要求的磋商响应文件进行评估和比较。</w:t>
      </w:r>
    </w:p>
    <w:p w14:paraId="7A2FD52A">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 根据相关法律法规及有关招磋商响应文件规定，结合本项目具体情况，制定本次招标评审办法。并按照“公平、公正、科学、择优”的原则进行评标。采用百分制综合分法进行评比。</w:t>
      </w:r>
    </w:p>
    <w:p w14:paraId="726CDE1F">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 在评审过程中，磋商小组可以要求供应商就磋商响应文件中含义不明确的内容进行陈述；凡遇到竞争性磋商文件中无界定或界定不清、前后不一致使磋商小组成员意见有分歧且又难于协商一致的问题，均由磋商小组予以表决，获半数以上同意的即为通过，未获半数同意的即为否决。</w:t>
      </w:r>
    </w:p>
    <w:p w14:paraId="62652EDB">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 评审时，报价是评标的重要依据，但不是唯一依据，采购人不承诺将合同授予报价最低或最高的供应商。</w:t>
      </w:r>
    </w:p>
    <w:p w14:paraId="496BC3C1">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1.5 磋商小组依据竞争性磋商文件中规定的评标标准和方法，对磋商响应文件进行评审和比较，向采购人提出书面评标报告，并推荐合格的中标候选人。采购人根据磋商小组提出的书面评标报告和推荐的中标候选人按序确定成交供应商。</w:t>
      </w:r>
    </w:p>
    <w:p w14:paraId="197AF4CE">
      <w:pPr>
        <w:snapToGrid w:val="0"/>
        <w:spacing w:line="500" w:lineRule="exact"/>
        <w:ind w:left="1"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1.6在磋商过程中，评审得分相同的，按照最后报价由低到高的顺序确定，评审得分且最后报价相同的，由采购人确定成交候选供应商。</w:t>
      </w:r>
    </w:p>
    <w:p w14:paraId="45304B5E">
      <w:pPr>
        <w:snapToGrid w:val="0"/>
        <w:spacing w:line="500" w:lineRule="exact"/>
        <w:ind w:left="1"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2. 评审程序</w:t>
      </w:r>
    </w:p>
    <w:p w14:paraId="7E326177">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2.1 </w:t>
      </w:r>
      <w:r>
        <w:rPr>
          <w:rFonts w:hint="eastAsia" w:cs="宋体" w:asciiTheme="minorEastAsia" w:hAnsiTheme="minorEastAsia" w:eastAsiaTheme="minorEastAsia"/>
          <w:color w:val="000000" w:themeColor="text1"/>
          <w:sz w:val="24"/>
          <w:highlight w:val="none"/>
          <w14:textFill>
            <w14:solidFill>
              <w14:schemeClr w14:val="tx1"/>
            </w14:solidFill>
          </w14:textFill>
        </w:rPr>
        <w:t>资格审查</w:t>
      </w:r>
    </w:p>
    <w:p w14:paraId="5FE39933">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磋商小组按照本章第3条“磋商具体方法和标准”的要求对磋商供应商的资格要求相关证件材料进行审查，有一项不符合的，视为未通过资格审查，按无效标处理，符合的进入下一磋商程序。</w:t>
      </w:r>
    </w:p>
    <w:p w14:paraId="6C29A170">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2.2</w:t>
      </w:r>
      <w:r>
        <w:rPr>
          <w:rFonts w:hint="eastAsia" w:cs="宋体" w:asciiTheme="minorEastAsia" w:hAnsiTheme="minorEastAsia" w:eastAsiaTheme="minorEastAsia"/>
          <w:color w:val="000000" w:themeColor="text1"/>
          <w:sz w:val="24"/>
          <w:highlight w:val="none"/>
          <w14:textFill>
            <w14:solidFill>
              <w14:schemeClr w14:val="tx1"/>
            </w14:solidFill>
          </w14:textFill>
        </w:rPr>
        <w:t>符合性审查</w:t>
      </w:r>
    </w:p>
    <w:p w14:paraId="50858CBB">
      <w:pPr>
        <w:spacing w:line="50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磋商小组按照本章第3条“磋商具体方法和标准”的要求对磋商供应商的符合性进行审查，有一项不符合的，视为未通过符合性审查，按无效标处理，符合的进入下一磋商程序。</w:t>
      </w:r>
    </w:p>
    <w:p w14:paraId="20619386">
      <w:pPr>
        <w:spacing w:line="500" w:lineRule="exact"/>
        <w:ind w:firstLine="480" w:firstLineChars="20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2.3响应性</w:t>
      </w:r>
      <w:r>
        <w:rPr>
          <w:rFonts w:hint="eastAsia" w:cs="宋体" w:asciiTheme="minorEastAsia" w:hAnsiTheme="minorEastAsia" w:eastAsiaTheme="minorEastAsia"/>
          <w:color w:val="000000" w:themeColor="text1"/>
          <w:sz w:val="24"/>
          <w:highlight w:val="none"/>
          <w14:textFill>
            <w14:solidFill>
              <w14:schemeClr w14:val="tx1"/>
            </w14:solidFill>
          </w14:textFill>
        </w:rPr>
        <w:t>审查</w:t>
      </w:r>
    </w:p>
    <w:p w14:paraId="019CCE48">
      <w:pPr>
        <w:spacing w:line="500" w:lineRule="exact"/>
        <w:ind w:firstLine="480" w:firstLineChars="200"/>
        <w:rPr>
          <w:rFonts w:hint="eastAsia" w:eastAsiaTheme="minorEastAsia"/>
          <w:lang w:val="en-US" w:eastAsia="zh-CN"/>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磋商小组按照本章第3条“磋商具体方法和标准”的要求对磋商供应商的</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响应性</w:t>
      </w:r>
      <w:r>
        <w:rPr>
          <w:rFonts w:hint="eastAsia" w:cs="宋体" w:asciiTheme="minorEastAsia" w:hAnsiTheme="minorEastAsia" w:eastAsiaTheme="minorEastAsia"/>
          <w:color w:val="000000" w:themeColor="text1"/>
          <w:sz w:val="24"/>
          <w:highlight w:val="none"/>
          <w14:textFill>
            <w14:solidFill>
              <w14:schemeClr w14:val="tx1"/>
            </w14:solidFill>
          </w14:textFill>
        </w:rPr>
        <w:t>进行审查，有一项不符合的，视为未通过</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响应性</w:t>
      </w:r>
      <w:r>
        <w:rPr>
          <w:rFonts w:hint="eastAsia" w:cs="宋体" w:asciiTheme="minorEastAsia" w:hAnsiTheme="minorEastAsia" w:eastAsiaTheme="minorEastAsia"/>
          <w:color w:val="000000" w:themeColor="text1"/>
          <w:sz w:val="24"/>
          <w:highlight w:val="none"/>
          <w14:textFill>
            <w14:solidFill>
              <w14:schemeClr w14:val="tx1"/>
            </w14:solidFill>
          </w14:textFill>
        </w:rPr>
        <w:t>审查，按无效标处理，符合的进入下一磋商程序</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14:paraId="4056CE74">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磋商小组所有成员集中与通过初步评审的供应商分别逐一进行磋商，磋商双方可以就磋商项目所涉服务方案、服务要求等进行磋商，但磋商的任何一方不得透露与磋商有关的其他供应商的技术资料、价格和其他信息。磋商结束后要求所有参加磋商的磋商供应商在规定时间内进行（最后报价）。</w:t>
      </w:r>
    </w:p>
    <w:p w14:paraId="47786419">
      <w:pPr>
        <w:snapToGrid w:val="0"/>
        <w:spacing w:line="500" w:lineRule="exact"/>
        <w:ind w:left="1"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3.磋商具体方法和标准</w:t>
      </w:r>
    </w:p>
    <w:p w14:paraId="08604F71">
      <w:pPr>
        <w:spacing w:line="500" w:lineRule="exact"/>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3.1满足竞争性磋商文件要求且价格最低的报价为评标基准价，其价格分为满分（即10分）。其他供应商的价格分统一按照下列公式计算：报价得分=(评标基准价／报价)×价格权值（10分）</w:t>
      </w:r>
    </w:p>
    <w:p w14:paraId="3FD4ABB0">
      <w:pPr>
        <w:spacing w:line="500" w:lineRule="exact"/>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3.2磋商小组根据磋商原则和办法对所有磋商文件进行集中审核，分别评</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审</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14:paraId="396ED189">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3547FCFE">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0333DC00">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4D8E98D9">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3B814CB2">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06B4F36F">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7E0FA940">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2188826B">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21BE2343">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226644D2">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7A1CA41C">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6BE6A6D4">
      <w:pPr>
        <w:pStyle w:val="16"/>
        <w:ind w:firstLine="321"/>
        <w:rPr>
          <w:rFonts w:asciiTheme="minorEastAsia" w:hAnsiTheme="minorEastAsia" w:eastAsiaTheme="minorEastAsia"/>
          <w:b/>
          <w:color w:val="000000" w:themeColor="text1"/>
          <w:sz w:val="32"/>
          <w:szCs w:val="32"/>
          <w:highlight w:val="none"/>
          <w14:textFill>
            <w14:solidFill>
              <w14:schemeClr w14:val="tx1"/>
            </w14:solidFill>
          </w14:textFill>
        </w:rPr>
      </w:pPr>
    </w:p>
    <w:p w14:paraId="6D11E1F8">
      <w:pPr>
        <w:pStyle w:val="16"/>
        <w:ind w:firstLine="0" w:firstLineChars="0"/>
        <w:rPr>
          <w:rFonts w:asciiTheme="minorEastAsia" w:hAnsiTheme="minorEastAsia" w:eastAsiaTheme="minorEastAsia"/>
          <w:b/>
          <w:color w:val="000000" w:themeColor="text1"/>
          <w:sz w:val="32"/>
          <w:szCs w:val="32"/>
          <w:highlight w:val="none"/>
          <w14:textFill>
            <w14:solidFill>
              <w14:schemeClr w14:val="tx1"/>
            </w14:solidFill>
          </w14:textFill>
        </w:rPr>
      </w:pPr>
    </w:p>
    <w:p w14:paraId="4C7E5ADA">
      <w:pPr>
        <w:pStyle w:val="16"/>
        <w:ind w:firstLine="321"/>
        <w:jc w:val="center"/>
        <w:rPr>
          <w:rFonts w:hint="eastAsia" w:asciiTheme="minorEastAsia" w:hAnsiTheme="minorEastAsia" w:eastAsiaTheme="minorEastAsia"/>
          <w:b/>
          <w:color w:val="000000" w:themeColor="text1"/>
          <w:sz w:val="32"/>
          <w:szCs w:val="32"/>
          <w:highlight w:val="none"/>
          <w14:textFill>
            <w14:solidFill>
              <w14:schemeClr w14:val="tx1"/>
            </w14:solidFill>
          </w14:textFill>
        </w:rPr>
      </w:pPr>
    </w:p>
    <w:p w14:paraId="3B502A50">
      <w:pPr>
        <w:pStyle w:val="16"/>
        <w:ind w:firstLine="321"/>
        <w:jc w:val="center"/>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评分标准</w:t>
      </w:r>
    </w:p>
    <w:tbl>
      <w:tblPr>
        <w:tblStyle w:val="17"/>
        <w:tblW w:w="9532" w:type="dxa"/>
        <w:jc w:val="center"/>
        <w:tblLayout w:type="fixed"/>
        <w:tblCellMar>
          <w:top w:w="0" w:type="dxa"/>
          <w:left w:w="0" w:type="dxa"/>
          <w:bottom w:w="0" w:type="dxa"/>
          <w:right w:w="0" w:type="dxa"/>
        </w:tblCellMar>
      </w:tblPr>
      <w:tblGrid>
        <w:gridCol w:w="1027"/>
        <w:gridCol w:w="1359"/>
        <w:gridCol w:w="1559"/>
        <w:gridCol w:w="5587"/>
      </w:tblGrid>
      <w:tr w14:paraId="0FB79D65">
        <w:tblPrEx>
          <w:tblCellMar>
            <w:top w:w="0" w:type="dxa"/>
            <w:left w:w="0" w:type="dxa"/>
            <w:bottom w:w="0" w:type="dxa"/>
            <w:right w:w="0" w:type="dxa"/>
          </w:tblCellMar>
        </w:tblPrEx>
        <w:trPr>
          <w:trHeight w:val="20" w:hRule="atLeast"/>
          <w:jc w:val="center"/>
        </w:trPr>
        <w:tc>
          <w:tcPr>
            <w:tcW w:w="2386" w:type="dxa"/>
            <w:gridSpan w:val="2"/>
            <w:tcBorders>
              <w:top w:val="single" w:color="auto" w:sz="4" w:space="0"/>
              <w:left w:val="single" w:color="auto" w:sz="4" w:space="0"/>
              <w:bottom w:val="single" w:color="000000" w:sz="4" w:space="0"/>
              <w:right w:val="single" w:color="000000" w:sz="4" w:space="0"/>
            </w:tcBorders>
            <w:vAlign w:val="center"/>
          </w:tcPr>
          <w:p w14:paraId="5EC6FDB1">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条款号</w:t>
            </w:r>
          </w:p>
        </w:tc>
        <w:tc>
          <w:tcPr>
            <w:tcW w:w="1559" w:type="dxa"/>
            <w:tcBorders>
              <w:top w:val="single" w:color="auto" w:sz="4" w:space="0"/>
              <w:left w:val="single" w:color="000000" w:sz="4" w:space="0"/>
              <w:bottom w:val="single" w:color="000000" w:sz="4" w:space="0"/>
              <w:right w:val="single" w:color="000000" w:sz="4" w:space="0"/>
            </w:tcBorders>
            <w:vAlign w:val="center"/>
          </w:tcPr>
          <w:p w14:paraId="5C1CEF73">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评审因素</w:t>
            </w:r>
          </w:p>
        </w:tc>
        <w:tc>
          <w:tcPr>
            <w:tcW w:w="5587" w:type="dxa"/>
            <w:tcBorders>
              <w:top w:val="single" w:color="auto" w:sz="4" w:space="0"/>
              <w:left w:val="single" w:color="000000" w:sz="4" w:space="0"/>
              <w:bottom w:val="single" w:color="000000" w:sz="4" w:space="0"/>
              <w:right w:val="single" w:color="auto" w:sz="4" w:space="0"/>
            </w:tcBorders>
            <w:vAlign w:val="center"/>
          </w:tcPr>
          <w:p w14:paraId="2059D238">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评审标准</w:t>
            </w:r>
          </w:p>
        </w:tc>
      </w:tr>
      <w:tr w14:paraId="7724F2F9">
        <w:tblPrEx>
          <w:tblCellMar>
            <w:top w:w="0" w:type="dxa"/>
            <w:left w:w="0" w:type="dxa"/>
            <w:bottom w:w="0" w:type="dxa"/>
            <w:right w:w="0" w:type="dxa"/>
          </w:tblCellMar>
        </w:tblPrEx>
        <w:trPr>
          <w:trHeight w:val="1250" w:hRule="atLeast"/>
          <w:jc w:val="center"/>
        </w:trPr>
        <w:tc>
          <w:tcPr>
            <w:tcW w:w="1027" w:type="dxa"/>
            <w:vMerge w:val="restart"/>
            <w:tcBorders>
              <w:top w:val="single" w:color="auto" w:sz="4" w:space="0"/>
              <w:left w:val="single" w:color="auto" w:sz="4" w:space="0"/>
              <w:right w:val="single" w:color="auto" w:sz="4" w:space="0"/>
            </w:tcBorders>
            <w:vAlign w:val="center"/>
          </w:tcPr>
          <w:p w14:paraId="0DE4B26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p w14:paraId="529DC4E6">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2.1</w:t>
            </w:r>
          </w:p>
        </w:tc>
        <w:tc>
          <w:tcPr>
            <w:tcW w:w="1359" w:type="dxa"/>
            <w:vMerge w:val="restart"/>
            <w:tcBorders>
              <w:top w:val="single" w:color="auto" w:sz="4" w:space="0"/>
              <w:left w:val="single" w:color="auto" w:sz="4" w:space="0"/>
              <w:right w:val="single" w:color="auto" w:sz="4" w:space="0"/>
            </w:tcBorders>
            <w:vAlign w:val="center"/>
          </w:tcPr>
          <w:p w14:paraId="540D94D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资格评审标准</w:t>
            </w:r>
          </w:p>
        </w:tc>
        <w:tc>
          <w:tcPr>
            <w:tcW w:w="1559" w:type="dxa"/>
            <w:tcBorders>
              <w:top w:val="single" w:color="000000" w:sz="4" w:space="0"/>
              <w:left w:val="single" w:color="auto" w:sz="4" w:space="0"/>
              <w:bottom w:val="single" w:color="auto" w:sz="4" w:space="0"/>
              <w:right w:val="single" w:color="auto" w:sz="4" w:space="0"/>
            </w:tcBorders>
            <w:vAlign w:val="center"/>
          </w:tcPr>
          <w:p w14:paraId="65A8F6AF">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有效的营业执照</w:t>
            </w:r>
          </w:p>
        </w:tc>
        <w:tc>
          <w:tcPr>
            <w:tcW w:w="5587" w:type="dxa"/>
            <w:tcBorders>
              <w:top w:val="single" w:color="000000" w:sz="4" w:space="0"/>
              <w:left w:val="single" w:color="000000" w:sz="4" w:space="0"/>
              <w:bottom w:val="single" w:color="auto" w:sz="4" w:space="0"/>
              <w:right w:val="single" w:color="auto" w:sz="4" w:space="0"/>
            </w:tcBorders>
            <w:vAlign w:val="center"/>
          </w:tcPr>
          <w:p w14:paraId="3BFC41BE">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供应商须具有有效的营业执照、税务登记证、组织机构代码证或“三证合一”的营业执照</w:t>
            </w:r>
          </w:p>
        </w:tc>
      </w:tr>
      <w:tr w14:paraId="582CBFE9">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724C2A82">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77C68AC0">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7C4C756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认证证书、检验资质、合格证书</w:t>
            </w:r>
          </w:p>
        </w:tc>
        <w:tc>
          <w:tcPr>
            <w:tcW w:w="5587" w:type="dxa"/>
            <w:tcBorders>
              <w:top w:val="single" w:color="000000" w:sz="4" w:space="0"/>
              <w:left w:val="single" w:color="000000" w:sz="4" w:space="0"/>
              <w:bottom w:val="single" w:color="auto" w:sz="4" w:space="0"/>
              <w:right w:val="single" w:color="auto" w:sz="4" w:space="0"/>
            </w:tcBorders>
            <w:vAlign w:val="center"/>
          </w:tcPr>
          <w:p w14:paraId="05E907A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有效期内的CMA证书（其中CMA资质附表中要同时具备食品及工业品检测能力</w:t>
            </w:r>
            <w:r>
              <w:rPr>
                <w:rFonts w:hint="eastAsia" w:ascii="宋体" w:hAnsi="宋体"/>
                <w:b/>
                <w:bCs/>
                <w:color w:val="000000" w:themeColor="text1"/>
                <w:sz w:val="24"/>
                <w:szCs w:val="24"/>
                <w:highlight w:val="none"/>
                <w14:textFill>
                  <w14:solidFill>
                    <w14:schemeClr w14:val="tx1"/>
                  </w14:solidFill>
                </w14:textFill>
              </w:rPr>
              <w:t>（注：本项目服务目录中所有产品检测覆盖率达80%以上并提供CMA能力附表）</w:t>
            </w:r>
          </w:p>
        </w:tc>
      </w:tr>
      <w:tr w14:paraId="6A25A569">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7E67822B">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7E72BD3E">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6FDE709D">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具有履行本项目采购内容所必须的设备和专业技术服务能力</w:t>
            </w:r>
          </w:p>
        </w:tc>
        <w:tc>
          <w:tcPr>
            <w:tcW w:w="5587" w:type="dxa"/>
            <w:tcBorders>
              <w:top w:val="single" w:color="000000" w:sz="4" w:space="0"/>
              <w:left w:val="single" w:color="000000" w:sz="4" w:space="0"/>
              <w:bottom w:val="single" w:color="auto" w:sz="4" w:space="0"/>
              <w:right w:val="single" w:color="auto" w:sz="4" w:space="0"/>
            </w:tcBorders>
            <w:vAlign w:val="center"/>
          </w:tcPr>
          <w:p w14:paraId="6AF1340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具有履行本项目采购内容所必须的设备和专业技术服务能力；(提供证明材料或承诺书)；</w:t>
            </w:r>
          </w:p>
        </w:tc>
      </w:tr>
      <w:tr w14:paraId="6B3E9E24">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526C28D6">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0EBED11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4610DFF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依法缴纳税收和社会保障资金</w:t>
            </w:r>
          </w:p>
        </w:tc>
        <w:tc>
          <w:tcPr>
            <w:tcW w:w="5587" w:type="dxa"/>
            <w:tcBorders>
              <w:top w:val="single" w:color="000000" w:sz="4" w:space="0"/>
              <w:left w:val="single" w:color="000000" w:sz="4" w:space="0"/>
              <w:bottom w:val="single" w:color="auto" w:sz="4" w:space="0"/>
              <w:right w:val="single" w:color="auto" w:sz="4" w:space="0"/>
            </w:tcBorders>
            <w:vAlign w:val="center"/>
          </w:tcPr>
          <w:p w14:paraId="22133B3B">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具有依法缴纳税收（提供202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年01月以来</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w:t>
            </w:r>
            <w:r>
              <w:rPr>
                <w:rFonts w:hint="eastAsia" w:asciiTheme="minorEastAsia" w:hAnsiTheme="minorEastAsia" w:eastAsiaTheme="minorEastAsia"/>
                <w:color w:val="000000" w:themeColor="text1"/>
                <w:sz w:val="24"/>
                <w:highlight w:val="none"/>
                <w14:textFill>
                  <w14:solidFill>
                    <w14:schemeClr w14:val="tx1"/>
                  </w14:solidFill>
                </w14:textFill>
              </w:rPr>
              <w:t>月的税收缴纳证明材料；注：依法免税的，应提供税务部门出具的依法免税证明材料）和社会保障资金（提供</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color w:val="000000" w:themeColor="text1"/>
                <w:sz w:val="24"/>
                <w:highlight w:val="none"/>
                <w14:textFill>
                  <w14:solidFill>
                    <w14:schemeClr w14:val="tx1"/>
                  </w14:solidFill>
                </w14:textFill>
              </w:rPr>
              <w:t>年01月以来项目负责人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任意一个月</w:t>
            </w:r>
            <w:r>
              <w:rPr>
                <w:rFonts w:hint="eastAsia" w:asciiTheme="minorEastAsia" w:hAnsiTheme="minorEastAsia" w:eastAsiaTheme="minorEastAsia"/>
                <w:color w:val="000000" w:themeColor="text1"/>
                <w:sz w:val="24"/>
                <w:highlight w:val="none"/>
                <w14:textFill>
                  <w14:solidFill>
                    <w14:schemeClr w14:val="tx1"/>
                  </w14:solidFill>
                </w14:textFill>
              </w:rPr>
              <w:t>的社保证明材料）；</w:t>
            </w:r>
          </w:p>
        </w:tc>
      </w:tr>
      <w:tr w14:paraId="32EEBDB5">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432EFD0B">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2F64C5D3">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1CCA5CE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具有良好的商业信誉和健全的财务会计制度</w:t>
            </w:r>
          </w:p>
        </w:tc>
        <w:tc>
          <w:tcPr>
            <w:tcW w:w="5587" w:type="dxa"/>
            <w:tcBorders>
              <w:top w:val="single" w:color="000000" w:sz="4" w:space="0"/>
              <w:left w:val="single" w:color="000000" w:sz="4" w:space="0"/>
              <w:bottom w:val="single" w:color="auto" w:sz="4" w:space="0"/>
              <w:right w:val="single" w:color="auto" w:sz="4" w:space="0"/>
            </w:tcBorders>
            <w:vAlign w:val="center"/>
          </w:tcPr>
          <w:p w14:paraId="4FAA2E7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具有良好的商业信誉和健全的财务会计制度，提供近三年经审计的财务报告（或财务报表）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新成立公司无审计报告应附最新的财务报表说明；</w:t>
            </w:r>
          </w:p>
        </w:tc>
      </w:tr>
      <w:tr w14:paraId="1F6DF466">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4E91FE01">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6428F367">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1B490E9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参加政府采购活动前3年内无行贿犯罪记录</w:t>
            </w:r>
          </w:p>
        </w:tc>
        <w:tc>
          <w:tcPr>
            <w:tcW w:w="5587" w:type="dxa"/>
            <w:tcBorders>
              <w:top w:val="single" w:color="000000" w:sz="4" w:space="0"/>
              <w:left w:val="single" w:color="000000" w:sz="4" w:space="0"/>
              <w:bottom w:val="single" w:color="auto" w:sz="4" w:space="0"/>
              <w:right w:val="single" w:color="auto" w:sz="4" w:space="0"/>
            </w:tcBorders>
            <w:vAlign w:val="center"/>
          </w:tcPr>
          <w:p w14:paraId="080AD41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参加政府采购活动前3年内无行贿犯罪记录；（提供《中国裁判文书网》查询结果网页截图或企业自行承诺的无行贿犯罪承诺书，查询&lt;承诺&gt;对象为“企业，法定代表人，项目负责人”。）</w:t>
            </w:r>
          </w:p>
        </w:tc>
      </w:tr>
      <w:tr w14:paraId="7320E5F4">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69CF5776">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1B9FA456">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7F5E95B2">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参加政府采购活动前3年内无商业贿赂、不正当竞争行为</w:t>
            </w:r>
          </w:p>
        </w:tc>
        <w:tc>
          <w:tcPr>
            <w:tcW w:w="5587" w:type="dxa"/>
            <w:tcBorders>
              <w:top w:val="single" w:color="000000" w:sz="4" w:space="0"/>
              <w:left w:val="single" w:color="000000" w:sz="4" w:space="0"/>
              <w:bottom w:val="single" w:color="auto" w:sz="4" w:space="0"/>
              <w:right w:val="single" w:color="auto" w:sz="4" w:space="0"/>
            </w:tcBorders>
            <w:vAlign w:val="center"/>
          </w:tcPr>
          <w:p w14:paraId="50CA5B15">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参加政府采购活动前3年内无商业贿赂、不正当竞争行为、骗取中标、严重违约及重大质量等问题，（供应商须自行出具承诺书）</w:t>
            </w:r>
          </w:p>
        </w:tc>
      </w:tr>
      <w:tr w14:paraId="37BEFFE1">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51EDC739">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315716C0">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3FAAD94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信用查询</w:t>
            </w:r>
          </w:p>
        </w:tc>
        <w:tc>
          <w:tcPr>
            <w:tcW w:w="5587" w:type="dxa"/>
            <w:tcBorders>
              <w:top w:val="single" w:color="000000" w:sz="4" w:space="0"/>
              <w:left w:val="single" w:color="000000" w:sz="4" w:space="0"/>
              <w:bottom w:val="single" w:color="auto" w:sz="4" w:space="0"/>
              <w:right w:val="single" w:color="auto" w:sz="4" w:space="0"/>
            </w:tcBorders>
            <w:vAlign w:val="center"/>
          </w:tcPr>
          <w:p w14:paraId="05C6642C">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tc>
      </w:tr>
      <w:tr w14:paraId="10D12DC4">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77FFACCD">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406DC09C">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78D5512">
            <w:pPr>
              <w:spacing w:line="360" w:lineRule="auto"/>
              <w:ind w:left="57" w:leftChars="27" w:right="84" w:rightChars="4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“国家企业信用信息公示系统”</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查询信息</w:t>
            </w:r>
          </w:p>
        </w:tc>
        <w:tc>
          <w:tcPr>
            <w:tcW w:w="5587" w:type="dxa"/>
            <w:tcBorders>
              <w:top w:val="single" w:color="000000" w:sz="4" w:space="0"/>
              <w:left w:val="single" w:color="000000" w:sz="4" w:space="0"/>
              <w:bottom w:val="single" w:color="auto" w:sz="4" w:space="0"/>
              <w:right w:val="single" w:color="auto" w:sz="4" w:space="0"/>
            </w:tcBorders>
            <w:vAlign w:val="center"/>
          </w:tcPr>
          <w:p w14:paraId="7CD6EEC5">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单位负责人为同一人或者存在控股、管理关系的不同单位，不得参加同一标段投标或者未划分标段的同一招标项目投标,提供投标企业在“国家企业信用信息公示系统”中公示的公司信息、股东或投资人信息”。</w:t>
            </w:r>
          </w:p>
        </w:tc>
      </w:tr>
      <w:tr w14:paraId="20D0B62C">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14A6ABC9">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19A0A4DD">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78B6C177">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非联合体投标</w:t>
            </w:r>
          </w:p>
        </w:tc>
        <w:tc>
          <w:tcPr>
            <w:tcW w:w="5587" w:type="dxa"/>
            <w:tcBorders>
              <w:top w:val="single" w:color="000000" w:sz="4" w:space="0"/>
              <w:left w:val="single" w:color="000000" w:sz="4" w:space="0"/>
              <w:bottom w:val="single" w:color="auto" w:sz="4" w:space="0"/>
              <w:right w:val="single" w:color="auto" w:sz="4" w:space="0"/>
            </w:tcBorders>
            <w:vAlign w:val="center"/>
          </w:tcPr>
          <w:p w14:paraId="60ED203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本项目不接受联合体；</w:t>
            </w:r>
          </w:p>
        </w:tc>
      </w:tr>
      <w:tr w14:paraId="663F34F5">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44E232B1">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2DB4765F">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auto" w:sz="4" w:space="0"/>
              <w:bottom w:val="single" w:color="auto" w:sz="4" w:space="0"/>
              <w:right w:val="single" w:color="auto" w:sz="4" w:space="0"/>
            </w:tcBorders>
            <w:vAlign w:val="center"/>
          </w:tcPr>
          <w:p w14:paraId="51EE433F">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其他</w:t>
            </w:r>
          </w:p>
        </w:tc>
        <w:tc>
          <w:tcPr>
            <w:tcW w:w="5587" w:type="dxa"/>
            <w:tcBorders>
              <w:top w:val="single" w:color="000000" w:sz="4" w:space="0"/>
              <w:left w:val="single" w:color="000000" w:sz="4" w:space="0"/>
              <w:bottom w:val="single" w:color="auto" w:sz="4" w:space="0"/>
              <w:right w:val="single" w:color="auto" w:sz="4" w:space="0"/>
            </w:tcBorders>
            <w:vAlign w:val="center"/>
          </w:tcPr>
          <w:p w14:paraId="26256A70">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磋商文件规定的其他内容</w:t>
            </w:r>
          </w:p>
        </w:tc>
      </w:tr>
      <w:tr w14:paraId="24AFE524">
        <w:tblPrEx>
          <w:tblCellMar>
            <w:top w:w="0" w:type="dxa"/>
            <w:left w:w="0" w:type="dxa"/>
            <w:bottom w:w="0" w:type="dxa"/>
            <w:right w:w="0" w:type="dxa"/>
          </w:tblCellMar>
        </w:tblPrEx>
        <w:trPr>
          <w:trHeight w:val="20" w:hRule="atLeast"/>
          <w:jc w:val="center"/>
        </w:trPr>
        <w:tc>
          <w:tcPr>
            <w:tcW w:w="9532" w:type="dxa"/>
            <w:gridSpan w:val="4"/>
            <w:tcBorders>
              <w:top w:val="single" w:color="auto" w:sz="4" w:space="0"/>
              <w:left w:val="single" w:color="auto" w:sz="4" w:space="0"/>
              <w:right w:val="single" w:color="auto" w:sz="4" w:space="0"/>
            </w:tcBorders>
            <w:vAlign w:val="center"/>
          </w:tcPr>
          <w:p w14:paraId="771DFFA2">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注：以上资格项评审标准中所涉及的证明材料，均以磋商响应文件中所附原件扫描件为准（网页查询以网页截图为准），提供不全或者未按要求提供的，视为没有提供。</w:t>
            </w:r>
          </w:p>
        </w:tc>
      </w:tr>
      <w:tr w14:paraId="654EA40A">
        <w:tblPrEx>
          <w:tblCellMar>
            <w:top w:w="0" w:type="dxa"/>
            <w:left w:w="0" w:type="dxa"/>
            <w:bottom w:w="0" w:type="dxa"/>
            <w:right w:w="0" w:type="dxa"/>
          </w:tblCellMar>
        </w:tblPrEx>
        <w:trPr>
          <w:trHeight w:val="20" w:hRule="atLeast"/>
          <w:jc w:val="center"/>
        </w:trPr>
        <w:tc>
          <w:tcPr>
            <w:tcW w:w="1027" w:type="dxa"/>
            <w:vMerge w:val="restart"/>
            <w:tcBorders>
              <w:top w:val="single" w:color="auto" w:sz="4" w:space="0"/>
              <w:left w:val="single" w:color="auto" w:sz="4" w:space="0"/>
              <w:right w:val="single" w:color="auto" w:sz="4" w:space="0"/>
            </w:tcBorders>
            <w:vAlign w:val="center"/>
          </w:tcPr>
          <w:p w14:paraId="5CA15A53">
            <w:pPr>
              <w:spacing w:line="360" w:lineRule="auto"/>
              <w:ind w:left="57" w:leftChars="27" w:right="84" w:rightChars="40"/>
              <w:jc w:val="cente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w:t>
            </w:r>
          </w:p>
        </w:tc>
        <w:tc>
          <w:tcPr>
            <w:tcW w:w="1359" w:type="dxa"/>
            <w:vMerge w:val="restart"/>
            <w:tcBorders>
              <w:top w:val="single" w:color="auto" w:sz="4" w:space="0"/>
              <w:left w:val="single" w:color="auto" w:sz="4" w:space="0"/>
              <w:right w:val="single" w:color="auto" w:sz="4" w:space="0"/>
            </w:tcBorders>
            <w:vAlign w:val="center"/>
          </w:tcPr>
          <w:p w14:paraId="51ACA43D">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符合性评审标准</w:t>
            </w:r>
          </w:p>
        </w:tc>
        <w:tc>
          <w:tcPr>
            <w:tcW w:w="1559" w:type="dxa"/>
            <w:tcBorders>
              <w:top w:val="single" w:color="auto" w:sz="4" w:space="0"/>
              <w:left w:val="single" w:color="auto" w:sz="4" w:space="0"/>
              <w:right w:val="single" w:color="auto" w:sz="4" w:space="0"/>
            </w:tcBorders>
            <w:vAlign w:val="center"/>
          </w:tcPr>
          <w:p w14:paraId="02A5B77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供应商名称</w:t>
            </w:r>
          </w:p>
        </w:tc>
        <w:tc>
          <w:tcPr>
            <w:tcW w:w="5587" w:type="dxa"/>
            <w:tcBorders>
              <w:top w:val="single" w:color="auto" w:sz="4" w:space="0"/>
              <w:left w:val="single" w:color="000000" w:sz="4" w:space="0"/>
              <w:right w:val="single" w:color="auto" w:sz="4" w:space="0"/>
            </w:tcBorders>
            <w:vAlign w:val="center"/>
          </w:tcPr>
          <w:p w14:paraId="4709DCDC">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供应商名称与营业执照、资质证书名称一致；</w:t>
            </w:r>
          </w:p>
        </w:tc>
      </w:tr>
      <w:tr w14:paraId="3F776A27">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right w:val="single" w:color="auto" w:sz="4" w:space="0"/>
            </w:tcBorders>
            <w:vAlign w:val="center"/>
          </w:tcPr>
          <w:p w14:paraId="54813D59">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top w:val="single" w:color="auto" w:sz="4" w:space="0"/>
              <w:left w:val="single" w:color="auto" w:sz="4" w:space="0"/>
              <w:right w:val="single" w:color="auto" w:sz="4" w:space="0"/>
            </w:tcBorders>
            <w:vAlign w:val="center"/>
          </w:tcPr>
          <w:p w14:paraId="0436752A">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right w:val="single" w:color="auto" w:sz="4" w:space="0"/>
            </w:tcBorders>
            <w:vAlign w:val="center"/>
          </w:tcPr>
          <w:p w14:paraId="78F5EC6B">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响应</w:t>
            </w:r>
            <w:r>
              <w:rPr>
                <w:rFonts w:cs="宋体" w:asciiTheme="minorEastAsia" w:hAnsiTheme="minorEastAsia" w:eastAsiaTheme="minorEastAsia"/>
                <w:color w:val="000000" w:themeColor="text1"/>
                <w:sz w:val="24"/>
                <w:highlight w:val="none"/>
                <w14:textFill>
                  <w14:solidFill>
                    <w14:schemeClr w14:val="tx1"/>
                  </w14:solidFill>
                </w14:textFill>
              </w:rPr>
              <w:t>文件格式</w:t>
            </w:r>
          </w:p>
        </w:tc>
        <w:tc>
          <w:tcPr>
            <w:tcW w:w="5587" w:type="dxa"/>
            <w:tcBorders>
              <w:top w:val="single" w:color="auto" w:sz="4" w:space="0"/>
              <w:left w:val="single" w:color="000000" w:sz="4" w:space="0"/>
              <w:right w:val="single" w:color="auto" w:sz="4" w:space="0"/>
            </w:tcBorders>
          </w:tcPr>
          <w:p w14:paraId="35984B2F">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符合第六章“响应文件格式”的要求；</w:t>
            </w:r>
          </w:p>
        </w:tc>
      </w:tr>
      <w:tr w14:paraId="0BBE89A6">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0BC38C8E">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24CEA63E">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292C1E9">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签章</w:t>
            </w:r>
          </w:p>
        </w:tc>
        <w:tc>
          <w:tcPr>
            <w:tcW w:w="5587" w:type="dxa"/>
            <w:tcBorders>
              <w:top w:val="single" w:color="auto" w:sz="4" w:space="0"/>
              <w:left w:val="single" w:color="000000" w:sz="4" w:space="0"/>
              <w:bottom w:val="single" w:color="auto" w:sz="4" w:space="0"/>
              <w:right w:val="single" w:color="auto" w:sz="4" w:space="0"/>
            </w:tcBorders>
          </w:tcPr>
          <w:p w14:paraId="18B528E9">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符合第二章供应商须知中签字和盖章要求；</w:t>
            </w:r>
          </w:p>
        </w:tc>
      </w:tr>
      <w:tr w14:paraId="272983EB">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bottom w:val="single" w:color="auto" w:sz="4" w:space="0"/>
              <w:right w:val="single" w:color="auto" w:sz="4" w:space="0"/>
            </w:tcBorders>
            <w:vAlign w:val="center"/>
          </w:tcPr>
          <w:p w14:paraId="56AE9E54">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bottom w:val="single" w:color="auto" w:sz="4" w:space="0"/>
              <w:right w:val="single" w:color="auto" w:sz="4" w:space="0"/>
            </w:tcBorders>
            <w:vAlign w:val="center"/>
          </w:tcPr>
          <w:p w14:paraId="03FD3438">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3FE50C7">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报价</w:t>
            </w:r>
          </w:p>
        </w:tc>
        <w:tc>
          <w:tcPr>
            <w:tcW w:w="5587" w:type="dxa"/>
            <w:tcBorders>
              <w:top w:val="single" w:color="auto" w:sz="4" w:space="0"/>
              <w:left w:val="single" w:color="000000" w:sz="4" w:space="0"/>
              <w:bottom w:val="single" w:color="auto" w:sz="4" w:space="0"/>
              <w:right w:val="single" w:color="auto" w:sz="4" w:space="0"/>
            </w:tcBorders>
          </w:tcPr>
          <w:p w14:paraId="09A6F696">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只能有一个有效报价且不超过采购预算，否则按废标处理；</w:t>
            </w:r>
          </w:p>
        </w:tc>
      </w:tr>
      <w:tr w14:paraId="315956F4">
        <w:tblPrEx>
          <w:tblCellMar>
            <w:top w:w="0" w:type="dxa"/>
            <w:left w:w="0" w:type="dxa"/>
            <w:bottom w:w="0" w:type="dxa"/>
            <w:right w:w="0" w:type="dxa"/>
          </w:tblCellMar>
        </w:tblPrEx>
        <w:trPr>
          <w:trHeight w:val="20" w:hRule="atLeast"/>
          <w:jc w:val="center"/>
        </w:trPr>
        <w:tc>
          <w:tcPr>
            <w:tcW w:w="1027" w:type="dxa"/>
            <w:vMerge w:val="restart"/>
            <w:tcBorders>
              <w:top w:val="single" w:color="auto" w:sz="4" w:space="0"/>
              <w:left w:val="single" w:color="auto" w:sz="4" w:space="0"/>
              <w:right w:val="single" w:color="auto" w:sz="4" w:space="0"/>
            </w:tcBorders>
            <w:vAlign w:val="center"/>
          </w:tcPr>
          <w:p w14:paraId="58CED805">
            <w:pPr>
              <w:autoSpaceDE w:val="0"/>
              <w:autoSpaceDN w:val="0"/>
              <w:adjustRightInd w:val="0"/>
              <w:spacing w:before="50" w:line="360" w:lineRule="auto"/>
              <w:ind w:right="97" w:firstLine="67" w:firstLineChars="28"/>
              <w:jc w:val="center"/>
              <w:rPr>
                <w:rFonts w:hint="default" w:asciiTheme="minorEastAsia" w:hAnsiTheme="minorEastAsia" w:eastAsiaTheme="minorEastAsia"/>
                <w:color w:val="000000" w:themeColor="text1"/>
                <w:spacing w:val="1"/>
                <w:kern w:val="0"/>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1"/>
                <w:kern w:val="0"/>
                <w:sz w:val="24"/>
                <w:highlight w:val="none"/>
                <w:lang w:val="en-US" w:eastAsia="zh-CN"/>
                <w14:textFill>
                  <w14:solidFill>
                    <w14:schemeClr w14:val="tx1"/>
                  </w14:solidFill>
                </w14:textFill>
              </w:rPr>
              <w:t>2.3</w:t>
            </w:r>
          </w:p>
        </w:tc>
        <w:tc>
          <w:tcPr>
            <w:tcW w:w="1359" w:type="dxa"/>
            <w:vMerge w:val="restart"/>
            <w:tcBorders>
              <w:top w:val="single" w:color="auto" w:sz="4" w:space="0"/>
              <w:left w:val="single" w:color="auto" w:sz="4" w:space="0"/>
              <w:right w:val="single" w:color="auto" w:sz="4" w:space="0"/>
            </w:tcBorders>
            <w:vAlign w:val="center"/>
          </w:tcPr>
          <w:p w14:paraId="2A582AEF">
            <w:pPr>
              <w:autoSpaceDE w:val="0"/>
              <w:autoSpaceDN w:val="0"/>
              <w:adjustRightInd w:val="0"/>
              <w:spacing w:before="50" w:line="360" w:lineRule="auto"/>
              <w:ind w:right="97" w:firstLine="67" w:firstLineChars="28"/>
              <w:jc w:val="center"/>
              <w:rPr>
                <w:rFonts w:hint="default" w:asciiTheme="minorEastAsia" w:hAnsiTheme="minorEastAsia" w:eastAsiaTheme="minorEastAsia"/>
                <w:color w:val="000000" w:themeColor="text1"/>
                <w:spacing w:val="1"/>
                <w:kern w:val="0"/>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pacing w:val="1"/>
                <w:kern w:val="0"/>
                <w:sz w:val="24"/>
                <w:highlight w:val="none"/>
                <w:lang w:val="en-US" w:eastAsia="zh-CN"/>
                <w14:textFill>
                  <w14:solidFill>
                    <w14:schemeClr w14:val="tx1"/>
                  </w14:solidFill>
                </w14:textFill>
              </w:rPr>
              <w:t>响应性评审标准</w:t>
            </w:r>
          </w:p>
        </w:tc>
        <w:tc>
          <w:tcPr>
            <w:tcW w:w="1559" w:type="dxa"/>
            <w:tcBorders>
              <w:top w:val="single" w:color="auto" w:sz="4" w:space="0"/>
              <w:left w:val="single" w:color="auto" w:sz="4" w:space="0"/>
              <w:bottom w:val="single" w:color="auto" w:sz="4" w:space="0"/>
              <w:right w:val="single" w:color="auto" w:sz="4" w:space="0"/>
            </w:tcBorders>
            <w:vAlign w:val="center"/>
          </w:tcPr>
          <w:p w14:paraId="6C5FC059">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服务内容</w:t>
            </w:r>
          </w:p>
        </w:tc>
        <w:tc>
          <w:tcPr>
            <w:tcW w:w="5587" w:type="dxa"/>
            <w:tcBorders>
              <w:top w:val="single" w:color="auto" w:sz="4" w:space="0"/>
              <w:left w:val="single" w:color="000000" w:sz="4" w:space="0"/>
              <w:bottom w:val="single" w:color="auto" w:sz="4" w:space="0"/>
              <w:right w:val="single" w:color="auto" w:sz="4" w:space="0"/>
            </w:tcBorders>
          </w:tcPr>
          <w:p w14:paraId="461DA556">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符合第二章“投标供应商须知”规定；</w:t>
            </w:r>
          </w:p>
        </w:tc>
      </w:tr>
      <w:tr w14:paraId="54FB4F11">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5D825ED9">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00542D05">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05CE714">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服务标准</w:t>
            </w:r>
          </w:p>
        </w:tc>
        <w:tc>
          <w:tcPr>
            <w:tcW w:w="5587" w:type="dxa"/>
            <w:tcBorders>
              <w:top w:val="single" w:color="auto" w:sz="4" w:space="0"/>
              <w:left w:val="single" w:color="000000" w:sz="4" w:space="0"/>
              <w:bottom w:val="single" w:color="auto" w:sz="4" w:space="0"/>
              <w:right w:val="single" w:color="auto" w:sz="4" w:space="0"/>
            </w:tcBorders>
          </w:tcPr>
          <w:p w14:paraId="66A23391">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符合第二章“投标供应商须知”规定；</w:t>
            </w:r>
          </w:p>
        </w:tc>
      </w:tr>
      <w:tr w14:paraId="0C5876B7">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769EC868">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33A027D8">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BFA8DC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服务期限</w:t>
            </w:r>
          </w:p>
        </w:tc>
        <w:tc>
          <w:tcPr>
            <w:tcW w:w="5587" w:type="dxa"/>
            <w:tcBorders>
              <w:top w:val="single" w:color="auto" w:sz="4" w:space="0"/>
              <w:left w:val="single" w:color="auto" w:sz="4" w:space="0"/>
              <w:bottom w:val="single" w:color="000000" w:sz="4" w:space="0"/>
              <w:right w:val="single" w:color="auto" w:sz="4" w:space="0"/>
            </w:tcBorders>
          </w:tcPr>
          <w:p w14:paraId="2E7EF33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符合第二章“投标供应商须知”规定；</w:t>
            </w:r>
          </w:p>
        </w:tc>
      </w:tr>
      <w:tr w14:paraId="352B63A4">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23F582E2">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14203F78">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5CE2FD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服务地点</w:t>
            </w:r>
          </w:p>
        </w:tc>
        <w:tc>
          <w:tcPr>
            <w:tcW w:w="5587" w:type="dxa"/>
            <w:tcBorders>
              <w:top w:val="single" w:color="auto" w:sz="4" w:space="0"/>
              <w:left w:val="single" w:color="auto" w:sz="4" w:space="0"/>
              <w:bottom w:val="single" w:color="000000" w:sz="4" w:space="0"/>
              <w:right w:val="single" w:color="auto" w:sz="4" w:space="0"/>
            </w:tcBorders>
            <w:vAlign w:val="center"/>
          </w:tcPr>
          <w:p w14:paraId="1786C144">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符合第二章“投标供应商须知”规定；</w:t>
            </w:r>
          </w:p>
        </w:tc>
      </w:tr>
      <w:tr w14:paraId="2611229A">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378AE62D">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60AC0A92">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7E6558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投标承诺函</w:t>
            </w:r>
          </w:p>
        </w:tc>
        <w:tc>
          <w:tcPr>
            <w:tcW w:w="5587" w:type="dxa"/>
            <w:tcBorders>
              <w:top w:val="single" w:color="auto" w:sz="4" w:space="0"/>
              <w:left w:val="single" w:color="auto" w:sz="4" w:space="0"/>
              <w:bottom w:val="single" w:color="000000" w:sz="4" w:space="0"/>
              <w:right w:val="single" w:color="auto" w:sz="4" w:space="0"/>
            </w:tcBorders>
            <w:vAlign w:val="center"/>
          </w:tcPr>
          <w:p w14:paraId="75E90EF8">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符合第六章“响应文件格式”的要求；</w:t>
            </w:r>
          </w:p>
        </w:tc>
      </w:tr>
      <w:tr w14:paraId="1DEE5407">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2F5C627D">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75850514">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DF129D6">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磋商有效期</w:t>
            </w:r>
          </w:p>
        </w:tc>
        <w:tc>
          <w:tcPr>
            <w:tcW w:w="5587" w:type="dxa"/>
            <w:tcBorders>
              <w:top w:val="single" w:color="auto" w:sz="4" w:space="0"/>
              <w:left w:val="single" w:color="auto" w:sz="4" w:space="0"/>
              <w:bottom w:val="single" w:color="000000" w:sz="4" w:space="0"/>
              <w:right w:val="single" w:color="auto" w:sz="4" w:space="0"/>
            </w:tcBorders>
          </w:tcPr>
          <w:p w14:paraId="40434DEB">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符合第二章“投标供应商须知”规定；</w:t>
            </w:r>
          </w:p>
        </w:tc>
      </w:tr>
      <w:tr w14:paraId="40F9CB42">
        <w:tblPrEx>
          <w:tblCellMar>
            <w:top w:w="0" w:type="dxa"/>
            <w:left w:w="0" w:type="dxa"/>
            <w:bottom w:w="0" w:type="dxa"/>
            <w:right w:w="0" w:type="dxa"/>
          </w:tblCellMar>
        </w:tblPrEx>
        <w:trPr>
          <w:trHeight w:val="20" w:hRule="atLeast"/>
          <w:jc w:val="center"/>
        </w:trPr>
        <w:tc>
          <w:tcPr>
            <w:tcW w:w="1027" w:type="dxa"/>
            <w:tcBorders>
              <w:top w:val="single" w:color="000000" w:sz="4" w:space="0"/>
              <w:left w:val="single" w:color="000000" w:sz="4" w:space="0"/>
              <w:bottom w:val="single" w:color="000000" w:sz="4" w:space="0"/>
              <w:right w:val="single" w:color="000000" w:sz="4" w:space="0"/>
            </w:tcBorders>
            <w:vAlign w:val="center"/>
          </w:tcPr>
          <w:p w14:paraId="7418D281">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条款号</w:t>
            </w:r>
          </w:p>
        </w:tc>
        <w:tc>
          <w:tcPr>
            <w:tcW w:w="1359" w:type="dxa"/>
            <w:tcBorders>
              <w:top w:val="single" w:color="000000" w:sz="4" w:space="0"/>
              <w:left w:val="single" w:color="000000" w:sz="4" w:space="0"/>
              <w:bottom w:val="single" w:color="000000" w:sz="4" w:space="0"/>
              <w:right w:val="single" w:color="000000" w:sz="4" w:space="0"/>
            </w:tcBorders>
            <w:vAlign w:val="center"/>
          </w:tcPr>
          <w:p w14:paraId="6DD5DD01">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条款</w:t>
            </w:r>
          </w:p>
          <w:p w14:paraId="35E32772">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内容</w:t>
            </w:r>
          </w:p>
        </w:tc>
        <w:tc>
          <w:tcPr>
            <w:tcW w:w="7146" w:type="dxa"/>
            <w:gridSpan w:val="2"/>
            <w:tcBorders>
              <w:top w:val="single" w:color="000000" w:sz="4" w:space="0"/>
              <w:left w:val="single" w:color="000000" w:sz="4" w:space="0"/>
              <w:bottom w:val="single" w:color="000000" w:sz="4" w:space="0"/>
              <w:right w:val="single" w:color="000000" w:sz="4" w:space="0"/>
            </w:tcBorders>
            <w:vAlign w:val="center"/>
          </w:tcPr>
          <w:p w14:paraId="715A6227">
            <w:pPr>
              <w:autoSpaceDE w:val="0"/>
              <w:autoSpaceDN w:val="0"/>
              <w:adjustRightInd w:val="0"/>
              <w:spacing w:before="50" w:line="360" w:lineRule="auto"/>
              <w:ind w:right="97" w:firstLine="68" w:firstLineChars="28"/>
              <w:jc w:val="center"/>
              <w:rPr>
                <w:rFonts w:asciiTheme="minorEastAsia" w:hAnsiTheme="minorEastAsia" w:eastAsiaTheme="minorEastAsia"/>
                <w:b/>
                <w:color w:val="000000" w:themeColor="text1"/>
                <w:spacing w:val="1"/>
                <w:kern w:val="0"/>
                <w:sz w:val="24"/>
                <w:highlight w:val="none"/>
                <w14:textFill>
                  <w14:solidFill>
                    <w14:schemeClr w14:val="tx1"/>
                  </w14:solidFill>
                </w14:textFill>
              </w:rPr>
            </w:pPr>
            <w:r>
              <w:rPr>
                <w:rFonts w:hint="eastAsia" w:asciiTheme="minorEastAsia" w:hAnsiTheme="minorEastAsia" w:eastAsiaTheme="minorEastAsia"/>
                <w:b/>
                <w:color w:val="000000" w:themeColor="text1"/>
                <w:spacing w:val="1"/>
                <w:kern w:val="0"/>
                <w:sz w:val="24"/>
                <w:highlight w:val="none"/>
                <w14:textFill>
                  <w14:solidFill>
                    <w14:schemeClr w14:val="tx1"/>
                  </w14:solidFill>
                </w14:textFill>
              </w:rPr>
              <w:t>编列内容</w:t>
            </w:r>
          </w:p>
        </w:tc>
      </w:tr>
      <w:tr w14:paraId="405E3842">
        <w:tblPrEx>
          <w:tblCellMar>
            <w:top w:w="0" w:type="dxa"/>
            <w:left w:w="0" w:type="dxa"/>
            <w:bottom w:w="0" w:type="dxa"/>
            <w:right w:w="0" w:type="dxa"/>
          </w:tblCellMar>
        </w:tblPrEx>
        <w:trPr>
          <w:trHeight w:val="20" w:hRule="atLeast"/>
          <w:jc w:val="center"/>
        </w:trPr>
        <w:tc>
          <w:tcPr>
            <w:tcW w:w="1027" w:type="dxa"/>
            <w:tcBorders>
              <w:top w:val="single" w:color="000000" w:sz="4" w:space="0"/>
              <w:left w:val="single" w:color="000000" w:sz="4" w:space="0"/>
              <w:bottom w:val="single" w:color="auto" w:sz="4" w:space="0"/>
              <w:right w:val="single" w:color="000000" w:sz="4" w:space="0"/>
            </w:tcBorders>
            <w:vAlign w:val="center"/>
          </w:tcPr>
          <w:p w14:paraId="0FF90525">
            <w:pPr>
              <w:spacing w:line="360" w:lineRule="auto"/>
              <w:ind w:left="57" w:leftChars="27" w:right="84" w:rightChars="4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3.1</w:t>
            </w:r>
          </w:p>
        </w:tc>
        <w:tc>
          <w:tcPr>
            <w:tcW w:w="1359" w:type="dxa"/>
            <w:tcBorders>
              <w:top w:val="single" w:color="000000" w:sz="4" w:space="0"/>
              <w:left w:val="single" w:color="000000" w:sz="4" w:space="0"/>
              <w:bottom w:val="single" w:color="000000" w:sz="4" w:space="0"/>
              <w:right w:val="single" w:color="000000" w:sz="4" w:space="0"/>
            </w:tcBorders>
            <w:vAlign w:val="center"/>
          </w:tcPr>
          <w:p w14:paraId="7BEF7D1E">
            <w:pPr>
              <w:spacing w:line="360" w:lineRule="auto"/>
              <w:ind w:left="57" w:leftChars="27" w:right="84" w:rightChars="4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分值构成</w:t>
            </w:r>
          </w:p>
          <w:p w14:paraId="6A1BCD9E">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(总分100分)</w:t>
            </w:r>
          </w:p>
        </w:tc>
        <w:tc>
          <w:tcPr>
            <w:tcW w:w="7146" w:type="dxa"/>
            <w:gridSpan w:val="2"/>
            <w:tcBorders>
              <w:top w:val="single" w:color="000000" w:sz="4" w:space="0"/>
              <w:left w:val="single" w:color="000000" w:sz="4" w:space="0"/>
              <w:bottom w:val="single" w:color="000000" w:sz="4" w:space="0"/>
              <w:right w:val="single" w:color="000000" w:sz="4" w:space="0"/>
            </w:tcBorders>
            <w:vAlign w:val="center"/>
          </w:tcPr>
          <w:p w14:paraId="27C8A424">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报价部分：  10分</w:t>
            </w:r>
          </w:p>
          <w:p w14:paraId="18E04741">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技术部分：</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 xml:space="preserve">  60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p w14:paraId="0C5C631C">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商务部分：  </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tc>
      </w:tr>
      <w:tr w14:paraId="6F2FAFF6">
        <w:tblPrEx>
          <w:tblCellMar>
            <w:top w:w="0" w:type="dxa"/>
            <w:left w:w="0" w:type="dxa"/>
            <w:bottom w:w="0" w:type="dxa"/>
            <w:right w:w="0" w:type="dxa"/>
          </w:tblCellMar>
        </w:tblPrEx>
        <w:trPr>
          <w:trHeight w:val="20" w:hRule="atLeast"/>
          <w:jc w:val="center"/>
        </w:trPr>
        <w:tc>
          <w:tcPr>
            <w:tcW w:w="1027" w:type="dxa"/>
            <w:tcBorders>
              <w:top w:val="single" w:color="auto" w:sz="4" w:space="0"/>
              <w:left w:val="single" w:color="auto" w:sz="4" w:space="0"/>
              <w:bottom w:val="single" w:color="auto" w:sz="4" w:space="0"/>
              <w:right w:val="single" w:color="auto" w:sz="4" w:space="0"/>
            </w:tcBorders>
            <w:vAlign w:val="center"/>
          </w:tcPr>
          <w:p w14:paraId="23654A75">
            <w:pPr>
              <w:spacing w:line="360" w:lineRule="auto"/>
              <w:ind w:left="57" w:leftChars="27" w:right="84" w:rightChars="4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3.2</w:t>
            </w:r>
          </w:p>
        </w:tc>
        <w:tc>
          <w:tcPr>
            <w:tcW w:w="1359" w:type="dxa"/>
            <w:tcBorders>
              <w:top w:val="single" w:color="000000" w:sz="4" w:space="0"/>
              <w:left w:val="single" w:color="auto" w:sz="4" w:space="0"/>
              <w:bottom w:val="single" w:color="auto" w:sz="4" w:space="0"/>
              <w:right w:val="single" w:color="000000" w:sz="4" w:space="0"/>
            </w:tcBorders>
            <w:vAlign w:val="center"/>
          </w:tcPr>
          <w:p w14:paraId="67E12649">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报价部分（10分）</w:t>
            </w:r>
          </w:p>
        </w:tc>
        <w:tc>
          <w:tcPr>
            <w:tcW w:w="7146" w:type="dxa"/>
            <w:gridSpan w:val="2"/>
            <w:tcBorders>
              <w:top w:val="single" w:color="000000" w:sz="4" w:space="0"/>
              <w:left w:val="single" w:color="000000" w:sz="4" w:space="0"/>
              <w:bottom w:val="single" w:color="auto" w:sz="4" w:space="0"/>
              <w:right w:val="single" w:color="000000" w:sz="4" w:space="0"/>
            </w:tcBorders>
            <w:vAlign w:val="center"/>
          </w:tcPr>
          <w:p w14:paraId="172D1616">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1、超出采购人预算价的报价为无效报价，按废标处理。</w:t>
            </w:r>
          </w:p>
          <w:p w14:paraId="2770A404">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2、价格分统一采用低价优先法计算，即满足磋商文件要求且最后报价最低的供应商的价格为磋商基准价，其价格分为满分10分。其他供应商的价格分统一按照下列公式计算：</w:t>
            </w:r>
          </w:p>
          <w:p w14:paraId="74A4AB4A">
            <w:pPr>
              <w:spacing w:line="360" w:lineRule="auto"/>
              <w:ind w:left="139" w:leftChars="66" w:right="143" w:rightChars="68" w:firstLine="1"/>
              <w:jc w:val="left"/>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磋商报价得分=（磋商基准价/最后磋商报价）×10，按四舍五入法则，保留小数点后两位。</w:t>
            </w:r>
          </w:p>
          <w:p w14:paraId="6A7A2D50">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注：1.根据《政府采购促进中小企业发展管理办法》的规定，对小型、微型企业产品的价格给予10%～20%的扣除，本项目小型、微型企业按20%扣除。对于中型企业产品的价格不予扣除。</w:t>
            </w:r>
          </w:p>
          <w:p w14:paraId="441C3A4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所投小微企业产品报价=所投小微企业产品报价×（1-20%）</w:t>
            </w:r>
          </w:p>
          <w:p w14:paraId="682CC44F">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2.根据财政部司法部《关于政府采购支持监狱企业发展有关问题的通知》（财库〔2014〕68号）规定，对于监狱企业视同为小型、微型企业，价格给予 20%的扣除。</w:t>
            </w:r>
          </w:p>
          <w:p w14:paraId="63AADD2F">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所投监狱企业产品报价=所投监狱企业产品报价×（1-20%）</w:t>
            </w:r>
          </w:p>
          <w:p w14:paraId="3BF6BBE0">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3.根据财政部民政部中国残疾人联合会《关于促进残疾人就业政府采购政策的通知》（财库〔2017〕141号）规定，对于残疾人福利性单位视同为小型、微型企业，价格给予20%的扣除。</w:t>
            </w:r>
          </w:p>
          <w:p w14:paraId="7548B94E">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所投残疾人福利性单位企业产品报价=所投残疾人福利性单位企业产品报价×（1-20%）</w:t>
            </w:r>
          </w:p>
          <w:p w14:paraId="53AEC7EB">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cs="宋体"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同一供应商，中小微企业产品、监狱企业产品、残疾人福利性单位产品的价格扣除优惠只享受一次，不得重复享受。</w:t>
            </w:r>
          </w:p>
        </w:tc>
      </w:tr>
      <w:tr w14:paraId="4B04B43A">
        <w:tblPrEx>
          <w:tblCellMar>
            <w:top w:w="0" w:type="dxa"/>
            <w:left w:w="0" w:type="dxa"/>
            <w:bottom w:w="0" w:type="dxa"/>
            <w:right w:w="0" w:type="dxa"/>
          </w:tblCellMar>
        </w:tblPrEx>
        <w:trPr>
          <w:trHeight w:val="20" w:hRule="atLeast"/>
          <w:jc w:val="center"/>
        </w:trPr>
        <w:tc>
          <w:tcPr>
            <w:tcW w:w="1027" w:type="dxa"/>
            <w:vMerge w:val="restart"/>
            <w:tcBorders>
              <w:top w:val="single" w:color="auto" w:sz="4" w:space="0"/>
              <w:left w:val="single" w:color="auto" w:sz="4" w:space="0"/>
              <w:right w:val="single" w:color="auto" w:sz="4" w:space="0"/>
            </w:tcBorders>
            <w:vAlign w:val="center"/>
          </w:tcPr>
          <w:p w14:paraId="6EF6AD4D">
            <w:pPr>
              <w:spacing w:line="360" w:lineRule="auto"/>
              <w:ind w:left="57" w:leftChars="27" w:right="84" w:rightChars="4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3.3</w:t>
            </w:r>
          </w:p>
        </w:tc>
        <w:tc>
          <w:tcPr>
            <w:tcW w:w="1359" w:type="dxa"/>
            <w:vMerge w:val="restart"/>
            <w:tcBorders>
              <w:top w:val="single" w:color="auto" w:sz="4" w:space="0"/>
              <w:left w:val="single" w:color="auto" w:sz="4" w:space="0"/>
              <w:right w:val="single" w:color="auto" w:sz="4" w:space="0"/>
            </w:tcBorders>
            <w:vAlign w:val="center"/>
          </w:tcPr>
          <w:p w14:paraId="0A93B6E2">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技术部分（</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tc>
        <w:tc>
          <w:tcPr>
            <w:tcW w:w="1559" w:type="dxa"/>
            <w:vMerge w:val="restart"/>
            <w:tcBorders>
              <w:top w:val="single" w:color="auto" w:sz="4" w:space="0"/>
              <w:left w:val="single" w:color="auto" w:sz="4" w:space="0"/>
              <w:right w:val="single" w:color="auto" w:sz="4" w:space="0"/>
            </w:tcBorders>
            <w:vAlign w:val="center"/>
          </w:tcPr>
          <w:p w14:paraId="7FE626C7">
            <w:pPr>
              <w:snapToGrid w:val="0"/>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设备情况</w:t>
            </w:r>
          </w:p>
          <w:p w14:paraId="681840A3">
            <w:pPr>
              <w:snapToGrid w:val="0"/>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（20分）</w:t>
            </w:r>
          </w:p>
        </w:tc>
        <w:tc>
          <w:tcPr>
            <w:tcW w:w="5587" w:type="dxa"/>
            <w:tcBorders>
              <w:top w:val="single" w:color="auto" w:sz="4" w:space="0"/>
              <w:left w:val="single" w:color="auto" w:sz="4" w:space="0"/>
              <w:bottom w:val="single" w:color="auto" w:sz="4" w:space="0"/>
              <w:right w:val="single" w:color="auto" w:sz="4" w:space="0"/>
            </w:tcBorders>
            <w:vAlign w:val="center"/>
          </w:tcPr>
          <w:p w14:paraId="6D1FF315">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投标人有满足本次项目检测需求的仪器设备，有以下仪器：</w:t>
            </w:r>
          </w:p>
          <w:p w14:paraId="154EAE0A">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气相色谱仪、气质联用仪、液相色谱仪、液质联用仪、电感耦合等离子体发射光谱仪、电感耦合等离子质谱仪、原子吸收光谱仪、紫外可见分光光度计、石油产品运动粘度测定器、X荧光油品硫分析仪、微库仑仪、紫外荧光定硫仪、石油产品蒸馏测定仪、全自动闭口闪点试验器、微机控制薄膜拉力机、液化石油气铜片腐蚀测定仪、垂直燃烧试验机、电线电缆燃烧热释放测试仪、高绝缘电阻测试仪、全自动凯氏定氮仪、肥料定氮仪、色牢度摩擦仪、耐洗色牢度仪、汗渍色牢度仪、酸度计。</w:t>
            </w:r>
          </w:p>
          <w:p w14:paraId="173EDDF9">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每</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少</w:t>
            </w:r>
            <w:r>
              <w:rPr>
                <w:rFonts w:hint="eastAsia" w:asciiTheme="minorEastAsia" w:hAnsiTheme="minorEastAsia" w:eastAsiaTheme="minorEastAsia"/>
                <w:color w:val="000000" w:themeColor="text1"/>
                <w:sz w:val="24"/>
                <w:highlight w:val="none"/>
                <w14:textFill>
                  <w14:solidFill>
                    <w14:schemeClr w14:val="tx1"/>
                  </w14:solidFill>
                </w14:textFill>
              </w:rPr>
              <w:t>一个</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扣0.5</w:t>
            </w:r>
            <w:r>
              <w:rPr>
                <w:rFonts w:hint="eastAsia" w:asciiTheme="minorEastAsia" w:hAnsiTheme="minorEastAsia" w:eastAsiaTheme="minorEastAsia"/>
                <w:color w:val="000000" w:themeColor="text1"/>
                <w:sz w:val="24"/>
                <w:highlight w:val="none"/>
                <w14:textFill>
                  <w14:solidFill>
                    <w14:schemeClr w14:val="tx1"/>
                  </w14:solidFill>
                </w14:textFill>
              </w:rPr>
              <w:t>分，满分</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扣完为止</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B2B1FFC">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（以上检测设备，须将发票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设备照片</w:t>
            </w:r>
            <w:r>
              <w:rPr>
                <w:rFonts w:hint="eastAsia" w:asciiTheme="minorEastAsia" w:hAnsiTheme="minorEastAsia" w:eastAsiaTheme="minorEastAsia"/>
                <w:color w:val="000000" w:themeColor="text1"/>
                <w:sz w:val="24"/>
                <w:highlight w:val="none"/>
                <w14:textFill>
                  <w14:solidFill>
                    <w14:schemeClr w14:val="tx1"/>
                  </w14:solidFill>
                </w14:textFill>
              </w:rPr>
              <w:t>附在电子投标响应文件中，否则不得分）</w:t>
            </w:r>
          </w:p>
        </w:tc>
      </w:tr>
      <w:tr w14:paraId="07637E02">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62350832">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565D50AB">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vMerge w:val="continue"/>
            <w:tcBorders>
              <w:left w:val="single" w:color="auto" w:sz="4" w:space="0"/>
              <w:right w:val="single" w:color="auto" w:sz="4" w:space="0"/>
            </w:tcBorders>
            <w:vAlign w:val="center"/>
          </w:tcPr>
          <w:p w14:paraId="02AB545C">
            <w:pPr>
              <w:spacing w:before="83"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5587" w:type="dxa"/>
            <w:tcBorders>
              <w:top w:val="single" w:color="auto" w:sz="4" w:space="0"/>
              <w:left w:val="single" w:color="auto" w:sz="4" w:space="0"/>
              <w:bottom w:val="single" w:color="000000" w:sz="4" w:space="0"/>
              <w:right w:val="single" w:color="000000" w:sz="4" w:space="0"/>
            </w:tcBorders>
            <w:vAlign w:val="center"/>
          </w:tcPr>
          <w:p w14:paraId="4E0B8375">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1、供应商具有专职抽检用车5辆以上（含5辆）的，得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分；供应商具有专职抽检用车3辆以上（含3辆）的，得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分；供应商具有专职抽检用车3辆以下得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没有的，得0分；（注：以电子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响应性文件</w:t>
            </w:r>
            <w:r>
              <w:rPr>
                <w:rFonts w:hint="eastAsia" w:asciiTheme="minorEastAsia" w:hAnsiTheme="minorEastAsia" w:eastAsiaTheme="minorEastAsia"/>
                <w:color w:val="000000" w:themeColor="text1"/>
                <w:sz w:val="24"/>
                <w:highlight w:val="none"/>
                <w14:textFill>
                  <w14:solidFill>
                    <w14:schemeClr w14:val="tx1"/>
                  </w14:solidFill>
                </w14:textFill>
              </w:rPr>
              <w:t>所附购车发票或租车合同原件扫描件为准。）</w:t>
            </w:r>
          </w:p>
          <w:p w14:paraId="34553444">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2、供应商具有具备满足速冻及冷饮类储运条件的车载冰箱5台以上（含5台）的，得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分；供应商具有具备满足速冻及冷饮类储运条件的车载冰箱3台以上（含3台）的，得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分；供应商具有具备满足速冻及冷饮类储运条件的车载冰箱3台以下</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.得1分；</w:t>
            </w:r>
            <w:r>
              <w:rPr>
                <w:rFonts w:hint="eastAsia" w:asciiTheme="minorEastAsia" w:hAnsiTheme="minorEastAsia" w:eastAsiaTheme="minorEastAsia"/>
                <w:color w:val="000000" w:themeColor="text1"/>
                <w:sz w:val="24"/>
                <w:highlight w:val="none"/>
                <w14:textFill>
                  <w14:solidFill>
                    <w14:schemeClr w14:val="tx1"/>
                  </w14:solidFill>
                </w14:textFill>
              </w:rPr>
              <w:t>没有的，得0分；（注：以电子</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响应性文件</w:t>
            </w:r>
            <w:r>
              <w:rPr>
                <w:rFonts w:hint="eastAsia" w:asciiTheme="minorEastAsia" w:hAnsiTheme="minorEastAsia" w:eastAsiaTheme="minorEastAsia"/>
                <w:color w:val="000000" w:themeColor="text1"/>
                <w:sz w:val="24"/>
                <w:highlight w:val="none"/>
                <w14:textFill>
                  <w14:solidFill>
                    <w14:schemeClr w14:val="tx1"/>
                  </w14:solidFill>
                </w14:textFill>
              </w:rPr>
              <w:t>所附储运设备发票原件扫描件为准。）</w:t>
            </w:r>
          </w:p>
        </w:tc>
      </w:tr>
      <w:tr w14:paraId="1C976D86">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32BDB34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3F17104B">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left w:val="single" w:color="auto" w:sz="4" w:space="0"/>
              <w:right w:val="single" w:color="auto" w:sz="4" w:space="0"/>
            </w:tcBorders>
            <w:vAlign w:val="center"/>
          </w:tcPr>
          <w:p w14:paraId="64023C55">
            <w:pPr>
              <w:spacing w:before="83"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5587" w:type="dxa"/>
            <w:tcBorders>
              <w:top w:val="single" w:color="auto" w:sz="4" w:space="0"/>
              <w:left w:val="single" w:color="auto" w:sz="4" w:space="0"/>
              <w:bottom w:val="single" w:color="000000" w:sz="4" w:space="0"/>
              <w:right w:val="single" w:color="000000" w:sz="4" w:space="0"/>
            </w:tcBorders>
            <w:vAlign w:val="center"/>
          </w:tcPr>
          <w:p w14:paraId="50E94E50">
            <w:pPr>
              <w:snapToGrid w:val="0"/>
              <w:spacing w:line="360" w:lineRule="auto"/>
              <w:rPr>
                <w:rFonts w:ascii="宋体" w:hAnsi="宋体" w:cs="宋体"/>
                <w:sz w:val="24"/>
              </w:rPr>
            </w:pPr>
            <w:r>
              <w:rPr>
                <w:rFonts w:hint="eastAsia" w:ascii="宋体" w:hAnsi="宋体" w:cs="宋体"/>
                <w:sz w:val="24"/>
              </w:rPr>
              <w:t>投标人拥有电子信息管理系统（如实验室信息化管理系统、报告真伪查询系统、实验室报告溯源系统等有利于服务进行的自动化软件系统），视响应程度计0-</w:t>
            </w:r>
            <w:r>
              <w:rPr>
                <w:rFonts w:hint="eastAsia" w:ascii="宋体" w:hAnsi="宋体" w:cs="宋体"/>
                <w:sz w:val="24"/>
                <w:lang w:val="en-US" w:eastAsia="zh-CN"/>
              </w:rPr>
              <w:t>4</w:t>
            </w:r>
            <w:r>
              <w:rPr>
                <w:rFonts w:hint="eastAsia" w:ascii="宋体" w:hAnsi="宋体" w:cs="宋体"/>
                <w:sz w:val="24"/>
              </w:rPr>
              <w:t>分</w:t>
            </w:r>
          </w:p>
          <w:p w14:paraId="62A19DDA">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bCs/>
                <w:sz w:val="24"/>
              </w:rPr>
              <w:t>注：提供系统使用截图或软件购买或使用协议或软件著作权相关证明材料扫描件</w:t>
            </w:r>
          </w:p>
        </w:tc>
      </w:tr>
      <w:tr w14:paraId="0C561F87">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4664FC6F">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4F9FE823">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000000" w:sz="4" w:space="0"/>
              <w:right w:val="single" w:color="auto" w:sz="4" w:space="0"/>
            </w:tcBorders>
            <w:vAlign w:val="center"/>
          </w:tcPr>
          <w:p w14:paraId="3D638343">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人员情况</w:t>
            </w:r>
          </w:p>
          <w:p w14:paraId="55CB97D1">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（10分）</w:t>
            </w:r>
          </w:p>
        </w:tc>
        <w:tc>
          <w:tcPr>
            <w:tcW w:w="5587" w:type="dxa"/>
            <w:tcBorders>
              <w:top w:val="single" w:color="000000" w:sz="4" w:space="0"/>
              <w:left w:val="single" w:color="auto" w:sz="4" w:space="0"/>
              <w:right w:val="single" w:color="000000" w:sz="4" w:space="0"/>
            </w:tcBorders>
            <w:vAlign w:val="center"/>
          </w:tcPr>
          <w:p w14:paraId="215F3E8A">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1、项目负责人具有质量检测、化工相关专业高级职称得3分；</w:t>
            </w:r>
          </w:p>
          <w:p w14:paraId="7BF03107">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2、质量负责人具有质量管理相关专业高级职称的得3分</w:t>
            </w:r>
          </w:p>
          <w:p w14:paraId="547E66A4">
            <w:pPr>
              <w:spacing w:line="360" w:lineRule="auto"/>
              <w:jc w:val="left"/>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3、项目团队中检测人员具有中级职称的人员，每人1分，最高得4分。</w:t>
            </w:r>
          </w:p>
          <w:p w14:paraId="03EAF503">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宋体" w:hAnsi="宋体" w:cs="宋体"/>
                <w:b/>
                <w:sz w:val="24"/>
              </w:rPr>
              <w:t>须提供人员身份证扫描</w:t>
            </w:r>
            <w:r>
              <w:rPr>
                <w:rFonts w:hint="eastAsia" w:ascii="宋体" w:hAnsi="宋体" w:cs="宋体"/>
                <w:b/>
                <w:color w:val="000000" w:themeColor="text1"/>
                <w:sz w:val="24"/>
                <w14:textFill>
                  <w14:solidFill>
                    <w14:schemeClr w14:val="tx1"/>
                  </w14:solidFill>
                </w14:textFill>
              </w:rPr>
              <w:t>件、职称证证明材料扫描件及202</w:t>
            </w:r>
            <w:r>
              <w:rPr>
                <w:rFonts w:hint="eastAsia" w:ascii="宋体" w:hAnsi="宋体" w:cs="宋体"/>
                <w:b/>
                <w:color w:val="000000" w:themeColor="text1"/>
                <w:sz w:val="24"/>
                <w:lang w:val="en-US" w:eastAsia="zh-CN"/>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年度内（任意1个月的）在本单位缴纳社保明细表证明</w:t>
            </w:r>
            <w:r>
              <w:rPr>
                <w:rFonts w:hint="eastAsia" w:ascii="宋体" w:hAnsi="宋体" w:cs="宋体"/>
                <w:b/>
                <w:sz w:val="24"/>
              </w:rPr>
              <w:t>（退休人员提供返聘证书）；高级职称者需提供高级职称证书扫描件，未提供或提供不全的，不能作为有效检验人员参与计分。</w:t>
            </w:r>
            <w:r>
              <w:rPr>
                <w:rFonts w:hint="eastAsia" w:asciiTheme="minorEastAsia" w:hAnsiTheme="minorEastAsia" w:eastAsiaTheme="minorEastAsia"/>
                <w:color w:val="000000" w:themeColor="text1"/>
                <w:sz w:val="24"/>
                <w:highlight w:val="none"/>
                <w14:textFill>
                  <w14:solidFill>
                    <w14:schemeClr w14:val="tx1"/>
                  </w14:solidFill>
                </w14:textFill>
              </w:rPr>
              <w:t>）</w:t>
            </w:r>
          </w:p>
        </w:tc>
      </w:tr>
      <w:tr w14:paraId="47F53EDD">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2C4DBD53">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139B55A7">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vMerge w:val="restart"/>
            <w:tcBorders>
              <w:top w:val="single" w:color="auto" w:sz="4" w:space="0"/>
              <w:left w:val="single" w:color="000000" w:sz="4" w:space="0"/>
              <w:right w:val="single" w:color="auto" w:sz="4" w:space="0"/>
            </w:tcBorders>
            <w:vAlign w:val="center"/>
          </w:tcPr>
          <w:p w14:paraId="76D8BAA4">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场地情况</w:t>
            </w:r>
          </w:p>
          <w:p w14:paraId="5DCCA62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（10分）</w:t>
            </w:r>
          </w:p>
        </w:tc>
        <w:tc>
          <w:tcPr>
            <w:tcW w:w="5587" w:type="dxa"/>
            <w:tcBorders>
              <w:top w:val="single" w:color="000000" w:sz="4" w:space="0"/>
              <w:left w:val="single" w:color="auto" w:sz="4" w:space="0"/>
              <w:bottom w:val="single" w:color="000000" w:sz="4" w:space="0"/>
              <w:right w:val="single" w:color="000000" w:sz="4" w:space="0"/>
            </w:tcBorders>
            <w:vAlign w:val="center"/>
          </w:tcPr>
          <w:p w14:paraId="3B5E6734">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bCs/>
                <w:sz w:val="24"/>
              </w:rPr>
              <w:t>供应商具有独立的、固定的办公场所以及检测场地，具有格局合理的微生物检验区和理化检验区；实验室面积大于10000（含10000）平方米，得</w:t>
            </w:r>
            <w:r>
              <w:rPr>
                <w:rFonts w:hint="eastAsia" w:ascii="宋体" w:hAnsi="宋体" w:cs="宋体"/>
                <w:bCs/>
                <w:sz w:val="24"/>
                <w:lang w:val="en-US" w:eastAsia="zh-CN"/>
              </w:rPr>
              <w:t>4</w:t>
            </w:r>
            <w:r>
              <w:rPr>
                <w:rFonts w:hint="eastAsia" w:ascii="宋体" w:hAnsi="宋体" w:cs="宋体"/>
                <w:bCs/>
                <w:sz w:val="24"/>
              </w:rPr>
              <w:t>分；8000-10000（含8000）平方米，得1分；少于8000平方米不得分。</w:t>
            </w:r>
            <w:r>
              <w:rPr>
                <w:rFonts w:hint="eastAsia" w:ascii="宋体" w:hAnsi="宋体" w:cs="宋体"/>
                <w:b/>
                <w:sz w:val="24"/>
              </w:rPr>
              <w:t>（响应文件中附房屋租赁合同或产权证明扫描件，否则不得分）</w:t>
            </w:r>
          </w:p>
        </w:tc>
      </w:tr>
      <w:tr w14:paraId="597391E9">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right w:val="single" w:color="auto" w:sz="4" w:space="0"/>
            </w:tcBorders>
            <w:vAlign w:val="center"/>
          </w:tcPr>
          <w:p w14:paraId="4975DD7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062271A1">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vMerge w:val="continue"/>
            <w:tcBorders>
              <w:left w:val="single" w:color="000000" w:sz="4" w:space="0"/>
              <w:right w:val="single" w:color="auto" w:sz="4" w:space="0"/>
            </w:tcBorders>
            <w:vAlign w:val="center"/>
          </w:tcPr>
          <w:p w14:paraId="26908D61">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5587" w:type="dxa"/>
            <w:tcBorders>
              <w:top w:val="single" w:color="000000" w:sz="4" w:space="0"/>
              <w:left w:val="single" w:color="auto" w:sz="4" w:space="0"/>
              <w:bottom w:val="single" w:color="auto" w:sz="4" w:space="0"/>
              <w:right w:val="single" w:color="000000" w:sz="4" w:space="0"/>
            </w:tcBorders>
            <w:vAlign w:val="center"/>
          </w:tcPr>
          <w:p w14:paraId="55912E24">
            <w:pPr>
              <w:spacing w:line="360" w:lineRule="auto"/>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bCs/>
                <w:sz w:val="24"/>
              </w:rPr>
              <w:t>投标单位应具有足够的样品存储能力：冷库体积在150m³以上得</w:t>
            </w:r>
            <w:r>
              <w:rPr>
                <w:rFonts w:hint="eastAsia" w:ascii="宋体" w:hAnsi="宋体" w:cs="宋体"/>
                <w:bCs/>
                <w:sz w:val="24"/>
                <w:lang w:val="en-US" w:eastAsia="zh-CN"/>
              </w:rPr>
              <w:t>3</w:t>
            </w:r>
            <w:r>
              <w:rPr>
                <w:rFonts w:hint="eastAsia" w:ascii="宋体" w:hAnsi="宋体" w:cs="宋体"/>
                <w:bCs/>
                <w:sz w:val="24"/>
              </w:rPr>
              <w:t>分，150m³(含）及以下不得分。以实验室结构分布图或照片为准，冷库体积核算以施工合同为准。</w:t>
            </w:r>
          </w:p>
        </w:tc>
      </w:tr>
      <w:tr w14:paraId="1498E740">
        <w:tblPrEx>
          <w:tblCellMar>
            <w:top w:w="0" w:type="dxa"/>
            <w:left w:w="0" w:type="dxa"/>
            <w:bottom w:w="0" w:type="dxa"/>
            <w:right w:w="0" w:type="dxa"/>
          </w:tblCellMar>
        </w:tblPrEx>
        <w:trPr>
          <w:trHeight w:val="20" w:hRule="atLeast"/>
          <w:jc w:val="center"/>
        </w:trPr>
        <w:tc>
          <w:tcPr>
            <w:tcW w:w="1027" w:type="dxa"/>
            <w:vMerge w:val="continue"/>
            <w:tcBorders>
              <w:left w:val="single" w:color="auto" w:sz="4" w:space="0"/>
              <w:bottom w:val="single" w:color="auto" w:sz="4" w:space="0"/>
              <w:right w:val="single" w:color="auto" w:sz="4" w:space="0"/>
            </w:tcBorders>
            <w:vAlign w:val="center"/>
          </w:tcPr>
          <w:p w14:paraId="79D9E52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74F8B790">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vMerge w:val="continue"/>
            <w:tcBorders>
              <w:left w:val="single" w:color="000000" w:sz="4" w:space="0"/>
              <w:bottom w:val="single" w:color="auto" w:sz="4" w:space="0"/>
              <w:right w:val="single" w:color="auto" w:sz="4" w:space="0"/>
            </w:tcBorders>
            <w:vAlign w:val="center"/>
          </w:tcPr>
          <w:p w14:paraId="382E47DD">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5587" w:type="dxa"/>
            <w:tcBorders>
              <w:top w:val="single" w:color="000000" w:sz="4" w:space="0"/>
              <w:left w:val="single" w:color="auto" w:sz="4" w:space="0"/>
              <w:bottom w:val="single" w:color="auto" w:sz="4" w:space="0"/>
              <w:right w:val="single" w:color="000000" w:sz="4" w:space="0"/>
            </w:tcBorders>
            <w:vAlign w:val="center"/>
          </w:tcPr>
          <w:p w14:paraId="2B0D6B41">
            <w:pPr>
              <w:spacing w:line="360" w:lineRule="auto"/>
              <w:jc w:val="left"/>
              <w:rPr>
                <w:rFonts w:hint="eastAsia" w:ascii="宋体" w:hAnsi="宋体" w:cs="宋体"/>
                <w:bCs/>
                <w:sz w:val="24"/>
              </w:rPr>
            </w:pPr>
            <w:r>
              <w:rPr>
                <w:rFonts w:hint="eastAsia" w:ascii="宋体" w:hAnsi="宋体" w:cs="宋体"/>
                <w:bCs/>
                <w:sz w:val="24"/>
              </w:rPr>
              <w:t>供应商能够保证3小时以内到达采购人指定地点进行应急抽样的，得</w:t>
            </w:r>
            <w:r>
              <w:rPr>
                <w:rFonts w:hint="eastAsia" w:ascii="宋体" w:hAnsi="宋体" w:cs="宋体"/>
                <w:bCs/>
                <w:sz w:val="24"/>
                <w:lang w:val="en-US" w:eastAsia="zh-CN"/>
              </w:rPr>
              <w:t>3</w:t>
            </w:r>
            <w:r>
              <w:rPr>
                <w:rFonts w:hint="eastAsia" w:ascii="宋体" w:hAnsi="宋体" w:cs="宋体"/>
                <w:bCs/>
                <w:sz w:val="24"/>
              </w:rPr>
              <w:t>分；4小时以内的得</w:t>
            </w:r>
            <w:r>
              <w:rPr>
                <w:rFonts w:hint="eastAsia" w:ascii="宋体" w:hAnsi="宋体" w:cs="宋体"/>
                <w:bCs/>
                <w:sz w:val="24"/>
                <w:lang w:val="en-US" w:eastAsia="zh-CN"/>
              </w:rPr>
              <w:t>2</w:t>
            </w:r>
            <w:r>
              <w:rPr>
                <w:rFonts w:hint="eastAsia" w:ascii="宋体" w:hAnsi="宋体" w:cs="宋体"/>
                <w:bCs/>
                <w:sz w:val="24"/>
              </w:rPr>
              <w:t>分，5小时及5小时以上不得分。</w:t>
            </w:r>
          </w:p>
        </w:tc>
      </w:tr>
      <w:tr w14:paraId="2C80F4B4">
        <w:tblPrEx>
          <w:tblCellMar>
            <w:top w:w="0" w:type="dxa"/>
            <w:left w:w="0" w:type="dxa"/>
            <w:bottom w:w="0" w:type="dxa"/>
            <w:right w:w="0" w:type="dxa"/>
          </w:tblCellMar>
        </w:tblPrEx>
        <w:trPr>
          <w:trHeight w:val="20" w:hRule="atLeast"/>
          <w:jc w:val="center"/>
        </w:trPr>
        <w:tc>
          <w:tcPr>
            <w:tcW w:w="1027" w:type="dxa"/>
            <w:tcBorders>
              <w:left w:val="single" w:color="auto" w:sz="4" w:space="0"/>
              <w:bottom w:val="single" w:color="auto" w:sz="4" w:space="0"/>
              <w:right w:val="single" w:color="auto" w:sz="4" w:space="0"/>
            </w:tcBorders>
            <w:vAlign w:val="center"/>
          </w:tcPr>
          <w:p w14:paraId="1EB1B01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359" w:type="dxa"/>
            <w:vMerge w:val="continue"/>
            <w:tcBorders>
              <w:left w:val="single" w:color="auto" w:sz="4" w:space="0"/>
              <w:right w:val="single" w:color="auto" w:sz="4" w:space="0"/>
            </w:tcBorders>
            <w:vAlign w:val="center"/>
          </w:tcPr>
          <w:p w14:paraId="2AD7DD4A">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left w:val="single" w:color="000000" w:sz="4" w:space="0"/>
              <w:bottom w:val="single" w:color="auto" w:sz="4" w:space="0"/>
              <w:right w:val="single" w:color="auto" w:sz="4" w:space="0"/>
            </w:tcBorders>
            <w:vAlign w:val="center"/>
          </w:tcPr>
          <w:p w14:paraId="6DBFDDE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项目整体 </w:t>
            </w:r>
          </w:p>
          <w:p w14:paraId="5A148255">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方案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及实施计划</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tc>
        <w:tc>
          <w:tcPr>
            <w:tcW w:w="5587" w:type="dxa"/>
            <w:tcBorders>
              <w:top w:val="single" w:color="000000" w:sz="4" w:space="0"/>
              <w:left w:val="single" w:color="auto" w:sz="4" w:space="0"/>
              <w:bottom w:val="single" w:color="auto" w:sz="4" w:space="0"/>
              <w:right w:val="single" w:color="000000" w:sz="4" w:space="0"/>
            </w:tcBorders>
            <w:vAlign w:val="center"/>
          </w:tcPr>
          <w:p w14:paraId="7E0B4DBF">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cs="宋体" w:asciiTheme="minorEastAsia" w:hAnsiTheme="minorEastAsia" w:eastAsiaTheme="minorEastAsia"/>
                <w:color w:val="000000" w:themeColor="text1"/>
                <w:sz w:val="24"/>
                <w:highlight w:val="none"/>
                <w14:textFill>
                  <w14:solidFill>
                    <w14:schemeClr w14:val="tx1"/>
                  </w14:solidFill>
                </w14:textFill>
              </w:rPr>
              <w:t xml:space="preserve">针对本项目提供的项目整体方案，包括但不限于项目背景及现状分析、实施方案等。 </w:t>
            </w:r>
          </w:p>
          <w:p w14:paraId="34D7AC60">
            <w:pPr>
              <w:numPr>
                <w:ilvl w:val="0"/>
                <w:numId w:val="0"/>
              </w:num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kern w:val="2"/>
                <w:sz w:val="24"/>
                <w:szCs w:val="24"/>
                <w:lang w:val="en-US" w:eastAsia="zh-CN" w:bidi="ar-SA"/>
                <w14:textFill>
                  <w14:solidFill>
                    <w14:schemeClr w14:val="tx1"/>
                  </w14:solidFill>
                </w14:textFill>
              </w:rPr>
              <w:t>1.</w:t>
            </w:r>
            <w:r>
              <w:rPr>
                <w:rFonts w:cs="宋体" w:asciiTheme="minorEastAsia" w:hAnsiTheme="minorEastAsia" w:eastAsiaTheme="minorEastAsia"/>
                <w:color w:val="000000" w:themeColor="text1"/>
                <w:sz w:val="24"/>
                <w:highlight w:val="none"/>
                <w14:textFill>
                  <w14:solidFill>
                    <w14:schemeClr w14:val="tx1"/>
                  </w14:solidFill>
                </w14:textFill>
              </w:rPr>
              <w:t>整体方案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及实施计划</w:t>
            </w:r>
            <w:r>
              <w:rPr>
                <w:rFonts w:cs="宋体" w:asciiTheme="minorEastAsia" w:hAnsiTheme="minorEastAsia" w:eastAsiaTheme="minorEastAsia"/>
                <w:color w:val="000000" w:themeColor="text1"/>
                <w:sz w:val="24"/>
                <w:highlight w:val="none"/>
                <w14:textFill>
                  <w14:solidFill>
                    <w14:schemeClr w14:val="tx1"/>
                  </w14:solidFill>
                </w14:textFill>
              </w:rPr>
              <w:t>完整、全面、具有针对性、科学有效，得</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15-</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20</w:t>
            </w:r>
            <w:r>
              <w:rPr>
                <w:rFonts w:cs="宋体" w:asciiTheme="minorEastAsia" w:hAnsiTheme="minorEastAsia" w:eastAsiaTheme="minorEastAsia"/>
                <w:color w:val="000000" w:themeColor="text1"/>
                <w:sz w:val="24"/>
                <w:highlight w:val="none"/>
                <w14:textFill>
                  <w14:solidFill>
                    <w14:schemeClr w14:val="tx1"/>
                  </w14:solidFill>
                </w14:textFill>
              </w:rPr>
              <w:t xml:space="preserve">分； </w:t>
            </w:r>
          </w:p>
          <w:p w14:paraId="2BFD0E02">
            <w:pPr>
              <w:numPr>
                <w:ilvl w:val="0"/>
                <w:numId w:val="0"/>
              </w:num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2.</w:t>
            </w:r>
            <w:r>
              <w:rPr>
                <w:rFonts w:cs="宋体" w:asciiTheme="minorEastAsia" w:hAnsiTheme="minorEastAsia" w:eastAsiaTheme="minorEastAsia"/>
                <w:color w:val="000000" w:themeColor="text1"/>
                <w:sz w:val="24"/>
                <w:highlight w:val="none"/>
                <w14:textFill>
                  <w14:solidFill>
                    <w14:schemeClr w14:val="tx1"/>
                  </w14:solidFill>
                </w14:textFill>
              </w:rPr>
              <w:t>整体方案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及实施计划</w:t>
            </w:r>
            <w:r>
              <w:rPr>
                <w:rFonts w:cs="宋体" w:asciiTheme="minorEastAsia" w:hAnsiTheme="minorEastAsia" w:eastAsiaTheme="minorEastAsia"/>
                <w:color w:val="000000" w:themeColor="text1"/>
                <w:sz w:val="24"/>
                <w:highlight w:val="none"/>
                <w14:textFill>
                  <w14:solidFill>
                    <w14:schemeClr w14:val="tx1"/>
                  </w14:solidFill>
                </w14:textFill>
              </w:rPr>
              <w:t>大部分完备、大部分内容具有针对性，得</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5-10</w:t>
            </w:r>
            <w:r>
              <w:rPr>
                <w:rFonts w:cs="宋体" w:asciiTheme="minorEastAsia" w:hAnsiTheme="minorEastAsia" w:eastAsiaTheme="minorEastAsia"/>
                <w:color w:val="000000" w:themeColor="text1"/>
                <w:sz w:val="24"/>
                <w:highlight w:val="none"/>
                <w14:textFill>
                  <w14:solidFill>
                    <w14:schemeClr w14:val="tx1"/>
                  </w14:solidFill>
                </w14:textFill>
              </w:rPr>
              <w:t xml:space="preserve">分； </w:t>
            </w:r>
          </w:p>
          <w:p w14:paraId="57A92C8B">
            <w:pPr>
              <w:numPr>
                <w:ilvl w:val="0"/>
                <w:numId w:val="0"/>
              </w:num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w:t>
            </w:r>
            <w:r>
              <w:rPr>
                <w:rFonts w:cs="宋体" w:asciiTheme="minorEastAsia" w:hAnsiTheme="minorEastAsia" w:eastAsiaTheme="minorEastAsia"/>
                <w:color w:val="000000" w:themeColor="text1"/>
                <w:sz w:val="24"/>
                <w:highlight w:val="none"/>
                <w14:textFill>
                  <w14:solidFill>
                    <w14:schemeClr w14:val="tx1"/>
                  </w14:solidFill>
                </w14:textFill>
              </w:rPr>
              <w:t>整体方案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及实施计划</w:t>
            </w:r>
            <w:r>
              <w:rPr>
                <w:rFonts w:cs="宋体" w:asciiTheme="minorEastAsia" w:hAnsiTheme="minorEastAsia" w:eastAsiaTheme="minorEastAsia"/>
                <w:color w:val="000000" w:themeColor="text1"/>
                <w:sz w:val="24"/>
                <w:highlight w:val="none"/>
                <w14:textFill>
                  <w14:solidFill>
                    <w14:schemeClr w14:val="tx1"/>
                  </w14:solidFill>
                </w14:textFill>
              </w:rPr>
              <w:t xml:space="preserve">小部分完备、小部分内容具有针对性，得 </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0-</w:t>
            </w:r>
            <w:r>
              <w:rPr>
                <w:rFonts w:cs="宋体" w:asciiTheme="minorEastAsia" w:hAnsiTheme="minorEastAsia" w:eastAsiaTheme="minorEastAsia"/>
                <w:color w:val="000000" w:themeColor="text1"/>
                <w:sz w:val="24"/>
                <w:highlight w:val="none"/>
                <w14:textFill>
                  <w14:solidFill>
                    <w14:schemeClr w14:val="tx1"/>
                  </w14:solidFill>
                </w14:textFill>
              </w:rPr>
              <w:t xml:space="preserve">5 分； </w:t>
            </w:r>
          </w:p>
          <w:p w14:paraId="7150D09B">
            <w:pPr>
              <w:spacing w:line="360" w:lineRule="auto"/>
              <w:ind w:firstLine="480" w:firstLineChars="200"/>
              <w:jc w:val="left"/>
              <w:rPr>
                <w:rFonts w:hint="eastAsia" w:ascii="宋体" w:hAnsi="宋体" w:cs="宋体"/>
                <w:bCs/>
                <w:sz w:val="24"/>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4</w:t>
            </w:r>
            <w:r>
              <w:rPr>
                <w:rFonts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w:t>
            </w:r>
            <w:r>
              <w:rPr>
                <w:rFonts w:cs="宋体" w:asciiTheme="minorEastAsia" w:hAnsiTheme="minorEastAsia" w:eastAsiaTheme="minorEastAsia"/>
                <w:color w:val="000000" w:themeColor="text1"/>
                <w:sz w:val="24"/>
                <w:highlight w:val="none"/>
                <w14:textFill>
                  <w14:solidFill>
                    <w14:schemeClr w14:val="tx1"/>
                  </w14:solidFill>
                </w14:textFill>
              </w:rPr>
              <w:t>整体方案缺失严重、无针对性或未提供得 0 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r>
      <w:tr w14:paraId="3CA68BAC">
        <w:tblPrEx>
          <w:tblCellMar>
            <w:top w:w="0" w:type="dxa"/>
            <w:left w:w="0" w:type="dxa"/>
            <w:bottom w:w="0" w:type="dxa"/>
            <w:right w:w="0" w:type="dxa"/>
          </w:tblCellMar>
        </w:tblPrEx>
        <w:trPr>
          <w:trHeight w:val="20"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14:paraId="546A52D1">
            <w:pPr>
              <w:spacing w:line="360" w:lineRule="auto"/>
              <w:ind w:left="57" w:leftChars="27" w:right="84" w:rightChars="4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3.4</w:t>
            </w:r>
          </w:p>
        </w:tc>
        <w:tc>
          <w:tcPr>
            <w:tcW w:w="1359" w:type="dxa"/>
            <w:vMerge w:val="restart"/>
            <w:tcBorders>
              <w:top w:val="single" w:color="auto" w:sz="4" w:space="0"/>
              <w:left w:val="single" w:color="auto" w:sz="4" w:space="0"/>
              <w:bottom w:val="single" w:color="auto" w:sz="4" w:space="0"/>
              <w:right w:val="single" w:color="auto" w:sz="4" w:space="0"/>
            </w:tcBorders>
            <w:vAlign w:val="center"/>
          </w:tcPr>
          <w:p w14:paraId="445D7C46">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商务部分</w:t>
            </w:r>
          </w:p>
          <w:p w14:paraId="5BB6BD50">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tc>
        <w:tc>
          <w:tcPr>
            <w:tcW w:w="1559" w:type="dxa"/>
            <w:tcBorders>
              <w:top w:val="single" w:color="auto" w:sz="4" w:space="0"/>
              <w:left w:val="single" w:color="auto" w:sz="4" w:space="0"/>
              <w:bottom w:val="single" w:color="auto" w:sz="4" w:space="0"/>
              <w:right w:val="single" w:color="auto" w:sz="4" w:space="0"/>
            </w:tcBorders>
            <w:vAlign w:val="center"/>
          </w:tcPr>
          <w:p w14:paraId="01D11D11">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业绩</w:t>
            </w:r>
          </w:p>
          <w:p w14:paraId="7ADE6F8F">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p w14:paraId="247A1853">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5587" w:type="dxa"/>
            <w:tcBorders>
              <w:top w:val="single" w:color="auto" w:sz="4" w:space="0"/>
              <w:left w:val="single" w:color="auto" w:sz="4" w:space="0"/>
              <w:bottom w:val="single" w:color="auto" w:sz="4" w:space="0"/>
              <w:right w:val="single" w:color="auto" w:sz="4" w:space="0"/>
            </w:tcBorders>
            <w:vAlign w:val="center"/>
          </w:tcPr>
          <w:p w14:paraId="6E280C97">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供应商自202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年01月01日以来承担过政府部门组织的食品</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产品</w:t>
            </w:r>
            <w:r>
              <w:rPr>
                <w:rFonts w:hint="eastAsia" w:asciiTheme="minorEastAsia" w:hAnsiTheme="minorEastAsia" w:eastAsiaTheme="minorEastAsia"/>
                <w:color w:val="000000" w:themeColor="text1"/>
                <w:sz w:val="24"/>
                <w:highlight w:val="none"/>
                <w14:textFill>
                  <w14:solidFill>
                    <w14:schemeClr w14:val="tx1"/>
                  </w14:solidFill>
                </w14:textFill>
              </w:rPr>
              <w:t>监督抽检或风险监测工作的，每份业绩得2分，最高得</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分（注：电子响应文件所附服务合同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或</w:t>
            </w:r>
            <w:r>
              <w:rPr>
                <w:rFonts w:hint="eastAsia" w:asciiTheme="minorEastAsia" w:hAnsiTheme="minorEastAsia" w:eastAsiaTheme="minorEastAsia"/>
                <w:color w:val="000000" w:themeColor="text1"/>
                <w:sz w:val="24"/>
                <w:highlight w:val="none"/>
                <w14:textFill>
                  <w14:solidFill>
                    <w14:schemeClr w14:val="tx1"/>
                  </w14:solidFill>
                </w14:textFill>
              </w:rPr>
              <w:t>中标通知书原件扫描件为准）</w:t>
            </w:r>
          </w:p>
        </w:tc>
      </w:tr>
      <w:tr w14:paraId="0034F2C1">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20F6F223">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2207E578">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000000" w:sz="4" w:space="0"/>
              <w:right w:val="single" w:color="auto" w:sz="4" w:space="0"/>
            </w:tcBorders>
            <w:vAlign w:val="center"/>
          </w:tcPr>
          <w:p w14:paraId="7494552C">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应急处理 </w:t>
            </w:r>
          </w:p>
          <w:p w14:paraId="71F0E4E9">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方案</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highlight w:val="none"/>
                <w14:textFill>
                  <w14:solidFill>
                    <w14:schemeClr w14:val="tx1"/>
                  </w14:solidFill>
                </w14:textFill>
              </w:rPr>
              <w:t>分）</w:t>
            </w:r>
          </w:p>
        </w:tc>
        <w:tc>
          <w:tcPr>
            <w:tcW w:w="5587" w:type="dxa"/>
            <w:tcBorders>
              <w:top w:val="single" w:color="000000" w:sz="4" w:space="0"/>
              <w:left w:val="single" w:color="auto" w:sz="4" w:space="0"/>
              <w:bottom w:val="single" w:color="auto" w:sz="4" w:space="0"/>
              <w:right w:val="single" w:color="000000" w:sz="4" w:space="0"/>
            </w:tcBorders>
            <w:vAlign w:val="center"/>
          </w:tcPr>
          <w:p w14:paraId="7D81D6F6">
            <w:p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根据项目特征以及以往工作的经验，制定各类应急处理方案。 </w:t>
            </w:r>
          </w:p>
          <w:p w14:paraId="57D815BB">
            <w:pPr>
              <w:numPr>
                <w:ilvl w:val="0"/>
                <w:numId w:val="2"/>
              </w:num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应急处理方案具有针对性，处理步骤及内容科学完善，得 </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7-10</w:t>
            </w:r>
            <w:r>
              <w:rPr>
                <w:rFonts w:cs="宋体" w:asciiTheme="minorEastAsia" w:hAnsiTheme="minorEastAsia" w:eastAsiaTheme="minorEastAsia"/>
                <w:color w:val="000000" w:themeColor="text1"/>
                <w:sz w:val="24"/>
                <w:highlight w:val="none"/>
                <w14:textFill>
                  <w14:solidFill>
                    <w14:schemeClr w14:val="tx1"/>
                  </w14:solidFill>
                </w14:textFill>
              </w:rPr>
              <w:t xml:space="preserve"> 分；</w:t>
            </w:r>
          </w:p>
          <w:p w14:paraId="3E4FD57B">
            <w:pPr>
              <w:numPr>
                <w:ilvl w:val="0"/>
                <w:numId w:val="2"/>
              </w:num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应急处理方案大部分内容有针对性，处理步骤及内容大部分内容可行，得 </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4-7</w:t>
            </w:r>
            <w:r>
              <w:rPr>
                <w:rFonts w:cs="宋体" w:asciiTheme="minorEastAsia" w:hAnsiTheme="minorEastAsia" w:eastAsiaTheme="minorEastAsia"/>
                <w:color w:val="000000" w:themeColor="text1"/>
                <w:sz w:val="24"/>
                <w:highlight w:val="none"/>
                <w14:textFill>
                  <w14:solidFill>
                    <w14:schemeClr w14:val="tx1"/>
                  </w14:solidFill>
                </w14:textFill>
              </w:rPr>
              <w:t xml:space="preserve">分； </w:t>
            </w:r>
          </w:p>
          <w:p w14:paraId="70343A20">
            <w:pPr>
              <w:numPr>
                <w:ilvl w:val="0"/>
                <w:numId w:val="2"/>
              </w:numPr>
              <w:spacing w:line="360" w:lineRule="auto"/>
              <w:ind w:firstLine="480" w:firstLineChars="200"/>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 xml:space="preserve">应急处理方案小部分内容有针对性，处理步骤及内容小部分内容可行，得 </w:t>
            </w:r>
            <w:r>
              <w:rPr>
                <w:rFonts w:hint="eastAsia" w:cs="宋体" w:asciiTheme="minorEastAsia" w:hAnsiTheme="minorEastAsia" w:eastAsiaTheme="minorEastAsia"/>
                <w:color w:val="000000" w:themeColor="text1"/>
                <w:sz w:val="24"/>
                <w:highlight w:val="none"/>
                <w14:textFill>
                  <w14:solidFill>
                    <w14:schemeClr w14:val="tx1"/>
                  </w14:solidFill>
                </w14:textFill>
              </w:rPr>
              <w:t>1</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-3</w:t>
            </w:r>
            <w:r>
              <w:rPr>
                <w:rFonts w:cs="宋体" w:asciiTheme="minorEastAsia" w:hAnsiTheme="minorEastAsia" w:eastAsiaTheme="minorEastAsia"/>
                <w:color w:val="000000" w:themeColor="text1"/>
                <w:sz w:val="24"/>
                <w:highlight w:val="none"/>
                <w14:textFill>
                  <w14:solidFill>
                    <w14:schemeClr w14:val="tx1"/>
                  </w14:solidFill>
                </w14:textFill>
              </w:rPr>
              <w:t xml:space="preserve"> 分； </w:t>
            </w:r>
          </w:p>
          <w:p w14:paraId="07C401D1">
            <w:pPr>
              <w:numPr>
                <w:ilvl w:val="0"/>
                <w:numId w:val="2"/>
              </w:num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sz w:val="24"/>
                <w:highlight w:val="none"/>
                <w14:textFill>
                  <w14:solidFill>
                    <w14:schemeClr w14:val="tx1"/>
                  </w14:solidFill>
                </w14:textFill>
              </w:rPr>
              <w:t>应急处理方案无针对性，处理步骤及内容不可行，得 0 分。</w:t>
            </w:r>
          </w:p>
        </w:tc>
      </w:tr>
      <w:tr w14:paraId="5017A52D">
        <w:tblPrEx>
          <w:tblCellMar>
            <w:top w:w="0" w:type="dxa"/>
            <w:left w:w="0" w:type="dxa"/>
            <w:bottom w:w="0" w:type="dxa"/>
            <w:right w:w="0" w:type="dxa"/>
          </w:tblCellMar>
        </w:tblPrEx>
        <w:trPr>
          <w:trHeight w:val="20"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06528288">
            <w:pPr>
              <w:autoSpaceDE w:val="0"/>
              <w:autoSpaceDN w:val="0"/>
              <w:adjustRightInd w:val="0"/>
              <w:spacing w:before="50" w:line="360" w:lineRule="auto"/>
              <w:ind w:right="97" w:firstLine="67" w:firstLineChars="28"/>
              <w:jc w:val="center"/>
              <w:rPr>
                <w:rFonts w:asciiTheme="minorEastAsia" w:hAnsiTheme="minorEastAsia" w:eastAsiaTheme="minorEastAsia"/>
                <w:color w:val="000000" w:themeColor="text1"/>
                <w:spacing w:val="1"/>
                <w:kern w:val="0"/>
                <w:sz w:val="24"/>
                <w:highlight w:val="none"/>
                <w14:textFill>
                  <w14:solidFill>
                    <w14:schemeClr w14:val="tx1"/>
                  </w14:solidFill>
                </w14:textFill>
              </w:rPr>
            </w:pPr>
          </w:p>
        </w:tc>
        <w:tc>
          <w:tcPr>
            <w:tcW w:w="1359" w:type="dxa"/>
            <w:vMerge w:val="continue"/>
            <w:tcBorders>
              <w:top w:val="single" w:color="auto" w:sz="4" w:space="0"/>
              <w:left w:val="single" w:color="auto" w:sz="4" w:space="0"/>
              <w:bottom w:val="single" w:color="auto" w:sz="4" w:space="0"/>
              <w:right w:val="single" w:color="auto" w:sz="4" w:space="0"/>
            </w:tcBorders>
            <w:vAlign w:val="center"/>
          </w:tcPr>
          <w:p w14:paraId="48014E6E">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559" w:type="dxa"/>
            <w:tcBorders>
              <w:top w:val="single" w:color="000000" w:sz="4" w:space="0"/>
              <w:left w:val="single" w:color="000000" w:sz="4" w:space="0"/>
              <w:right w:val="single" w:color="auto" w:sz="4" w:space="0"/>
            </w:tcBorders>
            <w:vAlign w:val="center"/>
          </w:tcPr>
          <w:p w14:paraId="1134F07D">
            <w:pPr>
              <w:spacing w:line="360" w:lineRule="auto"/>
              <w:ind w:left="57" w:leftChars="27" w:right="84" w:rightChars="40"/>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bCs/>
                <w:sz w:val="24"/>
              </w:rPr>
              <w:t>认证证书（</w:t>
            </w:r>
            <w:r>
              <w:rPr>
                <w:rFonts w:hint="eastAsia" w:ascii="宋体" w:hAnsi="宋体" w:cs="宋体"/>
                <w:bCs/>
                <w:sz w:val="24"/>
                <w:lang w:val="en-US" w:eastAsia="zh-CN"/>
              </w:rPr>
              <w:t>10</w:t>
            </w:r>
            <w:r>
              <w:rPr>
                <w:rFonts w:hint="eastAsia" w:ascii="宋体" w:hAnsi="宋体" w:cs="宋体"/>
                <w:bCs/>
                <w:sz w:val="24"/>
              </w:rPr>
              <w:t>分）</w:t>
            </w:r>
          </w:p>
        </w:tc>
        <w:tc>
          <w:tcPr>
            <w:tcW w:w="5587" w:type="dxa"/>
            <w:tcBorders>
              <w:top w:val="single" w:color="000000" w:sz="4" w:space="0"/>
              <w:left w:val="single" w:color="auto" w:sz="4" w:space="0"/>
              <w:bottom w:val="single" w:color="auto" w:sz="4" w:space="0"/>
              <w:right w:val="single" w:color="000000" w:sz="4" w:space="0"/>
            </w:tcBorders>
            <w:vAlign w:val="center"/>
          </w:tcPr>
          <w:p w14:paraId="42E70F37">
            <w:pPr>
              <w:pStyle w:val="5"/>
              <w:tabs>
                <w:tab w:val="left" w:pos="1260"/>
              </w:tabs>
              <w:spacing w:line="360" w:lineRule="auto"/>
              <w:ind w:firstLine="0" w:firstLineChars="0"/>
              <w:rPr>
                <w:rFonts w:ascii="宋体" w:hAnsi="宋体" w:cs="宋体"/>
                <w:bCs/>
                <w:sz w:val="24"/>
              </w:rPr>
            </w:pPr>
            <w:r>
              <w:rPr>
                <w:rFonts w:hint="eastAsia" w:ascii="宋体" w:hAnsi="宋体" w:cs="宋体"/>
                <w:bCs/>
                <w:sz w:val="24"/>
              </w:rPr>
              <w:t>1.取得质量管理体系认证（ISO9001或GB/T19001）、职业健康安全管理体系认证（GB/T28001或OHSAS18001或ISO45001）、环境管理体系认证（ISO14001或GB/T24001），同时取得3项体系认证得3分，不齐全或未取得不得分；</w:t>
            </w:r>
          </w:p>
          <w:p w14:paraId="7727611D">
            <w:pPr>
              <w:pStyle w:val="5"/>
              <w:tabs>
                <w:tab w:val="left" w:pos="1260"/>
              </w:tabs>
              <w:spacing w:line="360" w:lineRule="auto"/>
              <w:ind w:firstLine="0" w:firstLineChars="0"/>
              <w:rPr>
                <w:rFonts w:ascii="宋体" w:hAnsi="宋体" w:cs="宋体"/>
                <w:bCs/>
                <w:sz w:val="24"/>
              </w:rPr>
            </w:pPr>
            <w:r>
              <w:rPr>
                <w:rFonts w:hint="eastAsia" w:ascii="宋体" w:hAnsi="宋体" w:cs="宋体"/>
                <w:bCs/>
                <w:sz w:val="24"/>
              </w:rPr>
              <w:t>2.取得省级及以上高新技术企业认证证书加</w:t>
            </w:r>
            <w:r>
              <w:rPr>
                <w:rFonts w:hint="eastAsia" w:ascii="宋体" w:hAnsi="宋体" w:cs="宋体"/>
                <w:bCs/>
                <w:sz w:val="24"/>
                <w:lang w:val="en-US" w:eastAsia="zh-CN"/>
              </w:rPr>
              <w:t>3</w:t>
            </w:r>
            <w:r>
              <w:rPr>
                <w:rFonts w:hint="eastAsia" w:ascii="宋体" w:hAnsi="宋体" w:cs="宋体"/>
                <w:bCs/>
                <w:sz w:val="24"/>
              </w:rPr>
              <w:t>分；</w:t>
            </w:r>
          </w:p>
          <w:p w14:paraId="557A7358">
            <w:pPr>
              <w:pStyle w:val="5"/>
              <w:tabs>
                <w:tab w:val="left" w:pos="1260"/>
              </w:tabs>
              <w:spacing w:line="360" w:lineRule="auto"/>
              <w:ind w:firstLine="0" w:firstLineChars="0"/>
              <w:rPr>
                <w:rFonts w:ascii="宋体" w:hAnsi="宋体" w:cs="宋体"/>
                <w:bCs/>
                <w:sz w:val="24"/>
              </w:rPr>
            </w:pPr>
            <w:r>
              <w:rPr>
                <w:rFonts w:hint="eastAsia" w:ascii="宋体" w:hAnsi="宋体" w:cs="宋体"/>
                <w:bCs/>
                <w:sz w:val="24"/>
              </w:rPr>
              <w:t>3.投标人实验室为省级工业产品质量控制和技术评价实验室得2分；</w:t>
            </w:r>
          </w:p>
          <w:p w14:paraId="2481E793">
            <w:pPr>
              <w:pStyle w:val="5"/>
              <w:tabs>
                <w:tab w:val="left" w:pos="1260"/>
              </w:tabs>
              <w:spacing w:line="360" w:lineRule="auto"/>
              <w:ind w:firstLine="0" w:firstLineChars="0"/>
              <w:rPr>
                <w:rFonts w:ascii="宋体" w:hAnsi="宋体" w:cs="宋体"/>
                <w:bCs/>
                <w:sz w:val="24"/>
              </w:rPr>
            </w:pPr>
            <w:r>
              <w:rPr>
                <w:rFonts w:hint="eastAsia" w:ascii="宋体" w:hAnsi="宋体" w:cs="宋体"/>
                <w:bCs/>
                <w:sz w:val="24"/>
              </w:rPr>
              <w:t>4.投标人被授予国家食品质量安全检测技术示范中心的加2分；</w:t>
            </w:r>
          </w:p>
          <w:p w14:paraId="2D754FA2">
            <w:pPr>
              <w:numPr>
                <w:ilvl w:val="0"/>
                <w:numId w:val="0"/>
              </w:numPr>
              <w:spacing w:line="360" w:lineRule="auto"/>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bCs/>
                <w:sz w:val="24"/>
              </w:rPr>
              <w:t>（注：证书或证明文件扫描件或权威网站证明截图）</w:t>
            </w:r>
          </w:p>
        </w:tc>
      </w:tr>
      <w:tr w14:paraId="794C555C">
        <w:tblPrEx>
          <w:tblCellMar>
            <w:top w:w="0" w:type="dxa"/>
            <w:left w:w="0" w:type="dxa"/>
            <w:bottom w:w="0" w:type="dxa"/>
            <w:right w:w="0" w:type="dxa"/>
          </w:tblCellMar>
        </w:tblPrEx>
        <w:trPr>
          <w:trHeight w:val="20" w:hRule="atLeast"/>
          <w:jc w:val="center"/>
        </w:trPr>
        <w:tc>
          <w:tcPr>
            <w:tcW w:w="9532" w:type="dxa"/>
            <w:gridSpan w:val="4"/>
            <w:tcBorders>
              <w:top w:val="single" w:color="auto" w:sz="4" w:space="0"/>
              <w:left w:val="single" w:color="auto" w:sz="4" w:space="0"/>
              <w:bottom w:val="single" w:color="auto" w:sz="4" w:space="0"/>
              <w:right w:val="single" w:color="auto" w:sz="4" w:space="0"/>
            </w:tcBorders>
            <w:vAlign w:val="center"/>
          </w:tcPr>
          <w:p w14:paraId="7A6B2F02">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投标供应商综合得分=投标报价得分＋技术标得分＋商务标得分。</w:t>
            </w:r>
          </w:p>
          <w:p w14:paraId="7210282B">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磋商小组完成对投标报价、技术标和商务标的汇总后取平均值作为该供应商的最终得分。</w:t>
            </w:r>
          </w:p>
          <w:p w14:paraId="64BC46B8">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本办法计算过程中分值按四舍五入保留两位小数，结果按四舍五入保留两位小数。供应商的报价应包含投标供应商所承诺的应达到的本项目质量标准及其他承诺应达到的标准所包含的所有费用。</w:t>
            </w:r>
          </w:p>
          <w:p w14:paraId="66A620B6">
            <w:pPr>
              <w:spacing w:line="360" w:lineRule="auto"/>
              <w:ind w:left="139" w:leftChars="66" w:right="143" w:rightChars="68" w:firstLine="1"/>
              <w:jc w:val="left"/>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注：1、以上业绩、证书等文件证明材料应将原件扫描件制作在电子响应文件中，评标时以供应商上传的电子响应文件为准，否则由此造成应得分而未得分等情况的，由供应商承担责任。</w:t>
            </w:r>
          </w:p>
          <w:p w14:paraId="34AD4623">
            <w:pPr>
              <w:spacing w:line="360" w:lineRule="auto"/>
              <w:ind w:left="139" w:leftChars="66" w:right="143" w:rightChars="68" w:firstLine="1"/>
              <w:jc w:val="left"/>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2、评标开始后，不再接受任何补充材料。</w:t>
            </w:r>
          </w:p>
          <w:p w14:paraId="5523F16A">
            <w:pPr>
              <w:spacing w:line="360" w:lineRule="auto"/>
              <w:ind w:left="139" w:leftChars="66" w:right="143" w:rightChars="68" w:firstLine="1"/>
              <w:jc w:val="left"/>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3、供应商对</w:t>
            </w: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响应性文件</w:t>
            </w:r>
            <w:r>
              <w:rPr>
                <w:rFonts w:hint="eastAsia" w:cs="宋体" w:asciiTheme="minorEastAsia" w:hAnsiTheme="minorEastAsia" w:eastAsiaTheme="minorEastAsia"/>
                <w:b/>
                <w:color w:val="000000" w:themeColor="text1"/>
                <w:sz w:val="24"/>
                <w:highlight w:val="none"/>
                <w14:textFill>
                  <w14:solidFill>
                    <w14:schemeClr w14:val="tx1"/>
                  </w14:solidFill>
                </w14:textFill>
              </w:rPr>
              <w:t>信息的真实性、有效性、清晰可辩性负责。</w:t>
            </w:r>
          </w:p>
          <w:p w14:paraId="73E872B8">
            <w:pPr>
              <w:spacing w:line="360" w:lineRule="auto"/>
              <w:ind w:left="139" w:leftChars="66" w:right="143" w:rightChars="68" w:firstLine="1"/>
              <w:jc w:val="left"/>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4、评审标准中涉及的网页查询的查询时间、供应商自行出具的承诺函时间均不得早于本项目招标公告发布时间，否则，该项按无效处理。</w:t>
            </w:r>
          </w:p>
          <w:p w14:paraId="12FBD5C8">
            <w:pPr>
              <w:spacing w:line="360" w:lineRule="auto"/>
              <w:ind w:left="139" w:leftChars="66" w:right="143" w:rightChars="68" w:firstLine="1"/>
              <w:jc w:val="lef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5、以上项目若缺项的，该项为</w:t>
            </w:r>
            <w:r>
              <w:rPr>
                <w:rFonts w:cs="宋体" w:asciiTheme="minorEastAsia" w:hAnsiTheme="minorEastAsia" w:eastAsiaTheme="minorEastAsia"/>
                <w:b/>
                <w:color w:val="000000" w:themeColor="text1"/>
                <w:sz w:val="24"/>
                <w:highlight w:val="none"/>
                <w14:textFill>
                  <w14:solidFill>
                    <w14:schemeClr w14:val="tx1"/>
                  </w14:solidFill>
                </w14:textFill>
              </w:rPr>
              <w:t>0</w:t>
            </w:r>
            <w:r>
              <w:rPr>
                <w:rFonts w:hint="eastAsia" w:cs="宋体" w:asciiTheme="minorEastAsia" w:hAnsiTheme="minorEastAsia" w:eastAsiaTheme="minorEastAsia"/>
                <w:b/>
                <w:color w:val="000000" w:themeColor="text1"/>
                <w:sz w:val="24"/>
                <w:highlight w:val="none"/>
                <w14:textFill>
                  <w14:solidFill>
                    <w14:schemeClr w14:val="tx1"/>
                  </w14:solidFill>
                </w14:textFill>
              </w:rPr>
              <w:t>分。</w:t>
            </w:r>
          </w:p>
        </w:tc>
      </w:tr>
    </w:tbl>
    <w:p w14:paraId="6E69CEB2">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0657D7F4">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014E7BB7">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2C68E8CB">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1F72A519">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696CFA7A">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1A065696">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2400746C">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349D9B2B">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314DF37C">
      <w:pPr>
        <w:widowControl/>
        <w:spacing w:line="360" w:lineRule="auto"/>
        <w:ind w:firstLine="360" w:firstLineChars="150"/>
        <w:jc w:val="left"/>
        <w:rPr>
          <w:rFonts w:asciiTheme="minorEastAsia" w:hAnsiTheme="minorEastAsia" w:eastAsiaTheme="minorEastAsia"/>
          <w:color w:val="000000" w:themeColor="text1"/>
          <w:kern w:val="0"/>
          <w:sz w:val="24"/>
          <w:highlight w:val="none"/>
          <w14:textFill>
            <w14:solidFill>
              <w14:schemeClr w14:val="tx1"/>
            </w14:solidFill>
          </w14:textFill>
        </w:rPr>
      </w:pPr>
    </w:p>
    <w:p w14:paraId="79F11A6E">
      <w:pPr>
        <w:pStyle w:val="2"/>
        <w:spacing w:line="240" w:lineRule="auto"/>
        <w:jc w:val="center"/>
        <w:rPr>
          <w:rFonts w:asciiTheme="minorEastAsia" w:hAnsiTheme="minorEastAsia" w:eastAsiaTheme="minorEastAsia"/>
          <w:color w:val="000000" w:themeColor="text1"/>
          <w:sz w:val="36"/>
          <w:szCs w:val="36"/>
          <w:highlight w:val="none"/>
          <w14:textFill>
            <w14:solidFill>
              <w14:schemeClr w14:val="tx1"/>
            </w14:solidFill>
          </w14:textFill>
        </w:rPr>
      </w:pPr>
      <w:bookmarkStart w:id="212" w:name="_Toc171612796"/>
      <w:bookmarkStart w:id="213" w:name="_Toc101344074"/>
      <w:bookmarkStart w:id="214" w:name="_Toc171608858"/>
      <w:bookmarkStart w:id="215" w:name="_Toc43652640"/>
      <w:bookmarkStart w:id="216" w:name="_Toc24049"/>
      <w:bookmarkStart w:id="217" w:name="_Toc173510809"/>
      <w:r>
        <w:rPr>
          <w:rFonts w:hint="eastAsia" w:asciiTheme="minorEastAsia" w:hAnsiTheme="minorEastAsia" w:eastAsiaTheme="minorEastAsia"/>
          <w:color w:val="000000" w:themeColor="text1"/>
          <w:sz w:val="36"/>
          <w:szCs w:val="36"/>
          <w:highlight w:val="none"/>
          <w14:textFill>
            <w14:solidFill>
              <w14:schemeClr w14:val="tx1"/>
            </w14:solidFill>
          </w14:textFill>
        </w:rPr>
        <w:t>第五章</w:t>
      </w:r>
      <w:bookmarkStart w:id="218" w:name="_Toc26505"/>
      <w:r>
        <w:rPr>
          <w:rFonts w:hint="eastAsia" w:asciiTheme="minorEastAsia" w:hAnsiTheme="minorEastAsia" w:eastAsiaTheme="minorEastAsia"/>
          <w:color w:val="000000" w:themeColor="text1"/>
          <w:sz w:val="36"/>
          <w:szCs w:val="36"/>
          <w:highlight w:val="none"/>
          <w14:textFill>
            <w14:solidFill>
              <w14:schemeClr w14:val="tx1"/>
            </w14:solidFill>
          </w14:textFill>
        </w:rPr>
        <w:t xml:space="preserve"> 合同主要条款及格式</w:t>
      </w:r>
      <w:bookmarkEnd w:id="212"/>
      <w:bookmarkEnd w:id="213"/>
      <w:bookmarkEnd w:id="214"/>
      <w:bookmarkEnd w:id="215"/>
      <w:bookmarkEnd w:id="216"/>
      <w:bookmarkEnd w:id="217"/>
    </w:p>
    <w:bookmarkEnd w:id="70"/>
    <w:bookmarkEnd w:id="71"/>
    <w:bookmarkEnd w:id="72"/>
    <w:bookmarkEnd w:id="73"/>
    <w:bookmarkEnd w:id="74"/>
    <w:bookmarkEnd w:id="75"/>
    <w:bookmarkEnd w:id="76"/>
    <w:bookmarkEnd w:id="218"/>
    <w:p w14:paraId="76DFF955">
      <w:pPr>
        <w:shd w:val="clear" w:color="auto" w:fill="FFFFFF"/>
        <w:spacing w:line="360" w:lineRule="auto"/>
        <w:jc w:val="center"/>
        <w:rPr>
          <w:rFonts w:cs="宋体" w:asciiTheme="minorEastAsia" w:hAnsiTheme="minorEastAsia" w:eastAsiaTheme="minorEastAsia"/>
          <w:b/>
          <w:bCs/>
          <w:color w:val="000000" w:themeColor="text1"/>
          <w:kern w:val="0"/>
          <w:sz w:val="24"/>
          <w:highlight w:val="none"/>
          <w14:textFill>
            <w14:solidFill>
              <w14:schemeClr w14:val="tx1"/>
            </w14:solidFill>
          </w14:textFill>
        </w:rPr>
      </w:pPr>
      <w:bookmarkStart w:id="219" w:name="_Toc29122"/>
      <w:r>
        <w:rPr>
          <w:rFonts w:hint="eastAsia" w:cs="宋体" w:asciiTheme="minorEastAsia" w:hAnsiTheme="minorEastAsia" w:eastAsiaTheme="minorEastAsia"/>
          <w:b/>
          <w:bCs/>
          <w:color w:val="000000" w:themeColor="text1"/>
          <w:kern w:val="0"/>
          <w:sz w:val="24"/>
          <w:highlight w:val="none"/>
          <w14:textFill>
            <w14:solidFill>
              <w14:schemeClr w14:val="tx1"/>
            </w14:solidFill>
          </w14:textFill>
        </w:rPr>
        <w:t xml:space="preserve">（此内容格式仅供参考，以最终签订协议为准） </w:t>
      </w:r>
    </w:p>
    <w:p w14:paraId="778AE20B">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甲方：（采购人）</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（以下简称甲方）</w:t>
      </w:r>
    </w:p>
    <w:p w14:paraId="7EEB2AB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乙方：（中标</w:t>
      </w:r>
      <w:r>
        <w:rPr>
          <w:rFonts w:hint="eastAsia" w:asciiTheme="minorEastAsia" w:hAnsiTheme="minorEastAsia" w:eastAsiaTheme="minorEastAsia"/>
          <w:color w:val="000000" w:themeColor="text1"/>
          <w:sz w:val="24"/>
          <w:highlight w:val="none"/>
          <w14:textFill>
            <w14:solidFill>
              <w14:schemeClr w14:val="tx1"/>
            </w14:solidFill>
          </w14:textFill>
        </w:rPr>
        <w:t>供应商</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（以下简称乙方）</w:t>
      </w:r>
    </w:p>
    <w:p w14:paraId="73739122">
      <w:pPr>
        <w:widowControl/>
        <w:tabs>
          <w:tab w:val="left" w:pos="5655"/>
        </w:tabs>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经过竞争性磋商招标，甲方将乙方作为</w:t>
      </w: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项目名称         </w:t>
      </w:r>
      <w:r>
        <w:rPr>
          <w:rFonts w:asciiTheme="minorEastAsia" w:hAnsiTheme="minorEastAsia" w:eastAsiaTheme="minorEastAsia"/>
          <w:color w:val="000000" w:themeColor="text1"/>
          <w:sz w:val="24"/>
          <w:highlight w:val="none"/>
          <w14:textFill>
            <w14:solidFill>
              <w14:schemeClr w14:val="tx1"/>
            </w14:solidFill>
          </w14:textFill>
        </w:rPr>
        <w:t>定点委托检验机构。依照《中华人民共和国政府采购法》，遵循平等、自愿、公平和诚信的原则，甲方将</w:t>
      </w: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项目名称        </w:t>
      </w:r>
      <w:r>
        <w:rPr>
          <w:rFonts w:hint="eastAsia" w:asciiTheme="minorEastAsia" w:hAnsiTheme="minorEastAsia" w:eastAsiaTheme="minorEastAsia"/>
          <w:color w:val="000000" w:themeColor="text1"/>
          <w:sz w:val="24"/>
          <w:highlight w:val="none"/>
          <w14:textFill>
            <w14:solidFill>
              <w14:schemeClr w14:val="tx1"/>
            </w14:solidFill>
          </w14:textFill>
        </w:rPr>
        <w:t>相关工作</w:t>
      </w:r>
      <w:r>
        <w:rPr>
          <w:rFonts w:asciiTheme="minorEastAsia" w:hAnsiTheme="minorEastAsia" w:eastAsiaTheme="minorEastAsia"/>
          <w:color w:val="000000" w:themeColor="text1"/>
          <w:sz w:val="24"/>
          <w:highlight w:val="none"/>
          <w14:textFill>
            <w14:solidFill>
              <w14:schemeClr w14:val="tx1"/>
            </w14:solidFill>
          </w14:textFill>
        </w:rPr>
        <w:t>委托乙方实施。乙方接受甲方委托，按照食品质量安全检验有关规定，在甲方委托事宜范围内依法组织开展食品抽检业务工作。经甲乙双方协商一致，签订如下协议</w:t>
      </w:r>
    </w:p>
    <w:p w14:paraId="74593905">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一、基本情况</w:t>
      </w:r>
    </w:p>
    <w:p w14:paraId="2076EAD5">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 合同事项：</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p>
    <w:p w14:paraId="76BE40FA">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抽检种类：</w:t>
      </w: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p>
    <w:p w14:paraId="081D3398">
      <w:pPr>
        <w:widowControl/>
        <w:snapToGrid w:val="0"/>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 抽检经费及结算方式：</w:t>
      </w:r>
    </w:p>
    <w:p w14:paraId="520B3FF2">
      <w:pPr>
        <w:widowControl/>
        <w:snapToGrid w:val="0"/>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（一）成交价为：</w:t>
      </w:r>
      <w:r>
        <w:rPr>
          <w:rFonts w:hint="eastAsia" w:ascii="宋体" w:hAnsi="宋体" w:cs="宋体"/>
          <w:kern w:val="0"/>
          <w:sz w:val="24"/>
        </w:rPr>
        <w:t>人民币（大写）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元</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元</w:t>
      </w:r>
      <w:r>
        <w:rPr>
          <w:rFonts w:hint="eastAsia" w:ascii="宋体" w:hAnsi="宋体" w:cs="宋体"/>
          <w:kern w:val="0"/>
          <w:sz w:val="24"/>
        </w:rPr>
        <w:t>）</w:t>
      </w:r>
      <w:r>
        <w:rPr>
          <w:rFonts w:asciiTheme="minorEastAsia" w:hAnsiTheme="minorEastAsia" w:eastAsiaTheme="minorEastAsia"/>
          <w:color w:val="000000" w:themeColor="text1"/>
          <w:sz w:val="24"/>
          <w:highlight w:val="none"/>
          <w14:textFill>
            <w14:solidFill>
              <w14:schemeClr w14:val="tx1"/>
            </w14:solidFill>
          </w14:textFill>
        </w:rPr>
        <w:t>，抽样检验费根据所检项目及数量而定。</w:t>
      </w:r>
    </w:p>
    <w:p w14:paraId="351F654E">
      <w:pPr>
        <w:widowControl/>
        <w:snapToGrid w:val="0"/>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（二）结算方式：</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双方协商</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78E38B44">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 资金来源：财政资金。</w:t>
      </w:r>
    </w:p>
    <w:p w14:paraId="3EB79DB4">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u w:val="singl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 服务期限：自合同签订之日起一年。</w:t>
      </w:r>
    </w:p>
    <w:p w14:paraId="3B81EF00">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二、甲方委托乙方的具体事项</w:t>
      </w:r>
    </w:p>
    <w:p w14:paraId="16EB52BD">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 按照《中华人民共和国食品安全法》、《食品安全抽样检验管理办法》、《食品安全监督抽检和风险监测工作规范》等有关法律法规和技术规范，委托乙方承担</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p>
    <w:p w14:paraId="3A50C577">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乙方按照甲方委托的抽检品种、项目、批次和采样区域等技术要求，制订详细的抽检工作实施方案，并商请甲方同意。</w:t>
      </w:r>
    </w:p>
    <w:p w14:paraId="3AED5FD3">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 日常抽检检验周期为20个工作日。突发食品安全事件的食品抽检、其他涉及食品安全违法案件的食品抽检应在检验技术许可的情况下最短时间内出具检验报告书。</w:t>
      </w:r>
    </w:p>
    <w:p w14:paraId="09733B5F">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 乙方根据甲方认可的抽检计划采集样品。在组织抽样检验过程中，检验产品的种类、品种、项目、抽样地点不得随意调整；如因客观情况必须进行调整的，需征得甲方同意。</w:t>
      </w:r>
    </w:p>
    <w:p w14:paraId="325C343F">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 乙方应按照有关法律法规和技术规范要求开展抽样、检验、留样保存与处理，各种原始记录制作、归档与保存等各项工作。</w:t>
      </w:r>
    </w:p>
    <w:p w14:paraId="173B1A69">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6. 食品抽检发现的不合格食品信息，乙方应在第一时间报告甲方。</w:t>
      </w:r>
    </w:p>
    <w:p w14:paraId="17FEE86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7. </w:t>
      </w:r>
      <w:r>
        <w:rPr>
          <w:rFonts w:hint="eastAsia" w:asciiTheme="minorEastAsia" w:hAnsiTheme="minorEastAsia" w:eastAsiaTheme="minorEastAsia"/>
          <w:color w:val="000000" w:themeColor="text1"/>
          <w:sz w:val="24"/>
          <w:highlight w:val="none"/>
          <w14:textFill>
            <w14:solidFill>
              <w14:schemeClr w14:val="tx1"/>
            </w14:solidFill>
          </w14:textFill>
        </w:rPr>
        <w:t>甲方因食品安全突发事件需委托乙方开展相关抽检工作时，乙方必须在接到甲方通知抽样后六个小时内赶到抽样地点开展抽样工作</w:t>
      </w:r>
      <w:r>
        <w:rPr>
          <w:rFonts w:asciiTheme="minorEastAsia" w:hAnsiTheme="minorEastAsia" w:eastAsiaTheme="minorEastAsia"/>
          <w:color w:val="000000" w:themeColor="text1"/>
          <w:sz w:val="24"/>
          <w:highlight w:val="none"/>
          <w14:textFill>
            <w14:solidFill>
              <w14:schemeClr w14:val="tx1"/>
            </w14:solidFill>
          </w14:textFill>
        </w:rPr>
        <w:t>。</w:t>
      </w:r>
    </w:p>
    <w:p w14:paraId="5D2FD263">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w:t>
      </w:r>
      <w:r>
        <w:rPr>
          <w:rFonts w:asciiTheme="minorEastAsia" w:hAnsiTheme="minorEastAsia" w:eastAsiaTheme="minorEastAsia"/>
          <w:color w:val="000000" w:themeColor="text1"/>
          <w:sz w:val="24"/>
          <w:highlight w:val="none"/>
          <w14:textFill>
            <w14:solidFill>
              <w14:schemeClr w14:val="tx1"/>
            </w14:solidFill>
          </w14:textFill>
        </w:rPr>
        <w:t>. 每个抽检周期结束前报送食品检验结果，乙方对检验报告的可靠性和准确性负责。</w:t>
      </w:r>
    </w:p>
    <w:p w14:paraId="5D10A04B">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9</w:t>
      </w:r>
      <w:r>
        <w:rPr>
          <w:rFonts w:asciiTheme="minorEastAsia" w:hAnsiTheme="minorEastAsia" w:eastAsiaTheme="minorEastAsia"/>
          <w:color w:val="000000" w:themeColor="text1"/>
          <w:sz w:val="24"/>
          <w:highlight w:val="none"/>
          <w14:textFill>
            <w14:solidFill>
              <w14:schemeClr w14:val="tx1"/>
            </w14:solidFill>
          </w14:textFill>
        </w:rPr>
        <w:t>. 参加由甲方组织的与食品抽检工作的宣传、培训、检验结果分析等有关活动。</w:t>
      </w:r>
    </w:p>
    <w:p w14:paraId="23543984">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三、甲方的权利和义务</w:t>
      </w:r>
    </w:p>
    <w:p w14:paraId="55E838B9">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 指定一名抽检工作联系人，确保通讯畅通，代表甲方处理食品抽检工作中的有关事宜。</w:t>
      </w:r>
    </w:p>
    <w:p w14:paraId="285C63C7">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向乙方提供食品抽检计划和服务内容等书面材料和要求。检验产品的种类、品种、项目、抽样地点及样品处理由甲方提前3日通知乙方。涉及食品安全突发事件的食品抽检甲方可随时通知乙方开展抽检工作，乙方不得以任何理由推拖和拒绝。</w:t>
      </w:r>
    </w:p>
    <w:p w14:paraId="75691649">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 对乙方食品抽检计划完成情况予以审核确认，如期向乙方支付抽检费用。</w:t>
      </w:r>
    </w:p>
    <w:p w14:paraId="75763FE3">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 有权利就委托的事项提出合法、合理的要求。</w:t>
      </w:r>
    </w:p>
    <w:p w14:paraId="3CD32ABC">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 有权利派专家和工作人员监督抽检工作，但不得非法干预、影响检验过程和结果。</w:t>
      </w:r>
    </w:p>
    <w:p w14:paraId="1D3D8E23">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6．有义务保守抽检工作的相关秘密。</w:t>
      </w:r>
    </w:p>
    <w:p w14:paraId="7579AEAF">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 应遵守法律法规和各项食品检验规范和制度。</w:t>
      </w:r>
    </w:p>
    <w:p w14:paraId="4AEB465E">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四、乙方的权利和义务</w:t>
      </w:r>
    </w:p>
    <w:p w14:paraId="3CA33460">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 指派专人负责项目联络工作，确保通讯畅通，每日24小时开机，及时响应，如有变化应及时告知甲方。</w:t>
      </w:r>
    </w:p>
    <w:p w14:paraId="1F48CD7C">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按照有关法律法规和技术规范要求，加强质量控制和规范管理，确保检验结果客观、准确，并按照委托时限提交检验报告和汇总分析报告。</w:t>
      </w:r>
    </w:p>
    <w:p w14:paraId="514E75BC">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 根据甲方要求制订抽检工作实施方案，同时可以根据甲方需求提出合理化建议。</w:t>
      </w:r>
    </w:p>
    <w:p w14:paraId="67868A92">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 根据甲方要求开展抽检工作，每个周期抽检工作结束后可向甲方出具书面确认材料。</w:t>
      </w:r>
    </w:p>
    <w:p w14:paraId="51EFA21F">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 满足甲方的合法、合理要求，但对违法违规以及无理的要求应予拒绝。</w:t>
      </w:r>
    </w:p>
    <w:p w14:paraId="1F44AC0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6. 可根据需要，就食品抽检工作征询专家意见。</w:t>
      </w:r>
    </w:p>
    <w:p w14:paraId="5F2B2C3C">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 在委托事项范围内应及时答复甲方的询问和质疑。</w:t>
      </w:r>
    </w:p>
    <w:p w14:paraId="3C5DE754">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8. 有义务保守抽检工作的相关秘密。</w:t>
      </w:r>
    </w:p>
    <w:p w14:paraId="1FFC6709">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9. 在采样过程中不得收取食品生产经营单位任何费用。</w:t>
      </w:r>
    </w:p>
    <w:p w14:paraId="7F009AD7">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 应及时向甲方举报抽样过程中发现的或应该发现的食品生产经营单位的违法行为。</w:t>
      </w:r>
    </w:p>
    <w:p w14:paraId="78C3190B">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11. 及时配合被抽检对象（申请人）提出的复检申请。企业提出复检时，复检结论与初检结论一致的，复检费用由申请人承担；复检结论与初检结论不一致的，复检费用由初检机构（乙方）承担。</w:t>
      </w:r>
    </w:p>
    <w:p w14:paraId="06099D5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12.应遵守法律法规、食品检验技术规范和相关制度。</w:t>
      </w:r>
    </w:p>
    <w:p w14:paraId="753F01E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为规范食品抽检工作，形成抽检大数据，为日常监管提供技术支撑，乙方抽检过程中统一使用“国家食品安全抽检监测信息系统”检测结果及时上传抽检信息系统。抽样单格式、编号规则和检验报告格式等相关规范按照总局和省局要求执行。</w:t>
      </w:r>
    </w:p>
    <w:p w14:paraId="6B0BF9F5">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配合甲方按照规定上报和公布抽检信息</w:t>
      </w:r>
      <w:r>
        <w:rPr>
          <w:rFonts w:asciiTheme="minorEastAsia" w:hAnsiTheme="minorEastAsia" w:eastAsiaTheme="minorEastAsia"/>
          <w:color w:val="000000" w:themeColor="text1"/>
          <w:sz w:val="24"/>
          <w:highlight w:val="none"/>
          <w14:textFill>
            <w14:solidFill>
              <w14:schemeClr w14:val="tx1"/>
            </w14:solidFill>
          </w14:textFill>
        </w:rPr>
        <w:t>。</w:t>
      </w:r>
    </w:p>
    <w:p w14:paraId="17831E01">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15.食品安全监督抽检的检验结论合格的，承检机构应当自检验结论作出之日起3个月内妥善保存复检备份样品。复检备份样品剩余保质期不足3个月的，应当保存至保质期结束。</w:t>
      </w:r>
    </w:p>
    <w:p w14:paraId="488466C2">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检验结论不合格的，承检机构应当自检验结论作出之日起6个月内妥善保存复检备份样品。复检备份样品剩余保质期不足6个月的，应当保存至保质期结束。</w:t>
      </w:r>
    </w:p>
    <w:p w14:paraId="20035376">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16.食品安全监督抽检的检验结论合格的，本着节能原则，乙方向甲方提供检验报告电子版。特殊情况需纸质版，由甲方有关人员联系乙方提供。食品安全监督抽检的检验结论不合格的，乙方应当向甲方提供检验报告纸质版6份及电子版。</w:t>
      </w:r>
    </w:p>
    <w:p w14:paraId="6983B62D">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五、费用结算、违约责任处理办法</w:t>
      </w:r>
    </w:p>
    <w:p w14:paraId="11858066">
      <w:pPr>
        <w:widowControl/>
        <w:snapToGrid w:val="0"/>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抽样检测费用按实际批次和检验项目结算，购买样品费用和抽检产生费用包含在项目检测费用里，费用由乙方先行垫付，待检验和复检工作全部完成后，乙方按照实际抽检批次和成交项目单价（详见附件）合计抽样检测费用，经甲方认可后，向甲方提供合法、真实、有效的检测费用发票、样品清单等资料，每季度结算一次。</w:t>
      </w:r>
    </w:p>
    <w:p w14:paraId="52C887E0">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甲方在验收中发现下列问题时，甲方有权拒付相应的抽检费用和样品购买费用，并有权解除合同、向乙方收取违约金：</w:t>
      </w:r>
    </w:p>
    <w:p w14:paraId="4A12B0E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1、乙方未按照甲方明确的采样地域、环节、品种等以及未按照规定要求组织抽样的，甲方有权拒付相应的抽检费用和样品购买费用，乙方并向甲方支付相应抽检费用50%的违约金。</w:t>
      </w:r>
    </w:p>
    <w:p w14:paraId="07F0355B">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2、乙方出具虚假或伪造检验报告的，甲方有权拒付相应的抽检费用，每发现1份虚假或伪造检验报告，乙方向甲方支付成交价5%的违约金。</w:t>
      </w:r>
    </w:p>
    <w:p w14:paraId="43CF63AB">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3、乙方擅自委托其它检验机构抽检的，甲方有权拒付相应的抽检费用。</w:t>
      </w:r>
    </w:p>
    <w:p w14:paraId="598A0C26">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4、发生其它违约情形时，因违约造成经济损失的，由违约方承担。</w:t>
      </w:r>
    </w:p>
    <w:p w14:paraId="3BA508A7">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六、合同的解除与终止</w:t>
      </w:r>
    </w:p>
    <w:p w14:paraId="75DE41C1">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1.在整个抽样检验过程中，如发现乙方有出具虚假或伪造检验报告及与检验相关任何文件的情况下，甲方有权随时解除合同，要求乙方赔偿损失，并由乙方承担由此产生的一切后果和不良影响。</w:t>
      </w:r>
    </w:p>
    <w:p w14:paraId="46328929">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乙方未按照甲方要求的抽样、检验标准进行抽样检验的，甲方有权随时中止合同，并要求乙方限期改正，限期内未按要求改正的，甲方有权解除合同，要求乙方赔偿损失，并由乙方承担由此产生的一切后果和不良影响。</w:t>
      </w:r>
    </w:p>
    <w:p w14:paraId="489E27B7">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3.本合同因期限届满、履行完毕、一方解除或者其他法定事由而终止。</w:t>
      </w:r>
    </w:p>
    <w:p w14:paraId="7E641B69">
      <w:pPr>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七、本协议自甲乙双方签字盖章之日起生效。协议一式五份，甲乙双方各执二份，报政府采购主管部门备案一份。</w:t>
      </w:r>
    </w:p>
    <w:p w14:paraId="670988FA">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附件：</w:t>
      </w:r>
      <w:r>
        <w:rPr>
          <w:rFonts w:hint="eastAsia" w:asciiTheme="minorEastAsia" w:hAnsiTheme="minorEastAsia" w:eastAsiaTheme="minorEastAsia"/>
          <w:color w:val="000000" w:themeColor="text1"/>
          <w:sz w:val="24"/>
          <w:highlight w:val="none"/>
          <w14:textFill>
            <w14:solidFill>
              <w14:schemeClr w14:val="tx1"/>
            </w14:solidFill>
          </w14:textFill>
        </w:rPr>
        <w:t>灵宝市市场监督管理局</w:t>
      </w:r>
      <w:r>
        <w:rPr>
          <w:rFonts w:asciiTheme="minorEastAsia" w:hAnsiTheme="minorEastAsia" w:eastAsiaTheme="minorEastAsia"/>
          <w:color w:val="000000" w:themeColor="text1"/>
          <w:sz w:val="24"/>
          <w:highlight w:val="none"/>
          <w14:textFill>
            <w14:solidFill>
              <w14:schemeClr w14:val="tx1"/>
            </w14:solidFill>
          </w14:textFill>
        </w:rPr>
        <w:t>202</w:t>
      </w:r>
      <w:r>
        <w:rPr>
          <w:rFonts w:hint="eastAsia" w:asciiTheme="minorEastAsia" w:hAnsiTheme="minorEastAsia" w:eastAsiaTheme="minorEastAsia"/>
          <w:color w:val="000000" w:themeColor="text1"/>
          <w:sz w:val="24"/>
          <w:highlight w:val="none"/>
          <w14:textFill>
            <w14:solidFill>
              <w14:schemeClr w14:val="tx1"/>
            </w14:solidFill>
          </w14:textFill>
        </w:rPr>
        <w:t>4</w:t>
      </w:r>
      <w:r>
        <w:rPr>
          <w:rFonts w:asciiTheme="minorEastAsia" w:hAnsiTheme="minorEastAsia" w:eastAsiaTheme="minorEastAsia"/>
          <w:color w:val="000000" w:themeColor="text1"/>
          <w:sz w:val="24"/>
          <w:highlight w:val="none"/>
          <w14:textFill>
            <w14:solidFill>
              <w14:schemeClr w14:val="tx1"/>
            </w14:solidFill>
          </w14:textFill>
        </w:rPr>
        <w:t>年食品安全监督抽检明细表</w:t>
      </w:r>
    </w:p>
    <w:p w14:paraId="0DC58522">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甲方：（盖章 ）                 乙方：（盖章）</w:t>
      </w:r>
    </w:p>
    <w:p w14:paraId="5AF8D6D5">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地址：                         地址：</w:t>
      </w:r>
    </w:p>
    <w:p w14:paraId="2CC57319">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负责人签字：                   负责人签字：</w:t>
      </w:r>
    </w:p>
    <w:p w14:paraId="02DF4496">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联系人：                       联系人：</w:t>
      </w:r>
    </w:p>
    <w:p w14:paraId="749793F4">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                     联系电话：</w:t>
      </w:r>
    </w:p>
    <w:p w14:paraId="664CD567">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开户行：                       开户行：</w:t>
      </w:r>
    </w:p>
    <w:p w14:paraId="390A3866">
      <w:pPr>
        <w:keepNext/>
        <w:keepLines/>
        <w:widowControl/>
        <w:spacing w:line="440" w:lineRule="exact"/>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账号：                         账号：</w:t>
      </w:r>
      <w:r>
        <w:rPr>
          <w:rFonts w:hint="eastAsia" w:asciiTheme="minorEastAsia" w:hAnsiTheme="minorEastAsia" w:eastAsiaTheme="minorEastAsia"/>
          <w:color w:val="000000" w:themeColor="text1"/>
          <w:sz w:val="24"/>
          <w:highlight w:val="none"/>
          <w14:textFill>
            <w14:solidFill>
              <w14:schemeClr w14:val="tx1"/>
            </w14:solidFill>
          </w14:textFill>
        </w:rPr>
        <w:cr/>
      </w:r>
      <w:r>
        <w:rPr>
          <w:rFonts w:hint="eastAsia" w:asciiTheme="minorEastAsia" w:hAnsiTheme="minorEastAsia" w:eastAsiaTheme="minorEastAsia"/>
          <w:color w:val="000000" w:themeColor="text1"/>
          <w:sz w:val="24"/>
          <w:highlight w:val="none"/>
          <w14:textFill>
            <w14:solidFill>
              <w14:schemeClr w14:val="tx1"/>
            </w14:solidFill>
          </w14:textFill>
        </w:rPr>
        <w:t xml:space="preserve">        年   月   日                    年   月   日</w:t>
      </w:r>
      <w:r>
        <w:rPr>
          <w:rFonts w:asciiTheme="minorEastAsia" w:hAnsiTheme="minorEastAsia" w:eastAsiaTheme="minorEastAsia"/>
          <w:color w:val="000000" w:themeColor="text1"/>
          <w:sz w:val="24"/>
          <w:highlight w:val="none"/>
          <w14:textFill>
            <w14:solidFill>
              <w14:schemeClr w14:val="tx1"/>
            </w14:solidFill>
          </w14:textFill>
        </w:rPr>
        <w:cr/>
      </w:r>
    </w:p>
    <w:p w14:paraId="442709D8">
      <w:pPr>
        <w:pStyle w:val="16"/>
        <w:ind w:firstLine="200"/>
        <w:rPr>
          <w:color w:val="000000" w:themeColor="text1"/>
          <w:highlight w:val="none"/>
          <w14:textFill>
            <w14:solidFill>
              <w14:schemeClr w14:val="tx1"/>
            </w14:solidFill>
          </w14:textFill>
        </w:rPr>
      </w:pPr>
    </w:p>
    <w:p w14:paraId="55C534BC">
      <w:pPr>
        <w:pStyle w:val="8"/>
        <w:ind w:right="164" w:firstLine="560"/>
        <w:rPr>
          <w:color w:val="000000" w:themeColor="text1"/>
          <w:highlight w:val="none"/>
          <w14:textFill>
            <w14:solidFill>
              <w14:schemeClr w14:val="tx1"/>
            </w14:solidFill>
          </w14:textFill>
        </w:rPr>
      </w:pPr>
    </w:p>
    <w:p w14:paraId="65B3D3CA">
      <w:pPr>
        <w:rPr>
          <w:color w:val="000000" w:themeColor="text1"/>
          <w:highlight w:val="none"/>
          <w14:textFill>
            <w14:solidFill>
              <w14:schemeClr w14:val="tx1"/>
            </w14:solidFill>
          </w14:textFill>
        </w:rPr>
      </w:pPr>
    </w:p>
    <w:bookmarkEnd w:id="219"/>
    <w:p w14:paraId="4BBECA4D">
      <w:pPr>
        <w:pStyle w:val="2"/>
        <w:spacing w:line="240" w:lineRule="auto"/>
        <w:ind w:left="360"/>
        <w:jc w:val="center"/>
        <w:rPr>
          <w:rFonts w:hint="eastAsia" w:asciiTheme="minorEastAsia" w:hAnsiTheme="minorEastAsia" w:eastAsiaTheme="minorEastAsia"/>
          <w:color w:val="000000" w:themeColor="text1"/>
          <w:sz w:val="36"/>
          <w:szCs w:val="36"/>
          <w:highlight w:val="none"/>
          <w14:textFill>
            <w14:solidFill>
              <w14:schemeClr w14:val="tx1"/>
            </w14:solidFill>
          </w14:textFill>
        </w:rPr>
      </w:pPr>
      <w:bookmarkStart w:id="220" w:name="_Toc171612797"/>
      <w:bookmarkStart w:id="221" w:name="_Toc48158325"/>
      <w:bookmarkStart w:id="222" w:name="_Toc173510810"/>
      <w:bookmarkStart w:id="223" w:name="_Toc171608859"/>
      <w:bookmarkStart w:id="224" w:name="_Toc101344075"/>
    </w:p>
    <w:p w14:paraId="163D8356">
      <w:pPr>
        <w:pStyle w:val="2"/>
        <w:spacing w:line="240" w:lineRule="auto"/>
        <w:ind w:left="360"/>
        <w:jc w:val="center"/>
        <w:rPr>
          <w:rFonts w:asciiTheme="minorEastAsia" w:hAnsiTheme="minorEastAsia" w:eastAsiaTheme="minorEastAsia"/>
          <w:color w:val="000000" w:themeColor="text1"/>
          <w:sz w:val="36"/>
          <w:szCs w:val="36"/>
          <w:highlight w:val="none"/>
          <w14:textFill>
            <w14:solidFill>
              <w14:schemeClr w14:val="tx1"/>
            </w14:solidFill>
          </w14:textFill>
        </w:rPr>
      </w:pPr>
      <w:r>
        <w:rPr>
          <w:rFonts w:hint="eastAsia" w:asciiTheme="minorEastAsia" w:hAnsiTheme="minorEastAsia" w:eastAsiaTheme="minorEastAsia"/>
          <w:color w:val="000000" w:themeColor="text1"/>
          <w:sz w:val="36"/>
          <w:szCs w:val="36"/>
          <w:highlight w:val="none"/>
          <w14:textFill>
            <w14:solidFill>
              <w14:schemeClr w14:val="tx1"/>
            </w14:solidFill>
          </w14:textFill>
        </w:rPr>
        <w:t>第六章 磋商响应文件格式</w:t>
      </w:r>
      <w:bookmarkEnd w:id="220"/>
      <w:bookmarkEnd w:id="221"/>
      <w:bookmarkEnd w:id="222"/>
      <w:bookmarkEnd w:id="223"/>
      <w:bookmarkEnd w:id="224"/>
    </w:p>
    <w:p w14:paraId="02945F92">
      <w:pPr>
        <w:jc w:val="center"/>
        <w:rPr>
          <w:rFonts w:hint="eastAsia" w:asciiTheme="minorEastAsia" w:hAnsiTheme="minorEastAsia" w:eastAsiaTheme="minorEastAsia"/>
          <w:b/>
          <w:bCs/>
          <w:color w:val="000000" w:themeColor="text1"/>
          <w:kern w:val="44"/>
          <w:sz w:val="36"/>
          <w:szCs w:val="36"/>
          <w:highlight w:val="none"/>
          <w14:textFill>
            <w14:solidFill>
              <w14:schemeClr w14:val="tx1"/>
            </w14:solidFill>
          </w14:textFill>
        </w:rPr>
      </w:pPr>
    </w:p>
    <w:p w14:paraId="2DBACEA8">
      <w:pPr>
        <w:jc w:val="center"/>
        <w:rPr>
          <w:rFonts w:hint="eastAsia" w:asciiTheme="minorEastAsia" w:hAnsiTheme="minorEastAsia" w:eastAsiaTheme="minorEastAsia"/>
          <w:b/>
          <w:bCs/>
          <w:color w:val="000000" w:themeColor="text1"/>
          <w:kern w:val="44"/>
          <w:sz w:val="36"/>
          <w:szCs w:val="36"/>
          <w:highlight w:val="none"/>
          <w14:textFill>
            <w14:solidFill>
              <w14:schemeClr w14:val="tx1"/>
            </w14:solidFill>
          </w14:textFill>
        </w:rPr>
      </w:pPr>
    </w:p>
    <w:p w14:paraId="5753D133">
      <w:pPr>
        <w:jc w:val="center"/>
        <w:rPr>
          <w:rFonts w:hint="eastAsia" w:asciiTheme="minorEastAsia" w:hAnsiTheme="minorEastAsia" w:eastAsiaTheme="minorEastAsia"/>
          <w:b/>
          <w:bCs/>
          <w:color w:val="000000" w:themeColor="text1"/>
          <w:kern w:val="44"/>
          <w:sz w:val="36"/>
          <w:szCs w:val="36"/>
          <w:highlight w:val="none"/>
          <w14:textFill>
            <w14:solidFill>
              <w14:schemeClr w14:val="tx1"/>
            </w14:solidFill>
          </w14:textFill>
        </w:rPr>
      </w:pPr>
    </w:p>
    <w:p w14:paraId="73E28BE8">
      <w:pPr>
        <w:jc w:val="center"/>
        <w:rPr>
          <w:rFonts w:hint="eastAsia" w:asciiTheme="minorEastAsia" w:hAnsiTheme="minorEastAsia" w:eastAsiaTheme="minorEastAsia"/>
          <w:b/>
          <w:bCs/>
          <w:color w:val="000000" w:themeColor="text1"/>
          <w:kern w:val="44"/>
          <w:sz w:val="36"/>
          <w:szCs w:val="36"/>
          <w:highlight w:val="none"/>
          <w14:textFill>
            <w14:solidFill>
              <w14:schemeClr w14:val="tx1"/>
            </w14:solidFill>
          </w14:textFill>
        </w:rPr>
      </w:pPr>
    </w:p>
    <w:p w14:paraId="208F6011">
      <w:pPr>
        <w:jc w:val="center"/>
        <w:rPr>
          <w:rFonts w:hint="eastAsia" w:asciiTheme="minorEastAsia" w:hAnsiTheme="minorEastAsia" w:eastAsiaTheme="minorEastAsia"/>
          <w:b/>
          <w:bCs/>
          <w:color w:val="000000" w:themeColor="text1"/>
          <w:kern w:val="44"/>
          <w:sz w:val="36"/>
          <w:szCs w:val="36"/>
          <w:highlight w:val="none"/>
          <w14:textFill>
            <w14:solidFill>
              <w14:schemeClr w14:val="tx1"/>
            </w14:solidFill>
          </w14:textFill>
        </w:rPr>
      </w:pPr>
    </w:p>
    <w:p w14:paraId="6C61696E">
      <w:pPr>
        <w:jc w:val="center"/>
        <w:rPr>
          <w:rFonts w:asciiTheme="minorEastAsia" w:hAnsiTheme="minorEastAsia" w:eastAsiaTheme="minorEastAsia"/>
          <w:b/>
          <w:bCs/>
          <w:color w:val="000000" w:themeColor="text1"/>
          <w:kern w:val="44"/>
          <w:sz w:val="36"/>
          <w:szCs w:val="36"/>
          <w:highlight w:val="none"/>
          <w14:textFill>
            <w14:solidFill>
              <w14:schemeClr w14:val="tx1"/>
            </w14:solidFill>
          </w14:textFill>
        </w:rPr>
      </w:pPr>
      <w:r>
        <w:rPr>
          <w:rFonts w:hint="eastAsia" w:asciiTheme="minorEastAsia" w:hAnsiTheme="minorEastAsia" w:eastAsiaTheme="minorEastAsia"/>
          <w:b/>
          <w:bCs/>
          <w:color w:val="000000" w:themeColor="text1"/>
          <w:kern w:val="44"/>
          <w:sz w:val="36"/>
          <w:szCs w:val="36"/>
          <w:highlight w:val="none"/>
          <w14:textFill>
            <w14:solidFill>
              <w14:schemeClr w14:val="tx1"/>
            </w14:solidFill>
          </w14:textFill>
        </w:rPr>
        <w:t>项目名称</w:t>
      </w:r>
    </w:p>
    <w:p w14:paraId="74D32206">
      <w:pPr>
        <w:spacing w:line="360" w:lineRule="auto"/>
        <w:ind w:firstLine="1065" w:firstLineChars="296"/>
        <w:rPr>
          <w:rFonts w:asciiTheme="minorEastAsia" w:hAnsiTheme="minorEastAsia" w:eastAsiaTheme="minorEastAsia"/>
          <w:color w:val="000000" w:themeColor="text1"/>
          <w:sz w:val="36"/>
          <w:szCs w:val="36"/>
          <w:highlight w:val="none"/>
          <w14:textFill>
            <w14:solidFill>
              <w14:schemeClr w14:val="tx1"/>
            </w14:solidFill>
          </w14:textFill>
        </w:rPr>
      </w:pPr>
    </w:p>
    <w:p w14:paraId="74B4E3A6">
      <w:pPr>
        <w:spacing w:line="360" w:lineRule="auto"/>
        <w:rPr>
          <w:rFonts w:asciiTheme="minorEastAsia" w:hAnsiTheme="minorEastAsia" w:eastAsiaTheme="minorEastAsia"/>
          <w:b/>
          <w:color w:val="000000" w:themeColor="text1"/>
          <w:sz w:val="44"/>
          <w:highlight w:val="none"/>
          <w14:textFill>
            <w14:solidFill>
              <w14:schemeClr w14:val="tx1"/>
            </w14:solidFill>
          </w14:textFill>
        </w:rPr>
      </w:pPr>
    </w:p>
    <w:p w14:paraId="059D1CD7">
      <w:pPr>
        <w:spacing w:line="360" w:lineRule="auto"/>
        <w:rPr>
          <w:rFonts w:asciiTheme="minorEastAsia" w:hAnsiTheme="minorEastAsia" w:eastAsiaTheme="minorEastAsia"/>
          <w:b/>
          <w:color w:val="000000" w:themeColor="text1"/>
          <w:sz w:val="44"/>
          <w:highlight w:val="none"/>
          <w14:textFill>
            <w14:solidFill>
              <w14:schemeClr w14:val="tx1"/>
            </w14:solidFill>
          </w14:textFill>
        </w:rPr>
      </w:pPr>
    </w:p>
    <w:p w14:paraId="5FB4852D">
      <w:pPr>
        <w:spacing w:line="276" w:lineRule="auto"/>
        <w:jc w:val="center"/>
        <w:rPr>
          <w:rFonts w:asciiTheme="minorEastAsia" w:hAnsiTheme="minorEastAsia" w:eastAsia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olor w:val="000000" w:themeColor="text1"/>
          <w:sz w:val="72"/>
          <w:szCs w:val="72"/>
          <w:highlight w:val="none"/>
          <w14:textFill>
            <w14:solidFill>
              <w14:schemeClr w14:val="tx1"/>
            </w14:solidFill>
          </w14:textFill>
        </w:rPr>
        <w:t>磋商响应文件</w:t>
      </w:r>
    </w:p>
    <w:p w14:paraId="434BFFF6">
      <w:pPr>
        <w:spacing w:line="276" w:lineRule="auto"/>
        <w:jc w:val="center"/>
        <w:rPr>
          <w:rFonts w:asciiTheme="minorEastAsia" w:hAnsiTheme="minorEastAsia" w:eastAsia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b/>
          <w:color w:val="000000" w:themeColor="text1"/>
          <w:sz w:val="32"/>
          <w:szCs w:val="32"/>
          <w:highlight w:val="none"/>
          <w14:textFill>
            <w14:solidFill>
              <w14:schemeClr w14:val="tx1"/>
            </w14:solidFill>
          </w14:textFill>
        </w:rPr>
        <w:t>项目编号：</w:t>
      </w:r>
    </w:p>
    <w:p w14:paraId="0649F2C9">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20A6AFFB">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57D8920A">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5929E0B6">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6E19741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7520FDAE">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6AC8D8BE">
      <w:pPr>
        <w:pStyle w:val="8"/>
        <w:ind w:right="164" w:firstLine="560"/>
        <w:rPr>
          <w:color w:val="000000" w:themeColor="text1"/>
          <w:highlight w:val="none"/>
          <w14:textFill>
            <w14:solidFill>
              <w14:schemeClr w14:val="tx1"/>
            </w14:solidFill>
          </w14:textFill>
        </w:rPr>
      </w:pPr>
    </w:p>
    <w:p w14:paraId="228661CF">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p>
    <w:p w14:paraId="4C06D104">
      <w:pPr>
        <w:spacing w:line="360" w:lineRule="auto"/>
        <w:ind w:firstLine="1571" w:firstLineChars="450"/>
        <w:rPr>
          <w:rFonts w:asciiTheme="minorEastAsia" w:hAnsiTheme="minorEastAsia" w:eastAsiaTheme="minorEastAsia"/>
          <w:b/>
          <w:color w:val="000000" w:themeColor="text1"/>
          <w:spacing w:val="24"/>
          <w:sz w:val="30"/>
          <w:szCs w:val="30"/>
          <w:highlight w:val="none"/>
          <w14:textFill>
            <w14:solidFill>
              <w14:schemeClr w14:val="tx1"/>
            </w14:solidFill>
          </w14:textFill>
        </w:rPr>
      </w:pP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磋商供应商：</w:t>
      </w:r>
      <w:r>
        <w:rPr>
          <w:rFonts w:hint="eastAsia" w:asciiTheme="minorEastAsia" w:hAnsiTheme="minorEastAsia" w:eastAsiaTheme="minorEastAsia"/>
          <w:b/>
          <w:color w:val="000000" w:themeColor="text1"/>
          <w:spacing w:val="24"/>
          <w:sz w:val="30"/>
          <w:szCs w:val="30"/>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（单位电子签章）</w:t>
      </w:r>
    </w:p>
    <w:p w14:paraId="22E69CAA">
      <w:pPr>
        <w:spacing w:line="360" w:lineRule="auto"/>
        <w:ind w:firstLine="1571" w:firstLineChars="450"/>
        <w:rPr>
          <w:rFonts w:asciiTheme="minorEastAsia" w:hAnsiTheme="minorEastAsia" w:eastAsiaTheme="minorEastAsia"/>
          <w:b/>
          <w:color w:val="000000" w:themeColor="text1"/>
          <w:spacing w:val="24"/>
          <w:sz w:val="30"/>
          <w:szCs w:val="30"/>
          <w:highlight w:val="none"/>
          <w14:textFill>
            <w14:solidFill>
              <w14:schemeClr w14:val="tx1"/>
            </w14:solidFill>
          </w14:textFill>
        </w:rPr>
      </w:pP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法定代表人：</w:t>
      </w:r>
      <w:r>
        <w:rPr>
          <w:rFonts w:hint="eastAsia" w:asciiTheme="minorEastAsia" w:hAnsiTheme="minorEastAsia" w:eastAsiaTheme="minorEastAsia"/>
          <w:b/>
          <w:color w:val="000000" w:themeColor="text1"/>
          <w:spacing w:val="24"/>
          <w:sz w:val="30"/>
          <w:szCs w:val="30"/>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（法人电子签章）</w:t>
      </w:r>
    </w:p>
    <w:p w14:paraId="482831BC">
      <w:pPr>
        <w:spacing w:line="360" w:lineRule="auto"/>
        <w:ind w:right="452" w:firstLine="1571" w:firstLineChars="450"/>
        <w:rPr>
          <w:rFonts w:asciiTheme="minorEastAsia" w:hAnsiTheme="minorEastAsia" w:eastAsiaTheme="minorEastAsia"/>
          <w:b/>
          <w:color w:val="000000" w:themeColor="text1"/>
          <w:spacing w:val="24"/>
          <w:sz w:val="30"/>
          <w:szCs w:val="30"/>
          <w:highlight w:val="none"/>
          <w14:textFill>
            <w14:solidFill>
              <w14:schemeClr w14:val="tx1"/>
            </w14:solidFill>
          </w14:textFill>
        </w:rPr>
      </w:pP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日    期：</w:t>
      </w:r>
      <w:r>
        <w:rPr>
          <w:rFonts w:hint="eastAsia" w:asciiTheme="minorEastAsia" w:hAnsiTheme="minorEastAsia" w:eastAsiaTheme="minorEastAsia"/>
          <w:b/>
          <w:color w:val="000000" w:themeColor="text1"/>
          <w:spacing w:val="24"/>
          <w:sz w:val="30"/>
          <w:szCs w:val="30"/>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年</w:t>
      </w:r>
      <w:r>
        <w:rPr>
          <w:rFonts w:hint="eastAsia" w:asciiTheme="minorEastAsia" w:hAnsiTheme="minorEastAsia" w:eastAsiaTheme="minorEastAsia"/>
          <w:b/>
          <w:color w:val="000000" w:themeColor="text1"/>
          <w:spacing w:val="24"/>
          <w:sz w:val="30"/>
          <w:szCs w:val="30"/>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月</w:t>
      </w:r>
      <w:r>
        <w:rPr>
          <w:rFonts w:hint="eastAsia" w:asciiTheme="minorEastAsia" w:hAnsiTheme="minorEastAsia" w:eastAsiaTheme="minorEastAsia"/>
          <w:b/>
          <w:color w:val="000000" w:themeColor="text1"/>
          <w:spacing w:val="24"/>
          <w:sz w:val="30"/>
          <w:szCs w:val="30"/>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pacing w:val="24"/>
          <w:sz w:val="30"/>
          <w:szCs w:val="30"/>
          <w:highlight w:val="none"/>
          <w14:textFill>
            <w14:solidFill>
              <w14:schemeClr w14:val="tx1"/>
            </w14:solidFill>
          </w14:textFill>
        </w:rPr>
        <w:t>日</w:t>
      </w:r>
    </w:p>
    <w:p w14:paraId="11D4A8C8">
      <w:pPr>
        <w:spacing w:line="360" w:lineRule="auto"/>
        <w:ind w:right="452" w:firstLine="1427" w:firstLineChars="450"/>
        <w:rPr>
          <w:rFonts w:cs="宋体" w:asciiTheme="minorEastAsia" w:hAnsiTheme="minorEastAsia" w:eastAsiaTheme="minorEastAsia"/>
          <w:b/>
          <w:color w:val="000000" w:themeColor="text1"/>
          <w:spacing w:val="8"/>
          <w:sz w:val="30"/>
          <w:szCs w:val="30"/>
          <w:highlight w:val="none"/>
          <w14:textFill>
            <w14:solidFill>
              <w14:schemeClr w14:val="tx1"/>
            </w14:solidFill>
          </w14:textFill>
        </w:rPr>
      </w:pPr>
    </w:p>
    <w:p w14:paraId="7EE967B6">
      <w:pPr>
        <w:pStyle w:val="16"/>
        <w:ind w:firstLine="200"/>
        <w:rPr>
          <w:color w:val="000000" w:themeColor="text1"/>
          <w:highlight w:val="none"/>
          <w14:textFill>
            <w14:solidFill>
              <w14:schemeClr w14:val="tx1"/>
            </w14:solidFill>
          </w14:textFill>
        </w:rPr>
      </w:pPr>
    </w:p>
    <w:p w14:paraId="729CEC60">
      <w:pPr>
        <w:autoSpaceDE w:val="0"/>
        <w:autoSpaceDN w:val="0"/>
        <w:adjustRightInd w:val="0"/>
        <w:spacing w:line="420" w:lineRule="exact"/>
        <w:jc w:val="center"/>
        <w:rPr>
          <w:rFonts w:cs="宋体" w:asciiTheme="minorEastAsia" w:hAnsiTheme="minorEastAsia" w:eastAsiaTheme="minorEastAsia"/>
          <w:b/>
          <w:color w:val="000000" w:themeColor="text1"/>
          <w:kern w:val="0"/>
          <w:sz w:val="36"/>
          <w:szCs w:val="36"/>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36"/>
          <w:szCs w:val="36"/>
          <w:highlight w:val="none"/>
          <w14:textFill>
            <w14:solidFill>
              <w14:schemeClr w14:val="tx1"/>
            </w14:solidFill>
          </w14:textFill>
        </w:rPr>
        <w:t>目    录</w:t>
      </w:r>
    </w:p>
    <w:p w14:paraId="704F3B64">
      <w:pPr>
        <w:autoSpaceDE w:val="0"/>
        <w:autoSpaceDN w:val="0"/>
        <w:adjustRightInd w:val="0"/>
        <w:spacing w:line="420" w:lineRule="exact"/>
        <w:jc w:val="center"/>
        <w:rPr>
          <w:rFonts w:cs="宋体" w:asciiTheme="minorEastAsia" w:hAnsiTheme="minorEastAsia" w:eastAsiaTheme="minorEastAsia"/>
          <w:color w:val="000000" w:themeColor="text1"/>
          <w:kern w:val="0"/>
          <w:sz w:val="28"/>
          <w:szCs w:val="28"/>
          <w:highlight w:val="none"/>
          <w14:textFill>
            <w14:solidFill>
              <w14:schemeClr w14:val="tx1"/>
            </w14:solidFill>
          </w14:textFill>
        </w:rPr>
      </w:pPr>
    </w:p>
    <w:p w14:paraId="2039B183">
      <w:pPr>
        <w:pStyle w:val="16"/>
        <w:spacing w:line="480" w:lineRule="auto"/>
        <w:ind w:firstLine="240"/>
        <w:rPr>
          <w:rFonts w:cs="宋体-PUA" w:asciiTheme="minorEastAsia" w:hAnsiTheme="minorEastAsia" w:eastAsiaTheme="minorEastAsia"/>
          <w:bCs/>
          <w:color w:val="000000" w:themeColor="text1"/>
          <w:kern w:val="2"/>
          <w:sz w:val="24"/>
          <w:szCs w:val="24"/>
          <w:highlight w:val="none"/>
          <w14:textFill>
            <w14:solidFill>
              <w14:schemeClr w14:val="tx1"/>
            </w14:solidFill>
          </w14:textFill>
        </w:rPr>
      </w:pPr>
      <w:bookmarkStart w:id="225" w:name="_Toc246997099"/>
      <w:bookmarkStart w:id="226" w:name="_Toc296602602"/>
      <w:bookmarkStart w:id="227" w:name="_Toc246996356"/>
      <w:bookmarkStart w:id="228" w:name="_Toc144974857"/>
      <w:bookmarkStart w:id="229" w:name="_Toc152045788"/>
      <w:bookmarkStart w:id="230" w:name="_Toc6295"/>
      <w:bookmarkStart w:id="231" w:name="_Toc179632808"/>
      <w:bookmarkStart w:id="232" w:name="_Toc247085874"/>
      <w:bookmarkStart w:id="233" w:name="_Toc152042577"/>
      <w:bookmarkStart w:id="234" w:name="_Toc101344076"/>
      <w:bookmarkStart w:id="235" w:name="_Toc68710942"/>
      <w:r>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t>一、报价函及报价函附表</w:t>
      </w:r>
    </w:p>
    <w:p w14:paraId="499FF906">
      <w:pPr>
        <w:pStyle w:val="16"/>
        <w:spacing w:line="480" w:lineRule="auto"/>
        <w:ind w:firstLine="240"/>
        <w:rPr>
          <w:rFonts w:cs="宋体-PUA"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t>二、法定代表人身份证明及授权委托书</w:t>
      </w:r>
    </w:p>
    <w:p w14:paraId="2F124F80">
      <w:pPr>
        <w:pStyle w:val="16"/>
        <w:spacing w:line="480" w:lineRule="auto"/>
        <w:ind w:firstLine="240"/>
        <w:rPr>
          <w:rFonts w:cs="宋体-PUA"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t>三、磋商承诺函</w:t>
      </w:r>
    </w:p>
    <w:p w14:paraId="33E10B8C">
      <w:pPr>
        <w:pStyle w:val="16"/>
        <w:spacing w:line="480" w:lineRule="auto"/>
        <w:ind w:firstLine="240"/>
        <w:rPr>
          <w:rFonts w:cs="宋体-PUA"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t>四、资格审查</w:t>
      </w:r>
    </w:p>
    <w:p w14:paraId="10110B4F">
      <w:pPr>
        <w:pStyle w:val="16"/>
        <w:spacing w:line="480" w:lineRule="auto"/>
        <w:ind w:firstLine="240"/>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pPr>
      <w:r>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t>五、技术及商务标</w:t>
      </w:r>
    </w:p>
    <w:p w14:paraId="6B9AD595">
      <w:pPr>
        <w:pStyle w:val="16"/>
        <w:spacing w:line="480" w:lineRule="auto"/>
        <w:ind w:firstLine="240"/>
        <w:rPr>
          <w:color w:val="000000" w:themeColor="text1"/>
          <w:sz w:val="24"/>
          <w:szCs w:val="24"/>
          <w:highlight w:val="none"/>
          <w14:textFill>
            <w14:solidFill>
              <w14:schemeClr w14:val="tx1"/>
            </w14:solidFill>
          </w14:textFill>
        </w:rPr>
      </w:pPr>
      <w:r>
        <w:rPr>
          <w:rFonts w:hint="eastAsia" w:cs="宋体-PUA" w:asciiTheme="minorEastAsia" w:hAnsiTheme="minorEastAsia" w:eastAsiaTheme="minorEastAsia"/>
          <w:bCs/>
          <w:color w:val="000000" w:themeColor="text1"/>
          <w:kern w:val="2"/>
          <w:sz w:val="24"/>
          <w:szCs w:val="24"/>
          <w:highlight w:val="none"/>
          <w:lang w:val="en-US" w:eastAsia="zh-CN"/>
          <w14:textFill>
            <w14:solidFill>
              <w14:schemeClr w14:val="tx1"/>
            </w14:solidFill>
          </w14:textFill>
        </w:rPr>
        <w:t>六</w:t>
      </w:r>
      <w:r>
        <w:rPr>
          <w:rFonts w:hint="eastAsia" w:cs="宋体-PUA" w:asciiTheme="minorEastAsia" w:hAnsiTheme="minorEastAsia" w:eastAsiaTheme="minorEastAsia"/>
          <w:bCs/>
          <w:color w:val="000000" w:themeColor="text1"/>
          <w:kern w:val="2"/>
          <w:sz w:val="24"/>
          <w:szCs w:val="24"/>
          <w:highlight w:val="none"/>
          <w14:textFill>
            <w14:solidFill>
              <w14:schemeClr w14:val="tx1"/>
            </w14:solidFill>
          </w14:textFill>
        </w:rPr>
        <w:t>、其他材料</w:t>
      </w:r>
    </w:p>
    <w:p w14:paraId="49B25BBB">
      <w:pPr>
        <w:pStyle w:val="8"/>
        <w:ind w:right="164" w:firstLine="560"/>
        <w:rPr>
          <w:color w:val="000000" w:themeColor="text1"/>
          <w:highlight w:val="none"/>
          <w14:textFill>
            <w14:solidFill>
              <w14:schemeClr w14:val="tx1"/>
            </w14:solidFill>
          </w14:textFill>
        </w:rPr>
      </w:pPr>
    </w:p>
    <w:p w14:paraId="7F881369">
      <w:pPr>
        <w:rPr>
          <w:color w:val="000000" w:themeColor="text1"/>
          <w:highlight w:val="none"/>
          <w14:textFill>
            <w14:solidFill>
              <w14:schemeClr w14:val="tx1"/>
            </w14:solidFill>
          </w14:textFill>
        </w:rPr>
      </w:pPr>
    </w:p>
    <w:p w14:paraId="736DEC91">
      <w:pPr>
        <w:pStyle w:val="16"/>
        <w:ind w:firstLine="200"/>
        <w:rPr>
          <w:color w:val="000000" w:themeColor="text1"/>
          <w:highlight w:val="none"/>
          <w14:textFill>
            <w14:solidFill>
              <w14:schemeClr w14:val="tx1"/>
            </w14:solidFill>
          </w14:textFill>
        </w:rPr>
      </w:pPr>
    </w:p>
    <w:p w14:paraId="5C0D68BE">
      <w:pPr>
        <w:pStyle w:val="8"/>
        <w:ind w:right="164" w:firstLine="560"/>
        <w:rPr>
          <w:color w:val="000000" w:themeColor="text1"/>
          <w:highlight w:val="none"/>
          <w14:textFill>
            <w14:solidFill>
              <w14:schemeClr w14:val="tx1"/>
            </w14:solidFill>
          </w14:textFill>
        </w:rPr>
      </w:pPr>
    </w:p>
    <w:p w14:paraId="3D734945">
      <w:pPr>
        <w:rPr>
          <w:color w:val="000000" w:themeColor="text1"/>
          <w:highlight w:val="none"/>
          <w14:textFill>
            <w14:solidFill>
              <w14:schemeClr w14:val="tx1"/>
            </w14:solidFill>
          </w14:textFill>
        </w:rPr>
      </w:pPr>
    </w:p>
    <w:p w14:paraId="2089A9EA">
      <w:pPr>
        <w:pStyle w:val="16"/>
        <w:ind w:firstLine="200"/>
        <w:rPr>
          <w:color w:val="000000" w:themeColor="text1"/>
          <w:highlight w:val="none"/>
          <w14:textFill>
            <w14:solidFill>
              <w14:schemeClr w14:val="tx1"/>
            </w14:solidFill>
          </w14:textFill>
        </w:rPr>
      </w:pPr>
    </w:p>
    <w:p w14:paraId="4E1E6B31">
      <w:pPr>
        <w:pStyle w:val="8"/>
        <w:ind w:right="164" w:firstLine="560"/>
        <w:rPr>
          <w:color w:val="000000" w:themeColor="text1"/>
          <w:highlight w:val="none"/>
          <w14:textFill>
            <w14:solidFill>
              <w14:schemeClr w14:val="tx1"/>
            </w14:solidFill>
          </w14:textFill>
        </w:rPr>
      </w:pPr>
    </w:p>
    <w:p w14:paraId="0490DB19">
      <w:pPr>
        <w:rPr>
          <w:color w:val="000000" w:themeColor="text1"/>
          <w:highlight w:val="none"/>
          <w14:textFill>
            <w14:solidFill>
              <w14:schemeClr w14:val="tx1"/>
            </w14:solidFill>
          </w14:textFill>
        </w:rPr>
      </w:pPr>
    </w:p>
    <w:p w14:paraId="4A1DD297">
      <w:pPr>
        <w:pStyle w:val="16"/>
        <w:ind w:firstLine="200"/>
        <w:rPr>
          <w:color w:val="000000" w:themeColor="text1"/>
          <w:highlight w:val="none"/>
          <w14:textFill>
            <w14:solidFill>
              <w14:schemeClr w14:val="tx1"/>
            </w14:solidFill>
          </w14:textFill>
        </w:rPr>
      </w:pPr>
    </w:p>
    <w:p w14:paraId="617C399F">
      <w:pPr>
        <w:pStyle w:val="8"/>
        <w:ind w:right="164" w:firstLine="560"/>
        <w:rPr>
          <w:color w:val="000000" w:themeColor="text1"/>
          <w:highlight w:val="none"/>
          <w14:textFill>
            <w14:solidFill>
              <w14:schemeClr w14:val="tx1"/>
            </w14:solidFill>
          </w14:textFill>
        </w:rPr>
      </w:pPr>
    </w:p>
    <w:p w14:paraId="5EDEDD71">
      <w:pPr>
        <w:rPr>
          <w:color w:val="000000" w:themeColor="text1"/>
          <w:highlight w:val="none"/>
          <w14:textFill>
            <w14:solidFill>
              <w14:schemeClr w14:val="tx1"/>
            </w14:solidFill>
          </w14:textFill>
        </w:rPr>
      </w:pPr>
    </w:p>
    <w:p w14:paraId="32B5B2D8">
      <w:pPr>
        <w:pStyle w:val="16"/>
        <w:ind w:firstLine="200"/>
        <w:rPr>
          <w:color w:val="000000" w:themeColor="text1"/>
          <w:highlight w:val="none"/>
          <w14:textFill>
            <w14:solidFill>
              <w14:schemeClr w14:val="tx1"/>
            </w14:solidFill>
          </w14:textFill>
        </w:rPr>
      </w:pPr>
    </w:p>
    <w:p w14:paraId="27DFF27F">
      <w:pPr>
        <w:pStyle w:val="8"/>
        <w:ind w:right="164" w:firstLine="560"/>
        <w:rPr>
          <w:color w:val="000000" w:themeColor="text1"/>
          <w:highlight w:val="none"/>
          <w14:textFill>
            <w14:solidFill>
              <w14:schemeClr w14:val="tx1"/>
            </w14:solidFill>
          </w14:textFill>
        </w:rPr>
      </w:pPr>
    </w:p>
    <w:p w14:paraId="5D5134E5">
      <w:pPr>
        <w:rPr>
          <w:color w:val="000000" w:themeColor="text1"/>
          <w:highlight w:val="none"/>
          <w14:textFill>
            <w14:solidFill>
              <w14:schemeClr w14:val="tx1"/>
            </w14:solidFill>
          </w14:textFill>
        </w:rPr>
      </w:pPr>
    </w:p>
    <w:p w14:paraId="7D045FC4">
      <w:pPr>
        <w:pStyle w:val="16"/>
        <w:ind w:firstLine="200"/>
        <w:rPr>
          <w:color w:val="000000" w:themeColor="text1"/>
          <w:highlight w:val="none"/>
          <w14:textFill>
            <w14:solidFill>
              <w14:schemeClr w14:val="tx1"/>
            </w14:solidFill>
          </w14:textFill>
        </w:rPr>
      </w:pPr>
    </w:p>
    <w:p w14:paraId="3F47DC0A">
      <w:pPr>
        <w:pStyle w:val="8"/>
        <w:ind w:right="164" w:firstLine="560"/>
        <w:rPr>
          <w:color w:val="000000" w:themeColor="text1"/>
          <w:highlight w:val="none"/>
          <w14:textFill>
            <w14:solidFill>
              <w14:schemeClr w14:val="tx1"/>
            </w14:solidFill>
          </w14:textFill>
        </w:rPr>
      </w:pPr>
    </w:p>
    <w:p w14:paraId="7A9DCDDA">
      <w:pPr>
        <w:rPr>
          <w:color w:val="000000" w:themeColor="text1"/>
          <w:highlight w:val="none"/>
          <w14:textFill>
            <w14:solidFill>
              <w14:schemeClr w14:val="tx1"/>
            </w14:solidFill>
          </w14:textFill>
        </w:rPr>
      </w:pPr>
    </w:p>
    <w:p w14:paraId="2CD2F56B">
      <w:pPr>
        <w:pStyle w:val="16"/>
        <w:ind w:firstLine="200"/>
        <w:rPr>
          <w:color w:val="000000" w:themeColor="text1"/>
          <w:highlight w:val="none"/>
          <w14:textFill>
            <w14:solidFill>
              <w14:schemeClr w14:val="tx1"/>
            </w14:solidFill>
          </w14:textFill>
        </w:rPr>
      </w:pPr>
    </w:p>
    <w:p w14:paraId="318CF937">
      <w:pPr>
        <w:pStyle w:val="8"/>
        <w:ind w:right="164" w:firstLine="0" w:firstLineChars="0"/>
        <w:rPr>
          <w:color w:val="000000" w:themeColor="text1"/>
          <w:highlight w:val="none"/>
          <w14:textFill>
            <w14:solidFill>
              <w14:schemeClr w14:val="tx1"/>
            </w14:solidFill>
          </w14:textFill>
        </w:rPr>
      </w:pPr>
    </w:p>
    <w:p w14:paraId="758C8A7C">
      <w:pPr>
        <w:pStyle w:val="3"/>
        <w:spacing w:line="600" w:lineRule="exact"/>
        <w:jc w:val="center"/>
        <w:rPr>
          <w:rFonts w:cs="宋体-PUA" w:asciiTheme="minorEastAsia" w:hAnsiTheme="minorEastAsia" w:eastAsiaTheme="minorEastAsia"/>
          <w:color w:val="000000" w:themeColor="text1"/>
          <w:sz w:val="24"/>
          <w:szCs w:val="24"/>
          <w:highlight w:val="none"/>
          <w14:textFill>
            <w14:solidFill>
              <w14:schemeClr w14:val="tx1"/>
            </w14:solidFill>
          </w14:textFill>
        </w:rPr>
      </w:pPr>
      <w:bookmarkStart w:id="236" w:name="_Toc173510811"/>
      <w:bookmarkStart w:id="237" w:name="_Toc171608868"/>
      <w:bookmarkStart w:id="238" w:name="_Toc23536"/>
      <w:bookmarkStart w:id="239" w:name="_Toc171612798"/>
      <w:r>
        <w:rPr>
          <w:rFonts w:hint="eastAsia" w:cs="宋体-PUA" w:asciiTheme="minorEastAsia" w:hAnsiTheme="minorEastAsia" w:eastAsiaTheme="minorEastAsia"/>
          <w:color w:val="000000" w:themeColor="text1"/>
          <w:szCs w:val="24"/>
          <w:highlight w:val="none"/>
          <w14:textFill>
            <w14:solidFill>
              <w14:schemeClr w14:val="tx1"/>
            </w14:solidFill>
          </w14:textFill>
        </w:rPr>
        <w:t>一、报价函</w:t>
      </w:r>
      <w:bookmarkEnd w:id="225"/>
      <w:bookmarkEnd w:id="226"/>
      <w:bookmarkEnd w:id="227"/>
      <w:bookmarkEnd w:id="228"/>
      <w:bookmarkEnd w:id="229"/>
      <w:bookmarkEnd w:id="230"/>
      <w:bookmarkEnd w:id="231"/>
      <w:bookmarkEnd w:id="232"/>
      <w:bookmarkEnd w:id="233"/>
      <w:r>
        <w:rPr>
          <w:rFonts w:hint="eastAsia" w:cs="宋体-PUA" w:asciiTheme="minorEastAsia" w:hAnsiTheme="minorEastAsia" w:eastAsiaTheme="minorEastAsia"/>
          <w:color w:val="000000" w:themeColor="text1"/>
          <w:szCs w:val="24"/>
          <w:highlight w:val="none"/>
          <w14:textFill>
            <w14:solidFill>
              <w14:schemeClr w14:val="tx1"/>
            </w14:solidFill>
          </w14:textFill>
        </w:rPr>
        <w:t>及报价函附表</w:t>
      </w:r>
      <w:bookmarkEnd w:id="234"/>
      <w:bookmarkEnd w:id="235"/>
      <w:bookmarkEnd w:id="236"/>
      <w:bookmarkEnd w:id="237"/>
      <w:bookmarkEnd w:id="238"/>
      <w:bookmarkEnd w:id="239"/>
    </w:p>
    <w:p w14:paraId="7A5B7F8C">
      <w:pPr>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（一）报价函</w:t>
      </w:r>
    </w:p>
    <w:p w14:paraId="31A48E48">
      <w:pPr>
        <w:spacing w:line="360" w:lineRule="auto"/>
        <w:rPr>
          <w:rFonts w:asciiTheme="minorEastAsia" w:hAnsiTheme="minorEastAsia" w:eastAsiaTheme="minorEastAsia"/>
          <w:color w:val="000000" w:themeColor="text1"/>
          <w:sz w:val="24"/>
          <w:highlight w:val="none"/>
          <w14:textFill>
            <w14:solidFill>
              <w14:schemeClr w14:val="tx1"/>
            </w14:solidFill>
          </w14:textFill>
        </w:rPr>
      </w:pPr>
      <w:bookmarkStart w:id="240" w:name="_Toc246997101"/>
      <w:bookmarkStart w:id="241" w:name="_Toc179632810"/>
      <w:bookmarkStart w:id="242" w:name="_Toc152045790"/>
      <w:bookmarkStart w:id="243" w:name="_Toc246996358"/>
      <w:bookmarkStart w:id="244" w:name="_Toc296602604"/>
      <w:bookmarkStart w:id="245" w:name="_Toc247085876"/>
      <w:bookmarkStart w:id="246" w:name="_Toc144974859"/>
      <w:bookmarkStart w:id="247" w:name="_Toc152042579"/>
      <w:r>
        <w:rPr>
          <w:rFonts w:hint="eastAsia" w:asciiTheme="minorEastAsia" w:hAnsiTheme="minorEastAsia" w:eastAsiaTheme="minorEastAsia"/>
          <w:color w:val="000000" w:themeColor="text1"/>
          <w:sz w:val="24"/>
          <w:highlight w:val="none"/>
          <w14:textFill>
            <w14:solidFill>
              <w14:schemeClr w14:val="tx1"/>
            </w14:solidFill>
          </w14:textFill>
        </w:rPr>
        <w:t xml:space="preserve">致：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 xml:space="preserve"> （采购人名称）</w:t>
      </w:r>
    </w:p>
    <w:p w14:paraId="2E7F4E52">
      <w:pPr>
        <w:spacing w:line="360" w:lineRule="auto"/>
        <w:ind w:firstLine="360" w:firstLineChars="150"/>
        <w:rPr>
          <w:rFonts w:hint="eastAsia" w:ascii="宋体" w:hAnsi="宋体" w:cs="宋体"/>
          <w:kern w:val="0"/>
          <w:sz w:val="24"/>
        </w:rPr>
      </w:pPr>
      <w:r>
        <w:rPr>
          <w:rFonts w:hint="eastAsia" w:asciiTheme="minorEastAsia" w:hAnsiTheme="minorEastAsia" w:eastAsiaTheme="minorEastAsia"/>
          <w:color w:val="000000" w:themeColor="text1"/>
          <w:sz w:val="24"/>
          <w:highlight w:val="none"/>
          <w14:textFill>
            <w14:solidFill>
              <w14:schemeClr w14:val="tx1"/>
            </w14:solidFill>
          </w14:textFill>
        </w:rPr>
        <w:t>1．我方已仔细研究了</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（项目名称）</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（项目编号）竞争性磋商文件的全部内容，我方对该项目首次报价为</w:t>
      </w:r>
      <w:r>
        <w:rPr>
          <w:rFonts w:hint="eastAsia" w:ascii="宋体" w:hAnsi="宋体" w:cs="宋体"/>
          <w:kern w:val="0"/>
          <w:sz w:val="24"/>
        </w:rPr>
        <w:t>人民币（大写）</w:t>
      </w:r>
    </w:p>
    <w:p w14:paraId="58266AB5">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kern w:val="0"/>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kern w:val="0"/>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元</w:t>
      </w:r>
      <w:r>
        <w:rPr>
          <w:rFonts w:hint="eastAsia" w:ascii="宋体" w:hAnsi="宋体" w:cs="宋体"/>
          <w:sz w:val="24"/>
          <w:u w:val="single"/>
          <w:lang w:val="en-US" w:eastAsia="zh-CN"/>
        </w:rPr>
        <w:t xml:space="preserve">  </w:t>
      </w:r>
      <w:r>
        <w:rPr>
          <w:rFonts w:hint="eastAsia" w:ascii="宋体" w:hAnsi="宋体" w:cs="宋体"/>
          <w:kern w:val="0"/>
          <w:sz w:val="24"/>
        </w:rPr>
        <w:t>）</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kern w:val="0"/>
          <w:sz w:val="24"/>
          <w:highlight w:val="none"/>
          <w14:textFill>
            <w14:solidFill>
              <w14:schemeClr w14:val="tx1"/>
            </w14:solidFill>
          </w14:textFill>
        </w:rPr>
        <w:t>服务期限</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服务标准：</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依据采购人制定的安全抽样检验计划，承担采购人委托区域、服务范围内的抽样、检验，按时、如实出具报送检测报告及相关伴随服务</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68D5DE7">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2．我方承诺在磋商响应文件有效期(</w:t>
      </w:r>
      <w:r>
        <w:rPr>
          <w:rFonts w:hint="eastAsia" w:cs="宋体" w:asciiTheme="minorEastAsia" w:hAnsiTheme="minorEastAsia" w:eastAsiaTheme="minorEastAsia"/>
          <w:color w:val="000000" w:themeColor="text1"/>
          <w:sz w:val="24"/>
          <w:highlight w:val="none"/>
          <w14:textFill>
            <w14:solidFill>
              <w14:schemeClr w14:val="tx1"/>
            </w14:solidFill>
          </w14:textFill>
        </w:rPr>
        <w:t>自磋商截止之日起</w:t>
      </w:r>
      <w:r>
        <w:rPr>
          <w:rFonts w:cs="宋体" w:asciiTheme="minorEastAsia" w:hAnsiTheme="minorEastAsia" w:eastAsiaTheme="minorEastAsia"/>
          <w:color w:val="000000" w:themeColor="text1"/>
          <w:sz w:val="24"/>
          <w:highlight w:val="none"/>
          <w14:textFill>
            <w14:solidFill>
              <w14:schemeClr w14:val="tx1"/>
            </w14:solidFill>
          </w14:textFill>
        </w:rPr>
        <w:t>60</w:t>
      </w:r>
      <w:r>
        <w:rPr>
          <w:rFonts w:hint="eastAsia" w:cs="宋体" w:asciiTheme="minorEastAsia" w:hAnsiTheme="minorEastAsia" w:eastAsiaTheme="minorEastAsia"/>
          <w:color w:val="000000" w:themeColor="text1"/>
          <w:sz w:val="24"/>
          <w:highlight w:val="none"/>
          <w14:textFill>
            <w14:solidFill>
              <w14:schemeClr w14:val="tx1"/>
            </w14:solidFill>
          </w14:textFill>
        </w:rPr>
        <w:t>日历天</w:t>
      </w:r>
      <w:r>
        <w:rPr>
          <w:rFonts w:hint="eastAsia" w:asciiTheme="minorEastAsia" w:hAnsiTheme="minorEastAsia" w:eastAsiaTheme="minorEastAsia"/>
          <w:color w:val="000000" w:themeColor="text1"/>
          <w:sz w:val="24"/>
          <w:highlight w:val="none"/>
          <w14:textFill>
            <w14:solidFill>
              <w14:schemeClr w14:val="tx1"/>
            </w14:solidFill>
          </w14:textFill>
        </w:rPr>
        <w:t>)内不修改、撤销磋商响应文件。</w:t>
      </w:r>
    </w:p>
    <w:p w14:paraId="20A285EC">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3．我方完全理解贵方不一定接受报价最低的供应商为成交供应商的行为。</w:t>
      </w:r>
    </w:p>
    <w:p w14:paraId="66FBD939">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4.我们同意本磋商文件中有关有效期的规定。如果成交，有效期延长至合同终止日止。</w:t>
      </w:r>
    </w:p>
    <w:p w14:paraId="6CE7E1ED">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 我们愿按《中华人民共和国合同法》履行自己的全部责任。</w:t>
      </w:r>
    </w:p>
    <w:p w14:paraId="0CA1C968">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6. 如我方成交：</w:t>
      </w:r>
    </w:p>
    <w:p w14:paraId="274E1827">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（1）我方承诺在收到成交通知书后，在成交通知书规定的期限内与你方签订合同。</w:t>
      </w:r>
    </w:p>
    <w:p w14:paraId="09E0A05A">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（2）除非另外达成协议并生效，成交通知书和本竞争性磋商文件、磋商响应文件将成为约束双方的合同文件的组成部分。</w:t>
      </w:r>
    </w:p>
    <w:p w14:paraId="0527ACBD">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7. 投标总报价包含履行本项目合同范围内的检测费、人工费、测试费及有关部门规定必须缴纳的强制性费用、管理费、税金、各种风险等本磋商文件虽未提及但在完成本项目过程中必须支付的与本项目相关的其他一切费用。</w:t>
      </w:r>
    </w:p>
    <w:p w14:paraId="66C4ADE0">
      <w:pPr>
        <w:spacing w:line="360" w:lineRule="auto"/>
        <w:ind w:firstLine="240" w:firstLineChars="1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8. 我方在此声明，所递交的磋商响应文件及有关资料内容完整、真实和准确。</w:t>
      </w:r>
    </w:p>
    <w:p w14:paraId="026EE1F2">
      <w:pPr>
        <w:spacing w:line="360" w:lineRule="auto"/>
        <w:ind w:firstLine="2612" w:firstLineChars="907"/>
        <w:rPr>
          <w:rFonts w:hint="eastAsia" w:asciiTheme="minorEastAsia" w:hAnsiTheme="minorEastAsia" w:eastAsiaTheme="minorEastAsia"/>
          <w:color w:val="000000" w:themeColor="text1"/>
          <w:spacing w:val="24"/>
          <w:sz w:val="24"/>
          <w:highlight w:val="none"/>
          <w14:textFill>
            <w14:solidFill>
              <w14:schemeClr w14:val="tx1"/>
            </w14:solidFill>
          </w14:textFill>
        </w:rPr>
      </w:pPr>
    </w:p>
    <w:p w14:paraId="5D042181">
      <w:pPr>
        <w:spacing w:line="360" w:lineRule="auto"/>
        <w:ind w:firstLine="2612" w:firstLineChars="907"/>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AE41ADA">
      <w:pPr>
        <w:spacing w:line="360" w:lineRule="auto"/>
        <w:ind w:firstLine="2612" w:firstLineChars="907"/>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法定代表人： </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asciiTheme="minorEastAsia" w:hAnsiTheme="minorEastAsia" w:eastAsiaTheme="minorEastAsia"/>
          <w:color w:val="000000" w:themeColor="text1"/>
          <w:spacing w:val="24"/>
          <w:sz w:val="24"/>
          <w:highlight w:val="none"/>
          <w:lang w:val="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C67415D">
      <w:pPr>
        <w:spacing w:line="360" w:lineRule="auto"/>
        <w:ind w:firstLine="2612" w:firstLineChars="907"/>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地     址： </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      </w:t>
      </w:r>
    </w:p>
    <w:p w14:paraId="7D7A6C74">
      <w:pPr>
        <w:spacing w:line="360" w:lineRule="auto"/>
        <w:ind w:firstLine="2612" w:firstLineChars="907"/>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日    期：    年   月   日</w:t>
      </w:r>
    </w:p>
    <w:p w14:paraId="5B0DF1BB">
      <w:pPr>
        <w:pStyle w:val="16"/>
        <w:ind w:firstLine="200"/>
        <w:rPr>
          <w:color w:val="000000" w:themeColor="text1"/>
          <w:highlight w:val="none"/>
          <w14:textFill>
            <w14:solidFill>
              <w14:schemeClr w14:val="tx1"/>
            </w14:solidFill>
          </w14:textFill>
        </w:rPr>
      </w:pPr>
    </w:p>
    <w:p w14:paraId="0E2FD478">
      <w:pPr>
        <w:pStyle w:val="8"/>
        <w:ind w:right="164" w:firstLine="560"/>
        <w:rPr>
          <w:color w:val="000000" w:themeColor="text1"/>
          <w:highlight w:val="none"/>
          <w14:textFill>
            <w14:solidFill>
              <w14:schemeClr w14:val="tx1"/>
            </w14:solidFill>
          </w14:textFill>
        </w:rPr>
      </w:pPr>
    </w:p>
    <w:p w14:paraId="5769AF0B">
      <w:pPr>
        <w:rPr>
          <w:color w:val="000000" w:themeColor="text1"/>
          <w:highlight w:val="none"/>
          <w14:textFill>
            <w14:solidFill>
              <w14:schemeClr w14:val="tx1"/>
            </w14:solidFill>
          </w14:textFill>
        </w:rPr>
      </w:pPr>
    </w:p>
    <w:p w14:paraId="256B9AA7">
      <w:pPr>
        <w:jc w:val="center"/>
        <w:rPr>
          <w:rFonts w:asciiTheme="minorEastAsia" w:hAnsiTheme="minorEastAsia" w:eastAsiaTheme="minorEastAsia"/>
          <w:b/>
          <w:color w:val="000000" w:themeColor="text1"/>
          <w:sz w:val="30"/>
          <w:szCs w:val="30"/>
          <w:highlight w:val="none"/>
          <w14:textFill>
            <w14:solidFill>
              <w14:schemeClr w14:val="tx1"/>
            </w14:solidFill>
          </w14:textFill>
        </w:rPr>
      </w:pPr>
      <w:bookmarkStart w:id="248" w:name="_Toc24879"/>
      <w:r>
        <w:rPr>
          <w:rFonts w:hint="eastAsia" w:asciiTheme="minorEastAsia" w:hAnsiTheme="minorEastAsia" w:eastAsiaTheme="minorEastAsia"/>
          <w:b/>
          <w:color w:val="000000" w:themeColor="text1"/>
          <w:sz w:val="30"/>
          <w:szCs w:val="30"/>
          <w:highlight w:val="none"/>
          <w14:textFill>
            <w14:solidFill>
              <w14:schemeClr w14:val="tx1"/>
            </w14:solidFill>
          </w14:textFill>
        </w:rPr>
        <w:t>（二）</w:t>
      </w:r>
      <w:bookmarkEnd w:id="240"/>
      <w:bookmarkEnd w:id="241"/>
      <w:bookmarkEnd w:id="242"/>
      <w:bookmarkEnd w:id="243"/>
      <w:bookmarkEnd w:id="244"/>
      <w:bookmarkEnd w:id="245"/>
      <w:bookmarkEnd w:id="246"/>
      <w:bookmarkEnd w:id="247"/>
      <w:bookmarkEnd w:id="248"/>
      <w:r>
        <w:rPr>
          <w:rFonts w:hint="eastAsia" w:asciiTheme="minorEastAsia" w:hAnsiTheme="minorEastAsia" w:eastAsiaTheme="minorEastAsia"/>
          <w:b/>
          <w:color w:val="000000" w:themeColor="text1"/>
          <w:sz w:val="30"/>
          <w:szCs w:val="30"/>
          <w:highlight w:val="none"/>
          <w14:textFill>
            <w14:solidFill>
              <w14:schemeClr w14:val="tx1"/>
            </w14:solidFill>
          </w14:textFill>
        </w:rPr>
        <w:t>报价</w:t>
      </w:r>
      <w:r>
        <w:rPr>
          <w:rFonts w:asciiTheme="minorEastAsia" w:hAnsiTheme="minorEastAsia" w:eastAsiaTheme="minorEastAsia"/>
          <w:b/>
          <w:color w:val="000000" w:themeColor="text1"/>
          <w:sz w:val="30"/>
          <w:szCs w:val="30"/>
          <w:highlight w:val="none"/>
          <w14:textFill>
            <w14:solidFill>
              <w14:schemeClr w14:val="tx1"/>
            </w14:solidFill>
          </w14:textFill>
        </w:rPr>
        <w:t>函附</w:t>
      </w:r>
      <w:r>
        <w:rPr>
          <w:rFonts w:hint="eastAsia" w:asciiTheme="minorEastAsia" w:hAnsiTheme="minorEastAsia" w:eastAsiaTheme="minorEastAsia"/>
          <w:b/>
          <w:color w:val="000000" w:themeColor="text1"/>
          <w:sz w:val="30"/>
          <w:szCs w:val="30"/>
          <w:highlight w:val="none"/>
          <w14:textFill>
            <w14:solidFill>
              <w14:schemeClr w14:val="tx1"/>
            </w14:solidFill>
          </w14:textFill>
        </w:rPr>
        <w:t>表</w:t>
      </w:r>
    </w:p>
    <w:p w14:paraId="27811755">
      <w:pPr>
        <w:jc w:val="center"/>
        <w:rPr>
          <w:rFonts w:asciiTheme="minorEastAsia" w:hAnsiTheme="minorEastAsia" w:eastAsiaTheme="minorEastAsia"/>
          <w:b/>
          <w:color w:val="000000" w:themeColor="text1"/>
          <w:sz w:val="30"/>
          <w:szCs w:val="30"/>
          <w:highlight w:val="none"/>
          <w14:textFill>
            <w14:solidFill>
              <w14:schemeClr w14:val="tx1"/>
            </w14:solidFill>
          </w14:textFill>
        </w:rPr>
      </w:pPr>
    </w:p>
    <w:tbl>
      <w:tblPr>
        <w:tblStyle w:val="17"/>
        <w:tblpPr w:leftFromText="180" w:rightFromText="180" w:vertAnchor="text" w:horzAnchor="margin" w:tblpXSpec="center" w:tblpY="180"/>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81"/>
        <w:gridCol w:w="2282"/>
        <w:gridCol w:w="2282"/>
      </w:tblGrid>
      <w:tr w14:paraId="1E6C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2268" w:type="dxa"/>
            <w:tcBorders>
              <w:bottom w:val="single" w:color="auto" w:sz="4" w:space="0"/>
            </w:tcBorders>
            <w:vAlign w:val="center"/>
          </w:tcPr>
          <w:p w14:paraId="314E9F35">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项目名称</w:t>
            </w:r>
          </w:p>
        </w:tc>
        <w:tc>
          <w:tcPr>
            <w:tcW w:w="6845" w:type="dxa"/>
            <w:gridSpan w:val="3"/>
            <w:tcBorders>
              <w:bottom w:val="single" w:color="auto" w:sz="4" w:space="0"/>
            </w:tcBorders>
            <w:vAlign w:val="center"/>
          </w:tcPr>
          <w:p w14:paraId="6CD41B1C">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14:paraId="401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tcBorders>
              <w:bottom w:val="single" w:color="auto" w:sz="4" w:space="0"/>
            </w:tcBorders>
            <w:vAlign w:val="center"/>
          </w:tcPr>
          <w:p w14:paraId="4C03DFBF">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供应商名称</w:t>
            </w:r>
          </w:p>
        </w:tc>
        <w:tc>
          <w:tcPr>
            <w:tcW w:w="6845" w:type="dxa"/>
            <w:gridSpan w:val="3"/>
            <w:tcBorders>
              <w:bottom w:val="single" w:color="auto" w:sz="4" w:space="0"/>
            </w:tcBorders>
          </w:tcPr>
          <w:p w14:paraId="11C12250">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p>
        </w:tc>
      </w:tr>
      <w:tr w14:paraId="1975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268" w:type="dxa"/>
            <w:tcBorders>
              <w:bottom w:val="single" w:color="auto" w:sz="4" w:space="0"/>
            </w:tcBorders>
            <w:vAlign w:val="center"/>
          </w:tcPr>
          <w:p w14:paraId="79E12845">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项目负责人</w:t>
            </w:r>
          </w:p>
        </w:tc>
        <w:tc>
          <w:tcPr>
            <w:tcW w:w="2281" w:type="dxa"/>
            <w:tcBorders>
              <w:bottom w:val="single" w:color="auto" w:sz="4" w:space="0"/>
            </w:tcBorders>
            <w:vAlign w:val="center"/>
          </w:tcPr>
          <w:p w14:paraId="73F5BA32">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2282" w:type="dxa"/>
            <w:tcBorders>
              <w:bottom w:val="single" w:color="auto" w:sz="4" w:space="0"/>
            </w:tcBorders>
            <w:vAlign w:val="center"/>
          </w:tcPr>
          <w:p w14:paraId="769394E9">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联系电话（手机号）</w:t>
            </w:r>
          </w:p>
        </w:tc>
        <w:tc>
          <w:tcPr>
            <w:tcW w:w="2282" w:type="dxa"/>
            <w:tcBorders>
              <w:bottom w:val="single" w:color="auto" w:sz="4" w:space="0"/>
            </w:tcBorders>
            <w:vAlign w:val="center"/>
          </w:tcPr>
          <w:p w14:paraId="11859136">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p>
        </w:tc>
      </w:tr>
      <w:tr w14:paraId="78BE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2268" w:type="dxa"/>
            <w:tcBorders>
              <w:bottom w:val="single" w:color="auto" w:sz="4" w:space="0"/>
            </w:tcBorders>
            <w:vAlign w:val="center"/>
          </w:tcPr>
          <w:p w14:paraId="17054A53">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服务内容</w:t>
            </w:r>
          </w:p>
        </w:tc>
        <w:tc>
          <w:tcPr>
            <w:tcW w:w="6845" w:type="dxa"/>
            <w:gridSpan w:val="3"/>
            <w:tcBorders>
              <w:bottom w:val="single" w:color="auto" w:sz="4" w:space="0"/>
            </w:tcBorders>
          </w:tcPr>
          <w:p w14:paraId="57498EC6">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p>
        </w:tc>
      </w:tr>
      <w:tr w14:paraId="44ED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vAlign w:val="center"/>
          </w:tcPr>
          <w:p w14:paraId="29D05D81">
            <w:pPr>
              <w:overflowPunct w:val="0"/>
              <w:topLinePunct/>
              <w:adjustRightInd w:val="0"/>
              <w:spacing w:line="360" w:lineRule="exact"/>
              <w:jc w:val="center"/>
              <w:textAlignment w:val="top"/>
              <w:rPr>
                <w:rFonts w:cs="宋体" w:asciiTheme="minorEastAsia" w:hAnsiTheme="minorEastAsia" w:eastAsiaTheme="minorEastAsia"/>
                <w:color w:val="000000" w:themeColor="text1"/>
                <w:kern w:val="24"/>
                <w:sz w:val="24"/>
                <w:highlight w:val="none"/>
                <w14:textFill>
                  <w14:solidFill>
                    <w14:schemeClr w14:val="tx1"/>
                  </w14:solidFill>
                </w14:textFill>
              </w:rPr>
            </w:pPr>
            <w:r>
              <w:rPr>
                <w:rFonts w:hint="eastAsia" w:cs="宋体" w:asciiTheme="minorEastAsia" w:hAnsiTheme="minorEastAsia" w:eastAsiaTheme="minorEastAsia"/>
                <w:color w:val="000000" w:themeColor="text1"/>
                <w:kern w:val="24"/>
                <w:sz w:val="24"/>
                <w:highlight w:val="none"/>
                <w14:textFill>
                  <w14:solidFill>
                    <w14:schemeClr w14:val="tx1"/>
                  </w14:solidFill>
                </w14:textFill>
              </w:rPr>
              <w:t>一次报价（元）</w:t>
            </w:r>
          </w:p>
        </w:tc>
        <w:tc>
          <w:tcPr>
            <w:tcW w:w="6845" w:type="dxa"/>
            <w:gridSpan w:val="3"/>
            <w:tcBorders>
              <w:bottom w:val="single" w:color="auto" w:sz="4" w:space="0"/>
            </w:tcBorders>
            <w:vAlign w:val="center"/>
          </w:tcPr>
          <w:p w14:paraId="4E8D39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000000" w:themeColor="text1"/>
                <w:sz w:val="24"/>
                <w:highlight w:val="none"/>
                <w14:textFill>
                  <w14:solidFill>
                    <w14:schemeClr w14:val="tx1"/>
                  </w14:solidFill>
                </w14:textFill>
              </w:rPr>
            </w:pPr>
          </w:p>
          <w:p w14:paraId="5D74A6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大写：</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元</w:t>
            </w:r>
          </w:p>
          <w:p w14:paraId="0D126E81">
            <w:pPr>
              <w:pStyle w:val="16"/>
              <w:rPr>
                <w:rFonts w:hint="eastAsia"/>
              </w:rPr>
            </w:pPr>
          </w:p>
          <w:p w14:paraId="382534E0">
            <w:pPr>
              <w:keepNext w:val="0"/>
              <w:keepLines w:val="0"/>
              <w:pageBreakBefore w:val="0"/>
              <w:widowControl w:val="0"/>
              <w:kinsoku/>
              <w:wordWrap/>
              <w:overflowPunct/>
              <w:topLinePunct w:val="0"/>
              <w:autoSpaceDE/>
              <w:autoSpaceDN/>
              <w:bidi w:val="0"/>
              <w:adjustRightInd/>
              <w:snapToGrid/>
              <w:spacing w:line="360" w:lineRule="auto"/>
              <w:textAlignment w:val="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小写：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元</w:t>
            </w:r>
          </w:p>
        </w:tc>
      </w:tr>
      <w:tr w14:paraId="5939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vAlign w:val="center"/>
          </w:tcPr>
          <w:p w14:paraId="6A9913B8">
            <w:pPr>
              <w:snapToGrid w:val="0"/>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服务期限</w:t>
            </w:r>
          </w:p>
        </w:tc>
        <w:tc>
          <w:tcPr>
            <w:tcW w:w="6845" w:type="dxa"/>
            <w:gridSpan w:val="3"/>
            <w:tcBorders>
              <w:bottom w:val="single" w:color="auto" w:sz="4" w:space="0"/>
            </w:tcBorders>
            <w:vAlign w:val="center"/>
          </w:tcPr>
          <w:p w14:paraId="5A0971E1">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p>
        </w:tc>
      </w:tr>
      <w:tr w14:paraId="15AF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vAlign w:val="center"/>
          </w:tcPr>
          <w:p w14:paraId="41CD6C56">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服务地点</w:t>
            </w:r>
          </w:p>
        </w:tc>
        <w:tc>
          <w:tcPr>
            <w:tcW w:w="6845" w:type="dxa"/>
            <w:gridSpan w:val="3"/>
            <w:tcBorders>
              <w:bottom w:val="single" w:color="auto" w:sz="4" w:space="0"/>
            </w:tcBorders>
            <w:vAlign w:val="center"/>
          </w:tcPr>
          <w:p w14:paraId="118D6D95">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p>
        </w:tc>
      </w:tr>
      <w:tr w14:paraId="56BD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vAlign w:val="center"/>
          </w:tcPr>
          <w:p w14:paraId="3DFAC444">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服务标准</w:t>
            </w:r>
          </w:p>
        </w:tc>
        <w:tc>
          <w:tcPr>
            <w:tcW w:w="6845" w:type="dxa"/>
            <w:gridSpan w:val="3"/>
            <w:tcBorders>
              <w:bottom w:val="single" w:color="auto" w:sz="4" w:space="0"/>
            </w:tcBorders>
            <w:vAlign w:val="center"/>
          </w:tcPr>
          <w:p w14:paraId="10449851">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p>
        </w:tc>
      </w:tr>
      <w:tr w14:paraId="5858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vAlign w:val="center"/>
          </w:tcPr>
          <w:p w14:paraId="6C8C0FFA">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磋商有效期</w:t>
            </w:r>
          </w:p>
        </w:tc>
        <w:tc>
          <w:tcPr>
            <w:tcW w:w="6845" w:type="dxa"/>
            <w:gridSpan w:val="3"/>
            <w:tcBorders>
              <w:bottom w:val="single" w:color="auto" w:sz="4" w:space="0"/>
            </w:tcBorders>
            <w:vAlign w:val="center"/>
          </w:tcPr>
          <w:p w14:paraId="372FE1FB">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自磋商截止之日起</w:t>
            </w:r>
            <w:r>
              <w:rPr>
                <w:rFonts w:hint="eastAsia" w:cs="宋体"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日历天</w:t>
            </w:r>
          </w:p>
        </w:tc>
      </w:tr>
      <w:tr w14:paraId="355D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vAlign w:val="center"/>
          </w:tcPr>
          <w:p w14:paraId="607CD3F0">
            <w:pPr>
              <w:spacing w:line="360" w:lineRule="exact"/>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备注</w:t>
            </w:r>
          </w:p>
        </w:tc>
        <w:tc>
          <w:tcPr>
            <w:tcW w:w="6845" w:type="dxa"/>
            <w:gridSpan w:val="3"/>
            <w:tcBorders>
              <w:bottom w:val="single" w:color="auto" w:sz="4" w:space="0"/>
            </w:tcBorders>
            <w:vAlign w:val="center"/>
          </w:tcPr>
          <w:p w14:paraId="1102E8E8">
            <w:pPr>
              <w:spacing w:line="360" w:lineRule="exact"/>
              <w:rPr>
                <w:rFonts w:cs="宋体" w:asciiTheme="minorEastAsia" w:hAnsiTheme="minorEastAsia" w:eastAsiaTheme="minorEastAsia"/>
                <w:color w:val="000000" w:themeColor="text1"/>
                <w:sz w:val="24"/>
                <w:highlight w:val="none"/>
                <w14:textFill>
                  <w14:solidFill>
                    <w14:schemeClr w14:val="tx1"/>
                  </w14:solidFill>
                </w14:textFill>
              </w:rPr>
            </w:pPr>
          </w:p>
        </w:tc>
      </w:tr>
    </w:tbl>
    <w:p w14:paraId="3A718CC2">
      <w:pPr>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注：1、投标报价仅且只有一个有效报价，不得出现两个及以上报价，否则作废标处理；</w:t>
      </w:r>
    </w:p>
    <w:p w14:paraId="7536AE32">
      <w:pPr>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2、此处为第一轮报价供磋商小组在评审时参考比较，此时的最低报价并不是成交的条件。</w:t>
      </w:r>
    </w:p>
    <w:p w14:paraId="1F5AB9DD">
      <w:pPr>
        <w:spacing w:line="360" w:lineRule="auto"/>
        <w:jc w:val="both"/>
        <w:rPr>
          <w:rFonts w:asciiTheme="minorEastAsia" w:hAnsiTheme="minorEastAsia" w:eastAsiaTheme="minorEastAsia"/>
          <w:b/>
          <w:color w:val="000000" w:themeColor="text1"/>
          <w:sz w:val="24"/>
          <w:highlight w:val="none"/>
          <w14:textFill>
            <w14:solidFill>
              <w14:schemeClr w14:val="tx1"/>
            </w14:solidFill>
          </w14:textFill>
        </w:rPr>
      </w:pPr>
    </w:p>
    <w:p w14:paraId="25FC387D">
      <w:pPr>
        <w:spacing w:line="360" w:lineRule="auto"/>
        <w:ind w:firstLine="2710" w:firstLineChars="941"/>
        <w:rPr>
          <w:rFonts w:asciiTheme="minorEastAsia" w:hAnsiTheme="minorEastAsia" w:eastAsiaTheme="minorEastAsia"/>
          <w:color w:val="000000" w:themeColor="text1"/>
          <w:spacing w:val="24"/>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w:t>
      </w:r>
    </w:p>
    <w:p w14:paraId="38AA6E9E">
      <w:pPr>
        <w:spacing w:line="360" w:lineRule="auto"/>
        <w:ind w:firstLine="2710" w:firstLineChars="941"/>
        <w:rPr>
          <w:rFonts w:asciiTheme="minorEastAsia" w:hAnsiTheme="minorEastAsia" w:eastAsiaTheme="minorEastAsia"/>
          <w:color w:val="000000" w:themeColor="text1"/>
          <w:spacing w:val="24"/>
          <w:sz w:val="24"/>
          <w:szCs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w:t>
      </w:r>
    </w:p>
    <w:p w14:paraId="0F0602E3">
      <w:pPr>
        <w:spacing w:line="360" w:lineRule="auto"/>
        <w:ind w:left="-199" w:leftChars="-95" w:right="452" w:firstLine="2710" w:firstLineChars="941"/>
        <w:jc w:val="center"/>
        <w:rPr>
          <w:rFonts w:cs="宋体" w:asciiTheme="minorEastAsia" w:hAnsiTheme="minorEastAsia" w:eastAsiaTheme="minorEastAsia"/>
          <w:color w:val="000000" w:themeColor="text1"/>
          <w:spacing w:val="8"/>
          <w:sz w:val="28"/>
          <w:szCs w:val="28"/>
          <w:highlight w:val="none"/>
          <w14:textFill>
            <w14:solidFill>
              <w14:schemeClr w14:val="tx1"/>
            </w14:solidFill>
          </w14:textFill>
        </w:rPr>
      </w:pP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日    期：</w:t>
      </w:r>
      <w:r>
        <w:rPr>
          <w:rFonts w:hint="eastAsia" w:asciiTheme="minorEastAsia" w:hAnsiTheme="minorEastAsia" w:eastAsiaTheme="minorEastAsia"/>
          <w:color w:val="000000" w:themeColor="text1"/>
          <w:spacing w:val="24"/>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szCs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szCs w:val="24"/>
          <w:highlight w:val="none"/>
          <w14:textFill>
            <w14:solidFill>
              <w14:schemeClr w14:val="tx1"/>
            </w14:solidFill>
          </w14:textFill>
        </w:rPr>
        <w:t>日</w:t>
      </w:r>
    </w:p>
    <w:p w14:paraId="2B4FB7D4">
      <w:pPr>
        <w:pStyle w:val="3"/>
        <w:spacing w:line="600" w:lineRule="exact"/>
        <w:jc w:val="center"/>
        <w:rPr>
          <w:rFonts w:cs="宋体-PUA" w:asciiTheme="minorEastAsia" w:hAnsiTheme="minorEastAsia" w:eastAsiaTheme="minorEastAsia"/>
          <w:color w:val="000000" w:themeColor="text1"/>
          <w:sz w:val="24"/>
          <w:szCs w:val="24"/>
          <w:highlight w:val="none"/>
          <w14:textFill>
            <w14:solidFill>
              <w14:schemeClr w14:val="tx1"/>
            </w14:solidFill>
          </w14:textFill>
        </w:rPr>
      </w:pPr>
      <w:bookmarkStart w:id="249" w:name="_Toc25680"/>
      <w:bookmarkStart w:id="250" w:name="_Toc68710943"/>
      <w:bookmarkStart w:id="251" w:name="_Toc171612799"/>
      <w:bookmarkStart w:id="252" w:name="_Toc171608869"/>
      <w:bookmarkStart w:id="253" w:name="_Toc101344077"/>
      <w:bookmarkStart w:id="254" w:name="_Toc173510812"/>
      <w:bookmarkStart w:id="255" w:name="_Toc19526"/>
      <w:r>
        <w:rPr>
          <w:rFonts w:hint="eastAsia" w:cs="宋体-PUA" w:asciiTheme="minorEastAsia" w:hAnsiTheme="minorEastAsia" w:eastAsiaTheme="minorEastAsia"/>
          <w:color w:val="000000" w:themeColor="text1"/>
          <w:szCs w:val="24"/>
          <w:highlight w:val="none"/>
          <w14:textFill>
            <w14:solidFill>
              <w14:schemeClr w14:val="tx1"/>
            </w14:solidFill>
          </w14:textFill>
        </w:rPr>
        <w:t>二、</w:t>
      </w:r>
      <w:bookmarkEnd w:id="249"/>
      <w:bookmarkEnd w:id="250"/>
      <w:r>
        <w:rPr>
          <w:rFonts w:hint="eastAsia" w:cs="宋体-PUA" w:asciiTheme="minorEastAsia" w:hAnsiTheme="minorEastAsia" w:eastAsiaTheme="minorEastAsia"/>
          <w:color w:val="000000" w:themeColor="text1"/>
          <w:szCs w:val="24"/>
          <w:highlight w:val="none"/>
          <w14:textFill>
            <w14:solidFill>
              <w14:schemeClr w14:val="tx1"/>
            </w14:solidFill>
          </w14:textFill>
        </w:rPr>
        <w:t>法定代表人身份证明及授权委托书</w:t>
      </w:r>
      <w:bookmarkEnd w:id="251"/>
      <w:bookmarkEnd w:id="252"/>
      <w:bookmarkEnd w:id="253"/>
      <w:bookmarkEnd w:id="254"/>
      <w:bookmarkEnd w:id="255"/>
    </w:p>
    <w:p w14:paraId="7347DDF4">
      <w:pPr>
        <w:spacing w:line="360" w:lineRule="auto"/>
        <w:jc w:val="center"/>
        <w:rPr>
          <w:rFonts w:cs="宋体-PUA" w:asciiTheme="minorEastAsia" w:hAnsiTheme="minorEastAsia" w:eastAsiaTheme="minorEastAsia"/>
          <w:b/>
          <w:color w:val="000000" w:themeColor="text1"/>
          <w:sz w:val="28"/>
          <w:szCs w:val="28"/>
          <w:highlight w:val="none"/>
          <w14:textFill>
            <w14:solidFill>
              <w14:schemeClr w14:val="tx1"/>
            </w14:solidFill>
          </w14:textFill>
        </w:rPr>
      </w:pPr>
    </w:p>
    <w:p w14:paraId="303BF9C9">
      <w:pPr>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PUA" w:asciiTheme="minorEastAsia" w:hAnsiTheme="minorEastAsia" w:eastAsiaTheme="minorEastAsia"/>
          <w:b/>
          <w:color w:val="000000" w:themeColor="text1"/>
          <w:sz w:val="24"/>
          <w:highlight w:val="none"/>
          <w14:textFill>
            <w14:solidFill>
              <w14:schemeClr w14:val="tx1"/>
            </w14:solidFill>
          </w14:textFill>
        </w:rPr>
        <w:t>法定代表人身份证明</w:t>
      </w:r>
    </w:p>
    <w:p w14:paraId="66A5EA92">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p>
    <w:p w14:paraId="18FEF65E">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供应商名称：</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p>
    <w:p w14:paraId="2F12EF0D">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单位性质：</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p>
    <w:p w14:paraId="52B8BA97">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地址：</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p>
    <w:p w14:paraId="3F5B7B59">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成立时间：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月</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日</w:t>
      </w:r>
    </w:p>
    <w:p w14:paraId="1FA81B43">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经营期限：</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p>
    <w:p w14:paraId="4E2EE7B0">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姓名：</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性别：</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年龄：</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职务：</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p>
    <w:p w14:paraId="1DE5A8A7">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系</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（供应商名称）的法定代表人。</w:t>
      </w:r>
    </w:p>
    <w:p w14:paraId="16C7A810">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特此证明。</w:t>
      </w:r>
    </w:p>
    <w:p w14:paraId="7919C91B">
      <w:pPr>
        <w:spacing w:line="440" w:lineRule="exact"/>
        <w:rPr>
          <w:rFonts w:cs="宋体" w:asciiTheme="minorEastAsia" w:hAnsiTheme="minorEastAsia" w:eastAsiaTheme="minorEastAsia"/>
          <w:color w:val="000000" w:themeColor="text1"/>
          <w:sz w:val="24"/>
          <w:highlight w:val="none"/>
          <w14:textFill>
            <w14:solidFill>
              <w14:schemeClr w14:val="tx1"/>
            </w14:solidFill>
          </w14:textFill>
        </w:rPr>
      </w:pPr>
    </w:p>
    <w:p w14:paraId="4BD5F49E">
      <w:pPr>
        <w:spacing w:line="440" w:lineRule="exact"/>
        <w:rPr>
          <w:rFonts w:cs="宋体" w:asciiTheme="minorEastAsia" w:hAnsiTheme="minorEastAsia" w:eastAsiaTheme="minorEastAsia"/>
          <w:color w:val="000000" w:themeColor="text1"/>
          <w:sz w:val="24"/>
          <w:highlight w:val="none"/>
          <w14:textFill>
            <w14:solidFill>
              <w14:schemeClr w14:val="tx1"/>
            </w14:solidFill>
          </w14:textFill>
        </w:rPr>
      </w:pPr>
    </w:p>
    <w:p w14:paraId="55BC5001">
      <w:pPr>
        <w:spacing w:line="360" w:lineRule="auto"/>
        <w:ind w:firstLine="2258" w:firstLineChars="941"/>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1FD186D8">
      <w:pPr>
        <w:spacing w:line="360" w:lineRule="auto"/>
        <w:ind w:firstLine="2710" w:firstLineChars="941"/>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A3782B7">
      <w:pPr>
        <w:spacing w:line="360" w:lineRule="auto"/>
        <w:ind w:left="-199" w:leftChars="-95" w:right="452" w:firstLine="2995" w:firstLineChars="1040"/>
        <w:rPr>
          <w:rFonts w:cs="宋体" w:asciiTheme="minorEastAsia" w:hAnsiTheme="minorEastAsia" w:eastAsiaTheme="minorEastAsia"/>
          <w:color w:val="000000" w:themeColor="text1"/>
          <w:spacing w:val="8"/>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p>
    <w:p w14:paraId="53D3DE74">
      <w:pPr>
        <w:spacing w:line="480" w:lineRule="auto"/>
        <w:rPr>
          <w:rFonts w:cs="宋体" w:asciiTheme="minorEastAsia" w:hAnsiTheme="minorEastAsia" w:eastAsiaTheme="minorEastAsia"/>
          <w:color w:val="000000" w:themeColor="text1"/>
          <w:sz w:val="24"/>
          <w:highlight w:val="none"/>
          <w14:textFill>
            <w14:solidFill>
              <w14:schemeClr w14:val="tx1"/>
            </w14:solidFill>
          </w14:textFill>
        </w:rPr>
      </w:pPr>
    </w:p>
    <w:p w14:paraId="32C323C5">
      <w:pPr>
        <w:spacing w:line="480" w:lineRule="auto"/>
        <w:rPr>
          <w:rFonts w:asciiTheme="minorEastAsia" w:hAnsiTheme="minorEastAsia" w:eastAsiaTheme="minorEastAsia"/>
          <w:color w:val="000000" w:themeColor="text1"/>
          <w:sz w:val="24"/>
          <w:highlight w:val="none"/>
          <w14:textFill>
            <w14:solidFill>
              <w14:schemeClr w14:val="tx1"/>
            </w14:solidFill>
          </w14:textFill>
        </w:rPr>
      </w:pPr>
    </w:p>
    <w:p w14:paraId="672547AA">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746B244A">
      <w:pPr>
        <w:pStyle w:val="16"/>
        <w:ind w:firstLine="200"/>
        <w:rPr>
          <w:color w:val="000000" w:themeColor="text1"/>
          <w:highlight w:val="none"/>
          <w14:textFill>
            <w14:solidFill>
              <w14:schemeClr w14:val="tx1"/>
            </w14:solidFill>
          </w14:textFill>
        </w:rPr>
      </w:pPr>
    </w:p>
    <w:p w14:paraId="2AD9FBB5">
      <w:pPr>
        <w:pStyle w:val="8"/>
        <w:ind w:right="164" w:firstLine="560"/>
        <w:rPr>
          <w:color w:val="000000" w:themeColor="text1"/>
          <w:highlight w:val="none"/>
          <w14:textFill>
            <w14:solidFill>
              <w14:schemeClr w14:val="tx1"/>
            </w14:solidFill>
          </w14:textFill>
        </w:rPr>
      </w:pPr>
    </w:p>
    <w:p w14:paraId="01E4C383">
      <w:pPr>
        <w:rPr>
          <w:color w:val="000000" w:themeColor="text1"/>
          <w:highlight w:val="none"/>
          <w14:textFill>
            <w14:solidFill>
              <w14:schemeClr w14:val="tx1"/>
            </w14:solidFill>
          </w14:textFill>
        </w:rPr>
      </w:pPr>
    </w:p>
    <w:p w14:paraId="3CC73127">
      <w:pPr>
        <w:pStyle w:val="16"/>
        <w:ind w:firstLine="200"/>
        <w:rPr>
          <w:color w:val="000000" w:themeColor="text1"/>
          <w:highlight w:val="none"/>
          <w14:textFill>
            <w14:solidFill>
              <w14:schemeClr w14:val="tx1"/>
            </w14:solidFill>
          </w14:textFill>
        </w:rPr>
      </w:pPr>
    </w:p>
    <w:p w14:paraId="536FBDD1">
      <w:pPr>
        <w:pStyle w:val="8"/>
        <w:ind w:right="164" w:firstLine="560"/>
        <w:rPr>
          <w:color w:val="000000" w:themeColor="text1"/>
          <w:highlight w:val="none"/>
          <w14:textFill>
            <w14:solidFill>
              <w14:schemeClr w14:val="tx1"/>
            </w14:solidFill>
          </w14:textFill>
        </w:rPr>
      </w:pPr>
    </w:p>
    <w:p w14:paraId="73FC1479">
      <w:pPr>
        <w:rPr>
          <w:color w:val="000000" w:themeColor="text1"/>
          <w:highlight w:val="none"/>
          <w14:textFill>
            <w14:solidFill>
              <w14:schemeClr w14:val="tx1"/>
            </w14:solidFill>
          </w14:textFill>
        </w:rPr>
      </w:pPr>
    </w:p>
    <w:p w14:paraId="2401BB2F">
      <w:pPr>
        <w:pStyle w:val="16"/>
        <w:ind w:firstLine="200"/>
        <w:rPr>
          <w:color w:val="000000" w:themeColor="text1"/>
          <w:highlight w:val="none"/>
          <w14:textFill>
            <w14:solidFill>
              <w14:schemeClr w14:val="tx1"/>
            </w14:solidFill>
          </w14:textFill>
        </w:rPr>
      </w:pPr>
    </w:p>
    <w:p w14:paraId="533888D0">
      <w:pPr>
        <w:pStyle w:val="8"/>
        <w:ind w:right="164" w:firstLine="560"/>
        <w:rPr>
          <w:color w:val="000000" w:themeColor="text1"/>
          <w:highlight w:val="none"/>
          <w14:textFill>
            <w14:solidFill>
              <w14:schemeClr w14:val="tx1"/>
            </w14:solidFill>
          </w14:textFill>
        </w:rPr>
      </w:pPr>
    </w:p>
    <w:p w14:paraId="10505E9F">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30FF76B6">
      <w:pPr>
        <w:spacing w:line="440" w:lineRule="exact"/>
        <w:ind w:firstLine="482"/>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授权委托书</w:t>
      </w:r>
    </w:p>
    <w:p w14:paraId="2C10A860">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28219027">
      <w:pPr>
        <w:spacing w:line="360" w:lineRule="auto"/>
        <w:ind w:firstLine="600" w:firstLineChars="250"/>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本人</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（姓名）系</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 xml:space="preserve">（供应商名称）的法定代表人，现委托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（姓名）为我方代理人。代理人根据授权，以我方名义签署、澄清、说明、补正、提交、撤回、修改</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（项目名称）响应文件、签订合同和处理有关事宜，其法律后果由我方承担。</w:t>
      </w:r>
    </w:p>
    <w:p w14:paraId="61F9D755">
      <w:pPr>
        <w:spacing w:line="360" w:lineRule="auto"/>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 xml:space="preserve">委托期限： </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bCs/>
          <w:color w:val="000000" w:themeColor="text1"/>
          <w:sz w:val="24"/>
          <w:highlight w:val="none"/>
          <w14:textFill>
            <w14:solidFill>
              <w14:schemeClr w14:val="tx1"/>
            </w14:solidFill>
          </w14:textFill>
        </w:rPr>
        <w:t>。</w:t>
      </w:r>
    </w:p>
    <w:p w14:paraId="5DA4F930">
      <w:pPr>
        <w:spacing w:line="360" w:lineRule="auto"/>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代理人无转委托权</w:t>
      </w:r>
      <w:r>
        <w:rPr>
          <w:rFonts w:hint="eastAsia" w:asciiTheme="minorEastAsia" w:hAnsiTheme="minorEastAsia" w:eastAsiaTheme="minorEastAsia"/>
          <w:color w:val="000000" w:themeColor="text1"/>
          <w:sz w:val="24"/>
          <w:highlight w:val="none"/>
          <w14:textFill>
            <w14:solidFill>
              <w14:schemeClr w14:val="tx1"/>
            </w14:solidFill>
          </w14:textFill>
        </w:rPr>
        <w:t>，特此委托。</w:t>
      </w:r>
    </w:p>
    <w:p w14:paraId="0FD2C7CB">
      <w:pPr>
        <w:spacing w:line="360" w:lineRule="auto"/>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附：法定代表人、被授权人身份证</w:t>
      </w:r>
      <w:r>
        <w:rPr>
          <w:rFonts w:hint="eastAsia" w:cs="宋体" w:asciiTheme="minorEastAsia" w:hAnsiTheme="minorEastAsia" w:eastAsiaTheme="minorEastAsia"/>
          <w:color w:val="000000" w:themeColor="text1"/>
          <w:sz w:val="24"/>
          <w:highlight w:val="none"/>
          <w14:textFill>
            <w14:solidFill>
              <w14:schemeClr w14:val="tx1"/>
            </w14:solidFill>
          </w14:textFill>
        </w:rPr>
        <w:t>正反面</w:t>
      </w:r>
      <w:r>
        <w:rPr>
          <w:rFonts w:hint="eastAsia" w:asciiTheme="minorEastAsia" w:hAnsiTheme="minorEastAsia" w:eastAsiaTheme="minorEastAsia"/>
          <w:bCs/>
          <w:color w:val="000000" w:themeColor="text1"/>
          <w:sz w:val="24"/>
          <w:highlight w:val="none"/>
          <w14:textFill>
            <w14:solidFill>
              <w14:schemeClr w14:val="tx1"/>
            </w14:solidFill>
          </w14:textFill>
        </w:rPr>
        <w:t>扫描件。</w:t>
      </w:r>
    </w:p>
    <w:p w14:paraId="6B0B13D8">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2ED3AFEB">
      <w:pPr>
        <w:spacing w:line="360" w:lineRule="auto"/>
        <w:rPr>
          <w:rFonts w:asciiTheme="minorEastAsia" w:hAnsiTheme="minorEastAsia" w:eastAsiaTheme="minorEastAsia"/>
          <w:b/>
          <w:bCs/>
          <w:color w:val="000000" w:themeColor="text1"/>
          <w:sz w:val="24"/>
          <w:highlight w:val="none"/>
          <w14:textFill>
            <w14:solidFill>
              <w14:schemeClr w14:val="tx1"/>
            </w14:solidFill>
          </w14:textFill>
        </w:rPr>
      </w:pPr>
    </w:p>
    <w:p w14:paraId="6EB6C5D7">
      <w:pPr>
        <w:autoSpaceDE w:val="0"/>
        <w:autoSpaceDN w:val="0"/>
        <w:adjustRightInd w:val="0"/>
        <w:spacing w:line="480" w:lineRule="auto"/>
        <w:ind w:firstLine="2428" w:firstLineChars="1012"/>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 xml:space="preserve">磋商供应商： </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15E248A4">
      <w:pPr>
        <w:autoSpaceDE w:val="0"/>
        <w:autoSpaceDN w:val="0"/>
        <w:adjustRightInd w:val="0"/>
        <w:spacing w:line="480" w:lineRule="auto"/>
        <w:ind w:firstLine="2428" w:firstLineChars="1012"/>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法定代表人：</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w:t>
      </w:r>
    </w:p>
    <w:p w14:paraId="080E8371">
      <w:pPr>
        <w:autoSpaceDE w:val="0"/>
        <w:autoSpaceDN w:val="0"/>
        <w:adjustRightInd w:val="0"/>
        <w:spacing w:line="480" w:lineRule="auto"/>
        <w:ind w:firstLine="2428" w:firstLineChars="1012"/>
        <w:jc w:val="left"/>
        <w:rPr>
          <w:rFonts w:cs="宋体" w:asciiTheme="minorEastAsia" w:hAnsiTheme="minorEastAsia" w:eastAsiaTheme="minorEastAsia"/>
          <w:color w:val="000000" w:themeColor="text1"/>
          <w:kern w:val="0"/>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 xml:space="preserve">身份证号码： </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p>
    <w:p w14:paraId="3ADB8815">
      <w:pPr>
        <w:autoSpaceDE w:val="0"/>
        <w:autoSpaceDN w:val="0"/>
        <w:adjustRightInd w:val="0"/>
        <w:spacing w:line="480" w:lineRule="auto"/>
        <w:ind w:firstLine="2428" w:firstLineChars="1012"/>
        <w:jc w:val="left"/>
        <w:rPr>
          <w:rFonts w:cs="宋体" w:asciiTheme="minorEastAsia" w:hAnsiTheme="minorEastAsia" w:eastAsiaTheme="minorEastAsia"/>
          <w:color w:val="000000" w:themeColor="text1"/>
          <w:kern w:val="0"/>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 xml:space="preserve">被授权人身份证号码： </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p>
    <w:p w14:paraId="13180051">
      <w:pPr>
        <w:spacing w:line="480" w:lineRule="auto"/>
        <w:ind w:right="944" w:firstLine="2592" w:firstLineChars="90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p>
    <w:p w14:paraId="5DC76D25">
      <w:pPr>
        <w:pStyle w:val="16"/>
        <w:ind w:firstLine="200"/>
        <w:rPr>
          <w:color w:val="000000" w:themeColor="text1"/>
          <w:highlight w:val="none"/>
          <w14:textFill>
            <w14:solidFill>
              <w14:schemeClr w14:val="tx1"/>
            </w14:solidFill>
          </w14:textFill>
        </w:rPr>
      </w:pPr>
    </w:p>
    <w:p w14:paraId="6364E18D">
      <w:pPr>
        <w:pStyle w:val="8"/>
        <w:ind w:right="164" w:firstLine="560"/>
        <w:rPr>
          <w:color w:val="000000" w:themeColor="text1"/>
          <w:highlight w:val="none"/>
          <w14:textFill>
            <w14:solidFill>
              <w14:schemeClr w14:val="tx1"/>
            </w14:solidFill>
          </w14:textFill>
        </w:rPr>
      </w:pPr>
    </w:p>
    <w:p w14:paraId="1C67F82E">
      <w:pPr>
        <w:rPr>
          <w:color w:val="000000" w:themeColor="text1"/>
          <w:highlight w:val="none"/>
          <w14:textFill>
            <w14:solidFill>
              <w14:schemeClr w14:val="tx1"/>
            </w14:solidFill>
          </w14:textFill>
        </w:rPr>
      </w:pPr>
    </w:p>
    <w:p w14:paraId="1DC0AAC0">
      <w:pPr>
        <w:pStyle w:val="16"/>
        <w:ind w:firstLine="200"/>
        <w:rPr>
          <w:color w:val="000000" w:themeColor="text1"/>
          <w:highlight w:val="none"/>
          <w14:textFill>
            <w14:solidFill>
              <w14:schemeClr w14:val="tx1"/>
            </w14:solidFill>
          </w14:textFill>
        </w:rPr>
      </w:pPr>
    </w:p>
    <w:p w14:paraId="0DA74B76">
      <w:pPr>
        <w:pStyle w:val="8"/>
        <w:ind w:right="164" w:firstLine="560"/>
        <w:rPr>
          <w:color w:val="000000" w:themeColor="text1"/>
          <w:highlight w:val="none"/>
          <w14:textFill>
            <w14:solidFill>
              <w14:schemeClr w14:val="tx1"/>
            </w14:solidFill>
          </w14:textFill>
        </w:rPr>
      </w:pPr>
    </w:p>
    <w:p w14:paraId="2F77AB82">
      <w:pPr>
        <w:rPr>
          <w:color w:val="000000" w:themeColor="text1"/>
          <w:highlight w:val="none"/>
          <w14:textFill>
            <w14:solidFill>
              <w14:schemeClr w14:val="tx1"/>
            </w14:solidFill>
          </w14:textFill>
        </w:rPr>
      </w:pPr>
    </w:p>
    <w:p w14:paraId="1DAAF7A4">
      <w:pPr>
        <w:pStyle w:val="16"/>
        <w:ind w:firstLine="200"/>
        <w:rPr>
          <w:color w:val="000000" w:themeColor="text1"/>
          <w:highlight w:val="none"/>
          <w14:textFill>
            <w14:solidFill>
              <w14:schemeClr w14:val="tx1"/>
            </w14:solidFill>
          </w14:textFill>
        </w:rPr>
      </w:pPr>
    </w:p>
    <w:p w14:paraId="005F9FFC">
      <w:pPr>
        <w:pStyle w:val="8"/>
        <w:ind w:right="164" w:firstLine="560"/>
        <w:rPr>
          <w:color w:val="000000" w:themeColor="text1"/>
          <w:highlight w:val="none"/>
          <w14:textFill>
            <w14:solidFill>
              <w14:schemeClr w14:val="tx1"/>
            </w14:solidFill>
          </w14:textFill>
        </w:rPr>
      </w:pPr>
    </w:p>
    <w:p w14:paraId="63A5FF0E">
      <w:pPr>
        <w:rPr>
          <w:color w:val="000000" w:themeColor="text1"/>
          <w:highlight w:val="none"/>
          <w14:textFill>
            <w14:solidFill>
              <w14:schemeClr w14:val="tx1"/>
            </w14:solidFill>
          </w14:textFill>
        </w:rPr>
      </w:pPr>
    </w:p>
    <w:p w14:paraId="58A0889B">
      <w:pPr>
        <w:pStyle w:val="16"/>
        <w:ind w:firstLine="200"/>
        <w:rPr>
          <w:color w:val="000000" w:themeColor="text1"/>
          <w:highlight w:val="none"/>
          <w14:textFill>
            <w14:solidFill>
              <w14:schemeClr w14:val="tx1"/>
            </w14:solidFill>
          </w14:textFill>
        </w:rPr>
      </w:pPr>
    </w:p>
    <w:p w14:paraId="32691D80">
      <w:pPr>
        <w:pStyle w:val="8"/>
        <w:ind w:right="164" w:firstLine="560"/>
        <w:rPr>
          <w:color w:val="000000" w:themeColor="text1"/>
          <w:highlight w:val="none"/>
          <w14:textFill>
            <w14:solidFill>
              <w14:schemeClr w14:val="tx1"/>
            </w14:solidFill>
          </w14:textFill>
        </w:rPr>
      </w:pPr>
    </w:p>
    <w:p w14:paraId="78D1A93F">
      <w:pPr>
        <w:rPr>
          <w:color w:val="000000" w:themeColor="text1"/>
          <w:highlight w:val="none"/>
          <w14:textFill>
            <w14:solidFill>
              <w14:schemeClr w14:val="tx1"/>
            </w14:solidFill>
          </w14:textFill>
        </w:rPr>
      </w:pPr>
    </w:p>
    <w:p w14:paraId="603B0B3E">
      <w:pPr>
        <w:pStyle w:val="3"/>
        <w:spacing w:line="600" w:lineRule="exact"/>
        <w:jc w:val="center"/>
        <w:rPr>
          <w:rFonts w:hint="eastAsia" w:cs="宋体-PUA" w:asciiTheme="minorEastAsia" w:hAnsiTheme="minorEastAsia" w:eastAsiaTheme="minorEastAsia"/>
          <w:color w:val="000000" w:themeColor="text1"/>
          <w:szCs w:val="24"/>
          <w:highlight w:val="none"/>
          <w14:textFill>
            <w14:solidFill>
              <w14:schemeClr w14:val="tx1"/>
            </w14:solidFill>
          </w14:textFill>
        </w:rPr>
      </w:pPr>
      <w:bookmarkStart w:id="256" w:name="_Toc173510813"/>
      <w:bookmarkStart w:id="257" w:name="_Toc101344078"/>
      <w:bookmarkStart w:id="258" w:name="_Toc19716"/>
      <w:bookmarkStart w:id="259" w:name="_Toc171608870"/>
      <w:bookmarkStart w:id="260" w:name="_Toc68710945"/>
      <w:bookmarkStart w:id="261" w:name="_Toc171612800"/>
      <w:bookmarkStart w:id="262" w:name="_Toc25249224"/>
      <w:r>
        <w:rPr>
          <w:rFonts w:hint="eastAsia" w:cs="宋体-PUA" w:asciiTheme="minorEastAsia" w:hAnsiTheme="minorEastAsia" w:eastAsiaTheme="minorEastAsia"/>
          <w:color w:val="000000" w:themeColor="text1"/>
          <w:szCs w:val="24"/>
          <w:highlight w:val="none"/>
          <w14:textFill>
            <w14:solidFill>
              <w14:schemeClr w14:val="tx1"/>
            </w14:solidFill>
          </w14:textFill>
        </w:rPr>
        <w:t>三、磋商承诺函</w:t>
      </w:r>
      <w:bookmarkEnd w:id="256"/>
      <w:bookmarkEnd w:id="257"/>
      <w:bookmarkEnd w:id="258"/>
      <w:bookmarkEnd w:id="259"/>
      <w:bookmarkEnd w:id="260"/>
      <w:bookmarkEnd w:id="261"/>
      <w:bookmarkEnd w:id="262"/>
    </w:p>
    <w:p w14:paraId="1A51144A">
      <w:pPr>
        <w:spacing w:line="480" w:lineRule="exact"/>
        <w:jc w:val="left"/>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致：（采购人）</w:t>
      </w:r>
    </w:p>
    <w:p w14:paraId="63C10275">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我方已充分了解了</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ab/>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ab/>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（项目名称）</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ab/>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（项目编号）的竞争性磋商文件，愿意遵照本项目《竞争性磋商文件》、《中华人民共和国政府采购法》等有关规定参与竞标，并承诺如下：</w:t>
      </w:r>
    </w:p>
    <w:p w14:paraId="33736468">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1、我方承诺将严格按照“公开、公平、公正和诚实信用原则”参与本项目竞标活动。</w:t>
      </w:r>
    </w:p>
    <w:p w14:paraId="661A8D6C">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2、我方承诺在投标有效期内不撤销响应性文件；</w:t>
      </w:r>
    </w:p>
    <w:p w14:paraId="4226575F">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3、我方承诺在响应性文件及对三门峡市公共资源交易供应商主体信息库中提供的材料真实有效；</w:t>
      </w:r>
    </w:p>
    <w:p w14:paraId="67E66CC2">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4、我方承诺绝不与采购人、其他投标供应商或者代理机构恶意串通的投标；</w:t>
      </w:r>
    </w:p>
    <w:p w14:paraId="0DDEB2EF">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5、我方承诺绝不以他人的名义投标、串通投标、以行贿手段谋取中标或者以其他弄虚作假方式投标；</w:t>
      </w:r>
    </w:p>
    <w:p w14:paraId="7C6A6437">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6、我方承诺绝不采取不正当手段谋取中标；</w:t>
      </w:r>
    </w:p>
    <w:p w14:paraId="12686393">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0B690FC4">
      <w:pPr>
        <w:autoSpaceDE w:val="0"/>
        <w:autoSpaceDN w:val="0"/>
        <w:adjustRightInd w:val="0"/>
        <w:spacing w:line="480" w:lineRule="exact"/>
        <w:ind w:firstLine="564" w:firstLineChars="235"/>
        <w:jc w:val="left"/>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8、如我方违反此约定，愿意承担对本项目造成的一切经济损失，并同时依法承担相应法律责任。</w:t>
      </w:r>
    </w:p>
    <w:p w14:paraId="74E2683A">
      <w:pPr>
        <w:topLinePunct/>
        <w:spacing w:line="480" w:lineRule="exact"/>
        <w:ind w:firstLine="480"/>
        <w:rPr>
          <w:rFonts w:asciiTheme="minorEastAsia" w:hAnsiTheme="minorEastAsia" w:eastAsiaTheme="minorEastAsia"/>
          <w:bCs/>
          <w:color w:val="000000" w:themeColor="text1"/>
          <w:sz w:val="24"/>
          <w:highlight w:val="none"/>
          <w14:textFill>
            <w14:solidFill>
              <w14:schemeClr w14:val="tx1"/>
            </w14:solidFill>
          </w14:textFill>
        </w:rPr>
      </w:pPr>
    </w:p>
    <w:p w14:paraId="2DF89483">
      <w:pPr>
        <w:spacing w:line="480" w:lineRule="exact"/>
        <w:ind w:firstLine="2612" w:firstLineChars="907"/>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19B8B0DE">
      <w:pPr>
        <w:spacing w:line="480" w:lineRule="exact"/>
        <w:ind w:firstLine="2612" w:firstLineChars="907"/>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640A98C5">
      <w:pPr>
        <w:spacing w:line="480" w:lineRule="exact"/>
        <w:ind w:left="-199" w:leftChars="-95" w:right="452" w:firstLine="2612" w:firstLineChars="907"/>
        <w:jc w:val="center"/>
        <w:rPr>
          <w:rFonts w:asciiTheme="minorEastAsia" w:hAnsiTheme="minorEastAsia" w:eastAsiaTheme="minorEastAsia"/>
          <w:color w:val="000000" w:themeColor="text1"/>
          <w:spacing w:val="24"/>
          <w:sz w:val="24"/>
          <w:highlight w:val="none"/>
          <w:u w:val="singl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p>
    <w:p w14:paraId="0C6CA970">
      <w:pPr>
        <w:pStyle w:val="16"/>
        <w:ind w:firstLine="200"/>
        <w:rPr>
          <w:color w:val="000000" w:themeColor="text1"/>
          <w:highlight w:val="none"/>
          <w14:textFill>
            <w14:solidFill>
              <w14:schemeClr w14:val="tx1"/>
            </w14:solidFill>
          </w14:textFill>
        </w:rPr>
        <w:sectPr>
          <w:pgSz w:w="11906" w:h="16838"/>
          <w:pgMar w:top="1418" w:right="1418" w:bottom="1418" w:left="1588" w:header="851" w:footer="771" w:gutter="0"/>
          <w:cols w:space="720" w:num="1"/>
          <w:docGrid w:linePitch="326" w:charSpace="0"/>
        </w:sectPr>
      </w:pPr>
    </w:p>
    <w:p w14:paraId="68C38AC9">
      <w:pPr>
        <w:pStyle w:val="3"/>
        <w:spacing w:line="600" w:lineRule="exact"/>
        <w:jc w:val="center"/>
        <w:rPr>
          <w:rFonts w:hint="eastAsia" w:cs="宋体-PUA" w:asciiTheme="minorEastAsia" w:hAnsiTheme="minorEastAsia" w:eastAsiaTheme="minorEastAsia"/>
          <w:color w:val="000000" w:themeColor="text1"/>
          <w:szCs w:val="24"/>
          <w:highlight w:val="none"/>
          <w14:textFill>
            <w14:solidFill>
              <w14:schemeClr w14:val="tx1"/>
            </w14:solidFill>
          </w14:textFill>
        </w:rPr>
      </w:pPr>
      <w:bookmarkStart w:id="263" w:name="_Toc173510814"/>
      <w:r>
        <w:rPr>
          <w:rFonts w:hint="eastAsia" w:cs="宋体-PUA" w:asciiTheme="minorEastAsia" w:hAnsiTheme="minorEastAsia" w:eastAsiaTheme="minorEastAsia"/>
          <w:color w:val="000000" w:themeColor="text1"/>
          <w:szCs w:val="24"/>
          <w:highlight w:val="none"/>
          <w:lang w:val="en-US" w:eastAsia="zh-CN"/>
          <w14:textFill>
            <w14:solidFill>
              <w14:schemeClr w14:val="tx1"/>
            </w14:solidFill>
          </w14:textFill>
        </w:rPr>
        <w:t>四、</w:t>
      </w:r>
      <w:r>
        <w:rPr>
          <w:rFonts w:hint="eastAsia" w:cs="宋体-PUA" w:asciiTheme="minorEastAsia" w:hAnsiTheme="minorEastAsia" w:eastAsiaTheme="minorEastAsia"/>
          <w:color w:val="000000" w:themeColor="text1"/>
          <w:szCs w:val="24"/>
          <w:highlight w:val="none"/>
          <w14:textFill>
            <w14:solidFill>
              <w14:schemeClr w14:val="tx1"/>
            </w14:solidFill>
          </w14:textFill>
        </w:rPr>
        <w:t>资格审查</w:t>
      </w:r>
      <w:bookmarkEnd w:id="263"/>
    </w:p>
    <w:p w14:paraId="4C6D9584">
      <w:pP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14:textFill>
            <w14:solidFill>
              <w14:schemeClr w14:val="tx1"/>
            </w14:solidFill>
          </w14:textFill>
        </w:rPr>
        <w:t>、供应商基本情况一览表</w:t>
      </w:r>
    </w:p>
    <w:p w14:paraId="0071ECCD">
      <w:pPr>
        <w:rPr>
          <w:rFonts w:ascii="宋体" w:hAnsi="宋体" w:cs="宋体"/>
          <w:color w:val="000000" w:themeColor="text1"/>
          <w:sz w:val="24"/>
          <w:highlight w:val="none"/>
          <w14:textFill>
            <w14:solidFill>
              <w14:schemeClr w14:val="tx1"/>
            </w14:solidFill>
          </w14:textFill>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3909"/>
        <w:gridCol w:w="1318"/>
        <w:gridCol w:w="1357"/>
      </w:tblGrid>
      <w:tr w14:paraId="1457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89" w:type="pct"/>
            <w:vAlign w:val="center"/>
          </w:tcPr>
          <w:p w14:paraId="3FC2C82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供应商全称</w:t>
            </w:r>
          </w:p>
        </w:tc>
        <w:tc>
          <w:tcPr>
            <w:tcW w:w="3611" w:type="pct"/>
            <w:gridSpan w:val="3"/>
            <w:vAlign w:val="center"/>
          </w:tcPr>
          <w:p w14:paraId="6D8980E1">
            <w:pPr>
              <w:jc w:val="center"/>
              <w:rPr>
                <w:rFonts w:ascii="宋体" w:hAnsi="宋体" w:cs="宋体"/>
                <w:b/>
                <w:color w:val="000000" w:themeColor="text1"/>
                <w:sz w:val="24"/>
                <w:highlight w:val="none"/>
                <w14:textFill>
                  <w14:solidFill>
                    <w14:schemeClr w14:val="tx1"/>
                  </w14:solidFill>
                </w14:textFill>
              </w:rPr>
            </w:pPr>
          </w:p>
        </w:tc>
      </w:tr>
      <w:tr w14:paraId="1325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89" w:type="pct"/>
            <w:vAlign w:val="center"/>
          </w:tcPr>
          <w:p w14:paraId="7051ADF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资质证书</w:t>
            </w:r>
          </w:p>
        </w:tc>
        <w:tc>
          <w:tcPr>
            <w:tcW w:w="3611" w:type="pct"/>
            <w:gridSpan w:val="3"/>
            <w:vAlign w:val="center"/>
          </w:tcPr>
          <w:p w14:paraId="33FADCD5">
            <w:pPr>
              <w:jc w:val="center"/>
              <w:rPr>
                <w:rFonts w:ascii="宋体" w:hAnsi="宋体" w:cs="宋体"/>
                <w:b/>
                <w:color w:val="000000" w:themeColor="text1"/>
                <w:sz w:val="24"/>
                <w:highlight w:val="none"/>
                <w14:textFill>
                  <w14:solidFill>
                    <w14:schemeClr w14:val="tx1"/>
                  </w14:solidFill>
                </w14:textFill>
              </w:rPr>
            </w:pPr>
          </w:p>
        </w:tc>
      </w:tr>
      <w:tr w14:paraId="1616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89" w:type="pct"/>
            <w:vAlign w:val="center"/>
          </w:tcPr>
          <w:p w14:paraId="33ACE52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主要业务范围</w:t>
            </w:r>
          </w:p>
        </w:tc>
        <w:tc>
          <w:tcPr>
            <w:tcW w:w="3611" w:type="pct"/>
            <w:gridSpan w:val="3"/>
            <w:vAlign w:val="center"/>
          </w:tcPr>
          <w:p w14:paraId="2D2A60FB">
            <w:pPr>
              <w:jc w:val="center"/>
              <w:rPr>
                <w:rFonts w:ascii="宋体" w:hAnsi="宋体" w:cs="宋体"/>
                <w:b/>
                <w:color w:val="000000" w:themeColor="text1"/>
                <w:sz w:val="24"/>
                <w:highlight w:val="none"/>
                <w14:textFill>
                  <w14:solidFill>
                    <w14:schemeClr w14:val="tx1"/>
                  </w14:solidFill>
                </w14:textFill>
              </w:rPr>
            </w:pPr>
          </w:p>
        </w:tc>
      </w:tr>
      <w:tr w14:paraId="59AD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9" w:type="pct"/>
            <w:vAlign w:val="center"/>
          </w:tcPr>
          <w:p w14:paraId="430436A4">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法定代表人姓名</w:t>
            </w:r>
          </w:p>
        </w:tc>
        <w:tc>
          <w:tcPr>
            <w:tcW w:w="2144" w:type="pct"/>
            <w:vAlign w:val="center"/>
          </w:tcPr>
          <w:p w14:paraId="068BD66C">
            <w:pPr>
              <w:jc w:val="center"/>
              <w:rPr>
                <w:rFonts w:ascii="宋体" w:hAnsi="宋体" w:cs="宋体"/>
                <w:b/>
                <w:color w:val="000000" w:themeColor="text1"/>
                <w:sz w:val="24"/>
                <w:highlight w:val="none"/>
                <w14:textFill>
                  <w14:solidFill>
                    <w14:schemeClr w14:val="tx1"/>
                  </w14:solidFill>
                </w14:textFill>
              </w:rPr>
            </w:pPr>
          </w:p>
        </w:tc>
        <w:tc>
          <w:tcPr>
            <w:tcW w:w="723" w:type="pct"/>
            <w:vAlign w:val="center"/>
          </w:tcPr>
          <w:p w14:paraId="5E453CF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职   务</w:t>
            </w:r>
          </w:p>
        </w:tc>
        <w:tc>
          <w:tcPr>
            <w:tcW w:w="744" w:type="pct"/>
            <w:vAlign w:val="center"/>
          </w:tcPr>
          <w:p w14:paraId="4B8D7BBC">
            <w:pPr>
              <w:jc w:val="center"/>
              <w:rPr>
                <w:rFonts w:ascii="宋体" w:hAnsi="宋体" w:cs="宋体"/>
                <w:b/>
                <w:color w:val="000000" w:themeColor="text1"/>
                <w:sz w:val="24"/>
                <w:highlight w:val="none"/>
                <w14:textFill>
                  <w14:solidFill>
                    <w14:schemeClr w14:val="tx1"/>
                  </w14:solidFill>
                </w14:textFill>
              </w:rPr>
            </w:pPr>
          </w:p>
        </w:tc>
      </w:tr>
      <w:tr w14:paraId="7B2F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9" w:type="pct"/>
            <w:vAlign w:val="center"/>
          </w:tcPr>
          <w:p w14:paraId="74C9FF9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供应商地址</w:t>
            </w:r>
          </w:p>
        </w:tc>
        <w:tc>
          <w:tcPr>
            <w:tcW w:w="2144" w:type="pct"/>
            <w:vAlign w:val="center"/>
          </w:tcPr>
          <w:p w14:paraId="464971E1">
            <w:pPr>
              <w:jc w:val="center"/>
              <w:rPr>
                <w:rFonts w:ascii="宋体" w:hAnsi="宋体" w:cs="宋体"/>
                <w:b/>
                <w:color w:val="000000" w:themeColor="text1"/>
                <w:sz w:val="24"/>
                <w:highlight w:val="none"/>
                <w14:textFill>
                  <w14:solidFill>
                    <w14:schemeClr w14:val="tx1"/>
                  </w14:solidFill>
                </w14:textFill>
              </w:rPr>
            </w:pPr>
          </w:p>
        </w:tc>
        <w:tc>
          <w:tcPr>
            <w:tcW w:w="723" w:type="pct"/>
            <w:vAlign w:val="center"/>
          </w:tcPr>
          <w:p w14:paraId="511B10E8">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邮政编码</w:t>
            </w:r>
          </w:p>
        </w:tc>
        <w:tc>
          <w:tcPr>
            <w:tcW w:w="744" w:type="pct"/>
            <w:vAlign w:val="center"/>
          </w:tcPr>
          <w:p w14:paraId="3F413A6F">
            <w:pPr>
              <w:jc w:val="center"/>
              <w:rPr>
                <w:rFonts w:ascii="宋体" w:hAnsi="宋体" w:cs="宋体"/>
                <w:b/>
                <w:color w:val="000000" w:themeColor="text1"/>
                <w:sz w:val="24"/>
                <w:highlight w:val="none"/>
                <w14:textFill>
                  <w14:solidFill>
                    <w14:schemeClr w14:val="tx1"/>
                  </w14:solidFill>
                </w14:textFill>
              </w:rPr>
            </w:pPr>
          </w:p>
        </w:tc>
      </w:tr>
      <w:tr w14:paraId="6C3C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389" w:type="pct"/>
            <w:vAlign w:val="center"/>
          </w:tcPr>
          <w:p w14:paraId="1AA8C7D0">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w:t>
            </w:r>
          </w:p>
        </w:tc>
        <w:tc>
          <w:tcPr>
            <w:tcW w:w="2144" w:type="pct"/>
            <w:vAlign w:val="center"/>
          </w:tcPr>
          <w:p w14:paraId="527AD8DC">
            <w:pPr>
              <w:jc w:val="center"/>
              <w:rPr>
                <w:rFonts w:ascii="宋体" w:hAnsi="宋体" w:cs="宋体"/>
                <w:b/>
                <w:color w:val="000000" w:themeColor="text1"/>
                <w:sz w:val="24"/>
                <w:highlight w:val="none"/>
                <w14:textFill>
                  <w14:solidFill>
                    <w14:schemeClr w14:val="tx1"/>
                  </w14:solidFill>
                </w14:textFill>
              </w:rPr>
            </w:pPr>
          </w:p>
        </w:tc>
        <w:tc>
          <w:tcPr>
            <w:tcW w:w="723" w:type="pct"/>
            <w:vAlign w:val="center"/>
          </w:tcPr>
          <w:p w14:paraId="6E848E4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w:t>
            </w:r>
          </w:p>
        </w:tc>
        <w:tc>
          <w:tcPr>
            <w:tcW w:w="744" w:type="pct"/>
            <w:vAlign w:val="center"/>
          </w:tcPr>
          <w:p w14:paraId="6C0D1614">
            <w:pPr>
              <w:jc w:val="center"/>
              <w:rPr>
                <w:rFonts w:ascii="宋体" w:hAnsi="宋体" w:cs="宋体"/>
                <w:b/>
                <w:color w:val="000000" w:themeColor="text1"/>
                <w:sz w:val="24"/>
                <w:highlight w:val="none"/>
                <w14:textFill>
                  <w14:solidFill>
                    <w14:schemeClr w14:val="tx1"/>
                  </w14:solidFill>
                </w14:textFill>
              </w:rPr>
            </w:pPr>
          </w:p>
        </w:tc>
      </w:tr>
      <w:tr w14:paraId="1CF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89" w:type="pct"/>
            <w:vAlign w:val="center"/>
          </w:tcPr>
          <w:p w14:paraId="1035D2A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  立  日  期</w:t>
            </w:r>
          </w:p>
        </w:tc>
        <w:tc>
          <w:tcPr>
            <w:tcW w:w="2144" w:type="pct"/>
            <w:vAlign w:val="center"/>
          </w:tcPr>
          <w:p w14:paraId="19B89E3C">
            <w:pPr>
              <w:jc w:val="center"/>
              <w:rPr>
                <w:rFonts w:ascii="宋体" w:hAnsi="宋体" w:cs="宋体"/>
                <w:b/>
                <w:color w:val="000000" w:themeColor="text1"/>
                <w:sz w:val="24"/>
                <w:highlight w:val="none"/>
                <w14:textFill>
                  <w14:solidFill>
                    <w14:schemeClr w14:val="tx1"/>
                  </w14:solidFill>
                </w14:textFill>
              </w:rPr>
            </w:pPr>
          </w:p>
        </w:tc>
        <w:tc>
          <w:tcPr>
            <w:tcW w:w="723" w:type="pct"/>
            <w:vAlign w:val="center"/>
          </w:tcPr>
          <w:p w14:paraId="0B4E0E3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 有 职</w:t>
            </w:r>
          </w:p>
          <w:p w14:paraId="07098E1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 人 数</w:t>
            </w:r>
          </w:p>
        </w:tc>
        <w:tc>
          <w:tcPr>
            <w:tcW w:w="744" w:type="pct"/>
            <w:vAlign w:val="center"/>
          </w:tcPr>
          <w:p w14:paraId="6BFBFEB5">
            <w:pPr>
              <w:jc w:val="center"/>
              <w:rPr>
                <w:rFonts w:ascii="宋体" w:hAnsi="宋体" w:cs="宋体"/>
                <w:b/>
                <w:color w:val="000000" w:themeColor="text1"/>
                <w:sz w:val="24"/>
                <w:highlight w:val="none"/>
                <w14:textFill>
                  <w14:solidFill>
                    <w14:schemeClr w14:val="tx1"/>
                  </w14:solidFill>
                </w14:textFill>
              </w:rPr>
            </w:pPr>
          </w:p>
        </w:tc>
      </w:tr>
    </w:tbl>
    <w:p w14:paraId="209D1E81">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注：供应商需随此表附上营业执照</w:t>
      </w:r>
      <w:r>
        <w:rPr>
          <w:rFonts w:hint="eastAsia" w:ascii="宋体" w:hAnsi="宋体" w:cs="宋体"/>
          <w:color w:val="000000" w:themeColor="text1"/>
          <w:sz w:val="24"/>
          <w:highlight w:val="none"/>
          <w:lang w:val="en-US" w:eastAsia="zh-CN"/>
          <w14:textFill>
            <w14:solidFill>
              <w14:schemeClr w14:val="tx1"/>
            </w14:solidFill>
          </w14:textFill>
        </w:rPr>
        <w:t>资质证书</w:t>
      </w:r>
      <w:r>
        <w:rPr>
          <w:rFonts w:hint="eastAsia" w:ascii="宋体" w:hAnsi="宋体" w:cs="宋体"/>
          <w:color w:val="000000" w:themeColor="text1"/>
          <w:sz w:val="24"/>
          <w:highlight w:val="none"/>
          <w14:textFill>
            <w14:solidFill>
              <w14:schemeClr w14:val="tx1"/>
            </w14:solidFill>
          </w14:textFill>
        </w:rPr>
        <w:t>等文件的复印件。</w:t>
      </w:r>
    </w:p>
    <w:p w14:paraId="10728FB5">
      <w:pPr>
        <w:spacing w:line="480" w:lineRule="auto"/>
        <w:rPr>
          <w:rFonts w:ascii="宋体" w:hAnsi="宋体" w:cs="宋体"/>
          <w:bCs/>
          <w:color w:val="000000" w:themeColor="text1"/>
          <w:sz w:val="24"/>
          <w:highlight w:val="none"/>
          <w14:textFill>
            <w14:solidFill>
              <w14:schemeClr w14:val="tx1"/>
            </w14:solidFill>
          </w14:textFill>
        </w:rPr>
      </w:pPr>
    </w:p>
    <w:p w14:paraId="1A23F659">
      <w:pPr>
        <w:spacing w:line="480" w:lineRule="auto"/>
        <w:rPr>
          <w:rFonts w:ascii="宋体" w:hAnsi="宋体" w:cs="宋体"/>
          <w:bCs/>
          <w:color w:val="000000" w:themeColor="text1"/>
          <w:sz w:val="24"/>
          <w:highlight w:val="none"/>
          <w14:textFill>
            <w14:solidFill>
              <w14:schemeClr w14:val="tx1"/>
            </w14:solidFill>
          </w14:textFill>
        </w:rPr>
      </w:pPr>
    </w:p>
    <w:p w14:paraId="6C6BA7B0">
      <w:pPr>
        <w:spacing w:line="480" w:lineRule="auto"/>
        <w:rPr>
          <w:rFonts w:ascii="宋体" w:hAnsi="宋体" w:cs="宋体"/>
          <w:bCs/>
          <w:color w:val="000000" w:themeColor="text1"/>
          <w:sz w:val="24"/>
          <w:highlight w:val="none"/>
          <w14:textFill>
            <w14:solidFill>
              <w14:schemeClr w14:val="tx1"/>
            </w14:solidFill>
          </w14:textFill>
        </w:rPr>
      </w:pPr>
    </w:p>
    <w:p w14:paraId="6D004FCB">
      <w:pPr>
        <w:spacing w:line="480" w:lineRule="auto"/>
        <w:rPr>
          <w:rFonts w:ascii="宋体" w:hAnsi="宋体" w:cs="宋体"/>
          <w:bCs/>
          <w:color w:val="000000" w:themeColor="text1"/>
          <w:sz w:val="24"/>
          <w:highlight w:val="none"/>
          <w14:textFill>
            <w14:solidFill>
              <w14:schemeClr w14:val="tx1"/>
            </w14:solidFill>
          </w14:textFill>
        </w:rPr>
      </w:pPr>
    </w:p>
    <w:p w14:paraId="55093CCB">
      <w:pPr>
        <w:spacing w:line="480" w:lineRule="auto"/>
        <w:rPr>
          <w:rFonts w:ascii="宋体" w:hAnsi="宋体" w:cs="宋体"/>
          <w:bCs/>
          <w:color w:val="000000" w:themeColor="text1"/>
          <w:sz w:val="24"/>
          <w:highlight w:val="none"/>
          <w14:textFill>
            <w14:solidFill>
              <w14:schemeClr w14:val="tx1"/>
            </w14:solidFill>
          </w14:textFill>
        </w:rPr>
      </w:pPr>
    </w:p>
    <w:p w14:paraId="2FBCE0DD">
      <w:pPr>
        <w:spacing w:line="480" w:lineRule="auto"/>
        <w:rPr>
          <w:rFonts w:ascii="宋体" w:hAnsi="宋体" w:cs="宋体"/>
          <w:bCs/>
          <w:color w:val="000000" w:themeColor="text1"/>
          <w:sz w:val="24"/>
          <w:highlight w:val="none"/>
          <w14:textFill>
            <w14:solidFill>
              <w14:schemeClr w14:val="tx1"/>
            </w14:solidFill>
          </w14:textFill>
        </w:rPr>
      </w:pPr>
    </w:p>
    <w:p w14:paraId="4D9503DB">
      <w:pPr>
        <w:spacing w:line="480" w:lineRule="auto"/>
        <w:rPr>
          <w:rFonts w:ascii="宋体" w:hAnsi="宋体" w:cs="宋体"/>
          <w:bCs/>
          <w:color w:val="000000" w:themeColor="text1"/>
          <w:sz w:val="24"/>
          <w:highlight w:val="none"/>
          <w14:textFill>
            <w14:solidFill>
              <w14:schemeClr w14:val="tx1"/>
            </w14:solidFill>
          </w14:textFill>
        </w:rPr>
      </w:pPr>
    </w:p>
    <w:p w14:paraId="391FEA71">
      <w:pPr>
        <w:spacing w:line="480" w:lineRule="auto"/>
        <w:rPr>
          <w:rFonts w:ascii="宋体" w:hAnsi="宋体" w:cs="宋体"/>
          <w:bCs/>
          <w:color w:val="000000" w:themeColor="text1"/>
          <w:sz w:val="24"/>
          <w:highlight w:val="none"/>
          <w14:textFill>
            <w14:solidFill>
              <w14:schemeClr w14:val="tx1"/>
            </w14:solidFill>
          </w14:textFill>
        </w:rPr>
      </w:pPr>
    </w:p>
    <w:p w14:paraId="17C78EEA">
      <w:pPr>
        <w:spacing w:line="480" w:lineRule="auto"/>
        <w:rPr>
          <w:rFonts w:ascii="宋体" w:hAnsi="宋体" w:cs="宋体"/>
          <w:bCs/>
          <w:color w:val="000000" w:themeColor="text1"/>
          <w:sz w:val="24"/>
          <w:highlight w:val="none"/>
          <w14:textFill>
            <w14:solidFill>
              <w14:schemeClr w14:val="tx1"/>
            </w14:solidFill>
          </w14:textFill>
        </w:rPr>
      </w:pPr>
    </w:p>
    <w:p w14:paraId="30DB785E">
      <w:pPr>
        <w:spacing w:line="480" w:lineRule="auto"/>
        <w:rPr>
          <w:rFonts w:ascii="宋体" w:hAnsi="宋体" w:cs="宋体"/>
          <w:bCs/>
          <w:color w:val="000000" w:themeColor="text1"/>
          <w:sz w:val="24"/>
          <w:highlight w:val="none"/>
          <w14:textFill>
            <w14:solidFill>
              <w14:schemeClr w14:val="tx1"/>
            </w14:solidFill>
          </w14:textFill>
        </w:rPr>
      </w:pPr>
    </w:p>
    <w:p w14:paraId="3AE9BEF7">
      <w:pPr>
        <w:spacing w:line="48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 xml:space="preserve"> 致：</w:t>
      </w:r>
      <w:r>
        <w:rPr>
          <w:rFonts w:hint="eastAsia" w:ascii="宋体" w:hAnsi="宋体" w:cs="宋体"/>
          <w:bCs/>
          <w:color w:val="000000" w:themeColor="text1"/>
          <w:sz w:val="24"/>
          <w:highlight w:val="none"/>
          <w:u w:val="single"/>
          <w14:textFill>
            <w14:solidFill>
              <w14:schemeClr w14:val="tx1"/>
            </w14:solidFill>
          </w14:textFill>
        </w:rPr>
        <w:t xml:space="preserve">            （采购人）</w:t>
      </w:r>
      <w:r>
        <w:rPr>
          <w:rFonts w:hint="eastAsia" w:ascii="宋体" w:hAnsi="宋体" w:cs="宋体"/>
          <w:bCs/>
          <w:color w:val="000000" w:themeColor="text1"/>
          <w:sz w:val="24"/>
          <w:highlight w:val="none"/>
          <w14:textFill>
            <w14:solidFill>
              <w14:schemeClr w14:val="tx1"/>
            </w14:solidFill>
          </w14:textFill>
        </w:rPr>
        <w:t>：</w:t>
      </w:r>
    </w:p>
    <w:p w14:paraId="59E6E3E1">
      <w:pPr>
        <w:spacing w:line="48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我公司未被列入失信被执行人、税收违法黑名单，“政府采购严重违法失信行为记录名单”，且符合《中华人民共和国政府采购法》第二十二条规定条件。</w:t>
      </w:r>
    </w:p>
    <w:p w14:paraId="34239CCF">
      <w:pPr>
        <w:spacing w:line="48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特此告知。     </w:t>
      </w:r>
    </w:p>
    <w:p w14:paraId="5C57FBCE">
      <w:pPr>
        <w:spacing w:line="48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我公司声明以上内容属实，如若不实则承担因我方就此弄虚作假所引起的一切法律后果。</w:t>
      </w:r>
    </w:p>
    <w:p w14:paraId="303F227B">
      <w:pPr>
        <w:spacing w:line="48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投标供应商（公章）：</w:t>
      </w:r>
    </w:p>
    <w:p w14:paraId="796315C1">
      <w:pPr>
        <w:spacing w:line="480" w:lineRule="auto"/>
        <w:jc w:val="righ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法定代表人或委托代理人：（签字或盖章） </w:t>
      </w:r>
    </w:p>
    <w:p w14:paraId="671FA9CA">
      <w:pPr>
        <w:spacing w:line="480" w:lineRule="auto"/>
        <w:jc w:val="righ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年    月    日</w:t>
      </w:r>
    </w:p>
    <w:p w14:paraId="2E7F9DE9">
      <w:pPr>
        <w:spacing w:line="480" w:lineRule="auto"/>
        <w:rPr>
          <w:rFonts w:ascii="宋体" w:hAnsi="宋体" w:cs="宋体"/>
          <w:bCs/>
          <w:color w:val="000000" w:themeColor="text1"/>
          <w:sz w:val="24"/>
          <w:highlight w:val="none"/>
          <w14:textFill>
            <w14:solidFill>
              <w14:schemeClr w14:val="tx1"/>
            </w14:solidFill>
          </w14:textFill>
        </w:rPr>
      </w:pPr>
    </w:p>
    <w:p w14:paraId="6270C7C2">
      <w:pPr>
        <w:spacing w:line="360" w:lineRule="auto"/>
        <w:ind w:firstLine="480" w:firstLineChars="200"/>
        <w:jc w:val="left"/>
        <w:rPr>
          <w:rFonts w:asciiTheme="minorEastAsia" w:hAnsiTheme="minorEastAsia" w:eastAsiaTheme="minorEastAsia"/>
          <w:color w:val="000000" w:themeColor="text1"/>
          <w:sz w:val="24"/>
          <w:highlight w:val="none"/>
          <w:c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、具有履行本项目采购内容所必须的设备和专业技术服务能力(提供证明材料或承诺书)；</w:t>
      </w:r>
    </w:p>
    <w:p w14:paraId="091ABE45">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、具有依法缴纳税收（提供202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年01月以来</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w:t>
      </w:r>
      <w:r>
        <w:rPr>
          <w:rFonts w:hint="eastAsia" w:asciiTheme="minorEastAsia" w:hAnsiTheme="minorEastAsia" w:eastAsiaTheme="minorEastAsia"/>
          <w:color w:val="000000" w:themeColor="text1"/>
          <w:sz w:val="24"/>
          <w:highlight w:val="none"/>
          <w14:textFill>
            <w14:solidFill>
              <w14:schemeClr w14:val="tx1"/>
            </w14:solidFill>
          </w14:textFill>
        </w:rPr>
        <w:t>月的税收缴纳证明材料；注：依法免税的，应提供税务部门出具的依法免税证明材料）和社会保障资金（提供</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2025</w:t>
      </w:r>
      <w:r>
        <w:rPr>
          <w:rFonts w:hint="eastAsia" w:asciiTheme="minorEastAsia" w:hAnsiTheme="minorEastAsia" w:eastAsiaTheme="minorEastAsia"/>
          <w:color w:val="000000" w:themeColor="text1"/>
          <w:sz w:val="24"/>
          <w:highlight w:val="none"/>
          <w14:textFill>
            <w14:solidFill>
              <w14:schemeClr w14:val="tx1"/>
            </w14:solidFill>
          </w14:textFill>
        </w:rPr>
        <w:t>年01月以来项目负责人</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任意一个月</w:t>
      </w:r>
      <w:r>
        <w:rPr>
          <w:rFonts w:hint="eastAsia" w:asciiTheme="minorEastAsia" w:hAnsiTheme="minorEastAsia" w:eastAsiaTheme="minorEastAsia"/>
          <w:color w:val="000000" w:themeColor="text1"/>
          <w:sz w:val="24"/>
          <w:highlight w:val="none"/>
          <w14:textFill>
            <w14:solidFill>
              <w14:schemeClr w14:val="tx1"/>
            </w14:solidFill>
          </w14:textFill>
        </w:rPr>
        <w:t>的社保证明材料）；</w:t>
      </w:r>
    </w:p>
    <w:p w14:paraId="028BE248">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、具有良好的商业信誉和健全的财务会计制度，提供近三年经审计的财务报告（或财务报表）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新成立公司无审计报告应附最新的财务报表说明；</w:t>
      </w:r>
    </w:p>
    <w:p w14:paraId="4BE85646">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、参加政府采购活动前3年内无行贿犯罪记录；（提供《中国裁判文书网》查询结果网页截图或企业自行承诺的无行贿犯罪承诺书，查询&lt;承诺&gt;对象为“企业，法定代表人，项目负责人”）；</w:t>
      </w:r>
    </w:p>
    <w:p w14:paraId="5AAE9488">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、参加政府采购活动前3年内无商业贿赂、不正当竞争行为、骗取中标、严重违约及重大质量等问题，（供应商须自行出具承诺书）；</w:t>
      </w:r>
    </w:p>
    <w:p w14:paraId="11D34E0B">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olor w:val="000000" w:themeColor="text1"/>
          <w:sz w:val="24"/>
          <w:highlight w:val="none"/>
          <w14:textFill>
            <w14:solidFill>
              <w14:schemeClr w14:val="tx1"/>
            </w14:solidFill>
          </w14:textFill>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供应商；（查询渠道：“信用中国”网站（www.creditchina.gov.cn）、中国政府采购网（www.ccgp.gov.cn）提供网站的查询信息截图；(注：査询时间必须是磋商公告发布以后开标时间以前并提供网站查询网页截图，查询结果清晰可见)；</w:t>
      </w:r>
    </w:p>
    <w:p w14:paraId="5D8022F3">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olor w:val="000000" w:themeColor="text1"/>
          <w:sz w:val="24"/>
          <w:highlight w:val="none"/>
          <w14:textFill>
            <w14:solidFill>
              <w14:schemeClr w14:val="tx1"/>
            </w14:solidFill>
          </w14:textFill>
        </w:rPr>
        <w:t>、单位负责人为同一人或者存在控股、管理关系的不同单位，不得参加同一标段投标或者未划分标段的同一招标项目投标,提供投标企业在“国家企业信用信息公示系统”中公示的公司信息、股东或投资人信息”。</w:t>
      </w:r>
    </w:p>
    <w:p w14:paraId="21DB8A5E">
      <w:pPr>
        <w:spacing w:line="360" w:lineRule="auto"/>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、本项目不接受联合体投标；</w:t>
      </w:r>
    </w:p>
    <w:p w14:paraId="614D8598">
      <w:pPr>
        <w:pStyle w:val="16"/>
        <w:keepNext w:val="0"/>
        <w:keepLines w:val="0"/>
        <w:pageBreakBefore w:val="0"/>
        <w:widowControl/>
        <w:tabs>
          <w:tab w:val="left" w:pos="219"/>
        </w:tabs>
        <w:kinsoku/>
        <w:wordWrap/>
        <w:overflowPunct/>
        <w:topLinePunct w:val="0"/>
        <w:autoSpaceDE/>
        <w:autoSpaceDN/>
        <w:bidi w:val="0"/>
        <w:adjustRightInd/>
        <w:snapToGrid/>
        <w:spacing w:line="360" w:lineRule="auto"/>
        <w:ind w:firstLine="400" w:firstLineChars="200"/>
        <w:textAlignment w:val="auto"/>
        <w:rPr>
          <w:color w:val="000000" w:themeColor="text1"/>
          <w:highlight w:val="none"/>
          <w14:textFill>
            <w14:solidFill>
              <w14:schemeClr w14:val="tx1"/>
            </w14:solidFill>
          </w14:textFill>
        </w:rPr>
      </w:pPr>
    </w:p>
    <w:p w14:paraId="5997CD4D">
      <w:pPr>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42B0C33B">
      <w:pPr>
        <w:pStyle w:val="16"/>
        <w:tabs>
          <w:tab w:val="left" w:pos="219"/>
        </w:tabs>
        <w:ind w:firstLine="240"/>
        <w:rPr>
          <w:rFonts w:ascii="宋体" w:hAnsi="宋体" w:cs="宋体"/>
          <w:bCs/>
          <w:color w:val="000000" w:themeColor="text1"/>
          <w:sz w:val="24"/>
          <w:highlight w:val="none"/>
          <w14:textFill>
            <w14:solidFill>
              <w14:schemeClr w14:val="tx1"/>
            </w14:solidFill>
          </w14:textFill>
        </w:rPr>
      </w:pPr>
    </w:p>
    <w:p w14:paraId="639C6C5D">
      <w:pPr>
        <w:pStyle w:val="8"/>
        <w:tabs>
          <w:tab w:val="left" w:pos="945"/>
          <w:tab w:val="left" w:pos="1155"/>
        </w:tabs>
        <w:ind w:right="164" w:firstLine="480"/>
        <w:rPr>
          <w:rFonts w:hAnsi="宋体" w:eastAsia="宋体"/>
          <w:bCs/>
          <w:color w:val="000000" w:themeColor="text1"/>
          <w:sz w:val="24"/>
          <w:highlight w:val="none"/>
          <w14:textFill>
            <w14:solidFill>
              <w14:schemeClr w14:val="tx1"/>
            </w14:solidFill>
          </w14:textFill>
        </w:rPr>
      </w:pPr>
    </w:p>
    <w:p w14:paraId="4B5EADA2">
      <w:pPr>
        <w:rPr>
          <w:rFonts w:ascii="宋体" w:hAnsi="宋体" w:cs="宋体"/>
          <w:bCs/>
          <w:color w:val="000000" w:themeColor="text1"/>
          <w:sz w:val="24"/>
          <w:highlight w:val="none"/>
          <w14:textFill>
            <w14:solidFill>
              <w14:schemeClr w14:val="tx1"/>
            </w14:solidFill>
          </w14:textFill>
        </w:rPr>
      </w:pPr>
    </w:p>
    <w:p w14:paraId="47DC1C35">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14:paraId="30E83E8A">
      <w:pPr>
        <w:pStyle w:val="3"/>
        <w:spacing w:line="600" w:lineRule="exact"/>
        <w:jc w:val="center"/>
        <w:rPr>
          <w:rFonts w:hint="eastAsia" w:cs="宋体-PUA" w:asciiTheme="minorEastAsia" w:hAnsiTheme="minorEastAsia" w:eastAsiaTheme="minorEastAsia"/>
          <w:color w:val="000000" w:themeColor="text1"/>
          <w:szCs w:val="24"/>
          <w:highlight w:val="none"/>
          <w:lang w:val="en-US" w:eastAsia="zh-CN"/>
          <w14:textFill>
            <w14:solidFill>
              <w14:schemeClr w14:val="tx1"/>
            </w14:solidFill>
          </w14:textFill>
        </w:rPr>
      </w:pPr>
      <w:bookmarkStart w:id="264" w:name="_Toc27686"/>
      <w:bookmarkStart w:id="265" w:name="_Toc101344080"/>
      <w:bookmarkStart w:id="266" w:name="_Toc171608872"/>
      <w:bookmarkStart w:id="267" w:name="_Toc171612802"/>
      <w:bookmarkStart w:id="268" w:name="_Toc173510815"/>
      <w:bookmarkStart w:id="269" w:name="_Toc152045807"/>
      <w:bookmarkStart w:id="270" w:name="_Toc152042596"/>
      <w:bookmarkStart w:id="271" w:name="_Toc246997115"/>
      <w:bookmarkStart w:id="272" w:name="_Toc247085890"/>
      <w:bookmarkStart w:id="273" w:name="_Toc179632827"/>
      <w:bookmarkStart w:id="274" w:name="_Toc144974875"/>
      <w:bookmarkStart w:id="275" w:name="_Toc246996372"/>
      <w:bookmarkStart w:id="276" w:name="_Toc68710948"/>
      <w:bookmarkStart w:id="277" w:name="_Toc3714"/>
      <w:bookmarkStart w:id="278" w:name="_Toc296602617"/>
      <w:r>
        <w:rPr>
          <w:rFonts w:hint="eastAsia" w:cs="宋体-PUA" w:asciiTheme="minorEastAsia" w:hAnsiTheme="minorEastAsia" w:eastAsiaTheme="minorEastAsia"/>
          <w:color w:val="000000" w:themeColor="text1"/>
          <w:szCs w:val="24"/>
          <w:highlight w:val="none"/>
          <w:lang w:val="en-US" w:eastAsia="zh-CN"/>
          <w14:textFill>
            <w14:solidFill>
              <w14:schemeClr w14:val="tx1"/>
            </w14:solidFill>
          </w14:textFill>
        </w:rPr>
        <w:t>五、技术</w:t>
      </w:r>
      <w:bookmarkEnd w:id="264"/>
      <w:bookmarkEnd w:id="265"/>
      <w:bookmarkEnd w:id="266"/>
      <w:bookmarkEnd w:id="267"/>
      <w:r>
        <w:rPr>
          <w:rFonts w:hint="eastAsia" w:cs="宋体-PUA" w:asciiTheme="minorEastAsia" w:hAnsiTheme="minorEastAsia" w:eastAsiaTheme="minorEastAsia"/>
          <w:color w:val="000000" w:themeColor="text1"/>
          <w:szCs w:val="24"/>
          <w:highlight w:val="none"/>
          <w:lang w:val="en-US" w:eastAsia="zh-CN"/>
          <w14:textFill>
            <w14:solidFill>
              <w14:schemeClr w14:val="tx1"/>
            </w14:solidFill>
          </w14:textFill>
        </w:rPr>
        <w:t>及商务标</w:t>
      </w:r>
      <w:bookmarkEnd w:id="268"/>
    </w:p>
    <w:p w14:paraId="045A13C7">
      <w:pPr>
        <w:pStyle w:val="16"/>
        <w:spacing w:line="360" w:lineRule="auto"/>
        <w:ind w:firstLine="0" w:firstLineChars="0"/>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1.仪器设备一览表</w:t>
      </w:r>
    </w:p>
    <w:tbl>
      <w:tblPr>
        <w:tblStyle w:val="17"/>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1771"/>
        <w:gridCol w:w="1771"/>
        <w:gridCol w:w="1626"/>
        <w:gridCol w:w="1771"/>
        <w:gridCol w:w="1375"/>
      </w:tblGrid>
      <w:tr w14:paraId="41FB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528" w:type="pct"/>
            <w:vAlign w:val="center"/>
          </w:tcPr>
          <w:p w14:paraId="6E2EC6F6">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序号</w:t>
            </w:r>
          </w:p>
        </w:tc>
        <w:tc>
          <w:tcPr>
            <w:tcW w:w="952" w:type="pct"/>
            <w:vAlign w:val="center"/>
          </w:tcPr>
          <w:p w14:paraId="5F3EF1D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设备名称</w:t>
            </w:r>
          </w:p>
        </w:tc>
        <w:tc>
          <w:tcPr>
            <w:tcW w:w="952" w:type="pct"/>
            <w:vAlign w:val="center"/>
          </w:tcPr>
          <w:p w14:paraId="21018C1F">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品牌型号</w:t>
            </w:r>
          </w:p>
        </w:tc>
        <w:tc>
          <w:tcPr>
            <w:tcW w:w="874" w:type="pct"/>
            <w:vAlign w:val="center"/>
          </w:tcPr>
          <w:p w14:paraId="15A12BD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功能及用途</w:t>
            </w:r>
          </w:p>
        </w:tc>
        <w:tc>
          <w:tcPr>
            <w:tcW w:w="952" w:type="pct"/>
            <w:vAlign w:val="center"/>
          </w:tcPr>
          <w:p w14:paraId="6C58449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来源渠道</w:t>
            </w:r>
          </w:p>
        </w:tc>
        <w:tc>
          <w:tcPr>
            <w:tcW w:w="739" w:type="pct"/>
            <w:vAlign w:val="center"/>
          </w:tcPr>
          <w:p w14:paraId="16669CC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投入使用日期</w:t>
            </w:r>
          </w:p>
        </w:tc>
      </w:tr>
      <w:tr w14:paraId="5009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01A4541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1B205225">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08D28F5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28CE8B3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72A0690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6AF08DD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2D94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1F74D43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0E0A7AF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6729124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2ACB6F24">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43B32E5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1EC396D5">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2E47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44E16DF1">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4702504E">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71A2016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6514D75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7D56307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4402F52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49E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6E402C91">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700EB7F">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72DDD5B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5CFAA3AE">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B5F9CF5">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5A6AB18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1AA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0EBC3C0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3E457B5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2FB114B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087F892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B0B5A9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572247E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6A74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619F5C1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6B145E71">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088953A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67DDCDD5">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3F4281E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33FB0AE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4B5D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76A5B24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39E5F6C4">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BA9BF4A">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45A97DD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E44BAB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337F9C3C">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587C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28" w:type="pct"/>
          </w:tcPr>
          <w:p w14:paraId="7098993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1D0CED47">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B92EC1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396C942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1DA1186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6995EAA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705D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28" w:type="pct"/>
          </w:tcPr>
          <w:p w14:paraId="4E760AF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1B89649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74FD0A8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874" w:type="pct"/>
          </w:tcPr>
          <w:p w14:paraId="679F980E">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952" w:type="pct"/>
          </w:tcPr>
          <w:p w14:paraId="5FE36371">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739" w:type="pct"/>
          </w:tcPr>
          <w:p w14:paraId="73ABB3C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bl>
    <w:p w14:paraId="3B1D7536">
      <w:pPr>
        <w:spacing w:line="360" w:lineRule="auto"/>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注：</w:t>
      </w:r>
    </w:p>
    <w:p w14:paraId="78E83333">
      <w:pPr>
        <w:spacing w:line="360" w:lineRule="auto"/>
        <w:rPr>
          <w:rFonts w:cs="新宋体" w:asciiTheme="minorEastAsia" w:hAnsiTheme="minorEastAsia" w:eastAsiaTheme="minorEastAsia"/>
          <w:bCs/>
          <w:color w:val="000000" w:themeColor="text1"/>
          <w:sz w:val="24"/>
          <w:highlight w:val="none"/>
          <w14:textFill>
            <w14:solidFill>
              <w14:schemeClr w14:val="tx1"/>
            </w14:solidFill>
          </w14:textFill>
        </w:rPr>
      </w:pPr>
      <w:r>
        <w:rPr>
          <w:rFonts w:cs="新宋体" w:asciiTheme="minorEastAsia" w:hAnsiTheme="minorEastAsia" w:eastAsiaTheme="minorEastAsia"/>
          <w:bCs/>
          <w:color w:val="000000" w:themeColor="text1"/>
          <w:sz w:val="24"/>
          <w:highlight w:val="none"/>
          <w14:textFill>
            <w14:solidFill>
              <w14:schemeClr w14:val="tx1"/>
            </w14:solidFill>
          </w14:textFill>
        </w:rPr>
        <w:t>1</w:t>
      </w:r>
      <w:r>
        <w:rPr>
          <w:rFonts w:hint="eastAsia" w:cs="新宋体" w:asciiTheme="minorEastAsia" w:hAnsiTheme="minorEastAsia" w:eastAsiaTheme="minorEastAsia"/>
          <w:bCs/>
          <w:color w:val="000000" w:themeColor="text1"/>
          <w:sz w:val="24"/>
          <w:highlight w:val="none"/>
          <w14:textFill>
            <w14:solidFill>
              <w14:schemeClr w14:val="tx1"/>
            </w14:solidFill>
          </w14:textFill>
        </w:rPr>
        <w:t>、上述设备有实物照片，并与所提供的内容一致，如不一致，将导致磋商被拒绝。</w:t>
      </w:r>
    </w:p>
    <w:p w14:paraId="1962CB1F">
      <w:pPr>
        <w:spacing w:line="360" w:lineRule="auto"/>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p w14:paraId="613CE5C2">
      <w:pPr>
        <w:spacing w:line="360" w:lineRule="auto"/>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p w14:paraId="360DE56E">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318EF814">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5FD4E01">
      <w:pPr>
        <w:spacing w:line="480" w:lineRule="auto"/>
        <w:ind w:left="-7" w:leftChars="-95" w:right="452" w:hanging="192" w:hangingChars="67"/>
        <w:jc w:val="center"/>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                  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p>
    <w:p w14:paraId="021744F7">
      <w:pPr>
        <w:pStyle w:val="16"/>
        <w:ind w:firstLine="200"/>
        <w:rPr>
          <w:color w:val="000000" w:themeColor="text1"/>
          <w:highlight w:val="none"/>
          <w14:textFill>
            <w14:solidFill>
              <w14:schemeClr w14:val="tx1"/>
            </w14:solidFill>
          </w14:textFill>
        </w:rPr>
      </w:pPr>
    </w:p>
    <w:p w14:paraId="7DF019E8">
      <w:pPr>
        <w:pStyle w:val="8"/>
        <w:ind w:right="164" w:firstLine="560"/>
        <w:rPr>
          <w:color w:val="000000" w:themeColor="text1"/>
          <w:highlight w:val="none"/>
          <w14:textFill>
            <w14:solidFill>
              <w14:schemeClr w14:val="tx1"/>
            </w14:solidFill>
          </w14:textFill>
        </w:rPr>
      </w:pPr>
    </w:p>
    <w:p w14:paraId="12A3E67B">
      <w:pPr>
        <w:rPr>
          <w:color w:val="000000" w:themeColor="text1"/>
          <w:highlight w:val="none"/>
          <w14:textFill>
            <w14:solidFill>
              <w14:schemeClr w14:val="tx1"/>
            </w14:solidFill>
          </w14:textFill>
        </w:rPr>
      </w:pPr>
    </w:p>
    <w:p w14:paraId="2717D227">
      <w:pPr>
        <w:pStyle w:val="16"/>
        <w:ind w:firstLine="200"/>
        <w:rPr>
          <w:color w:val="000000" w:themeColor="text1"/>
          <w:highlight w:val="none"/>
          <w14:textFill>
            <w14:solidFill>
              <w14:schemeClr w14:val="tx1"/>
            </w14:solidFill>
          </w14:textFill>
        </w:rPr>
      </w:pPr>
    </w:p>
    <w:p w14:paraId="5282A11B">
      <w:pPr>
        <w:pStyle w:val="8"/>
        <w:ind w:right="164" w:firstLine="560"/>
        <w:rPr>
          <w:color w:val="000000" w:themeColor="text1"/>
          <w:highlight w:val="none"/>
          <w14:textFill>
            <w14:solidFill>
              <w14:schemeClr w14:val="tx1"/>
            </w14:solidFill>
          </w14:textFill>
        </w:rPr>
      </w:pPr>
    </w:p>
    <w:p w14:paraId="611D9AF0">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7999DB4C">
      <w:pPr>
        <w:pStyle w:val="16"/>
        <w:rPr>
          <w:color w:val="000000" w:themeColor="text1"/>
          <w:highlight w:val="none"/>
          <w14:textFill>
            <w14:solidFill>
              <w14:schemeClr w14:val="tx1"/>
            </w14:solidFill>
          </w14:textFill>
        </w:rPr>
      </w:pPr>
    </w:p>
    <w:p w14:paraId="1C95665C">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59D04E9F">
      <w:pPr>
        <w:pStyle w:val="5"/>
      </w:pPr>
    </w:p>
    <w:p w14:paraId="138863C5">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562E91F0">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szCs w:val="20"/>
          <w:highlight w:val="none"/>
          <w14:textFill>
            <w14:solidFill>
              <w14:schemeClr w14:val="tx1"/>
            </w14:solidFill>
          </w14:textFill>
        </w:rPr>
        <w:t>2.检验从业人员一览表</w:t>
      </w:r>
    </w:p>
    <w:p w14:paraId="09E14D58">
      <w:pPr>
        <w:jc w:val="center"/>
        <w:rPr>
          <w:rFonts w:cs="新宋体" w:asciiTheme="minorEastAsia" w:hAnsiTheme="minorEastAsia" w:eastAsiaTheme="minorEastAsia"/>
          <w:bCs/>
          <w:color w:val="000000" w:themeColor="text1"/>
          <w:sz w:val="28"/>
          <w:highlight w:val="none"/>
          <w14:textFill>
            <w14:solidFill>
              <w14:schemeClr w14:val="tx1"/>
            </w14:solidFill>
          </w14:textFill>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789"/>
        <w:gridCol w:w="746"/>
        <w:gridCol w:w="596"/>
        <w:gridCol w:w="686"/>
        <w:gridCol w:w="954"/>
        <w:gridCol w:w="746"/>
        <w:gridCol w:w="1340"/>
        <w:gridCol w:w="1508"/>
        <w:gridCol w:w="1170"/>
      </w:tblGrid>
      <w:tr w14:paraId="426A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19" w:type="pct"/>
            <w:vAlign w:val="center"/>
          </w:tcPr>
          <w:p w14:paraId="60173611">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序号</w:t>
            </w:r>
          </w:p>
        </w:tc>
        <w:tc>
          <w:tcPr>
            <w:tcW w:w="433" w:type="pct"/>
            <w:vAlign w:val="center"/>
          </w:tcPr>
          <w:p w14:paraId="217C829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姓名</w:t>
            </w:r>
          </w:p>
        </w:tc>
        <w:tc>
          <w:tcPr>
            <w:tcW w:w="409" w:type="pct"/>
            <w:vAlign w:val="center"/>
          </w:tcPr>
          <w:p w14:paraId="6B6A15A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性别</w:t>
            </w:r>
          </w:p>
        </w:tc>
        <w:tc>
          <w:tcPr>
            <w:tcW w:w="327" w:type="pct"/>
            <w:vAlign w:val="center"/>
          </w:tcPr>
          <w:p w14:paraId="29DF4081">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年龄</w:t>
            </w:r>
          </w:p>
        </w:tc>
        <w:tc>
          <w:tcPr>
            <w:tcW w:w="376" w:type="pct"/>
            <w:vAlign w:val="center"/>
          </w:tcPr>
          <w:p w14:paraId="2B17E53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学历</w:t>
            </w:r>
          </w:p>
        </w:tc>
        <w:tc>
          <w:tcPr>
            <w:tcW w:w="523" w:type="pct"/>
            <w:vAlign w:val="center"/>
          </w:tcPr>
          <w:p w14:paraId="0CBB309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所学专业</w:t>
            </w:r>
          </w:p>
        </w:tc>
        <w:tc>
          <w:tcPr>
            <w:tcW w:w="409" w:type="pct"/>
            <w:vAlign w:val="center"/>
          </w:tcPr>
          <w:p w14:paraId="2065B33F">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职称</w:t>
            </w:r>
          </w:p>
        </w:tc>
        <w:tc>
          <w:tcPr>
            <w:tcW w:w="735" w:type="pct"/>
            <w:vAlign w:val="center"/>
          </w:tcPr>
          <w:p w14:paraId="349A573C">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从事食品</w:t>
            </w:r>
          </w:p>
          <w:p w14:paraId="42481983">
            <w:pPr>
              <w:jc w:val="center"/>
              <w:rPr>
                <w:rFonts w:cs="新宋体" w:asciiTheme="minorEastAsia" w:hAnsiTheme="minorEastAsia" w:eastAsiaTheme="minorEastAsia"/>
                <w:b/>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检验时间</w:t>
            </w:r>
          </w:p>
        </w:tc>
        <w:tc>
          <w:tcPr>
            <w:tcW w:w="827" w:type="pct"/>
            <w:vAlign w:val="center"/>
          </w:tcPr>
          <w:p w14:paraId="44DCC48C">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接受培训情况</w:t>
            </w:r>
          </w:p>
        </w:tc>
        <w:tc>
          <w:tcPr>
            <w:tcW w:w="642" w:type="pct"/>
            <w:vAlign w:val="center"/>
          </w:tcPr>
          <w:p w14:paraId="25D4C8A6">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其他</w:t>
            </w:r>
          </w:p>
        </w:tc>
      </w:tr>
      <w:tr w14:paraId="7499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319" w:type="pct"/>
          </w:tcPr>
          <w:p w14:paraId="5EA3FF0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74379144">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0C2C57E0">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22D5736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1684B74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4D30CD1D">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1D92B24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727D14A2">
            <w:pPr>
              <w:jc w:val="center"/>
              <w:rPr>
                <w:rFonts w:cs="新宋体" w:asciiTheme="minorEastAsia" w:hAnsiTheme="minorEastAsia" w:eastAsiaTheme="minorEastAsia"/>
                <w:b/>
                <w:bCs/>
                <w:color w:val="000000" w:themeColor="text1"/>
                <w:sz w:val="24"/>
                <w:highlight w:val="none"/>
                <w14:textFill>
                  <w14:solidFill>
                    <w14:schemeClr w14:val="tx1"/>
                  </w14:solidFill>
                </w14:textFill>
              </w:rPr>
            </w:pPr>
          </w:p>
        </w:tc>
        <w:tc>
          <w:tcPr>
            <w:tcW w:w="827" w:type="pct"/>
          </w:tcPr>
          <w:p w14:paraId="73A04B5C">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2526C290">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r w14:paraId="46FC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9" w:type="pct"/>
          </w:tcPr>
          <w:p w14:paraId="232CAD6B">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5FE599C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5D6AB82E">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71C8721B">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235C726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100A6E9F">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61D80AE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5AF0548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827" w:type="pct"/>
          </w:tcPr>
          <w:p w14:paraId="3275695F">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6437C90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r w14:paraId="165E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9" w:type="pct"/>
          </w:tcPr>
          <w:p w14:paraId="06B6A6F0">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5E68E99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5ED0BD6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43922B5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25D2B21A">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6FDB4D30">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25E5044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768B20B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827" w:type="pct"/>
          </w:tcPr>
          <w:p w14:paraId="5277D9DE">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61B5FA8D">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r w14:paraId="208B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9" w:type="pct"/>
          </w:tcPr>
          <w:p w14:paraId="72BCFCC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3B7D794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508FFBD0">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0A525EA8">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0E2D0BF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7C0C0E6D">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502511E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309B4A7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827" w:type="pct"/>
          </w:tcPr>
          <w:p w14:paraId="4A8AA633">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5638AD80">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r w14:paraId="2C78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9" w:type="pct"/>
          </w:tcPr>
          <w:p w14:paraId="057653EA">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12C41294">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5E6AE20E">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1DC86A3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0CFAE8F1">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010430DC">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3FC6CB5E">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006C8C46">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827" w:type="pct"/>
          </w:tcPr>
          <w:p w14:paraId="4BA7EA44">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7C5D8F2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r w14:paraId="42D3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9" w:type="pct"/>
          </w:tcPr>
          <w:p w14:paraId="2E0D056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57FEB136">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0171539B">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5852D7E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425D2B4C">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32E802C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1331BE98">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5865EB8B">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827" w:type="pct"/>
          </w:tcPr>
          <w:p w14:paraId="60A47A27">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76C280E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r w14:paraId="2E0A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19" w:type="pct"/>
          </w:tcPr>
          <w:p w14:paraId="1E1E9626">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33" w:type="pct"/>
          </w:tcPr>
          <w:p w14:paraId="3503E208">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5526CB44">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27" w:type="pct"/>
          </w:tcPr>
          <w:p w14:paraId="71899C74">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376" w:type="pct"/>
          </w:tcPr>
          <w:p w14:paraId="2B3CD86F">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523" w:type="pct"/>
          </w:tcPr>
          <w:p w14:paraId="7C5096E2">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409" w:type="pct"/>
          </w:tcPr>
          <w:p w14:paraId="1949E026">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735" w:type="pct"/>
          </w:tcPr>
          <w:p w14:paraId="234CCBCD">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827" w:type="pct"/>
          </w:tcPr>
          <w:p w14:paraId="5046ABE1">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c>
          <w:tcPr>
            <w:tcW w:w="642" w:type="pct"/>
          </w:tcPr>
          <w:p w14:paraId="6F73BF9D">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p>
        </w:tc>
      </w:tr>
    </w:tbl>
    <w:p w14:paraId="685B7A89">
      <w:pPr>
        <w:rPr>
          <w:rFonts w:cs="新宋体" w:asciiTheme="minorEastAsia" w:hAnsiTheme="minorEastAsia" w:eastAsiaTheme="minorEastAsia"/>
          <w:color w:val="000000" w:themeColor="text1"/>
          <w:sz w:val="24"/>
          <w:highlight w:val="none"/>
          <w14:textFill>
            <w14:solidFill>
              <w14:schemeClr w14:val="tx1"/>
            </w14:solidFill>
          </w14:textFill>
        </w:rPr>
      </w:pPr>
    </w:p>
    <w:p w14:paraId="33707CE0">
      <w:pPr>
        <w:spacing w:line="360" w:lineRule="auto"/>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后附：</w:t>
      </w:r>
      <w:r>
        <w:rPr>
          <w:rFonts w:hint="eastAsia" w:cs="新宋体" w:asciiTheme="minorEastAsia" w:hAnsiTheme="minorEastAsia" w:eastAsiaTheme="minorEastAsia"/>
          <w:color w:val="000000" w:themeColor="text1"/>
          <w:sz w:val="24"/>
          <w:szCs w:val="22"/>
          <w:highlight w:val="none"/>
          <w14:textFill>
            <w14:solidFill>
              <w14:schemeClr w14:val="tx1"/>
            </w14:solidFill>
          </w14:textFill>
        </w:rPr>
        <w:t>职称证及缴纳社保证明材料扫描件</w:t>
      </w:r>
      <w:r>
        <w:rPr>
          <w:rFonts w:hint="eastAsia" w:cs="新宋体" w:asciiTheme="minorEastAsia" w:hAnsiTheme="minorEastAsia" w:eastAsiaTheme="minorEastAsia"/>
          <w:color w:val="000000" w:themeColor="text1"/>
          <w:sz w:val="24"/>
          <w:highlight w:val="none"/>
          <w14:textFill>
            <w14:solidFill>
              <w14:schemeClr w14:val="tx1"/>
            </w14:solidFill>
          </w14:textFill>
        </w:rPr>
        <w:t>，全部人员均提供国家认可的学历认证证明扫描件及身份证扫描件。</w:t>
      </w:r>
    </w:p>
    <w:p w14:paraId="3872669A">
      <w:pPr>
        <w:spacing w:line="360" w:lineRule="auto"/>
        <w:rPr>
          <w:rFonts w:cs="新宋体" w:asciiTheme="minorEastAsia" w:hAnsiTheme="minorEastAsia" w:eastAsiaTheme="minorEastAsia"/>
          <w:color w:val="000000" w:themeColor="text1"/>
          <w:sz w:val="24"/>
          <w:highlight w:val="none"/>
          <w14:textFill>
            <w14:solidFill>
              <w14:schemeClr w14:val="tx1"/>
            </w14:solidFill>
          </w14:textFill>
        </w:rPr>
      </w:pPr>
    </w:p>
    <w:p w14:paraId="4BE74D73">
      <w:pPr>
        <w:spacing w:line="360" w:lineRule="auto"/>
        <w:rPr>
          <w:rFonts w:cs="新宋体" w:asciiTheme="minorEastAsia" w:hAnsiTheme="minorEastAsia" w:eastAsiaTheme="minorEastAsia"/>
          <w:color w:val="000000" w:themeColor="text1"/>
          <w:sz w:val="24"/>
          <w:highlight w:val="none"/>
          <w14:textFill>
            <w14:solidFill>
              <w14:schemeClr w14:val="tx1"/>
            </w14:solidFill>
          </w14:textFill>
        </w:rPr>
      </w:pPr>
    </w:p>
    <w:p w14:paraId="2D13A6BD">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AD439A6">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2BB68079">
      <w:pPr>
        <w:spacing w:line="480" w:lineRule="auto"/>
        <w:ind w:left="-7" w:leftChars="-95" w:right="452" w:hanging="192" w:hangingChars="67"/>
        <w:jc w:val="center"/>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                  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p>
    <w:p w14:paraId="30EB19F2">
      <w:pPr>
        <w:pStyle w:val="16"/>
        <w:ind w:firstLine="200"/>
        <w:rPr>
          <w:color w:val="000000" w:themeColor="text1"/>
          <w:highlight w:val="none"/>
          <w14:textFill>
            <w14:solidFill>
              <w14:schemeClr w14:val="tx1"/>
            </w14:solidFill>
          </w14:textFill>
        </w:rPr>
      </w:pPr>
    </w:p>
    <w:p w14:paraId="7B697364">
      <w:pPr>
        <w:pStyle w:val="16"/>
        <w:spacing w:line="360" w:lineRule="auto"/>
        <w:ind w:firstLine="0" w:firstLineChars="0"/>
        <w:rPr>
          <w:rFonts w:cs="宋体" w:asciiTheme="minorEastAsia" w:hAnsiTheme="minorEastAsia" w:eastAsiaTheme="minorEastAsia"/>
          <w:b/>
          <w:color w:val="000000" w:themeColor="text1"/>
          <w:sz w:val="24"/>
          <w:highlight w:val="none"/>
          <w14:textFill>
            <w14:solidFill>
              <w14:schemeClr w14:val="tx1"/>
            </w14:solidFill>
          </w14:textFill>
        </w:rPr>
      </w:pPr>
    </w:p>
    <w:p w14:paraId="4978E6C9">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p>
    <w:p w14:paraId="2C62CD74">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p>
    <w:p w14:paraId="7E66ECA7">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p>
    <w:p w14:paraId="6FB1FD77">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p>
    <w:p w14:paraId="6D916BB7">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p>
    <w:p w14:paraId="55312DFF">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p>
    <w:p w14:paraId="54A9ECB6">
      <w:pPr>
        <w:pStyle w:val="16"/>
        <w:spacing w:line="360" w:lineRule="auto"/>
        <w:ind w:firstLine="241"/>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3.场地情况</w:t>
      </w:r>
    </w:p>
    <w:p w14:paraId="291604B4">
      <w:pPr>
        <w:pStyle w:val="8"/>
        <w:ind w:right="164" w:firstLine="560"/>
        <w:rPr>
          <w:color w:val="000000" w:themeColor="text1"/>
          <w:highlight w:val="none"/>
          <w14:textFill>
            <w14:solidFill>
              <w14:schemeClr w14:val="tx1"/>
            </w14:solidFill>
          </w14:textFill>
        </w:rPr>
      </w:pPr>
    </w:p>
    <w:p w14:paraId="3FAC8AA3">
      <w:pPr>
        <w:spacing w:line="360" w:lineRule="auto"/>
        <w:ind w:firstLine="241" w:firstLineChars="100"/>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szCs w:val="20"/>
          <w:highlight w:val="none"/>
          <w14:textFill>
            <w14:solidFill>
              <w14:schemeClr w14:val="tx1"/>
            </w14:solidFill>
          </w14:textFill>
        </w:rPr>
        <w:t>4.样品存放主要设施设备情况一览表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556"/>
        <w:gridCol w:w="1889"/>
        <w:gridCol w:w="3570"/>
      </w:tblGrid>
      <w:tr w14:paraId="427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Align w:val="center"/>
          </w:tcPr>
          <w:p w14:paraId="75D9ECB1">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序号</w:t>
            </w:r>
          </w:p>
        </w:tc>
        <w:tc>
          <w:tcPr>
            <w:tcW w:w="1402" w:type="pct"/>
            <w:vAlign w:val="center"/>
          </w:tcPr>
          <w:p w14:paraId="4BE2B77F">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设施名称</w:t>
            </w:r>
          </w:p>
        </w:tc>
        <w:tc>
          <w:tcPr>
            <w:tcW w:w="1036" w:type="pct"/>
            <w:tcBorders>
              <w:bottom w:val="single" w:color="auto" w:sz="4" w:space="0"/>
            </w:tcBorders>
            <w:vAlign w:val="center"/>
          </w:tcPr>
          <w:p w14:paraId="0B6804AB">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主要功能</w:t>
            </w:r>
          </w:p>
        </w:tc>
        <w:tc>
          <w:tcPr>
            <w:tcW w:w="1958" w:type="pct"/>
            <w:tcBorders>
              <w:bottom w:val="single" w:color="auto" w:sz="4" w:space="0"/>
            </w:tcBorders>
            <w:vAlign w:val="center"/>
          </w:tcPr>
          <w:p w14:paraId="00BD30BB">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可保存样品的种类、数量</w:t>
            </w:r>
          </w:p>
          <w:p w14:paraId="45CB8DA5">
            <w:pPr>
              <w:jc w:val="center"/>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（以每立方米为计算单位）</w:t>
            </w:r>
          </w:p>
        </w:tc>
      </w:tr>
      <w:tr w14:paraId="511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06E3A8AA">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33750467">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Borders>
              <w:top w:val="single" w:color="auto" w:sz="4" w:space="0"/>
            </w:tcBorders>
          </w:tcPr>
          <w:p w14:paraId="7F48F33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Borders>
              <w:top w:val="single" w:color="auto" w:sz="4" w:space="0"/>
            </w:tcBorders>
          </w:tcPr>
          <w:p w14:paraId="3468325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2F35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7AC9D89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1332021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3ABB15B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034A336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00B0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5139A17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32BB4181">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30844A5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139CA8C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58B1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5AEA8097">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52981CA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4F85E6B1">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763680C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2C84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2CDDBCF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6D5A5F2C">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0D2B6C7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1F3FC99A">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383C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43243F05">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2EB1C12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0F508F77">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2CA0DAD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5DE9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7EA2E6BC">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5FE8E51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64177EE6">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3AEEB13F">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1FD4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226A5DD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0F0DFF5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065773D0">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7B34CEB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447C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64081A1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7AF2411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3D275D7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66521B9E">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7227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61803AE4">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750B514F">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1BA50324">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5B7317F3">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6561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32F27A9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04EE80D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7F569772">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0D20AD9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4140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64A5605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1F22BD1D">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1F04EAB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08ED4174">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0212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15263FAB">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681F58B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0AC8F389">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0E317D8A">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r w14:paraId="21D6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tcPr>
          <w:p w14:paraId="124BEE1C">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402" w:type="pct"/>
          </w:tcPr>
          <w:p w14:paraId="5565DCD8">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036" w:type="pct"/>
          </w:tcPr>
          <w:p w14:paraId="7C6321BA">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c>
          <w:tcPr>
            <w:tcW w:w="1958" w:type="pct"/>
          </w:tcPr>
          <w:p w14:paraId="1B2ADB17">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tc>
      </w:tr>
    </w:tbl>
    <w:p w14:paraId="0755CF4C">
      <w:pPr>
        <w:jc w:val="center"/>
        <w:rPr>
          <w:rFonts w:cs="新宋体" w:asciiTheme="minorEastAsia" w:hAnsiTheme="minorEastAsia" w:eastAsiaTheme="minorEastAsia"/>
          <w:b/>
          <w:bCs/>
          <w:color w:val="000000" w:themeColor="text1"/>
          <w:sz w:val="32"/>
          <w:szCs w:val="32"/>
          <w:highlight w:val="none"/>
          <w14:textFill>
            <w14:solidFill>
              <w14:schemeClr w14:val="tx1"/>
            </w14:solidFill>
          </w14:textFill>
        </w:rPr>
      </w:pPr>
    </w:p>
    <w:p w14:paraId="06C97096">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42458C6">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0F50CAFE">
      <w:pPr>
        <w:spacing w:line="480" w:lineRule="auto"/>
        <w:ind w:left="-7" w:leftChars="-95" w:right="452" w:hanging="192" w:hangingChars="67"/>
        <w:jc w:val="center"/>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                   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p>
    <w:p w14:paraId="08273993">
      <w:pPr>
        <w:pStyle w:val="16"/>
        <w:ind w:firstLine="200"/>
        <w:rPr>
          <w:color w:val="000000" w:themeColor="text1"/>
          <w:highlight w:val="none"/>
          <w14:textFill>
            <w14:solidFill>
              <w14:schemeClr w14:val="tx1"/>
            </w14:solidFill>
          </w14:textFill>
        </w:rPr>
      </w:pPr>
    </w:p>
    <w:p w14:paraId="0BCEE453">
      <w:pPr>
        <w:pStyle w:val="8"/>
        <w:ind w:right="164" w:firstLine="560"/>
        <w:rPr>
          <w:color w:val="000000" w:themeColor="text1"/>
          <w:highlight w:val="none"/>
          <w14:textFill>
            <w14:solidFill>
              <w14:schemeClr w14:val="tx1"/>
            </w14:solidFill>
          </w14:textFill>
        </w:rPr>
      </w:pPr>
    </w:p>
    <w:p w14:paraId="75A260A6">
      <w:pPr>
        <w:rPr>
          <w:color w:val="000000" w:themeColor="text1"/>
          <w:highlight w:val="none"/>
          <w14:textFill>
            <w14:solidFill>
              <w14:schemeClr w14:val="tx1"/>
            </w14:solidFill>
          </w14:textFill>
        </w:rPr>
      </w:pPr>
    </w:p>
    <w:p w14:paraId="6846DFD0">
      <w:pPr>
        <w:pStyle w:val="16"/>
        <w:ind w:firstLine="200"/>
        <w:rPr>
          <w:color w:val="000000" w:themeColor="text1"/>
          <w:highlight w:val="none"/>
          <w14:textFill>
            <w14:solidFill>
              <w14:schemeClr w14:val="tx1"/>
            </w14:solidFill>
          </w14:textFill>
        </w:rPr>
      </w:pPr>
    </w:p>
    <w:p w14:paraId="35E7CAA9">
      <w:pPr>
        <w:pStyle w:val="8"/>
        <w:ind w:right="164" w:firstLine="560"/>
        <w:rPr>
          <w:color w:val="000000" w:themeColor="text1"/>
          <w:highlight w:val="none"/>
          <w14:textFill>
            <w14:solidFill>
              <w14:schemeClr w14:val="tx1"/>
            </w14:solidFill>
          </w14:textFill>
        </w:rPr>
      </w:pPr>
    </w:p>
    <w:p w14:paraId="615ED4F9">
      <w:pPr>
        <w:rPr>
          <w:color w:val="000000" w:themeColor="text1"/>
          <w:highlight w:val="none"/>
          <w14:textFill>
            <w14:solidFill>
              <w14:schemeClr w14:val="tx1"/>
            </w14:solidFill>
          </w14:textFill>
        </w:rPr>
      </w:pPr>
    </w:p>
    <w:p w14:paraId="2F31D0AD">
      <w:pPr>
        <w:pStyle w:val="16"/>
        <w:ind w:firstLine="200"/>
        <w:rPr>
          <w:color w:val="000000" w:themeColor="text1"/>
          <w:highlight w:val="none"/>
          <w14:textFill>
            <w14:solidFill>
              <w14:schemeClr w14:val="tx1"/>
            </w14:solidFill>
          </w14:textFill>
        </w:rPr>
      </w:pPr>
    </w:p>
    <w:p w14:paraId="2B96BB5A">
      <w:pPr>
        <w:pStyle w:val="8"/>
        <w:ind w:right="164" w:firstLine="560"/>
        <w:rPr>
          <w:color w:val="000000" w:themeColor="text1"/>
          <w:highlight w:val="none"/>
          <w14:textFill>
            <w14:solidFill>
              <w14:schemeClr w14:val="tx1"/>
            </w14:solidFill>
          </w14:textFill>
        </w:rPr>
      </w:pPr>
    </w:p>
    <w:p w14:paraId="5FFE353E">
      <w:pPr>
        <w:rPr>
          <w:color w:val="000000" w:themeColor="text1"/>
          <w:highlight w:val="none"/>
          <w14:textFill>
            <w14:solidFill>
              <w14:schemeClr w14:val="tx1"/>
            </w14:solidFill>
          </w14:textFill>
        </w:rPr>
      </w:pPr>
    </w:p>
    <w:p w14:paraId="4958ECA1">
      <w:pPr>
        <w:rPr>
          <w:rFonts w:cs="新宋体" w:asciiTheme="minorEastAsia" w:hAnsiTheme="minorEastAsia" w:eastAsiaTheme="minorEastAsia"/>
          <w:bCs/>
          <w:color w:val="000000" w:themeColor="text1"/>
          <w:sz w:val="24"/>
          <w:highlight w:val="none"/>
          <w14:textFill>
            <w14:solidFill>
              <w14:schemeClr w14:val="tx1"/>
            </w14:solidFill>
          </w14:textFill>
        </w:rPr>
      </w:pPr>
    </w:p>
    <w:p w14:paraId="0203FA3A">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szCs w:val="20"/>
          <w:highlight w:val="none"/>
          <w14:textFill>
            <w14:solidFill>
              <w14:schemeClr w14:val="tx1"/>
            </w14:solidFill>
          </w14:textFill>
        </w:rPr>
        <w:t>5.拟派项目负责人一览表</w:t>
      </w:r>
    </w:p>
    <w:p w14:paraId="606DCAD5">
      <w:pPr>
        <w:rPr>
          <w:rFonts w:cs="新宋体" w:asciiTheme="minorEastAsia" w:hAnsiTheme="minorEastAsia" w:eastAsiaTheme="minorEastAsia"/>
          <w:color w:val="000000" w:themeColor="text1"/>
          <w:highlight w:val="none"/>
          <w14:textFill>
            <w14:solidFill>
              <w14:schemeClr w14:val="tx1"/>
            </w14:solidFill>
          </w14:textFill>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03"/>
        <w:gridCol w:w="2270"/>
        <w:gridCol w:w="2288"/>
        <w:gridCol w:w="2270"/>
      </w:tblGrid>
      <w:tr w14:paraId="1D3B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55" w:type="pct"/>
            <w:gridSpan w:val="2"/>
            <w:vAlign w:val="center"/>
          </w:tcPr>
          <w:p w14:paraId="1D1A344F">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姓名</w:t>
            </w:r>
          </w:p>
        </w:tc>
        <w:tc>
          <w:tcPr>
            <w:tcW w:w="1245" w:type="pct"/>
            <w:vAlign w:val="center"/>
          </w:tcPr>
          <w:p w14:paraId="6B72F00E">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c>
          <w:tcPr>
            <w:tcW w:w="1255" w:type="pct"/>
            <w:vAlign w:val="center"/>
          </w:tcPr>
          <w:p w14:paraId="267B9AA1">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年龄</w:t>
            </w:r>
          </w:p>
        </w:tc>
        <w:tc>
          <w:tcPr>
            <w:tcW w:w="1245" w:type="pct"/>
            <w:vAlign w:val="center"/>
          </w:tcPr>
          <w:p w14:paraId="426A842B">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r>
      <w:tr w14:paraId="0045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5" w:type="pct"/>
            <w:gridSpan w:val="2"/>
            <w:vAlign w:val="center"/>
          </w:tcPr>
          <w:p w14:paraId="57E416C1">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学历</w:t>
            </w:r>
          </w:p>
        </w:tc>
        <w:tc>
          <w:tcPr>
            <w:tcW w:w="1245" w:type="pct"/>
            <w:vAlign w:val="center"/>
          </w:tcPr>
          <w:p w14:paraId="17E229F2">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c>
          <w:tcPr>
            <w:tcW w:w="1255" w:type="pct"/>
            <w:vAlign w:val="center"/>
          </w:tcPr>
          <w:p w14:paraId="1F46F231">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专业资质</w:t>
            </w:r>
          </w:p>
        </w:tc>
        <w:tc>
          <w:tcPr>
            <w:tcW w:w="1245" w:type="pct"/>
            <w:vAlign w:val="center"/>
          </w:tcPr>
          <w:p w14:paraId="595915DD">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r>
      <w:tr w14:paraId="4D22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5" w:type="pct"/>
            <w:gridSpan w:val="2"/>
            <w:vAlign w:val="center"/>
          </w:tcPr>
          <w:p w14:paraId="14D8B7DA">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职务</w:t>
            </w:r>
          </w:p>
        </w:tc>
        <w:tc>
          <w:tcPr>
            <w:tcW w:w="1245" w:type="pct"/>
            <w:vAlign w:val="center"/>
          </w:tcPr>
          <w:p w14:paraId="1C3A59CB">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c>
          <w:tcPr>
            <w:tcW w:w="1255" w:type="pct"/>
            <w:vAlign w:val="center"/>
          </w:tcPr>
          <w:p w14:paraId="14EF00BD">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职称</w:t>
            </w:r>
          </w:p>
        </w:tc>
        <w:tc>
          <w:tcPr>
            <w:tcW w:w="1245" w:type="pct"/>
            <w:vAlign w:val="center"/>
          </w:tcPr>
          <w:p w14:paraId="2C394F06">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r>
      <w:tr w14:paraId="1A73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00" w:type="pct"/>
            <w:gridSpan w:val="3"/>
            <w:vAlign w:val="center"/>
          </w:tcPr>
          <w:p w14:paraId="6C93FE69">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从事检验工作年限</w:t>
            </w:r>
          </w:p>
        </w:tc>
        <w:tc>
          <w:tcPr>
            <w:tcW w:w="2500" w:type="pct"/>
            <w:gridSpan w:val="2"/>
            <w:vAlign w:val="center"/>
          </w:tcPr>
          <w:p w14:paraId="4254ED47">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r>
      <w:tr w14:paraId="622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00" w:type="pct"/>
            <w:gridSpan w:val="3"/>
            <w:vAlign w:val="center"/>
          </w:tcPr>
          <w:p w14:paraId="4D2F6C43">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在本项目中拟担任的职务</w:t>
            </w:r>
          </w:p>
        </w:tc>
        <w:tc>
          <w:tcPr>
            <w:tcW w:w="2500" w:type="pct"/>
            <w:gridSpan w:val="2"/>
            <w:vAlign w:val="center"/>
          </w:tcPr>
          <w:p w14:paraId="022CED2B">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r>
      <w:tr w14:paraId="1B73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55" w:type="pct"/>
            <w:gridSpan w:val="2"/>
            <w:vAlign w:val="center"/>
          </w:tcPr>
          <w:p w14:paraId="66773BF8">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联系方式</w:t>
            </w:r>
          </w:p>
        </w:tc>
        <w:tc>
          <w:tcPr>
            <w:tcW w:w="3745" w:type="pct"/>
            <w:gridSpan w:val="3"/>
            <w:vAlign w:val="center"/>
          </w:tcPr>
          <w:p w14:paraId="537DA7CE">
            <w:pPr>
              <w:jc w:val="center"/>
              <w:rPr>
                <w:rFonts w:cs="新宋体" w:asciiTheme="minorEastAsia" w:hAnsiTheme="minorEastAsia" w:eastAsiaTheme="minorEastAsia"/>
                <w:color w:val="000000" w:themeColor="text1"/>
                <w:sz w:val="24"/>
                <w:highlight w:val="none"/>
                <w14:textFill>
                  <w14:solidFill>
                    <w14:schemeClr w14:val="tx1"/>
                  </w14:solidFill>
                </w14:textFill>
              </w:rPr>
            </w:pPr>
          </w:p>
        </w:tc>
      </w:tr>
      <w:tr w14:paraId="7917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00" w:type="pct"/>
            <w:gridSpan w:val="5"/>
            <w:vAlign w:val="center"/>
          </w:tcPr>
          <w:p w14:paraId="1EE36A09">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主要食品检验工作业绩</w:t>
            </w:r>
          </w:p>
        </w:tc>
      </w:tr>
      <w:tr w14:paraId="0084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0" w:type="pct"/>
            <w:vAlign w:val="center"/>
          </w:tcPr>
          <w:p w14:paraId="34FC40C2">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时间</w:t>
            </w:r>
          </w:p>
        </w:tc>
        <w:tc>
          <w:tcPr>
            <w:tcW w:w="4350" w:type="pct"/>
            <w:gridSpan w:val="4"/>
            <w:vAlign w:val="center"/>
          </w:tcPr>
          <w:p w14:paraId="652F22D4">
            <w:pPr>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食品检验工作内容及本人承担工作</w:t>
            </w:r>
          </w:p>
        </w:tc>
      </w:tr>
      <w:tr w14:paraId="665C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jc w:val="center"/>
        </w:trPr>
        <w:tc>
          <w:tcPr>
            <w:tcW w:w="650" w:type="pct"/>
            <w:vAlign w:val="center"/>
          </w:tcPr>
          <w:p w14:paraId="706E3DC7">
            <w:pP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en-US"/>
                <w14:textFill>
                  <w14:solidFill>
                    <w14:schemeClr w14:val="tx1"/>
                  </w14:solidFill>
                </w14:textFill>
              </w:rPr>
              <w:t xml:space="preserve">近 3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eastAsia="en-US"/>
                <w14:textFill>
                  <w14:solidFill>
                    <w14:schemeClr w14:val="tx1"/>
                  </w14:solidFill>
                </w14:textFill>
              </w:rPr>
              <w:t>（20</w:t>
            </w: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eastAsia="en-US"/>
                <w14:textFill>
                  <w14:solidFill>
                    <w14:schemeClr w14:val="tx1"/>
                  </w14:solidFill>
                </w14:textFill>
              </w:rPr>
              <w:t>年1月1日至今）</w:t>
            </w:r>
          </w:p>
        </w:tc>
        <w:tc>
          <w:tcPr>
            <w:tcW w:w="4350" w:type="pct"/>
            <w:gridSpan w:val="4"/>
            <w:vAlign w:val="center"/>
          </w:tcPr>
          <w:p w14:paraId="174E3918">
            <w:pPr>
              <w:spacing w:line="500" w:lineRule="exact"/>
              <w:jc w:val="center"/>
              <w:rPr>
                <w:rFonts w:cs="新宋体" w:asciiTheme="minorEastAsia" w:hAnsiTheme="minorEastAsia" w:eastAsiaTheme="minorEastAsia"/>
                <w:color w:val="000000" w:themeColor="text1"/>
                <w:sz w:val="24"/>
                <w:highlight w:val="none"/>
                <w14:textFill>
                  <w14:solidFill>
                    <w14:schemeClr w14:val="tx1"/>
                  </w14:solidFill>
                </w14:textFill>
              </w:rPr>
            </w:pPr>
            <w:r>
              <w:rPr>
                <w:rFonts w:hint="eastAsia" w:cs="新宋体" w:asciiTheme="minorEastAsia" w:hAnsiTheme="minorEastAsia" w:eastAsiaTheme="minorEastAsia"/>
                <w:color w:val="000000" w:themeColor="text1"/>
                <w:sz w:val="24"/>
                <w:highlight w:val="none"/>
                <w14:textFill>
                  <w14:solidFill>
                    <w14:schemeClr w14:val="tx1"/>
                  </w14:solidFill>
                </w14:textFill>
              </w:rPr>
              <w:t>（检验项目细目及证明材料，数量不限）</w:t>
            </w:r>
          </w:p>
        </w:tc>
      </w:tr>
    </w:tbl>
    <w:p w14:paraId="7CFD6DF4">
      <w:pPr>
        <w:pStyle w:val="7"/>
        <w:ind w:left="0" w:leftChars="0"/>
        <w:rPr>
          <w:rFonts w:cs="新宋体" w:asciiTheme="minorEastAsia" w:hAnsiTheme="minorEastAsia" w:eastAsiaTheme="minorEastAsia"/>
          <w:bCs/>
          <w:color w:val="000000" w:themeColor="text1"/>
          <w:sz w:val="24"/>
          <w:highlight w:val="none"/>
          <w14:textFill>
            <w14:solidFill>
              <w14:schemeClr w14:val="tx1"/>
            </w14:solidFill>
          </w14:textFill>
        </w:rPr>
      </w:pPr>
      <w:r>
        <w:rPr>
          <w:rFonts w:hint="eastAsia" w:cs="新宋体" w:asciiTheme="minorEastAsia" w:hAnsiTheme="minorEastAsia" w:eastAsiaTheme="minorEastAsia"/>
          <w:bCs/>
          <w:color w:val="000000" w:themeColor="text1"/>
          <w:sz w:val="24"/>
          <w:highlight w:val="none"/>
          <w14:textFill>
            <w14:solidFill>
              <w14:schemeClr w14:val="tx1"/>
            </w14:solidFill>
          </w14:textFill>
        </w:rPr>
        <w:t>注：应后附项目负责人身份证、劳动合同、社保缴纳证明材料的原件扫描件。</w:t>
      </w:r>
    </w:p>
    <w:p w14:paraId="2249AEC3">
      <w:pPr>
        <w:tabs>
          <w:tab w:val="left" w:pos="4950"/>
          <w:tab w:val="right" w:pos="8306"/>
        </w:tabs>
        <w:rPr>
          <w:rFonts w:cs="新宋体" w:asciiTheme="minorEastAsia" w:hAnsiTheme="minorEastAsia" w:eastAsiaTheme="minorEastAsia"/>
          <w:color w:val="000000" w:themeColor="text1"/>
          <w:sz w:val="28"/>
          <w:szCs w:val="28"/>
          <w:highlight w:val="none"/>
          <w14:textFill>
            <w14:solidFill>
              <w14:schemeClr w14:val="tx1"/>
            </w14:solidFill>
          </w14:textFill>
        </w:rPr>
      </w:pPr>
      <w:r>
        <w:rPr>
          <w:rFonts w:cs="新宋体" w:asciiTheme="minorEastAsia" w:hAnsiTheme="minorEastAsia" w:eastAsiaTheme="minorEastAsia"/>
          <w:color w:val="000000" w:themeColor="text1"/>
          <w:sz w:val="28"/>
          <w:szCs w:val="28"/>
          <w:highlight w:val="none"/>
          <w14:textFill>
            <w14:solidFill>
              <w14:schemeClr w14:val="tx1"/>
            </w14:solidFill>
          </w14:textFill>
        </w:rPr>
        <w:tab/>
      </w:r>
    </w:p>
    <w:p w14:paraId="68AD292C">
      <w:pPr>
        <w:tabs>
          <w:tab w:val="left" w:pos="4950"/>
          <w:tab w:val="right" w:pos="8306"/>
        </w:tabs>
        <w:rPr>
          <w:rFonts w:cs="新宋体" w:asciiTheme="minorEastAsia" w:hAnsiTheme="minorEastAsia" w:eastAsiaTheme="minorEastAsia"/>
          <w:color w:val="000000" w:themeColor="text1"/>
          <w:sz w:val="28"/>
          <w:szCs w:val="28"/>
          <w:highlight w:val="none"/>
          <w14:textFill>
            <w14:solidFill>
              <w14:schemeClr w14:val="tx1"/>
            </w14:solidFill>
          </w14:textFill>
        </w:rPr>
      </w:pPr>
    </w:p>
    <w:p w14:paraId="11DE8599">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1C194E7">
      <w:pPr>
        <w:spacing w:line="360" w:lineRule="auto"/>
        <w:ind w:firstLine="3600" w:firstLineChars="125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4AD80964">
      <w:pPr>
        <w:spacing w:line="480" w:lineRule="auto"/>
        <w:ind w:left="-7" w:leftChars="-95" w:right="452" w:hanging="192" w:hangingChars="67"/>
        <w:jc w:val="center"/>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                  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p>
    <w:p w14:paraId="08C39D7C">
      <w:pPr>
        <w:pStyle w:val="16"/>
        <w:ind w:firstLine="200"/>
        <w:rPr>
          <w:color w:val="000000" w:themeColor="text1"/>
          <w:highlight w:val="none"/>
          <w14:textFill>
            <w14:solidFill>
              <w14:schemeClr w14:val="tx1"/>
            </w14:solidFill>
          </w14:textFill>
        </w:rPr>
      </w:pPr>
    </w:p>
    <w:p w14:paraId="5BA8904A">
      <w:pPr>
        <w:pStyle w:val="8"/>
        <w:ind w:right="164" w:firstLine="560"/>
        <w:rPr>
          <w:color w:val="000000" w:themeColor="text1"/>
          <w:highlight w:val="none"/>
          <w14:textFill>
            <w14:solidFill>
              <w14:schemeClr w14:val="tx1"/>
            </w14:solidFill>
          </w14:textFill>
        </w:rPr>
      </w:pPr>
    </w:p>
    <w:p w14:paraId="5CC9BE7C">
      <w:pPr>
        <w:rPr>
          <w:color w:val="000000" w:themeColor="text1"/>
          <w:highlight w:val="none"/>
          <w14:textFill>
            <w14:solidFill>
              <w14:schemeClr w14:val="tx1"/>
            </w14:solidFill>
          </w14:textFill>
        </w:rPr>
      </w:pPr>
    </w:p>
    <w:p w14:paraId="63580FC2">
      <w:pPr>
        <w:pStyle w:val="16"/>
        <w:ind w:firstLine="200"/>
        <w:rPr>
          <w:color w:val="000000" w:themeColor="text1"/>
          <w:highlight w:val="none"/>
          <w14:textFill>
            <w14:solidFill>
              <w14:schemeClr w14:val="tx1"/>
            </w14:solidFill>
          </w14:textFill>
        </w:rPr>
      </w:pPr>
    </w:p>
    <w:p w14:paraId="0A04EC1E">
      <w:pPr>
        <w:pStyle w:val="8"/>
        <w:ind w:right="164" w:firstLine="560"/>
        <w:rPr>
          <w:color w:val="000000" w:themeColor="text1"/>
          <w:highlight w:val="none"/>
          <w14:textFill>
            <w14:solidFill>
              <w14:schemeClr w14:val="tx1"/>
            </w14:solidFill>
          </w14:textFill>
        </w:rPr>
      </w:pPr>
    </w:p>
    <w:p w14:paraId="53D16054">
      <w:pPr>
        <w:rPr>
          <w:color w:val="000000" w:themeColor="text1"/>
          <w:highlight w:val="none"/>
          <w14:textFill>
            <w14:solidFill>
              <w14:schemeClr w14:val="tx1"/>
            </w14:solidFill>
          </w14:textFill>
        </w:rPr>
      </w:pPr>
    </w:p>
    <w:p w14:paraId="7417BEBA">
      <w:pPr>
        <w:rPr>
          <w:color w:val="000000" w:themeColor="text1"/>
          <w:kern w:val="0"/>
          <w:sz w:val="20"/>
          <w:szCs w:val="20"/>
          <w:highlight w:val="none"/>
          <w14:textFill>
            <w14:solidFill>
              <w14:schemeClr w14:val="tx1"/>
            </w14:solidFill>
          </w14:textFill>
        </w:rPr>
      </w:pPr>
    </w:p>
    <w:p w14:paraId="3C072D3B">
      <w:pPr>
        <w:pStyle w:val="16"/>
        <w:ind w:firstLine="200"/>
        <w:rPr>
          <w:color w:val="000000" w:themeColor="text1"/>
          <w:highlight w:val="none"/>
          <w14:textFill>
            <w14:solidFill>
              <w14:schemeClr w14:val="tx1"/>
            </w14:solidFill>
          </w14:textFill>
        </w:rPr>
      </w:pPr>
    </w:p>
    <w:p w14:paraId="648CE7F7">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szCs w:val="20"/>
          <w:highlight w:val="none"/>
          <w14:textFill>
            <w14:solidFill>
              <w14:schemeClr w14:val="tx1"/>
            </w14:solidFill>
          </w14:textFill>
        </w:rPr>
        <w:t>6.202</w:t>
      </w:r>
      <w:r>
        <w:rPr>
          <w:rFonts w:hint="eastAsia" w:cs="宋体" w:asciiTheme="minorEastAsia" w:hAnsiTheme="minorEastAsia" w:eastAsiaTheme="minorEastAsia"/>
          <w:b/>
          <w:color w:val="000000" w:themeColor="text1"/>
          <w:kern w:val="0"/>
          <w:sz w:val="24"/>
          <w:szCs w:val="20"/>
          <w:highlight w:val="none"/>
          <w:lang w:val="en-US" w:eastAsia="zh-CN"/>
          <w14:textFill>
            <w14:solidFill>
              <w14:schemeClr w14:val="tx1"/>
            </w14:solidFill>
          </w14:textFill>
        </w:rPr>
        <w:t>2</w:t>
      </w:r>
      <w:r>
        <w:rPr>
          <w:rFonts w:hint="eastAsia" w:cs="宋体" w:asciiTheme="minorEastAsia" w:hAnsiTheme="minorEastAsia" w:eastAsiaTheme="minorEastAsia"/>
          <w:b/>
          <w:color w:val="000000" w:themeColor="text1"/>
          <w:kern w:val="0"/>
          <w:sz w:val="24"/>
          <w:szCs w:val="20"/>
          <w:highlight w:val="none"/>
          <w14:textFill>
            <w14:solidFill>
              <w14:schemeClr w14:val="tx1"/>
            </w14:solidFill>
          </w14:textFill>
        </w:rPr>
        <w:t>年1月1日以来近成的类似项目情况表</w:t>
      </w:r>
    </w:p>
    <w:tbl>
      <w:tblPr>
        <w:tblStyle w:val="17"/>
        <w:tblW w:w="0" w:type="auto"/>
        <w:jc w:val="center"/>
        <w:tblLayout w:type="fixed"/>
        <w:tblCellMar>
          <w:top w:w="0" w:type="dxa"/>
          <w:left w:w="108" w:type="dxa"/>
          <w:bottom w:w="0" w:type="dxa"/>
          <w:right w:w="108" w:type="dxa"/>
        </w:tblCellMar>
      </w:tblPr>
      <w:tblGrid>
        <w:gridCol w:w="3424"/>
        <w:gridCol w:w="5872"/>
      </w:tblGrid>
      <w:tr w14:paraId="5DDDF2D9">
        <w:tblPrEx>
          <w:tblCellMar>
            <w:top w:w="0" w:type="dxa"/>
            <w:left w:w="108" w:type="dxa"/>
            <w:bottom w:w="0" w:type="dxa"/>
            <w:right w:w="108" w:type="dxa"/>
          </w:tblCellMar>
        </w:tblPrEx>
        <w:trPr>
          <w:trHeight w:val="670"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79B1B99B">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合同名称</w:t>
            </w:r>
          </w:p>
        </w:tc>
        <w:tc>
          <w:tcPr>
            <w:tcW w:w="5872" w:type="dxa"/>
            <w:tcBorders>
              <w:top w:val="single" w:color="auto" w:sz="4" w:space="0"/>
              <w:left w:val="nil"/>
              <w:bottom w:val="single" w:color="auto" w:sz="4" w:space="0"/>
              <w:right w:val="single" w:color="auto" w:sz="4" w:space="0"/>
            </w:tcBorders>
          </w:tcPr>
          <w:p w14:paraId="52F3BB5B">
            <w:pPr>
              <w:spacing w:line="400" w:lineRule="exact"/>
              <w:rPr>
                <w:rFonts w:ascii="宋体" w:hAnsi="宋体" w:cs="宋体"/>
                <w:color w:val="000000" w:themeColor="text1"/>
                <w:sz w:val="24"/>
                <w:highlight w:val="none"/>
                <w14:textFill>
                  <w14:solidFill>
                    <w14:schemeClr w14:val="tx1"/>
                  </w14:solidFill>
                </w14:textFill>
              </w:rPr>
            </w:pPr>
          </w:p>
        </w:tc>
      </w:tr>
      <w:tr w14:paraId="2C98196A">
        <w:tblPrEx>
          <w:tblCellMar>
            <w:top w:w="0" w:type="dxa"/>
            <w:left w:w="108" w:type="dxa"/>
            <w:bottom w:w="0" w:type="dxa"/>
            <w:right w:w="108" w:type="dxa"/>
          </w:tblCellMar>
        </w:tblPrEx>
        <w:trPr>
          <w:trHeight w:val="606"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567C40E3">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合同项目所在地</w:t>
            </w:r>
          </w:p>
        </w:tc>
        <w:tc>
          <w:tcPr>
            <w:tcW w:w="5872" w:type="dxa"/>
            <w:tcBorders>
              <w:top w:val="single" w:color="auto" w:sz="4" w:space="0"/>
              <w:left w:val="nil"/>
              <w:bottom w:val="single" w:color="auto" w:sz="4" w:space="0"/>
              <w:right w:val="single" w:color="auto" w:sz="4" w:space="0"/>
            </w:tcBorders>
          </w:tcPr>
          <w:p w14:paraId="4B20E90E">
            <w:pPr>
              <w:spacing w:line="400" w:lineRule="exact"/>
              <w:rPr>
                <w:rFonts w:ascii="宋体" w:hAnsi="宋体" w:cs="宋体"/>
                <w:color w:val="000000" w:themeColor="text1"/>
                <w:sz w:val="24"/>
                <w:highlight w:val="none"/>
                <w14:textFill>
                  <w14:solidFill>
                    <w14:schemeClr w14:val="tx1"/>
                  </w14:solidFill>
                </w14:textFill>
              </w:rPr>
            </w:pPr>
          </w:p>
        </w:tc>
      </w:tr>
      <w:tr w14:paraId="26AE9695">
        <w:tblPrEx>
          <w:tblCellMar>
            <w:top w:w="0" w:type="dxa"/>
            <w:left w:w="108" w:type="dxa"/>
            <w:bottom w:w="0" w:type="dxa"/>
            <w:right w:w="108" w:type="dxa"/>
          </w:tblCellMar>
        </w:tblPrEx>
        <w:trPr>
          <w:trHeight w:val="614"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614AA4C4">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发包人名称</w:t>
            </w:r>
          </w:p>
        </w:tc>
        <w:tc>
          <w:tcPr>
            <w:tcW w:w="5872" w:type="dxa"/>
            <w:tcBorders>
              <w:top w:val="single" w:color="auto" w:sz="4" w:space="0"/>
              <w:left w:val="nil"/>
              <w:bottom w:val="single" w:color="auto" w:sz="4" w:space="0"/>
              <w:right w:val="single" w:color="auto" w:sz="4" w:space="0"/>
            </w:tcBorders>
          </w:tcPr>
          <w:p w14:paraId="493831C9">
            <w:pPr>
              <w:spacing w:line="400" w:lineRule="exact"/>
              <w:rPr>
                <w:rFonts w:ascii="宋体" w:hAnsi="宋体" w:cs="宋体"/>
                <w:color w:val="000000" w:themeColor="text1"/>
                <w:sz w:val="24"/>
                <w:highlight w:val="none"/>
                <w14:textFill>
                  <w14:solidFill>
                    <w14:schemeClr w14:val="tx1"/>
                  </w14:solidFill>
                </w14:textFill>
              </w:rPr>
            </w:pPr>
          </w:p>
        </w:tc>
      </w:tr>
      <w:tr w14:paraId="3A4BD8B5">
        <w:tblPrEx>
          <w:tblCellMar>
            <w:top w:w="0" w:type="dxa"/>
            <w:left w:w="108" w:type="dxa"/>
            <w:bottom w:w="0" w:type="dxa"/>
            <w:right w:w="108" w:type="dxa"/>
          </w:tblCellMar>
        </w:tblPrEx>
        <w:trPr>
          <w:trHeight w:val="608"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4B8859F9">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发包人地址</w:t>
            </w:r>
          </w:p>
        </w:tc>
        <w:tc>
          <w:tcPr>
            <w:tcW w:w="5872" w:type="dxa"/>
            <w:tcBorders>
              <w:top w:val="single" w:color="auto" w:sz="4" w:space="0"/>
              <w:left w:val="nil"/>
              <w:bottom w:val="single" w:color="auto" w:sz="4" w:space="0"/>
              <w:right w:val="single" w:color="auto" w:sz="4" w:space="0"/>
            </w:tcBorders>
          </w:tcPr>
          <w:p w14:paraId="5C6CAA3D">
            <w:pPr>
              <w:spacing w:line="400" w:lineRule="exact"/>
              <w:rPr>
                <w:rFonts w:ascii="宋体" w:hAnsi="宋体" w:cs="宋体"/>
                <w:color w:val="000000" w:themeColor="text1"/>
                <w:sz w:val="24"/>
                <w:highlight w:val="none"/>
                <w14:textFill>
                  <w14:solidFill>
                    <w14:schemeClr w14:val="tx1"/>
                  </w14:solidFill>
                </w14:textFill>
              </w:rPr>
            </w:pPr>
          </w:p>
        </w:tc>
      </w:tr>
      <w:tr w14:paraId="4351963B">
        <w:tblPrEx>
          <w:tblCellMar>
            <w:top w:w="0" w:type="dxa"/>
            <w:left w:w="108" w:type="dxa"/>
            <w:bottom w:w="0" w:type="dxa"/>
            <w:right w:w="108" w:type="dxa"/>
          </w:tblCellMar>
        </w:tblPrEx>
        <w:trPr>
          <w:trHeight w:val="616"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30EF1A1E">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发包人电话</w:t>
            </w:r>
          </w:p>
        </w:tc>
        <w:tc>
          <w:tcPr>
            <w:tcW w:w="5872" w:type="dxa"/>
            <w:tcBorders>
              <w:top w:val="single" w:color="auto" w:sz="4" w:space="0"/>
              <w:left w:val="nil"/>
              <w:bottom w:val="single" w:color="auto" w:sz="4" w:space="0"/>
              <w:right w:val="single" w:color="auto" w:sz="4" w:space="0"/>
            </w:tcBorders>
          </w:tcPr>
          <w:p w14:paraId="6E769FE4">
            <w:pPr>
              <w:spacing w:line="400" w:lineRule="exact"/>
              <w:rPr>
                <w:rFonts w:ascii="宋体" w:hAnsi="宋体" w:cs="宋体"/>
                <w:color w:val="000000" w:themeColor="text1"/>
                <w:sz w:val="24"/>
                <w:highlight w:val="none"/>
                <w14:textFill>
                  <w14:solidFill>
                    <w14:schemeClr w14:val="tx1"/>
                  </w14:solidFill>
                </w14:textFill>
              </w:rPr>
            </w:pPr>
          </w:p>
        </w:tc>
      </w:tr>
      <w:tr w14:paraId="6FBA1AEE">
        <w:tblPrEx>
          <w:tblCellMar>
            <w:top w:w="0" w:type="dxa"/>
            <w:left w:w="108" w:type="dxa"/>
            <w:bottom w:w="0" w:type="dxa"/>
            <w:right w:w="108" w:type="dxa"/>
          </w:tblCellMar>
        </w:tblPrEx>
        <w:trPr>
          <w:trHeight w:val="610"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51206C5D">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签约合同价</w:t>
            </w:r>
          </w:p>
        </w:tc>
        <w:tc>
          <w:tcPr>
            <w:tcW w:w="5872" w:type="dxa"/>
            <w:tcBorders>
              <w:top w:val="single" w:color="auto" w:sz="4" w:space="0"/>
              <w:left w:val="nil"/>
              <w:bottom w:val="single" w:color="auto" w:sz="4" w:space="0"/>
              <w:right w:val="single" w:color="auto" w:sz="4" w:space="0"/>
            </w:tcBorders>
          </w:tcPr>
          <w:p w14:paraId="00F71F42">
            <w:pPr>
              <w:spacing w:line="400" w:lineRule="exact"/>
              <w:rPr>
                <w:rFonts w:ascii="宋体" w:hAnsi="宋体" w:cs="宋体"/>
                <w:color w:val="000000" w:themeColor="text1"/>
                <w:sz w:val="24"/>
                <w:highlight w:val="none"/>
                <w14:textFill>
                  <w14:solidFill>
                    <w14:schemeClr w14:val="tx1"/>
                  </w14:solidFill>
                </w14:textFill>
              </w:rPr>
            </w:pPr>
          </w:p>
        </w:tc>
      </w:tr>
      <w:tr w14:paraId="04B1C2D8">
        <w:tblPrEx>
          <w:tblCellMar>
            <w:top w:w="0" w:type="dxa"/>
            <w:left w:w="108" w:type="dxa"/>
            <w:bottom w:w="0" w:type="dxa"/>
            <w:right w:w="108" w:type="dxa"/>
          </w:tblCellMar>
        </w:tblPrEx>
        <w:trPr>
          <w:trHeight w:val="604"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340A6A60">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发包日期</w:t>
            </w:r>
          </w:p>
        </w:tc>
        <w:tc>
          <w:tcPr>
            <w:tcW w:w="5872" w:type="dxa"/>
            <w:tcBorders>
              <w:top w:val="single" w:color="auto" w:sz="4" w:space="0"/>
              <w:left w:val="nil"/>
              <w:bottom w:val="single" w:color="auto" w:sz="4" w:space="0"/>
              <w:right w:val="single" w:color="auto" w:sz="4" w:space="0"/>
            </w:tcBorders>
          </w:tcPr>
          <w:p w14:paraId="0F1AA672">
            <w:pPr>
              <w:spacing w:line="400" w:lineRule="exact"/>
              <w:rPr>
                <w:rFonts w:ascii="宋体" w:hAnsi="宋体" w:cs="宋体"/>
                <w:color w:val="000000" w:themeColor="text1"/>
                <w:sz w:val="24"/>
                <w:highlight w:val="none"/>
                <w14:textFill>
                  <w14:solidFill>
                    <w14:schemeClr w14:val="tx1"/>
                  </w14:solidFill>
                </w14:textFill>
              </w:rPr>
            </w:pPr>
          </w:p>
        </w:tc>
      </w:tr>
      <w:tr w14:paraId="165B5143">
        <w:tblPrEx>
          <w:tblCellMar>
            <w:top w:w="0" w:type="dxa"/>
            <w:left w:w="108" w:type="dxa"/>
            <w:bottom w:w="0" w:type="dxa"/>
            <w:right w:w="108" w:type="dxa"/>
          </w:tblCellMar>
        </w:tblPrEx>
        <w:trPr>
          <w:trHeight w:val="627"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7BF6F4CA">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完工日期</w:t>
            </w:r>
          </w:p>
        </w:tc>
        <w:tc>
          <w:tcPr>
            <w:tcW w:w="5872" w:type="dxa"/>
            <w:tcBorders>
              <w:top w:val="single" w:color="auto" w:sz="4" w:space="0"/>
              <w:left w:val="nil"/>
              <w:bottom w:val="single" w:color="auto" w:sz="4" w:space="0"/>
              <w:right w:val="single" w:color="auto" w:sz="4" w:space="0"/>
            </w:tcBorders>
          </w:tcPr>
          <w:p w14:paraId="296E5912">
            <w:pPr>
              <w:spacing w:line="400" w:lineRule="exact"/>
              <w:rPr>
                <w:rFonts w:ascii="宋体" w:hAnsi="宋体" w:cs="宋体"/>
                <w:color w:val="000000" w:themeColor="text1"/>
                <w:sz w:val="24"/>
                <w:highlight w:val="none"/>
                <w14:textFill>
                  <w14:solidFill>
                    <w14:schemeClr w14:val="tx1"/>
                  </w14:solidFill>
                </w14:textFill>
              </w:rPr>
            </w:pPr>
          </w:p>
        </w:tc>
      </w:tr>
      <w:tr w14:paraId="0C5FB009">
        <w:tblPrEx>
          <w:tblCellMar>
            <w:top w:w="0" w:type="dxa"/>
            <w:left w:w="108" w:type="dxa"/>
            <w:bottom w:w="0" w:type="dxa"/>
            <w:right w:w="108" w:type="dxa"/>
          </w:tblCellMar>
        </w:tblPrEx>
        <w:trPr>
          <w:trHeight w:val="607"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7C9246C9">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承担的工作</w:t>
            </w:r>
          </w:p>
        </w:tc>
        <w:tc>
          <w:tcPr>
            <w:tcW w:w="5872" w:type="dxa"/>
            <w:tcBorders>
              <w:top w:val="single" w:color="auto" w:sz="4" w:space="0"/>
              <w:left w:val="nil"/>
              <w:bottom w:val="single" w:color="auto" w:sz="4" w:space="0"/>
              <w:right w:val="single" w:color="auto" w:sz="4" w:space="0"/>
            </w:tcBorders>
          </w:tcPr>
          <w:p w14:paraId="44E662C7">
            <w:pPr>
              <w:spacing w:line="400" w:lineRule="exact"/>
              <w:rPr>
                <w:rFonts w:ascii="宋体" w:hAnsi="宋体" w:cs="宋体"/>
                <w:color w:val="000000" w:themeColor="text1"/>
                <w:sz w:val="24"/>
                <w:highlight w:val="none"/>
                <w14:textFill>
                  <w14:solidFill>
                    <w14:schemeClr w14:val="tx1"/>
                  </w14:solidFill>
                </w14:textFill>
              </w:rPr>
            </w:pPr>
          </w:p>
        </w:tc>
      </w:tr>
      <w:tr w14:paraId="2EB8477C">
        <w:tblPrEx>
          <w:tblCellMar>
            <w:top w:w="0" w:type="dxa"/>
            <w:left w:w="108" w:type="dxa"/>
            <w:bottom w:w="0" w:type="dxa"/>
            <w:right w:w="108" w:type="dxa"/>
          </w:tblCellMar>
        </w:tblPrEx>
        <w:trPr>
          <w:trHeight w:val="615"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01A3BAFD">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p>
        </w:tc>
        <w:tc>
          <w:tcPr>
            <w:tcW w:w="5872" w:type="dxa"/>
            <w:tcBorders>
              <w:top w:val="single" w:color="auto" w:sz="4" w:space="0"/>
              <w:left w:val="nil"/>
              <w:bottom w:val="single" w:color="auto" w:sz="4" w:space="0"/>
              <w:right w:val="single" w:color="auto" w:sz="4" w:space="0"/>
            </w:tcBorders>
          </w:tcPr>
          <w:p w14:paraId="41496F07">
            <w:pPr>
              <w:spacing w:line="400" w:lineRule="exact"/>
              <w:rPr>
                <w:rFonts w:ascii="宋体" w:hAnsi="宋体" w:cs="宋体"/>
                <w:color w:val="000000" w:themeColor="text1"/>
                <w:sz w:val="24"/>
                <w:highlight w:val="none"/>
                <w14:textFill>
                  <w14:solidFill>
                    <w14:schemeClr w14:val="tx1"/>
                  </w14:solidFill>
                </w14:textFill>
              </w:rPr>
            </w:pPr>
          </w:p>
        </w:tc>
      </w:tr>
      <w:tr w14:paraId="432E0562">
        <w:tblPrEx>
          <w:tblCellMar>
            <w:top w:w="0" w:type="dxa"/>
            <w:left w:w="108" w:type="dxa"/>
            <w:bottom w:w="0" w:type="dxa"/>
            <w:right w:w="108" w:type="dxa"/>
          </w:tblCellMar>
        </w:tblPrEx>
        <w:trPr>
          <w:trHeight w:val="609"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5092C8FF">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w:t>
            </w:r>
          </w:p>
        </w:tc>
        <w:tc>
          <w:tcPr>
            <w:tcW w:w="5872" w:type="dxa"/>
            <w:tcBorders>
              <w:top w:val="single" w:color="auto" w:sz="4" w:space="0"/>
              <w:left w:val="nil"/>
              <w:bottom w:val="single" w:color="auto" w:sz="4" w:space="0"/>
              <w:right w:val="single" w:color="auto" w:sz="4" w:space="0"/>
            </w:tcBorders>
          </w:tcPr>
          <w:p w14:paraId="177789FB">
            <w:pPr>
              <w:spacing w:line="400" w:lineRule="exact"/>
              <w:rPr>
                <w:rFonts w:ascii="宋体" w:hAnsi="宋体" w:cs="宋体"/>
                <w:color w:val="000000" w:themeColor="text1"/>
                <w:sz w:val="24"/>
                <w:highlight w:val="none"/>
                <w14:textFill>
                  <w14:solidFill>
                    <w14:schemeClr w14:val="tx1"/>
                  </w14:solidFill>
                </w14:textFill>
              </w:rPr>
            </w:pPr>
          </w:p>
        </w:tc>
      </w:tr>
      <w:tr w14:paraId="7ABDE234">
        <w:tblPrEx>
          <w:tblCellMar>
            <w:top w:w="0" w:type="dxa"/>
            <w:left w:w="108" w:type="dxa"/>
            <w:bottom w:w="0" w:type="dxa"/>
            <w:right w:w="108" w:type="dxa"/>
          </w:tblCellMar>
        </w:tblPrEx>
        <w:trPr>
          <w:trHeight w:val="617"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5FAA03BE">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技术负责人</w:t>
            </w:r>
          </w:p>
        </w:tc>
        <w:tc>
          <w:tcPr>
            <w:tcW w:w="5872" w:type="dxa"/>
            <w:tcBorders>
              <w:top w:val="single" w:color="auto" w:sz="4" w:space="0"/>
              <w:left w:val="nil"/>
              <w:bottom w:val="single" w:color="auto" w:sz="4" w:space="0"/>
              <w:right w:val="single" w:color="auto" w:sz="4" w:space="0"/>
            </w:tcBorders>
          </w:tcPr>
          <w:p w14:paraId="03C53FFF">
            <w:pPr>
              <w:spacing w:line="400" w:lineRule="exact"/>
              <w:rPr>
                <w:rFonts w:ascii="宋体" w:hAnsi="宋体" w:cs="宋体"/>
                <w:color w:val="000000" w:themeColor="text1"/>
                <w:sz w:val="24"/>
                <w:highlight w:val="none"/>
                <w14:textFill>
                  <w14:solidFill>
                    <w14:schemeClr w14:val="tx1"/>
                  </w14:solidFill>
                </w14:textFill>
              </w:rPr>
            </w:pPr>
          </w:p>
        </w:tc>
      </w:tr>
      <w:tr w14:paraId="3C3E819B">
        <w:tblPrEx>
          <w:tblCellMar>
            <w:top w:w="0" w:type="dxa"/>
            <w:left w:w="108" w:type="dxa"/>
            <w:bottom w:w="0" w:type="dxa"/>
            <w:right w:w="108" w:type="dxa"/>
          </w:tblCellMar>
        </w:tblPrEx>
        <w:trPr>
          <w:trHeight w:val="1834"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22699841">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合同项目描述</w:t>
            </w:r>
          </w:p>
        </w:tc>
        <w:tc>
          <w:tcPr>
            <w:tcW w:w="5872" w:type="dxa"/>
            <w:tcBorders>
              <w:top w:val="single" w:color="auto" w:sz="4" w:space="0"/>
              <w:left w:val="nil"/>
              <w:bottom w:val="single" w:color="auto" w:sz="4" w:space="0"/>
              <w:right w:val="single" w:color="auto" w:sz="4" w:space="0"/>
            </w:tcBorders>
          </w:tcPr>
          <w:p w14:paraId="28C6E8EF">
            <w:pPr>
              <w:spacing w:line="400" w:lineRule="exact"/>
              <w:rPr>
                <w:rFonts w:ascii="宋体" w:hAnsi="宋体" w:cs="宋体"/>
                <w:color w:val="000000" w:themeColor="text1"/>
                <w:sz w:val="24"/>
                <w:highlight w:val="none"/>
                <w14:textFill>
                  <w14:solidFill>
                    <w14:schemeClr w14:val="tx1"/>
                  </w14:solidFill>
                </w14:textFill>
              </w:rPr>
            </w:pPr>
          </w:p>
          <w:p w14:paraId="55A79174">
            <w:pPr>
              <w:spacing w:line="400" w:lineRule="exact"/>
              <w:rPr>
                <w:rFonts w:ascii="宋体" w:hAnsi="宋体" w:cs="宋体"/>
                <w:color w:val="000000" w:themeColor="text1"/>
                <w:sz w:val="24"/>
                <w:highlight w:val="none"/>
                <w14:textFill>
                  <w14:solidFill>
                    <w14:schemeClr w14:val="tx1"/>
                  </w14:solidFill>
                </w14:textFill>
              </w:rPr>
            </w:pPr>
          </w:p>
          <w:p w14:paraId="41A66EDE">
            <w:pPr>
              <w:spacing w:line="400" w:lineRule="exact"/>
              <w:rPr>
                <w:rFonts w:ascii="宋体" w:hAnsi="宋体" w:cs="宋体"/>
                <w:color w:val="000000" w:themeColor="text1"/>
                <w:sz w:val="24"/>
                <w:highlight w:val="none"/>
                <w14:textFill>
                  <w14:solidFill>
                    <w14:schemeClr w14:val="tx1"/>
                  </w14:solidFill>
                </w14:textFill>
              </w:rPr>
            </w:pPr>
          </w:p>
          <w:p w14:paraId="7E70B44F">
            <w:pPr>
              <w:spacing w:line="400" w:lineRule="exact"/>
              <w:rPr>
                <w:rFonts w:ascii="宋体" w:hAnsi="宋体" w:cs="宋体"/>
                <w:color w:val="000000" w:themeColor="text1"/>
                <w:sz w:val="24"/>
                <w:highlight w:val="none"/>
                <w14:textFill>
                  <w14:solidFill>
                    <w14:schemeClr w14:val="tx1"/>
                  </w14:solidFill>
                </w14:textFill>
              </w:rPr>
            </w:pPr>
          </w:p>
        </w:tc>
      </w:tr>
      <w:tr w14:paraId="0DE4D711">
        <w:tblPrEx>
          <w:tblCellMar>
            <w:top w:w="0" w:type="dxa"/>
            <w:left w:w="108" w:type="dxa"/>
            <w:bottom w:w="0" w:type="dxa"/>
            <w:right w:w="108" w:type="dxa"/>
          </w:tblCellMar>
        </w:tblPrEx>
        <w:trPr>
          <w:trHeight w:val="604" w:hRule="atLeast"/>
          <w:jc w:val="center"/>
        </w:trPr>
        <w:tc>
          <w:tcPr>
            <w:tcW w:w="3424" w:type="dxa"/>
            <w:tcBorders>
              <w:top w:val="single" w:color="auto" w:sz="4" w:space="0"/>
              <w:left w:val="single" w:color="auto" w:sz="4" w:space="0"/>
              <w:bottom w:val="single" w:color="auto" w:sz="4" w:space="0"/>
              <w:right w:val="single" w:color="auto" w:sz="4" w:space="0"/>
            </w:tcBorders>
            <w:vAlign w:val="center"/>
          </w:tcPr>
          <w:p w14:paraId="7B804D36">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c>
          <w:tcPr>
            <w:tcW w:w="5872" w:type="dxa"/>
            <w:tcBorders>
              <w:top w:val="single" w:color="auto" w:sz="4" w:space="0"/>
              <w:left w:val="nil"/>
              <w:bottom w:val="single" w:color="auto" w:sz="4" w:space="0"/>
              <w:right w:val="single" w:color="auto" w:sz="4" w:space="0"/>
            </w:tcBorders>
          </w:tcPr>
          <w:p w14:paraId="18901CE2">
            <w:pPr>
              <w:spacing w:line="400" w:lineRule="exact"/>
              <w:rPr>
                <w:rFonts w:ascii="宋体" w:hAnsi="宋体" w:cs="宋体"/>
                <w:color w:val="000000" w:themeColor="text1"/>
                <w:sz w:val="24"/>
                <w:highlight w:val="none"/>
                <w14:textFill>
                  <w14:solidFill>
                    <w14:schemeClr w14:val="tx1"/>
                  </w14:solidFill>
                </w14:textFill>
              </w:rPr>
            </w:pPr>
          </w:p>
        </w:tc>
      </w:tr>
    </w:tbl>
    <w:p w14:paraId="575C162B">
      <w:pPr>
        <w:spacing w:line="40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注：相关材料扫描件附后。</w:t>
      </w:r>
    </w:p>
    <w:p w14:paraId="190E0624">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5848A7A9">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7D42114A">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29F71806">
      <w:pPr>
        <w:pStyle w:val="16"/>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2F3CE892">
      <w:pPr>
        <w:pStyle w:val="8"/>
        <w:rPr>
          <w:color w:val="000000" w:themeColor="text1"/>
          <w:highlight w:val="none"/>
          <w14:textFill>
            <w14:solidFill>
              <w14:schemeClr w14:val="tx1"/>
            </w14:solidFill>
          </w14:textFill>
        </w:rPr>
      </w:pPr>
    </w:p>
    <w:p w14:paraId="24992A0C">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329EEB11">
      <w:pPr>
        <w:spacing w:line="360" w:lineRule="auto"/>
        <w:rPr>
          <w:rFonts w:cs="宋体" w:asciiTheme="minorEastAsia" w:hAnsiTheme="minorEastAsia" w:eastAsiaTheme="minorEastAsia"/>
          <w:b/>
          <w:color w:val="000000" w:themeColor="text1"/>
          <w:kern w:val="0"/>
          <w:sz w:val="24"/>
          <w:szCs w:val="20"/>
          <w:highlight w:val="none"/>
          <w14:textFill>
            <w14:solidFill>
              <w14:schemeClr w14:val="tx1"/>
            </w14:solidFill>
          </w14:textFill>
        </w:rPr>
      </w:pPr>
    </w:p>
    <w:p w14:paraId="75600F9C">
      <w:pPr>
        <w:pStyle w:val="16"/>
        <w:ind w:firstLine="200"/>
        <w:rPr>
          <w:rFonts w:hint="eastAsia" w:cs="宋体" w:asciiTheme="minorEastAsia" w:hAnsiTheme="minorEastAsia" w:eastAsiaTheme="minorEastAsia"/>
          <w:b/>
          <w:color w:val="000000" w:themeColor="text1"/>
          <w:kern w:val="0"/>
          <w:sz w:val="24"/>
          <w:szCs w:val="20"/>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0"/>
          <w:sz w:val="24"/>
          <w:szCs w:val="20"/>
          <w:highlight w:val="none"/>
          <w:lang w:val="en-US" w:eastAsia="zh-CN"/>
          <w14:textFill>
            <w14:solidFill>
              <w14:schemeClr w14:val="tx1"/>
            </w14:solidFill>
          </w14:textFill>
        </w:rPr>
        <w:t>7、项目整体方案及实施计划</w:t>
      </w:r>
    </w:p>
    <w:p w14:paraId="5BA757A8">
      <w:pPr>
        <w:pStyle w:val="16"/>
        <w:ind w:firstLine="200"/>
        <w:rPr>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szCs w:val="20"/>
          <w:highlight w:val="none"/>
          <w:lang w:val="en-US" w:eastAsia="zh-CN"/>
          <w14:textFill>
            <w14:solidFill>
              <w14:schemeClr w14:val="tx1"/>
            </w14:solidFill>
          </w14:textFill>
        </w:rPr>
        <w:t>8</w:t>
      </w:r>
      <w:r>
        <w:rPr>
          <w:rFonts w:hint="eastAsia" w:cs="宋体" w:asciiTheme="minorEastAsia" w:hAnsiTheme="minorEastAsia" w:eastAsiaTheme="minorEastAsia"/>
          <w:b/>
          <w:color w:val="000000" w:themeColor="text1"/>
          <w:kern w:val="0"/>
          <w:sz w:val="24"/>
          <w:szCs w:val="20"/>
          <w:highlight w:val="none"/>
          <w14:textFill>
            <w14:solidFill>
              <w14:schemeClr w14:val="tx1"/>
            </w14:solidFill>
          </w14:textFill>
        </w:rPr>
        <w:t>、应急处理方案</w:t>
      </w:r>
    </w:p>
    <w:p w14:paraId="36B09A2A">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供应商根据磋商的要求，结合自身实际情况自行编制，并按磋商文件评分内容编写所需方案（格式自拟）应逐页加盖企业及法人电子签章；</w:t>
      </w:r>
      <w:r>
        <w:rPr>
          <w:rFonts w:hint="eastAsia" w:ascii="宋体" w:hAnsi="宋体" w:cs="宋体"/>
          <w:color w:val="000000" w:themeColor="text1"/>
          <w:sz w:val="24"/>
          <w:highlight w:val="none"/>
          <w14:textFill>
            <w14:solidFill>
              <w14:schemeClr w14:val="tx1"/>
            </w14:solidFill>
          </w14:textFill>
        </w:rPr>
        <w:t>）</w:t>
      </w:r>
    </w:p>
    <w:p w14:paraId="0C8689B8">
      <w:pPr>
        <w:spacing w:line="360" w:lineRule="auto"/>
        <w:jc w:val="center"/>
        <w:rPr>
          <w:rFonts w:ascii="宋体" w:hAnsi="宋体" w:cs="宋体"/>
          <w:color w:val="000000" w:themeColor="text1"/>
          <w:sz w:val="24"/>
          <w:highlight w:val="none"/>
          <w14:textFill>
            <w14:solidFill>
              <w14:schemeClr w14:val="tx1"/>
            </w14:solidFill>
          </w14:textFill>
        </w:rPr>
      </w:pPr>
    </w:p>
    <w:p w14:paraId="5559D305">
      <w:pPr>
        <w:spacing w:line="360" w:lineRule="auto"/>
        <w:jc w:val="center"/>
        <w:rPr>
          <w:rFonts w:ascii="宋体" w:hAnsi="宋体" w:cs="宋体"/>
          <w:color w:val="000000" w:themeColor="text1"/>
          <w:sz w:val="24"/>
          <w:highlight w:val="none"/>
          <w14:textFill>
            <w14:solidFill>
              <w14:schemeClr w14:val="tx1"/>
            </w14:solidFill>
          </w14:textFill>
        </w:rPr>
      </w:pPr>
    </w:p>
    <w:p w14:paraId="2A834488">
      <w:pPr>
        <w:pStyle w:val="16"/>
        <w:ind w:firstLine="200"/>
        <w:rPr>
          <w:color w:val="000000" w:themeColor="text1"/>
          <w:highlight w:val="none"/>
          <w14:textFill>
            <w14:solidFill>
              <w14:schemeClr w14:val="tx1"/>
            </w14:solidFill>
          </w14:textFill>
        </w:rPr>
      </w:pPr>
    </w:p>
    <w:p w14:paraId="79CED20C">
      <w:pPr>
        <w:pStyle w:val="8"/>
        <w:ind w:right="164" w:firstLine="560"/>
        <w:rPr>
          <w:color w:val="000000" w:themeColor="text1"/>
          <w:highlight w:val="none"/>
          <w14:textFill>
            <w14:solidFill>
              <w14:schemeClr w14:val="tx1"/>
            </w14:solidFill>
          </w14:textFill>
        </w:rPr>
      </w:pPr>
    </w:p>
    <w:p w14:paraId="055CD5F3">
      <w:pPr>
        <w:rPr>
          <w:color w:val="000000" w:themeColor="text1"/>
          <w:highlight w:val="none"/>
          <w14:textFill>
            <w14:solidFill>
              <w14:schemeClr w14:val="tx1"/>
            </w14:solidFill>
          </w14:textFill>
        </w:rPr>
      </w:pPr>
    </w:p>
    <w:p w14:paraId="3A7279FE">
      <w:pPr>
        <w:pStyle w:val="16"/>
        <w:ind w:firstLine="200"/>
        <w:rPr>
          <w:color w:val="000000" w:themeColor="text1"/>
          <w:highlight w:val="none"/>
          <w14:textFill>
            <w14:solidFill>
              <w14:schemeClr w14:val="tx1"/>
            </w14:solidFill>
          </w14:textFill>
        </w:rPr>
      </w:pPr>
    </w:p>
    <w:p w14:paraId="0735BB5A">
      <w:pPr>
        <w:pStyle w:val="8"/>
        <w:ind w:right="164" w:firstLine="560"/>
        <w:rPr>
          <w:color w:val="000000" w:themeColor="text1"/>
          <w:highlight w:val="none"/>
          <w14:textFill>
            <w14:solidFill>
              <w14:schemeClr w14:val="tx1"/>
            </w14:solidFill>
          </w14:textFill>
        </w:rPr>
      </w:pPr>
    </w:p>
    <w:p w14:paraId="36B588BF">
      <w:pPr>
        <w:rPr>
          <w:color w:val="000000" w:themeColor="text1"/>
          <w:highlight w:val="none"/>
          <w14:textFill>
            <w14:solidFill>
              <w14:schemeClr w14:val="tx1"/>
            </w14:solidFill>
          </w14:textFill>
        </w:rPr>
      </w:pPr>
    </w:p>
    <w:p w14:paraId="097065A9">
      <w:pPr>
        <w:pStyle w:val="16"/>
        <w:ind w:firstLine="200"/>
        <w:rPr>
          <w:color w:val="000000" w:themeColor="text1"/>
          <w:highlight w:val="none"/>
          <w14:textFill>
            <w14:solidFill>
              <w14:schemeClr w14:val="tx1"/>
            </w14:solidFill>
          </w14:textFill>
        </w:rPr>
      </w:pPr>
    </w:p>
    <w:p w14:paraId="6228F81B">
      <w:pPr>
        <w:pStyle w:val="8"/>
        <w:ind w:right="164" w:firstLine="560"/>
        <w:rPr>
          <w:color w:val="000000" w:themeColor="text1"/>
          <w:highlight w:val="none"/>
          <w14:textFill>
            <w14:solidFill>
              <w14:schemeClr w14:val="tx1"/>
            </w14:solidFill>
          </w14:textFill>
        </w:rPr>
      </w:pPr>
    </w:p>
    <w:p w14:paraId="2DDB2395">
      <w:pPr>
        <w:rPr>
          <w:color w:val="000000" w:themeColor="text1"/>
          <w:highlight w:val="none"/>
          <w14:textFill>
            <w14:solidFill>
              <w14:schemeClr w14:val="tx1"/>
            </w14:solidFill>
          </w14:textFill>
        </w:rPr>
      </w:pPr>
    </w:p>
    <w:p w14:paraId="6FC5446C">
      <w:pPr>
        <w:pStyle w:val="16"/>
        <w:ind w:firstLine="200"/>
        <w:rPr>
          <w:color w:val="000000" w:themeColor="text1"/>
          <w:highlight w:val="none"/>
          <w14:textFill>
            <w14:solidFill>
              <w14:schemeClr w14:val="tx1"/>
            </w14:solidFill>
          </w14:textFill>
        </w:rPr>
      </w:pPr>
    </w:p>
    <w:p w14:paraId="0072E516">
      <w:pPr>
        <w:pStyle w:val="8"/>
        <w:ind w:right="164" w:firstLine="560"/>
        <w:rPr>
          <w:color w:val="000000" w:themeColor="text1"/>
          <w:highlight w:val="none"/>
          <w14:textFill>
            <w14:solidFill>
              <w14:schemeClr w14:val="tx1"/>
            </w14:solidFill>
          </w14:textFill>
        </w:rPr>
      </w:pPr>
    </w:p>
    <w:p w14:paraId="7D4E3754">
      <w:pPr>
        <w:rPr>
          <w:color w:val="000000" w:themeColor="text1"/>
          <w:highlight w:val="none"/>
          <w14:textFill>
            <w14:solidFill>
              <w14:schemeClr w14:val="tx1"/>
            </w14:solidFill>
          </w14:textFill>
        </w:rPr>
      </w:pPr>
    </w:p>
    <w:p w14:paraId="51B6C46A">
      <w:pPr>
        <w:pStyle w:val="16"/>
        <w:ind w:firstLine="200"/>
        <w:rPr>
          <w:color w:val="000000" w:themeColor="text1"/>
          <w:highlight w:val="none"/>
          <w14:textFill>
            <w14:solidFill>
              <w14:schemeClr w14:val="tx1"/>
            </w14:solidFill>
          </w14:textFill>
        </w:rPr>
      </w:pPr>
    </w:p>
    <w:p w14:paraId="5FA1BADE">
      <w:pPr>
        <w:pStyle w:val="8"/>
        <w:ind w:right="164" w:firstLine="560"/>
        <w:rPr>
          <w:color w:val="000000" w:themeColor="text1"/>
          <w:highlight w:val="none"/>
          <w14:textFill>
            <w14:solidFill>
              <w14:schemeClr w14:val="tx1"/>
            </w14:solidFill>
          </w14:textFill>
        </w:rPr>
      </w:pPr>
    </w:p>
    <w:p w14:paraId="0D158F6E">
      <w:pPr>
        <w:rPr>
          <w:color w:val="000000" w:themeColor="text1"/>
          <w:highlight w:val="none"/>
          <w14:textFill>
            <w14:solidFill>
              <w14:schemeClr w14:val="tx1"/>
            </w14:solidFill>
          </w14:textFill>
        </w:rPr>
      </w:pPr>
    </w:p>
    <w:p w14:paraId="742C8F85">
      <w:pPr>
        <w:pStyle w:val="16"/>
        <w:ind w:firstLine="200"/>
        <w:rPr>
          <w:color w:val="000000" w:themeColor="text1"/>
          <w:highlight w:val="none"/>
          <w14:textFill>
            <w14:solidFill>
              <w14:schemeClr w14:val="tx1"/>
            </w14:solidFill>
          </w14:textFill>
        </w:rPr>
      </w:pPr>
    </w:p>
    <w:p w14:paraId="04F7E37A">
      <w:pPr>
        <w:spacing w:line="360" w:lineRule="auto"/>
        <w:jc w:val="center"/>
        <w:rPr>
          <w:rFonts w:ascii="宋体" w:hAnsi="宋体" w:cs="宋体"/>
          <w:color w:val="000000" w:themeColor="text1"/>
          <w:sz w:val="24"/>
          <w:highlight w:val="none"/>
          <w14:textFill>
            <w14:solidFill>
              <w14:schemeClr w14:val="tx1"/>
            </w14:solidFill>
          </w14:textFill>
        </w:rPr>
      </w:pPr>
    </w:p>
    <w:p w14:paraId="09BC5055">
      <w:pPr>
        <w:spacing w:line="360" w:lineRule="auto"/>
        <w:ind w:firstLine="3772" w:firstLineChars="131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磋商供应商：</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单位电子签章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00448E9E">
      <w:pPr>
        <w:spacing w:line="360" w:lineRule="auto"/>
        <w:ind w:firstLine="3772" w:firstLineChars="1310"/>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法定代表人：</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lang w:val="zh-CN" w:bidi="zh-CN"/>
          <w14:textFill>
            <w14:solidFill>
              <w14:schemeClr w14:val="tx1"/>
            </w14:solidFill>
          </w14:textFill>
        </w:rPr>
        <w:t>法人电子签章</w:t>
      </w:r>
      <w:r>
        <w:rPr>
          <w:rFonts w:hint="eastAsia" w:asciiTheme="minorEastAsia" w:hAnsiTheme="minorEastAsia" w:eastAsiaTheme="minorEastAsia"/>
          <w:color w:val="000000" w:themeColor="text1"/>
          <w:spacing w:val="24"/>
          <w:sz w:val="24"/>
          <w:highlight w:val="none"/>
          <w14:textFill>
            <w14:solidFill>
              <w14:schemeClr w14:val="tx1"/>
            </w14:solidFill>
          </w14:textFill>
        </w:rPr>
        <w:t>）</w:t>
      </w:r>
    </w:p>
    <w:p w14:paraId="56C39EC6">
      <w:pPr>
        <w:spacing w:line="360" w:lineRule="auto"/>
        <w:jc w:val="center"/>
        <w:rPr>
          <w:rFonts w:asciiTheme="minorEastAsia" w:hAnsiTheme="minorEastAsia" w:eastAsiaTheme="minorEastAsia"/>
          <w:color w:val="000000" w:themeColor="text1"/>
          <w:spacing w:val="24"/>
          <w:sz w:val="24"/>
          <w:highlight w:val="none"/>
          <w14:textFill>
            <w14:solidFill>
              <w14:schemeClr w14:val="tx1"/>
            </w14:solidFill>
          </w14:textFill>
        </w:rPr>
      </w:pPr>
      <w:r>
        <w:rPr>
          <w:rFonts w:hint="eastAsia" w:asciiTheme="minorEastAsia" w:hAnsiTheme="minorEastAsia" w:eastAsiaTheme="minorEastAsia"/>
          <w:color w:val="000000" w:themeColor="text1"/>
          <w:spacing w:val="24"/>
          <w:sz w:val="24"/>
          <w:highlight w:val="none"/>
          <w14:textFill>
            <w14:solidFill>
              <w14:schemeClr w14:val="tx1"/>
            </w14:solidFill>
          </w14:textFill>
        </w:rPr>
        <w:t xml:space="preserve">                    日    期：</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年</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月</w:t>
      </w:r>
      <w:r>
        <w:rPr>
          <w:rFonts w:hint="eastAsia" w:asciiTheme="minorEastAsia" w:hAnsiTheme="minorEastAsia" w:eastAsiaTheme="minorEastAsia"/>
          <w:color w:val="000000" w:themeColor="text1"/>
          <w:spacing w:val="24"/>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pacing w:val="24"/>
          <w:sz w:val="24"/>
          <w:highlight w:val="none"/>
          <w14:textFill>
            <w14:solidFill>
              <w14:schemeClr w14:val="tx1"/>
            </w14:solidFill>
          </w14:textFill>
        </w:rPr>
        <w:t>日</w:t>
      </w:r>
      <w:bookmarkStart w:id="279" w:name="_Toc101344081"/>
    </w:p>
    <w:p w14:paraId="74AD6BB3">
      <w:pPr>
        <w:pStyle w:val="16"/>
        <w:ind w:firstLine="200"/>
        <w:rPr>
          <w:color w:val="000000" w:themeColor="text1"/>
          <w:highlight w:val="none"/>
          <w14:textFill>
            <w14:solidFill>
              <w14:schemeClr w14:val="tx1"/>
            </w14:solidFill>
          </w14:textFill>
        </w:rPr>
      </w:pPr>
    </w:p>
    <w:p w14:paraId="0A42F735">
      <w:pPr>
        <w:pStyle w:val="8"/>
        <w:ind w:right="164" w:firstLine="560"/>
        <w:rPr>
          <w:color w:val="000000" w:themeColor="text1"/>
          <w:highlight w:val="none"/>
          <w14:textFill>
            <w14:solidFill>
              <w14:schemeClr w14:val="tx1"/>
            </w14:solidFill>
          </w14:textFill>
        </w:rPr>
      </w:pPr>
    </w:p>
    <w:p w14:paraId="6BDDDA35">
      <w:pPr>
        <w:rPr>
          <w:color w:val="000000" w:themeColor="text1"/>
          <w:highlight w:val="none"/>
          <w14:textFill>
            <w14:solidFill>
              <w14:schemeClr w14:val="tx1"/>
            </w14:solidFill>
          </w14:textFill>
        </w:rPr>
      </w:pPr>
    </w:p>
    <w:p w14:paraId="140D1FBD">
      <w:pPr>
        <w:pStyle w:val="16"/>
        <w:ind w:firstLine="200"/>
        <w:rPr>
          <w:color w:val="000000" w:themeColor="text1"/>
          <w:highlight w:val="none"/>
          <w14:textFill>
            <w14:solidFill>
              <w14:schemeClr w14:val="tx1"/>
            </w14:solidFill>
          </w14:textFill>
        </w:rPr>
      </w:pPr>
    </w:p>
    <w:p w14:paraId="2BF18753">
      <w:pPr>
        <w:pStyle w:val="8"/>
        <w:ind w:right="164" w:firstLine="560"/>
        <w:rPr>
          <w:color w:val="000000" w:themeColor="text1"/>
          <w:highlight w:val="none"/>
          <w14:textFill>
            <w14:solidFill>
              <w14:schemeClr w14:val="tx1"/>
            </w14:solidFill>
          </w14:textFill>
        </w:rPr>
      </w:pPr>
    </w:p>
    <w:p w14:paraId="1CEAD61E">
      <w:pPr>
        <w:rPr>
          <w:color w:val="000000" w:themeColor="text1"/>
          <w:highlight w:val="none"/>
          <w14:textFill>
            <w14:solidFill>
              <w14:schemeClr w14:val="tx1"/>
            </w14:solidFill>
          </w14:textFill>
        </w:rPr>
      </w:pPr>
    </w:p>
    <w:p w14:paraId="25F27E78">
      <w:pPr>
        <w:pStyle w:val="16"/>
        <w:ind w:firstLine="200"/>
        <w:rPr>
          <w:color w:val="000000" w:themeColor="text1"/>
          <w:highlight w:val="none"/>
          <w14:textFill>
            <w14:solidFill>
              <w14:schemeClr w14:val="tx1"/>
            </w14:solidFill>
          </w14:textFill>
        </w:rPr>
      </w:pPr>
    </w:p>
    <w:p w14:paraId="15FA8931">
      <w:pPr>
        <w:rPr>
          <w:color w:val="000000" w:themeColor="text1"/>
          <w:highlight w:val="none"/>
          <w14:textFill>
            <w14:solidFill>
              <w14:schemeClr w14:val="tx1"/>
            </w14:solidFill>
          </w14:textFill>
        </w:rPr>
      </w:pPr>
    </w:p>
    <w:p w14:paraId="4B70FE8E">
      <w:pPr>
        <w:pStyle w:val="16"/>
        <w:ind w:firstLine="200"/>
        <w:rPr>
          <w:color w:val="000000" w:themeColor="text1"/>
          <w:highlight w:val="none"/>
          <w14:textFill>
            <w14:solidFill>
              <w14:schemeClr w14:val="tx1"/>
            </w14:solidFill>
          </w14:textFill>
        </w:rPr>
      </w:pPr>
    </w:p>
    <w:p w14:paraId="062C960C">
      <w:pPr>
        <w:rPr>
          <w:color w:val="000000" w:themeColor="text1"/>
          <w:highlight w:val="none"/>
          <w14:textFill>
            <w14:solidFill>
              <w14:schemeClr w14:val="tx1"/>
            </w14:solidFill>
          </w14:textFill>
        </w:rPr>
      </w:pPr>
    </w:p>
    <w:bookmarkEnd w:id="269"/>
    <w:bookmarkEnd w:id="270"/>
    <w:bookmarkEnd w:id="271"/>
    <w:bookmarkEnd w:id="272"/>
    <w:bookmarkEnd w:id="273"/>
    <w:bookmarkEnd w:id="274"/>
    <w:bookmarkEnd w:id="275"/>
    <w:bookmarkEnd w:id="276"/>
    <w:bookmarkEnd w:id="277"/>
    <w:bookmarkEnd w:id="278"/>
    <w:bookmarkEnd w:id="279"/>
    <w:p w14:paraId="740EFAE3">
      <w:pPr>
        <w:pStyle w:val="3"/>
        <w:spacing w:line="600" w:lineRule="exact"/>
        <w:jc w:val="center"/>
        <w:rPr>
          <w:rFonts w:cs="宋体-PUA" w:asciiTheme="minorEastAsia" w:hAnsiTheme="minorEastAsia" w:eastAsiaTheme="minorEastAsia"/>
          <w:color w:val="000000" w:themeColor="text1"/>
          <w:sz w:val="24"/>
          <w:szCs w:val="24"/>
          <w:highlight w:val="none"/>
          <w14:textFill>
            <w14:solidFill>
              <w14:schemeClr w14:val="tx1"/>
            </w14:solidFill>
          </w14:textFill>
        </w:rPr>
      </w:pPr>
      <w:bookmarkStart w:id="280" w:name="_Toc173510816"/>
      <w:bookmarkStart w:id="281" w:name="_Toc135319471"/>
      <w:r>
        <w:rPr>
          <w:rFonts w:hint="eastAsia" w:cs="宋体-PUA" w:asciiTheme="minorEastAsia" w:hAnsiTheme="minorEastAsia" w:eastAsiaTheme="minorEastAsia"/>
          <w:color w:val="000000" w:themeColor="text1"/>
          <w:szCs w:val="24"/>
          <w:highlight w:val="none"/>
          <w14:textFill>
            <w14:solidFill>
              <w14:schemeClr w14:val="tx1"/>
            </w14:solidFill>
          </w14:textFill>
        </w:rPr>
        <w:t>六、其他材料</w:t>
      </w:r>
      <w:bookmarkEnd w:id="280"/>
    </w:p>
    <w:p w14:paraId="3ED548E0">
      <w:pPr>
        <w:pStyle w:val="16"/>
        <w:spacing w:line="360" w:lineRule="auto"/>
        <w:ind w:firstLine="482" w:firstLineChars="200"/>
        <w:jc w:val="center"/>
        <w:rPr>
          <w:color w:val="000000" w:themeColor="text1"/>
          <w:highlight w:val="none"/>
          <w14:textFill>
            <w14:solidFill>
              <w14:schemeClr w14:val="tx1"/>
            </w14:solidFill>
          </w14:textFill>
        </w:rPr>
      </w:pPr>
      <w:bookmarkStart w:id="282" w:name="_Toc31769"/>
      <w:bookmarkStart w:id="283" w:name="_Toc3211"/>
      <w:bookmarkStart w:id="284" w:name="_Toc26496"/>
      <w:r>
        <w:rPr>
          <w:rFonts w:hint="eastAsia" w:ascii="宋体" w:hAnsi="宋体"/>
          <w:b/>
          <w:bCs/>
          <w:color w:val="000000" w:themeColor="text1"/>
          <w:sz w:val="24"/>
          <w:highlight w:val="none"/>
          <w14:textFill>
            <w14:solidFill>
              <w14:schemeClr w14:val="tx1"/>
            </w14:solidFill>
          </w14:textFill>
        </w:rPr>
        <w:t>文件要求或供应商认为需要的其他资料</w:t>
      </w:r>
      <w:bookmarkEnd w:id="282"/>
      <w:bookmarkEnd w:id="283"/>
      <w:bookmarkEnd w:id="284"/>
      <w:bookmarkStart w:id="285" w:name="_Toc22365"/>
      <w:bookmarkStart w:id="286" w:name="_Toc21777"/>
      <w:bookmarkStart w:id="287" w:name="_Toc20333"/>
      <w:r>
        <w:rPr>
          <w:rFonts w:hint="eastAsia" w:ascii="宋体" w:hAnsi="宋体" w:cs="宋体"/>
          <w:color w:val="000000" w:themeColor="text1"/>
          <w:kern w:val="2"/>
          <w:sz w:val="24"/>
          <w:szCs w:val="24"/>
          <w:highlight w:val="none"/>
          <w14:textFill>
            <w14:solidFill>
              <w14:schemeClr w14:val="tx1"/>
            </w14:solidFill>
          </w14:textFill>
        </w:rPr>
        <w:t>（包括但不限于以下内容）</w:t>
      </w:r>
      <w:bookmarkEnd w:id="285"/>
      <w:bookmarkEnd w:id="286"/>
      <w:bookmarkEnd w:id="287"/>
    </w:p>
    <w:p w14:paraId="3E39479B">
      <w:pPr>
        <w:spacing w:line="360" w:lineRule="auto"/>
        <w:ind w:firstLine="562" w:firstLineChars="200"/>
        <w:rPr>
          <w:rFonts w:ascii="宋体" w:hAnsi="宋体" w:cs="宋体"/>
          <w:b/>
          <w:bCs/>
          <w:color w:val="000000" w:themeColor="text1"/>
          <w:kern w:val="10"/>
          <w:sz w:val="28"/>
          <w:szCs w:val="28"/>
          <w:highlight w:val="none"/>
          <w14:textFill>
            <w14:solidFill>
              <w14:schemeClr w14:val="tx1"/>
            </w14:solidFill>
          </w14:textFill>
        </w:rPr>
      </w:pPr>
      <w:r>
        <w:rPr>
          <w:rFonts w:hint="eastAsia" w:ascii="宋体" w:hAnsi="宋体" w:cs="宋体"/>
          <w:b/>
          <w:bCs/>
          <w:color w:val="000000" w:themeColor="text1"/>
          <w:kern w:val="10"/>
          <w:sz w:val="28"/>
          <w:szCs w:val="28"/>
          <w:highlight w:val="none"/>
          <w14:textFill>
            <w14:solidFill>
              <w14:schemeClr w14:val="tx1"/>
            </w14:solidFill>
          </w14:textFill>
        </w:rPr>
        <w:t>（一）声明函</w:t>
      </w:r>
      <w:bookmarkEnd w:id="281"/>
    </w:p>
    <w:p w14:paraId="302EB39E">
      <w:pPr>
        <w:spacing w:line="360" w:lineRule="auto"/>
        <w:ind w:firstLine="482" w:firstLineChars="200"/>
        <w:rPr>
          <w:rFonts w:ascii="宋体" w:hAnsi="宋体" w:cs="宋体"/>
          <w:b/>
          <w:bCs/>
          <w:color w:val="000000" w:themeColor="text1"/>
          <w:sz w:val="24"/>
          <w:szCs w:val="32"/>
          <w:highlight w:val="none"/>
          <w14:textFill>
            <w14:solidFill>
              <w14:schemeClr w14:val="tx1"/>
            </w14:solidFill>
          </w14:textFill>
        </w:rPr>
      </w:pPr>
      <w:r>
        <w:rPr>
          <w:rFonts w:hint="eastAsia" w:ascii="宋体" w:hAnsi="宋体" w:cs="宋体"/>
          <w:b/>
          <w:bCs/>
          <w:color w:val="000000" w:themeColor="text1"/>
          <w:sz w:val="24"/>
          <w:szCs w:val="32"/>
          <w:highlight w:val="none"/>
          <w14:textFill>
            <w14:solidFill>
              <w14:schemeClr w14:val="tx1"/>
            </w14:solidFill>
          </w14:textFill>
        </w:rPr>
        <w:t>1、中小企业声明函（货物）</w:t>
      </w:r>
    </w:p>
    <w:p w14:paraId="0B3C1B0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highlight w:val="none"/>
          <w:u w:val="single"/>
          <w14:textFill>
            <w14:solidFill>
              <w14:schemeClr w14:val="tx1"/>
            </w14:solidFill>
          </w14:textFill>
        </w:rPr>
        <w:t>（单位名称）</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B12E53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（采购文件中明确的所属行业）行业</w:t>
      </w:r>
      <w:r>
        <w:rPr>
          <w:rFonts w:hint="eastAsia" w:ascii="宋体" w:hAnsi="宋体" w:cs="宋体"/>
          <w:color w:val="000000" w:themeColor="text1"/>
          <w:sz w:val="24"/>
          <w:highlight w:val="none"/>
          <w14:textFill>
            <w14:solidFill>
              <w14:schemeClr w14:val="tx1"/>
            </w14:solidFill>
          </w14:textFill>
        </w:rPr>
        <w:t>；制造商为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vertAlign w:val="superscript"/>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18EF4C6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u w:val="single"/>
          <w14:textFill>
            <w14:solidFill>
              <w14:schemeClr w14:val="tx1"/>
            </w14:solidFill>
          </w14:textFill>
        </w:rPr>
        <w:t xml:space="preserve">（标的名称） </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（采购文件中明确的所属行业）行业</w:t>
      </w:r>
      <w:r>
        <w:rPr>
          <w:rFonts w:hint="eastAsia" w:ascii="宋体" w:hAnsi="宋体" w:cs="宋体"/>
          <w:color w:val="000000" w:themeColor="text1"/>
          <w:sz w:val="24"/>
          <w:highlight w:val="none"/>
          <w14:textFill>
            <w14:solidFill>
              <w14:schemeClr w14:val="tx1"/>
            </w14:solidFill>
          </w14:textFill>
        </w:rPr>
        <w:t>；制造商为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0D21FB78">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16C5884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538E225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75ED5A46">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4182A7C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53F44F0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企业名称（盖章）：</w:t>
      </w:r>
    </w:p>
    <w:p w14:paraId="29D61C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23D8A311">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注：1、从业人员、营业收入、资产总额填报上一年度数据，无上一年度数据的新成立企业可不填报。</w:t>
      </w:r>
    </w:p>
    <w:p w14:paraId="2F05B168">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2、中小企业划分标准见工业和信息化部国家统计局国家发展和改革委员财政部《关于印发中小企业划型标准规定的通知》（工信部联企业【2011】300号）。</w:t>
      </w:r>
    </w:p>
    <w:p w14:paraId="5B10A52C">
      <w:pPr>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p>
    <w:p w14:paraId="1A83964F">
      <w:pPr>
        <w:spacing w:line="360" w:lineRule="auto"/>
        <w:ind w:firstLine="482" w:firstLineChars="200"/>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备注：供应商提供声明函内容不实的，属于提供虚假材料谋取中标，依照《中华人民共和国政府采购法》等国家有关规定追究相应责任。</w:t>
      </w:r>
      <w:r>
        <w:rPr>
          <w:rFonts w:ascii="宋体" w:hAnsi="宋体" w:cs="宋体"/>
          <w:color w:val="000000" w:themeColor="text1"/>
          <w:kern w:val="0"/>
          <w:sz w:val="22"/>
          <w:szCs w:val="22"/>
          <w:highlight w:val="none"/>
          <w14:textFill>
            <w14:solidFill>
              <w14:schemeClr w14:val="tx1"/>
            </w14:solidFill>
          </w14:textFill>
        </w:rPr>
        <w:br w:type="page"/>
      </w:r>
    </w:p>
    <w:p w14:paraId="57943610">
      <w:pPr>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2、残疾人福利性单位声明函（如需）</w:t>
      </w:r>
    </w:p>
    <w:p w14:paraId="009EE748">
      <w:pPr>
        <w:spacing w:line="360" w:lineRule="auto"/>
        <w:ind w:firstLine="504" w:firstLineChars="200"/>
        <w:rPr>
          <w:rFonts w:ascii="宋体" w:hAnsi="宋体" w:cs="宋体"/>
          <w:color w:val="000000" w:themeColor="text1"/>
          <w:spacing w:val="6"/>
          <w:kern w:val="0"/>
          <w:sz w:val="24"/>
          <w:highlight w:val="none"/>
          <w14:textFill>
            <w14:solidFill>
              <w14:schemeClr w14:val="tx1"/>
            </w14:solidFill>
          </w14:textFill>
        </w:rPr>
      </w:pPr>
      <w:r>
        <w:rPr>
          <w:rFonts w:hint="eastAsia" w:ascii="宋体" w:hAnsi="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kern w:val="0"/>
          <w:sz w:val="24"/>
          <w:highlight w:val="none"/>
          <w14:textFill>
            <w14:solidFill>
              <w14:schemeClr w14:val="tx1"/>
            </w14:solidFill>
          </w14:textFill>
        </w:rPr>
        <w:t>〔2017〕 141</w:t>
      </w:r>
      <w:r>
        <w:rPr>
          <w:rFonts w:hint="eastAsia" w:ascii="宋体" w:hAnsi="宋体" w:cs="宋体"/>
          <w:color w:val="000000" w:themeColor="text1"/>
          <w:spacing w:val="6"/>
          <w:kern w:val="0"/>
          <w:sz w:val="24"/>
          <w:highlight w:val="none"/>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E526444">
      <w:pPr>
        <w:spacing w:line="360" w:lineRule="auto"/>
        <w:ind w:firstLine="504" w:firstLineChars="200"/>
        <w:rPr>
          <w:rFonts w:ascii="宋体" w:hAnsi="宋体" w:cs="宋体"/>
          <w:color w:val="000000" w:themeColor="text1"/>
          <w:spacing w:val="6"/>
          <w:kern w:val="0"/>
          <w:sz w:val="24"/>
          <w:highlight w:val="none"/>
          <w14:textFill>
            <w14:solidFill>
              <w14:schemeClr w14:val="tx1"/>
            </w14:solidFill>
          </w14:textFill>
        </w:rPr>
      </w:pPr>
      <w:r>
        <w:rPr>
          <w:rFonts w:hint="eastAsia" w:ascii="宋体" w:hAnsi="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14:paraId="14888195">
      <w:pPr>
        <w:spacing w:line="360" w:lineRule="auto"/>
        <w:ind w:firstLine="504" w:firstLineChars="200"/>
        <w:rPr>
          <w:rFonts w:ascii="宋体" w:hAnsi="宋体" w:cs="宋体"/>
          <w:color w:val="000000" w:themeColor="text1"/>
          <w:spacing w:val="6"/>
          <w:kern w:val="0"/>
          <w:sz w:val="24"/>
          <w:highlight w:val="none"/>
          <w14:textFill>
            <w14:solidFill>
              <w14:schemeClr w14:val="tx1"/>
            </w14:solidFill>
          </w14:textFill>
        </w:rPr>
      </w:pPr>
    </w:p>
    <w:p w14:paraId="2493275E">
      <w:pPr>
        <w:spacing w:line="360" w:lineRule="auto"/>
        <w:ind w:firstLine="504" w:firstLineChars="200"/>
        <w:rPr>
          <w:rFonts w:ascii="宋体" w:hAnsi="宋体" w:cs="宋体"/>
          <w:color w:val="000000" w:themeColor="text1"/>
          <w:spacing w:val="6"/>
          <w:kern w:val="0"/>
          <w:sz w:val="24"/>
          <w:highlight w:val="none"/>
          <w14:textFill>
            <w14:solidFill>
              <w14:schemeClr w14:val="tx1"/>
            </w14:solidFill>
          </w14:textFill>
        </w:rPr>
      </w:pPr>
      <w:r>
        <w:rPr>
          <w:rFonts w:hint="eastAsia" w:ascii="宋体" w:hAnsi="宋体" w:cs="宋体"/>
          <w:color w:val="000000" w:themeColor="text1"/>
          <w:spacing w:val="6"/>
          <w:kern w:val="0"/>
          <w:sz w:val="24"/>
          <w:highlight w:val="none"/>
          <w14:textFill>
            <w14:solidFill>
              <w14:schemeClr w14:val="tx1"/>
            </w14:solidFill>
          </w14:textFill>
        </w:rPr>
        <w:t>单位名称（盖章）：</w:t>
      </w:r>
    </w:p>
    <w:p w14:paraId="32CE580B">
      <w:pPr>
        <w:spacing w:line="360" w:lineRule="auto"/>
        <w:ind w:firstLine="504" w:firstLineChars="200"/>
        <w:rPr>
          <w:rFonts w:ascii="宋体" w:hAnsi="宋体" w:cs="宋体"/>
          <w:color w:val="000000" w:themeColor="text1"/>
          <w:spacing w:val="6"/>
          <w:kern w:val="0"/>
          <w:sz w:val="24"/>
          <w:highlight w:val="none"/>
          <w14:textFill>
            <w14:solidFill>
              <w14:schemeClr w14:val="tx1"/>
            </w14:solidFill>
          </w14:textFill>
        </w:rPr>
      </w:pPr>
      <w:r>
        <w:rPr>
          <w:rFonts w:hint="eastAsia" w:ascii="宋体" w:hAnsi="宋体" w:cs="宋体"/>
          <w:color w:val="000000" w:themeColor="text1"/>
          <w:spacing w:val="6"/>
          <w:kern w:val="0"/>
          <w:sz w:val="24"/>
          <w:highlight w:val="none"/>
          <w14:textFill>
            <w14:solidFill>
              <w14:schemeClr w14:val="tx1"/>
            </w14:solidFill>
          </w14:textFill>
        </w:rPr>
        <w:t>日期：</w:t>
      </w:r>
    </w:p>
    <w:p w14:paraId="29719C65">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p>
    <w:p w14:paraId="59084E8D">
      <w:pPr>
        <w:spacing w:line="360" w:lineRule="auto"/>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（提醒：如果供应商</w:t>
      </w:r>
      <w:r>
        <w:rPr>
          <w:rFonts w:hint="eastAsia" w:ascii="宋体" w:hAnsi="宋体" w:cs="宋体"/>
          <w:b/>
          <w:color w:val="000000" w:themeColor="text1"/>
          <w:spacing w:val="10"/>
          <w:kern w:val="0"/>
          <w:sz w:val="24"/>
          <w:highlight w:val="none"/>
          <w14:textFill>
            <w14:solidFill>
              <w14:schemeClr w14:val="tx1"/>
            </w14:solidFill>
          </w14:textFill>
        </w:rPr>
        <w:t>不是残疾人福利性单位</w:t>
      </w:r>
      <w:r>
        <w:rPr>
          <w:rFonts w:hint="eastAsia" w:ascii="宋体" w:hAnsi="宋体" w:cs="宋体"/>
          <w:b/>
          <w:color w:val="000000" w:themeColor="text1"/>
          <w:kern w:val="0"/>
          <w:sz w:val="24"/>
          <w:highlight w:val="none"/>
          <w14:textFill>
            <w14:solidFill>
              <w14:schemeClr w14:val="tx1"/>
            </w14:solidFill>
          </w14:textFill>
        </w:rPr>
        <w:t>，则不需要提供《残疾人福利性单位声明函》。否则，因此导致虚假投标的后果由供应商自行承担。）</w:t>
      </w:r>
    </w:p>
    <w:p w14:paraId="7C6086D3">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《财政部民政部中国残疾人联合会关于促进残疾人就业政府采购政策的通知》（财库（2017〔141〕号）的规定：</w:t>
      </w:r>
    </w:p>
    <w:p w14:paraId="6688B2A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 享受政府采购支持政策的残疾人福利性单位应当同时满足以下条件：</w:t>
      </w:r>
    </w:p>
    <w:p w14:paraId="1599C99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（1）安置的残疾人占本单位在职职工人数的比例不低于25%（含25%），并且安置的残疾人人数不少于10人（含10人）；</w:t>
      </w:r>
    </w:p>
    <w:p w14:paraId="2FAFC288">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（2）依法与安置的每位残疾人签订了一年以上（含一年）的劳动合同或服务协议；</w:t>
      </w:r>
    </w:p>
    <w:p w14:paraId="2B2C0F60">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（3）为安置的每位残疾人按月足额缴纳了基本养老保险、基本医疗保险、失业保险、工伤保险和生育保险等社会保险费；</w:t>
      </w:r>
    </w:p>
    <w:p w14:paraId="34185DB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1836195D">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76C5E690">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eastAsia="zh-CN"/>
          <w14:textFill>
            <w14:solidFill>
              <w14:schemeClr w14:val="tx1"/>
            </w14:solidFill>
          </w14:textFill>
        </w:rPr>
        <w:t>成交人</w:t>
      </w:r>
      <w:r>
        <w:rPr>
          <w:rFonts w:hint="eastAsia" w:ascii="宋体" w:hAnsi="宋体" w:cs="宋体"/>
          <w:color w:val="000000" w:themeColor="text1"/>
          <w:kern w:val="0"/>
          <w:sz w:val="24"/>
          <w:highlight w:val="none"/>
          <w14:textFill>
            <w14:solidFill>
              <w14:schemeClr w14:val="tx1"/>
            </w14:solidFill>
          </w14:textFill>
        </w:rPr>
        <w:t>为残疾人福利性单位的，采购人或者其委托的采购代理机构应当随中标、成交结果同时公告其《残疾人福利性单位声明函》，接受社会监督。</w:t>
      </w:r>
      <w:r>
        <w:rPr>
          <w:rFonts w:ascii="宋体" w:hAnsi="宋体" w:cs="宋体"/>
          <w:color w:val="000000" w:themeColor="text1"/>
          <w:kern w:val="0"/>
          <w:sz w:val="24"/>
          <w:highlight w:val="none"/>
          <w14:textFill>
            <w14:solidFill>
              <w14:schemeClr w14:val="tx1"/>
            </w14:solidFill>
          </w14:textFill>
        </w:rPr>
        <w:br w:type="page"/>
      </w:r>
    </w:p>
    <w:p w14:paraId="4FD0A8A0">
      <w:pPr>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bookmarkStart w:id="288" w:name="二、投标报价"/>
      <w:bookmarkEnd w:id="288"/>
      <w:r>
        <w:rPr>
          <w:rFonts w:hint="eastAsia" w:ascii="宋体" w:hAnsi="宋体" w:cs="宋体"/>
          <w:b/>
          <w:color w:val="000000" w:themeColor="text1"/>
          <w:kern w:val="0"/>
          <w:sz w:val="24"/>
          <w:highlight w:val="none"/>
          <w14:textFill>
            <w14:solidFill>
              <w14:schemeClr w14:val="tx1"/>
            </w14:solidFill>
          </w14:textFill>
        </w:rPr>
        <w:t>3、监狱企业证明文件（如需）</w:t>
      </w:r>
    </w:p>
    <w:p w14:paraId="2403D669">
      <w:pPr>
        <w:spacing w:line="360" w:lineRule="auto"/>
        <w:ind w:firstLine="482" w:firstLineChars="200"/>
        <w:rPr>
          <w:rFonts w:ascii="宋体" w:hAnsi="宋体" w:cs="宋体"/>
          <w:b/>
          <w:color w:val="000000" w:themeColor="text1"/>
          <w:kern w:val="0"/>
          <w:sz w:val="24"/>
          <w:highlight w:val="none"/>
          <w14:textFill>
            <w14:solidFill>
              <w14:schemeClr w14:val="tx1"/>
            </w14:solidFill>
          </w14:textFill>
        </w:rPr>
      </w:pPr>
    </w:p>
    <w:p w14:paraId="07868D1D">
      <w:pPr>
        <w:spacing w:line="360" w:lineRule="auto"/>
        <w:ind w:firstLine="480" w:firstLineChars="200"/>
        <w:rPr>
          <w:color w:val="000000" w:themeColor="text1"/>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（监狱企业参加政府采购活动时，应当提供由省级以上监狱管理局、戒毒管理局(含新疆生产建设兵团)出具的属于监狱企业的证明文件。在</w:t>
      </w:r>
      <w:r>
        <w:rPr>
          <w:rFonts w:hint="eastAsia" w:hAnsi="宋体"/>
          <w:color w:val="000000" w:themeColor="text1"/>
          <w:kern w:val="0"/>
          <w:sz w:val="24"/>
          <w:highlight w:val="none"/>
          <w:lang w:eastAsia="zh-CN"/>
          <w14:textFill>
            <w14:solidFill>
              <w14:schemeClr w14:val="tx1"/>
            </w14:solidFill>
          </w14:textFill>
        </w:rPr>
        <w:t>响应性文件</w:t>
      </w:r>
      <w:r>
        <w:rPr>
          <w:rFonts w:hint="eastAsia" w:hAnsi="宋体"/>
          <w:color w:val="000000" w:themeColor="text1"/>
          <w:kern w:val="0"/>
          <w:sz w:val="24"/>
          <w:highlight w:val="none"/>
          <w14:textFill>
            <w14:solidFill>
              <w14:schemeClr w14:val="tx1"/>
            </w14:solidFill>
          </w14:textFill>
        </w:rPr>
        <w:t>中提供复印件。</w:t>
      </w:r>
    </w:p>
    <w:p w14:paraId="7BF8D947">
      <w:pPr>
        <w:spacing w:line="360" w:lineRule="auto"/>
        <w:ind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p>
    <w:p w14:paraId="3F6B3B87">
      <w:pPr>
        <w:spacing w:line="360" w:lineRule="auto"/>
        <w:ind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p>
    <w:p w14:paraId="556B042B">
      <w:pPr>
        <w:spacing w:line="360" w:lineRule="auto"/>
        <w:ind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p>
    <w:p w14:paraId="100B5C19">
      <w:pPr>
        <w:spacing w:line="360" w:lineRule="auto"/>
        <w:ind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p>
    <w:p w14:paraId="6436EA79">
      <w:pPr>
        <w:spacing w:line="360" w:lineRule="auto"/>
        <w:ind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p>
    <w:p w14:paraId="189476A1">
      <w:pPr>
        <w:spacing w:line="360" w:lineRule="auto"/>
        <w:ind w:firstLine="482" w:firstLineChars="200"/>
        <w:rPr>
          <w:rFonts w:asciiTheme="minorEastAsia" w:hAnsiTheme="minorEastAsia" w:eastAsiaTheme="minorEastAsia"/>
          <w:b/>
          <w:bCs/>
          <w:color w:val="000000" w:themeColor="text1"/>
          <w:sz w:val="24"/>
          <w:highlight w:val="none"/>
          <w14:textFill>
            <w14:solidFill>
              <w14:schemeClr w14:val="tx1"/>
            </w14:solidFill>
          </w14:textFill>
        </w:rPr>
      </w:pPr>
    </w:p>
    <w:p w14:paraId="41FCFA5F">
      <w:pPr>
        <w:spacing w:line="360" w:lineRule="auto"/>
        <w:ind w:firstLine="420" w:firstLineChars="200"/>
        <w:rPr>
          <w:color w:val="000000" w:themeColor="text1"/>
          <w:highlight w:val="none"/>
          <w14:textFill>
            <w14:solidFill>
              <w14:schemeClr w14:val="tx1"/>
            </w14:solidFill>
          </w14:textFill>
        </w:rPr>
      </w:pPr>
    </w:p>
    <w:p w14:paraId="0C9AF998">
      <w:pPr>
        <w:spacing w:line="360" w:lineRule="auto"/>
        <w:ind w:firstLine="420" w:firstLineChars="200"/>
        <w:rPr>
          <w:color w:val="000000" w:themeColor="text1"/>
          <w:highlight w:val="none"/>
          <w14:textFill>
            <w14:solidFill>
              <w14:schemeClr w14:val="tx1"/>
            </w14:solidFill>
          </w14:textFill>
        </w:rPr>
      </w:pPr>
    </w:p>
    <w:p w14:paraId="2609B274">
      <w:pPr>
        <w:spacing w:line="360" w:lineRule="auto"/>
        <w:ind w:firstLine="420" w:firstLineChars="200"/>
        <w:rPr>
          <w:color w:val="000000" w:themeColor="text1"/>
          <w:highlight w:val="none"/>
          <w14:textFill>
            <w14:solidFill>
              <w14:schemeClr w14:val="tx1"/>
            </w14:solidFill>
          </w14:textFill>
        </w:rPr>
      </w:pPr>
    </w:p>
    <w:p w14:paraId="34E6F7A3">
      <w:pPr>
        <w:spacing w:line="360" w:lineRule="auto"/>
        <w:ind w:firstLine="420" w:firstLineChars="200"/>
        <w:rPr>
          <w:color w:val="000000" w:themeColor="text1"/>
          <w:highlight w:val="none"/>
          <w14:textFill>
            <w14:solidFill>
              <w14:schemeClr w14:val="tx1"/>
            </w14:solidFill>
          </w14:textFill>
        </w:rPr>
      </w:pPr>
    </w:p>
    <w:p w14:paraId="308C3C13">
      <w:pPr>
        <w:spacing w:line="360" w:lineRule="auto"/>
        <w:ind w:firstLine="420" w:firstLineChars="200"/>
        <w:rPr>
          <w:color w:val="000000" w:themeColor="text1"/>
          <w:highlight w:val="none"/>
          <w14:textFill>
            <w14:solidFill>
              <w14:schemeClr w14:val="tx1"/>
            </w14:solidFill>
          </w14:textFill>
        </w:rPr>
      </w:pPr>
    </w:p>
    <w:p w14:paraId="7EA94AC3">
      <w:pPr>
        <w:spacing w:line="360" w:lineRule="auto"/>
        <w:ind w:firstLine="420" w:firstLineChars="200"/>
        <w:rPr>
          <w:color w:val="000000" w:themeColor="text1"/>
          <w:highlight w:val="none"/>
          <w14:textFill>
            <w14:solidFill>
              <w14:schemeClr w14:val="tx1"/>
            </w14:solidFill>
          </w14:textFill>
        </w:rPr>
      </w:pPr>
    </w:p>
    <w:p w14:paraId="650427B1">
      <w:pPr>
        <w:spacing w:line="360" w:lineRule="auto"/>
        <w:ind w:firstLine="420" w:firstLineChars="200"/>
        <w:rPr>
          <w:color w:val="000000" w:themeColor="text1"/>
          <w:highlight w:val="none"/>
          <w14:textFill>
            <w14:solidFill>
              <w14:schemeClr w14:val="tx1"/>
            </w14:solidFill>
          </w14:textFill>
        </w:rPr>
      </w:pPr>
    </w:p>
    <w:p w14:paraId="470126A3">
      <w:pPr>
        <w:spacing w:line="360" w:lineRule="auto"/>
        <w:ind w:firstLine="420" w:firstLineChars="200"/>
        <w:rPr>
          <w:color w:val="000000" w:themeColor="text1"/>
          <w:highlight w:val="none"/>
          <w14:textFill>
            <w14:solidFill>
              <w14:schemeClr w14:val="tx1"/>
            </w14:solidFill>
          </w14:textFill>
        </w:rPr>
      </w:pPr>
    </w:p>
    <w:p w14:paraId="1D19F843">
      <w:pPr>
        <w:spacing w:line="360" w:lineRule="auto"/>
        <w:ind w:firstLine="420" w:firstLineChars="200"/>
        <w:rPr>
          <w:color w:val="000000" w:themeColor="text1"/>
          <w:highlight w:val="none"/>
          <w14:textFill>
            <w14:solidFill>
              <w14:schemeClr w14:val="tx1"/>
            </w14:solidFill>
          </w14:textFill>
        </w:rPr>
      </w:pPr>
    </w:p>
    <w:p w14:paraId="78368EE0">
      <w:pPr>
        <w:spacing w:line="360" w:lineRule="auto"/>
        <w:ind w:firstLine="420" w:firstLineChars="200"/>
        <w:rPr>
          <w:color w:val="000000" w:themeColor="text1"/>
          <w:highlight w:val="none"/>
          <w14:textFill>
            <w14:solidFill>
              <w14:schemeClr w14:val="tx1"/>
            </w14:solidFill>
          </w14:textFill>
        </w:rPr>
      </w:pPr>
    </w:p>
    <w:p w14:paraId="02C4BEFE">
      <w:pPr>
        <w:spacing w:line="360" w:lineRule="auto"/>
        <w:ind w:firstLine="420" w:firstLineChars="200"/>
        <w:rPr>
          <w:color w:val="000000" w:themeColor="text1"/>
          <w:highlight w:val="none"/>
          <w14:textFill>
            <w14:solidFill>
              <w14:schemeClr w14:val="tx1"/>
            </w14:solidFill>
          </w14:textFill>
        </w:rPr>
      </w:pPr>
    </w:p>
    <w:p w14:paraId="406200E8">
      <w:pPr>
        <w:spacing w:line="360" w:lineRule="auto"/>
        <w:ind w:firstLine="420" w:firstLineChars="200"/>
        <w:rPr>
          <w:color w:val="000000" w:themeColor="text1"/>
          <w:highlight w:val="none"/>
          <w14:textFill>
            <w14:solidFill>
              <w14:schemeClr w14:val="tx1"/>
            </w14:solidFill>
          </w14:textFill>
        </w:rPr>
      </w:pPr>
    </w:p>
    <w:p w14:paraId="1F7B3AD6">
      <w:pPr>
        <w:spacing w:line="360" w:lineRule="auto"/>
        <w:ind w:firstLine="420" w:firstLineChars="200"/>
        <w:rPr>
          <w:color w:val="000000" w:themeColor="text1"/>
          <w:highlight w:val="none"/>
          <w14:textFill>
            <w14:solidFill>
              <w14:schemeClr w14:val="tx1"/>
            </w14:solidFill>
          </w14:textFill>
        </w:rPr>
      </w:pPr>
    </w:p>
    <w:p w14:paraId="5A02B4C0">
      <w:pPr>
        <w:spacing w:line="360" w:lineRule="auto"/>
        <w:ind w:firstLine="420" w:firstLineChars="200"/>
        <w:rPr>
          <w:color w:val="000000" w:themeColor="text1"/>
          <w:highlight w:val="none"/>
          <w14:textFill>
            <w14:solidFill>
              <w14:schemeClr w14:val="tx1"/>
            </w14:solidFill>
          </w14:textFill>
        </w:rPr>
      </w:pPr>
    </w:p>
    <w:p w14:paraId="668ACBC1">
      <w:pPr>
        <w:spacing w:line="360" w:lineRule="auto"/>
        <w:ind w:firstLine="420" w:firstLineChars="200"/>
        <w:rPr>
          <w:color w:val="000000" w:themeColor="text1"/>
          <w:highlight w:val="none"/>
          <w14:textFill>
            <w14:solidFill>
              <w14:schemeClr w14:val="tx1"/>
            </w14:solidFill>
          </w14:textFill>
        </w:rPr>
      </w:pPr>
    </w:p>
    <w:p w14:paraId="4D013DDE">
      <w:pPr>
        <w:spacing w:line="360" w:lineRule="auto"/>
        <w:ind w:firstLine="420" w:firstLineChars="200"/>
        <w:rPr>
          <w:color w:val="000000" w:themeColor="text1"/>
          <w:highlight w:val="none"/>
          <w14:textFill>
            <w14:solidFill>
              <w14:schemeClr w14:val="tx1"/>
            </w14:solidFill>
          </w14:textFill>
        </w:rPr>
      </w:pPr>
    </w:p>
    <w:p w14:paraId="31D95943">
      <w:pPr>
        <w:spacing w:line="360" w:lineRule="auto"/>
        <w:ind w:firstLine="420" w:firstLineChars="200"/>
        <w:rPr>
          <w:color w:val="000000" w:themeColor="text1"/>
          <w:highlight w:val="none"/>
          <w14:textFill>
            <w14:solidFill>
              <w14:schemeClr w14:val="tx1"/>
            </w14:solidFill>
          </w14:textFill>
        </w:rPr>
      </w:pPr>
    </w:p>
    <w:p w14:paraId="7AE91B3D">
      <w:pPr>
        <w:spacing w:line="360" w:lineRule="auto"/>
        <w:ind w:firstLine="420" w:firstLineChars="200"/>
        <w:rPr>
          <w:color w:val="000000" w:themeColor="text1"/>
          <w:highlight w:val="none"/>
          <w14:textFill>
            <w14:solidFill>
              <w14:schemeClr w14:val="tx1"/>
            </w14:solidFill>
          </w14:textFill>
        </w:rPr>
      </w:pPr>
    </w:p>
    <w:p w14:paraId="6D6C9437">
      <w:pPr>
        <w:spacing w:line="360" w:lineRule="auto"/>
        <w:ind w:firstLine="420" w:firstLineChars="200"/>
        <w:rPr>
          <w:color w:val="000000" w:themeColor="text1"/>
          <w:highlight w:val="none"/>
          <w14:textFill>
            <w14:solidFill>
              <w14:schemeClr w14:val="tx1"/>
            </w14:solidFill>
          </w14:textFill>
        </w:rPr>
      </w:pPr>
    </w:p>
    <w:p w14:paraId="7649F1ED">
      <w:pPr>
        <w:spacing w:line="360" w:lineRule="auto"/>
        <w:ind w:firstLine="420" w:firstLineChars="200"/>
        <w:rPr>
          <w:color w:val="000000" w:themeColor="text1"/>
          <w:highlight w:val="none"/>
          <w14:textFill>
            <w14:solidFill>
              <w14:schemeClr w14:val="tx1"/>
            </w14:solidFill>
          </w14:textFill>
        </w:rPr>
      </w:pPr>
    </w:p>
    <w:p w14:paraId="5F49DAB6">
      <w:pPr>
        <w:spacing w:line="360" w:lineRule="auto"/>
        <w:ind w:firstLine="512" w:firstLineChars="200"/>
        <w:rPr>
          <w:rFonts w:cs="宋体" w:asciiTheme="minorEastAsia" w:hAnsiTheme="minorEastAsia" w:eastAsiaTheme="minorEastAsia"/>
          <w:color w:val="000000" w:themeColor="text1"/>
          <w:spacing w:val="8"/>
          <w:sz w:val="24"/>
          <w:highlight w:val="none"/>
          <w14:textFill>
            <w14:solidFill>
              <w14:schemeClr w14:val="tx1"/>
            </w14:solidFill>
          </w14:textFill>
        </w:rPr>
      </w:pPr>
    </w:p>
    <w:p w14:paraId="73658012">
      <w:pPr>
        <w:spacing w:line="360" w:lineRule="auto"/>
        <w:ind w:firstLine="420" w:firstLineChars="200"/>
        <w:rPr>
          <w:color w:val="000000" w:themeColor="text1"/>
          <w:highlight w:val="none"/>
          <w14:textFill>
            <w14:solidFill>
              <w14:schemeClr w14:val="tx1"/>
            </w14:solidFill>
          </w14:textFill>
        </w:rPr>
      </w:pPr>
    </w:p>
    <w:p w14:paraId="6292E89E">
      <w:pPr>
        <w:pStyle w:val="16"/>
        <w:ind w:firstLine="200"/>
        <w:rPr>
          <w:color w:val="000000" w:themeColor="text1"/>
          <w:highlight w:val="none"/>
          <w14:textFill>
            <w14:solidFill>
              <w14:schemeClr w14:val="tx1"/>
            </w14:solidFill>
          </w14:textFill>
        </w:rPr>
      </w:pPr>
    </w:p>
    <w:p w14:paraId="12DDFC4A">
      <w:pPr>
        <w:pStyle w:val="8"/>
        <w:ind w:right="164" w:firstLine="560"/>
        <w:rPr>
          <w:color w:val="000000" w:themeColor="text1"/>
          <w:highlight w:val="none"/>
          <w14:textFill>
            <w14:solidFill>
              <w14:schemeClr w14:val="tx1"/>
            </w14:solidFill>
          </w14:textFill>
        </w:rPr>
      </w:pPr>
    </w:p>
    <w:p w14:paraId="4F29C0D8">
      <w:pPr>
        <w:spacing w:line="360" w:lineRule="auto"/>
        <w:ind w:firstLine="420" w:firstLineChars="200"/>
        <w:rPr>
          <w:color w:val="000000" w:themeColor="text1"/>
          <w:highlight w:val="none"/>
          <w14:textFill>
            <w14:solidFill>
              <w14:schemeClr w14:val="tx1"/>
            </w14:solidFill>
          </w14:textFill>
        </w:rPr>
      </w:pPr>
    </w:p>
    <w:p w14:paraId="65684D5D">
      <w:pPr>
        <w:spacing w:line="360" w:lineRule="auto"/>
        <w:ind w:firstLine="482" w:firstLineChars="200"/>
        <w:rPr>
          <w:rFonts w:ascii="宋体" w:hAnsi="宋体" w:cs="Calibri"/>
          <w:b/>
          <w:bCs/>
          <w:color w:val="000000" w:themeColor="text1"/>
          <w:sz w:val="24"/>
          <w:highlight w:val="none"/>
          <w14:textFill>
            <w14:solidFill>
              <w14:schemeClr w14:val="tx1"/>
            </w14:solidFill>
          </w14:textFill>
        </w:rPr>
      </w:pPr>
      <w:r>
        <w:rPr>
          <w:rFonts w:hint="eastAsia" w:ascii="宋体" w:hAnsi="宋体" w:cs="Calibri"/>
          <w:b/>
          <w:bCs/>
          <w:color w:val="000000" w:themeColor="text1"/>
          <w:sz w:val="24"/>
          <w:highlight w:val="none"/>
          <w14:textFill>
            <w14:solidFill>
              <w14:schemeClr w14:val="tx1"/>
            </w14:solidFill>
          </w14:textFill>
        </w:rPr>
        <w:t>（二）</w:t>
      </w:r>
      <w:r>
        <w:rPr>
          <w:rFonts w:hint="eastAsia" w:ascii="宋体" w:hAnsi="宋体" w:cs="宋体"/>
          <w:b/>
          <w:bCs/>
          <w:color w:val="000000" w:themeColor="text1"/>
          <w:kern w:val="10"/>
          <w:sz w:val="24"/>
          <w:highlight w:val="none"/>
          <w14:textFill>
            <w14:solidFill>
              <w14:schemeClr w14:val="tx1"/>
            </w14:solidFill>
          </w14:textFill>
        </w:rPr>
        <w:t>供应商认为需要提供的其他资料</w:t>
      </w:r>
      <w:r>
        <w:rPr>
          <w:rFonts w:hint="eastAsia" w:ascii="宋体" w:hAnsi="宋体"/>
          <w:b/>
          <w:bCs/>
          <w:color w:val="000000" w:themeColor="text1"/>
          <w:kern w:val="0"/>
          <w:sz w:val="24"/>
          <w:highlight w:val="none"/>
          <w14:textFill>
            <w14:solidFill>
              <w14:schemeClr w14:val="tx1"/>
            </w14:solidFill>
          </w14:textFill>
        </w:rPr>
        <w:t>（如有）；</w:t>
      </w:r>
    </w:p>
    <w:p w14:paraId="07F090EF">
      <w:pPr>
        <w:spacing w:line="360" w:lineRule="auto"/>
        <w:ind w:firstLine="420" w:firstLineChars="200"/>
        <w:rPr>
          <w:color w:val="000000" w:themeColor="text1"/>
          <w:highlight w:val="none"/>
          <w14:textFill>
            <w14:solidFill>
              <w14:schemeClr w14:val="tx1"/>
            </w14:solidFill>
          </w14:textFill>
        </w:rPr>
      </w:pPr>
    </w:p>
    <w:sectPr>
      <w:pgSz w:w="11906" w:h="16838"/>
      <w:pgMar w:top="1418" w:right="1418" w:bottom="1418" w:left="1588" w:header="851" w:footer="77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文星仿宋">
    <w:altName w:val="仿宋"/>
    <w:panose1 w:val="00000000000000000000"/>
    <w:charset w:val="00"/>
    <w:family w:val="auto"/>
    <w:pitch w:val="default"/>
    <w:sig w:usb0="00000000" w:usb1="00000000" w:usb2="00000000" w:usb3="00000000" w:csb0="00040001" w:csb1="00000000"/>
  </w:font>
  <w:font w:name="宋体-PUA">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思源黑体 CN">
    <w:altName w:val="黑体"/>
    <w:panose1 w:val="00000000000000000000"/>
    <w:charset w:val="80"/>
    <w:family w:val="swiss"/>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686C">
    <w:pPr>
      <w:pStyle w:val="11"/>
      <w:jc w:val="center"/>
    </w:pPr>
    <w:r>
      <w:fldChar w:fldCharType="begin"/>
    </w:r>
    <w:r>
      <w:instrText xml:space="preserve"> PAGE   \* MERGEFORMAT </w:instrText>
    </w:r>
    <w:r>
      <w:fldChar w:fldCharType="separate"/>
    </w:r>
    <w:r>
      <w:rPr>
        <w:lang w:val="zh-CN"/>
      </w:rPr>
      <w:t>62</w:t>
    </w:r>
    <w:r>
      <w:fldChar w:fldCharType="end"/>
    </w:r>
  </w:p>
  <w:p w14:paraId="083419F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EA88">
    <w:pPr>
      <w:pStyle w:val="6"/>
      <w:spacing w:line="14" w:lineRule="auto"/>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7498D2">
                          <w:pPr>
                            <w:pStyle w:val="11"/>
                            <w:ind w:left="420" w:leftChars="200" w:right="420" w:rightChars="200"/>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xyWcyAgAAYw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Zg8y8Kt&#10;3lg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R/HJZzICAABjBAAADgAAAAAAAAABACAAAAAfAQAAZHJzL2Uyb0RvYy54bWxQSwUG&#10;AAAAAAYABgBZAQAAwwUAAAAA&#10;">
              <v:fill on="f" focussize="0,0"/>
              <v:stroke on="f" weight="0.5pt"/>
              <v:imagedata o:title=""/>
              <o:lock v:ext="edit" aspectratio="f"/>
              <v:textbox inset="0mm,0mm,0mm,0mm" style="mso-fit-shape-to-text:t;">
                <w:txbxContent>
                  <w:p w14:paraId="367498D2">
                    <w:pPr>
                      <w:pStyle w:val="11"/>
                      <w:ind w:left="420" w:leftChars="200" w:right="420" w:rightChars="200"/>
                      <w:rPr>
                        <w:sz w:val="28"/>
                        <w:szCs w:val="28"/>
                      </w:rPr>
                    </w:pPr>
                  </w:p>
                </w:txbxContent>
              </v:textbox>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4E0D6">
                          <w:pPr>
                            <w:pStyle w:val="11"/>
                          </w:pP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SaMkBAACb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19mgPkCNfQ8BO9Nw5wdsnvOAyax7UNHmNyoiWEes89VeOSQi8kfr1XpdYUlgbT4gPnv8PERIb6W3&#10;JAcNjbi/Yis/vYc0ts4teZrz99qYskPj/kogZs6wzH3kmKM07IdJ0N63Z9TT4+ob6vCmU2LeOXQW&#10;+aU5iHOwn4NjiPrQIbVl4QXh9piQROGWJ4yw02DcWVE33a98Kf48l67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YJJoyQEAAJsDAAAOAAAAAAAAAAEAIAAAAB4BAABkcnMvZTJvRG9j&#10;LnhtbFBLBQYAAAAABgAGAFkBAABZBQAAAAA=&#10;">
              <v:fill on="f" focussize="0,0"/>
              <v:stroke on="f"/>
              <v:imagedata o:title=""/>
              <o:lock v:ext="edit" aspectratio="f"/>
              <v:textbox inset="0mm,0mm,0mm,0mm" style="mso-fit-shape-to-text:t;">
                <w:txbxContent>
                  <w:p w14:paraId="3C24E0D6">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E655">
    <w:pPr>
      <w:pStyle w:val="6"/>
      <w:spacing w:line="14" w:lineRule="auto"/>
      <w:rPr>
        <w:sz w:val="12"/>
      </w:rPr>
    </w:pPr>
  </w:p>
  <w:p w14:paraId="7FEC0235">
    <w:pPr>
      <w:pStyle w:val="6"/>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9AC4385">
                          <w:pPr>
                            <w:pStyle w:val="11"/>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9AC4385">
                    <w:pPr>
                      <w:pStyle w:val="11"/>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sz w:val="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5C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21AD7"/>
    <w:multiLevelType w:val="singleLevel"/>
    <w:tmpl w:val="9E121AD7"/>
    <w:lvl w:ilvl="0" w:tentative="0">
      <w:start w:val="9"/>
      <w:numFmt w:val="chineseCounting"/>
      <w:suff w:val="nothing"/>
      <w:lvlText w:val="%1、"/>
      <w:lvlJc w:val="left"/>
      <w:rPr>
        <w:rFonts w:hint="eastAsia"/>
      </w:rPr>
    </w:lvl>
  </w:abstractNum>
  <w:abstractNum w:abstractNumId="1">
    <w:nsid w:val="37C0B371"/>
    <w:multiLevelType w:val="singleLevel"/>
    <w:tmpl w:val="37C0B37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4Gt3D1rvhUKZrNzFhk8fc+hQrok=" w:salt="sQNf63e6XavPCatvYAQX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MzM4M2JiYjVlMWQwOThjZDBjNzEzOWNiYzVjMmMifQ=="/>
  </w:docVars>
  <w:rsids>
    <w:rsidRoot w:val="2AE479AD"/>
    <w:rsid w:val="00055AB3"/>
    <w:rsid w:val="000734DD"/>
    <w:rsid w:val="00087B48"/>
    <w:rsid w:val="00105814"/>
    <w:rsid w:val="00115E33"/>
    <w:rsid w:val="00137E26"/>
    <w:rsid w:val="00151B85"/>
    <w:rsid w:val="00152182"/>
    <w:rsid w:val="00185283"/>
    <w:rsid w:val="00186A0C"/>
    <w:rsid w:val="001E3E5A"/>
    <w:rsid w:val="001E7C0C"/>
    <w:rsid w:val="001F1E8A"/>
    <w:rsid w:val="00241A5B"/>
    <w:rsid w:val="00244DE0"/>
    <w:rsid w:val="002718C6"/>
    <w:rsid w:val="00272D3E"/>
    <w:rsid w:val="002B7BF4"/>
    <w:rsid w:val="0030255B"/>
    <w:rsid w:val="0031596A"/>
    <w:rsid w:val="003625D1"/>
    <w:rsid w:val="00364A8E"/>
    <w:rsid w:val="003D609F"/>
    <w:rsid w:val="004149E5"/>
    <w:rsid w:val="00416BE5"/>
    <w:rsid w:val="00427C20"/>
    <w:rsid w:val="004649D5"/>
    <w:rsid w:val="00471002"/>
    <w:rsid w:val="0047204D"/>
    <w:rsid w:val="00496B14"/>
    <w:rsid w:val="00496E39"/>
    <w:rsid w:val="004A6234"/>
    <w:rsid w:val="004D619E"/>
    <w:rsid w:val="00515FDD"/>
    <w:rsid w:val="00542C34"/>
    <w:rsid w:val="00552964"/>
    <w:rsid w:val="0055413F"/>
    <w:rsid w:val="0055422E"/>
    <w:rsid w:val="005670C3"/>
    <w:rsid w:val="0057257C"/>
    <w:rsid w:val="00590117"/>
    <w:rsid w:val="00596688"/>
    <w:rsid w:val="005A7690"/>
    <w:rsid w:val="005B0788"/>
    <w:rsid w:val="005C6030"/>
    <w:rsid w:val="005E2030"/>
    <w:rsid w:val="005E3832"/>
    <w:rsid w:val="00606F17"/>
    <w:rsid w:val="00651E71"/>
    <w:rsid w:val="006730E2"/>
    <w:rsid w:val="00691F98"/>
    <w:rsid w:val="006C2898"/>
    <w:rsid w:val="006E5A06"/>
    <w:rsid w:val="00714A79"/>
    <w:rsid w:val="00771B68"/>
    <w:rsid w:val="007D7637"/>
    <w:rsid w:val="007E6BDB"/>
    <w:rsid w:val="007F4517"/>
    <w:rsid w:val="00821C04"/>
    <w:rsid w:val="00837AB0"/>
    <w:rsid w:val="00844C54"/>
    <w:rsid w:val="008553E5"/>
    <w:rsid w:val="0089400D"/>
    <w:rsid w:val="00896081"/>
    <w:rsid w:val="009468C1"/>
    <w:rsid w:val="0096091B"/>
    <w:rsid w:val="00967201"/>
    <w:rsid w:val="0097408D"/>
    <w:rsid w:val="00974E76"/>
    <w:rsid w:val="00991B04"/>
    <w:rsid w:val="009C4109"/>
    <w:rsid w:val="00A07952"/>
    <w:rsid w:val="00A13234"/>
    <w:rsid w:val="00A23A93"/>
    <w:rsid w:val="00A267E8"/>
    <w:rsid w:val="00A316D6"/>
    <w:rsid w:val="00A55AFF"/>
    <w:rsid w:val="00A7229E"/>
    <w:rsid w:val="00AC43AB"/>
    <w:rsid w:val="00B06D7F"/>
    <w:rsid w:val="00B20C61"/>
    <w:rsid w:val="00B312EB"/>
    <w:rsid w:val="00B40F77"/>
    <w:rsid w:val="00B52E96"/>
    <w:rsid w:val="00B535FF"/>
    <w:rsid w:val="00B926B5"/>
    <w:rsid w:val="00BC2052"/>
    <w:rsid w:val="00BE7499"/>
    <w:rsid w:val="00C04EB4"/>
    <w:rsid w:val="00C11000"/>
    <w:rsid w:val="00C27DA8"/>
    <w:rsid w:val="00C31AB2"/>
    <w:rsid w:val="00C31C93"/>
    <w:rsid w:val="00C91787"/>
    <w:rsid w:val="00CA09C7"/>
    <w:rsid w:val="00CA3A04"/>
    <w:rsid w:val="00CA422A"/>
    <w:rsid w:val="00CA7C8C"/>
    <w:rsid w:val="00D178A5"/>
    <w:rsid w:val="00D55BB0"/>
    <w:rsid w:val="00D767A3"/>
    <w:rsid w:val="00D94BF9"/>
    <w:rsid w:val="00D95646"/>
    <w:rsid w:val="00DC484A"/>
    <w:rsid w:val="00DE7F7D"/>
    <w:rsid w:val="00DF0051"/>
    <w:rsid w:val="00E026C5"/>
    <w:rsid w:val="00E33B10"/>
    <w:rsid w:val="00E6064D"/>
    <w:rsid w:val="00E67B2D"/>
    <w:rsid w:val="00E70846"/>
    <w:rsid w:val="00E83C9F"/>
    <w:rsid w:val="00ED221D"/>
    <w:rsid w:val="00ED5EC1"/>
    <w:rsid w:val="00F66F6A"/>
    <w:rsid w:val="00FB3D49"/>
    <w:rsid w:val="00FC7E33"/>
    <w:rsid w:val="00FE3C35"/>
    <w:rsid w:val="019978BC"/>
    <w:rsid w:val="03586909"/>
    <w:rsid w:val="03887BE8"/>
    <w:rsid w:val="04A62A1C"/>
    <w:rsid w:val="04A647CA"/>
    <w:rsid w:val="052851DF"/>
    <w:rsid w:val="063D1400"/>
    <w:rsid w:val="06954AF6"/>
    <w:rsid w:val="06EE2A04"/>
    <w:rsid w:val="083A179A"/>
    <w:rsid w:val="087F5A5E"/>
    <w:rsid w:val="089B03BE"/>
    <w:rsid w:val="08D4505C"/>
    <w:rsid w:val="091D7025"/>
    <w:rsid w:val="096B1B3E"/>
    <w:rsid w:val="09CF031F"/>
    <w:rsid w:val="0A96175F"/>
    <w:rsid w:val="0B3643CE"/>
    <w:rsid w:val="0B725406"/>
    <w:rsid w:val="0CBB102F"/>
    <w:rsid w:val="0CD53711"/>
    <w:rsid w:val="0D6105AF"/>
    <w:rsid w:val="0E252C04"/>
    <w:rsid w:val="0E6A6868"/>
    <w:rsid w:val="0EEC3721"/>
    <w:rsid w:val="0FEE5277"/>
    <w:rsid w:val="0FFA7DE5"/>
    <w:rsid w:val="11603F53"/>
    <w:rsid w:val="11A16A45"/>
    <w:rsid w:val="11A538F1"/>
    <w:rsid w:val="120E1C01"/>
    <w:rsid w:val="12276949"/>
    <w:rsid w:val="12CD1B61"/>
    <w:rsid w:val="12EB3CF0"/>
    <w:rsid w:val="13423FA8"/>
    <w:rsid w:val="13D749A0"/>
    <w:rsid w:val="142C45C0"/>
    <w:rsid w:val="147D2729"/>
    <w:rsid w:val="14B22D62"/>
    <w:rsid w:val="14EA0703"/>
    <w:rsid w:val="153B1306"/>
    <w:rsid w:val="15802E15"/>
    <w:rsid w:val="1606156C"/>
    <w:rsid w:val="16094BB9"/>
    <w:rsid w:val="165C73DE"/>
    <w:rsid w:val="166167A3"/>
    <w:rsid w:val="166B7621"/>
    <w:rsid w:val="16AA269B"/>
    <w:rsid w:val="17742506"/>
    <w:rsid w:val="17FB2C27"/>
    <w:rsid w:val="18C4126B"/>
    <w:rsid w:val="194128BC"/>
    <w:rsid w:val="1A450189"/>
    <w:rsid w:val="1A7D7923"/>
    <w:rsid w:val="1A9829AF"/>
    <w:rsid w:val="1ABC044C"/>
    <w:rsid w:val="1B650AE3"/>
    <w:rsid w:val="1C694603"/>
    <w:rsid w:val="1C797376"/>
    <w:rsid w:val="1CC63804"/>
    <w:rsid w:val="1D12234E"/>
    <w:rsid w:val="1D142E25"/>
    <w:rsid w:val="1D570900"/>
    <w:rsid w:val="1DBB0E8E"/>
    <w:rsid w:val="1E075E82"/>
    <w:rsid w:val="1E650B61"/>
    <w:rsid w:val="1E733517"/>
    <w:rsid w:val="1F0C74C8"/>
    <w:rsid w:val="1F5D7D23"/>
    <w:rsid w:val="20987265"/>
    <w:rsid w:val="20A200E4"/>
    <w:rsid w:val="20AA6F98"/>
    <w:rsid w:val="21521B0A"/>
    <w:rsid w:val="216B497A"/>
    <w:rsid w:val="21B46321"/>
    <w:rsid w:val="21CB6F86"/>
    <w:rsid w:val="222B119F"/>
    <w:rsid w:val="22947F00"/>
    <w:rsid w:val="22E449E3"/>
    <w:rsid w:val="232D4D03"/>
    <w:rsid w:val="23D20CE0"/>
    <w:rsid w:val="23D74548"/>
    <w:rsid w:val="23F944BF"/>
    <w:rsid w:val="242D23BA"/>
    <w:rsid w:val="24AF1021"/>
    <w:rsid w:val="24DB3BC4"/>
    <w:rsid w:val="24FC41FD"/>
    <w:rsid w:val="25DE1BBE"/>
    <w:rsid w:val="26307F40"/>
    <w:rsid w:val="26C32B62"/>
    <w:rsid w:val="27181100"/>
    <w:rsid w:val="27F21951"/>
    <w:rsid w:val="28A12B3E"/>
    <w:rsid w:val="295E4DC4"/>
    <w:rsid w:val="299B1B74"/>
    <w:rsid w:val="29C410CB"/>
    <w:rsid w:val="2AAB5DE7"/>
    <w:rsid w:val="2AE479AD"/>
    <w:rsid w:val="2AE82B97"/>
    <w:rsid w:val="2B560448"/>
    <w:rsid w:val="2B940F71"/>
    <w:rsid w:val="2BBB1E7D"/>
    <w:rsid w:val="2BDD7858"/>
    <w:rsid w:val="2C6F6465"/>
    <w:rsid w:val="2CB90F23"/>
    <w:rsid w:val="2D2D43CA"/>
    <w:rsid w:val="2D3A16A4"/>
    <w:rsid w:val="2DEF248E"/>
    <w:rsid w:val="2E2E745B"/>
    <w:rsid w:val="2E334E31"/>
    <w:rsid w:val="2F627DD2"/>
    <w:rsid w:val="2F7E1D1C"/>
    <w:rsid w:val="2FB614B6"/>
    <w:rsid w:val="30075A70"/>
    <w:rsid w:val="307130B4"/>
    <w:rsid w:val="31BC4D7D"/>
    <w:rsid w:val="32A55811"/>
    <w:rsid w:val="32BA750F"/>
    <w:rsid w:val="32E7407C"/>
    <w:rsid w:val="32E75E2A"/>
    <w:rsid w:val="344572AC"/>
    <w:rsid w:val="34AE2158"/>
    <w:rsid w:val="3518688A"/>
    <w:rsid w:val="35286EED"/>
    <w:rsid w:val="35700359"/>
    <w:rsid w:val="35C12962"/>
    <w:rsid w:val="35F67F15"/>
    <w:rsid w:val="36D36DF1"/>
    <w:rsid w:val="37533A8E"/>
    <w:rsid w:val="37C404E8"/>
    <w:rsid w:val="37C8447C"/>
    <w:rsid w:val="3899146F"/>
    <w:rsid w:val="397523E2"/>
    <w:rsid w:val="39E44E71"/>
    <w:rsid w:val="3AA52853"/>
    <w:rsid w:val="3B9F3746"/>
    <w:rsid w:val="3BC608D8"/>
    <w:rsid w:val="3BD31641"/>
    <w:rsid w:val="3BE865A1"/>
    <w:rsid w:val="3C0D06AF"/>
    <w:rsid w:val="3D801355"/>
    <w:rsid w:val="3DA912E1"/>
    <w:rsid w:val="3EFE4C27"/>
    <w:rsid w:val="3F3A354A"/>
    <w:rsid w:val="3F7D5B4C"/>
    <w:rsid w:val="409D2998"/>
    <w:rsid w:val="41847666"/>
    <w:rsid w:val="41F45E6E"/>
    <w:rsid w:val="41FD11C6"/>
    <w:rsid w:val="42660B19"/>
    <w:rsid w:val="42DA1507"/>
    <w:rsid w:val="43A0005B"/>
    <w:rsid w:val="43BE4F6F"/>
    <w:rsid w:val="44623562"/>
    <w:rsid w:val="44B43423"/>
    <w:rsid w:val="45C44084"/>
    <w:rsid w:val="465D2233"/>
    <w:rsid w:val="46D36999"/>
    <w:rsid w:val="470E352E"/>
    <w:rsid w:val="473531B0"/>
    <w:rsid w:val="48C97E3D"/>
    <w:rsid w:val="48D662CD"/>
    <w:rsid w:val="48F0738F"/>
    <w:rsid w:val="493A4AAE"/>
    <w:rsid w:val="498B5309"/>
    <w:rsid w:val="49F44C5D"/>
    <w:rsid w:val="4A2E1FC9"/>
    <w:rsid w:val="4AB34B18"/>
    <w:rsid w:val="4AB8212E"/>
    <w:rsid w:val="4ABA5EA6"/>
    <w:rsid w:val="4AE50A49"/>
    <w:rsid w:val="4AEC1DD8"/>
    <w:rsid w:val="4B1A4B97"/>
    <w:rsid w:val="4BD44D46"/>
    <w:rsid w:val="4C0F06FB"/>
    <w:rsid w:val="4C7107E7"/>
    <w:rsid w:val="4D0F7FFF"/>
    <w:rsid w:val="4D265A75"/>
    <w:rsid w:val="4D453A21"/>
    <w:rsid w:val="4D5048A0"/>
    <w:rsid w:val="4D5D0BAF"/>
    <w:rsid w:val="4D9135BC"/>
    <w:rsid w:val="4DA8648A"/>
    <w:rsid w:val="4DB56DF9"/>
    <w:rsid w:val="4DFA2A5E"/>
    <w:rsid w:val="4E3360B8"/>
    <w:rsid w:val="4E7B452B"/>
    <w:rsid w:val="4EFF657E"/>
    <w:rsid w:val="4F310701"/>
    <w:rsid w:val="4F5A1A06"/>
    <w:rsid w:val="50E579F5"/>
    <w:rsid w:val="5181771E"/>
    <w:rsid w:val="51E1640E"/>
    <w:rsid w:val="51E732F9"/>
    <w:rsid w:val="5201085F"/>
    <w:rsid w:val="520C2D5F"/>
    <w:rsid w:val="52806637"/>
    <w:rsid w:val="52990A97"/>
    <w:rsid w:val="52D97A70"/>
    <w:rsid w:val="53682217"/>
    <w:rsid w:val="53E93358"/>
    <w:rsid w:val="540C5299"/>
    <w:rsid w:val="546649A9"/>
    <w:rsid w:val="54D933CD"/>
    <w:rsid w:val="550F006A"/>
    <w:rsid w:val="55173EF5"/>
    <w:rsid w:val="5559450E"/>
    <w:rsid w:val="556C4241"/>
    <w:rsid w:val="55AF7052"/>
    <w:rsid w:val="56582A17"/>
    <w:rsid w:val="57362D58"/>
    <w:rsid w:val="573E39BB"/>
    <w:rsid w:val="57405985"/>
    <w:rsid w:val="57511940"/>
    <w:rsid w:val="576164C9"/>
    <w:rsid w:val="578735B4"/>
    <w:rsid w:val="583F79EB"/>
    <w:rsid w:val="58E6430A"/>
    <w:rsid w:val="59170968"/>
    <w:rsid w:val="591E5852"/>
    <w:rsid w:val="59505C28"/>
    <w:rsid w:val="5A0F163F"/>
    <w:rsid w:val="5A53777D"/>
    <w:rsid w:val="5AF745AD"/>
    <w:rsid w:val="5BC776FE"/>
    <w:rsid w:val="5C180C7F"/>
    <w:rsid w:val="5C2C297C"/>
    <w:rsid w:val="5D1A27D4"/>
    <w:rsid w:val="5E9F5687"/>
    <w:rsid w:val="5EC96260"/>
    <w:rsid w:val="5F773F0E"/>
    <w:rsid w:val="5FB102FF"/>
    <w:rsid w:val="5FF217E7"/>
    <w:rsid w:val="60E03D35"/>
    <w:rsid w:val="61695AD8"/>
    <w:rsid w:val="61C80A51"/>
    <w:rsid w:val="6220263B"/>
    <w:rsid w:val="62620EA5"/>
    <w:rsid w:val="630737FB"/>
    <w:rsid w:val="63660521"/>
    <w:rsid w:val="64055F8C"/>
    <w:rsid w:val="65C14135"/>
    <w:rsid w:val="66E225B5"/>
    <w:rsid w:val="67182AF2"/>
    <w:rsid w:val="6A1801D2"/>
    <w:rsid w:val="6A333127"/>
    <w:rsid w:val="6AAA163C"/>
    <w:rsid w:val="6AEE388E"/>
    <w:rsid w:val="6B037E05"/>
    <w:rsid w:val="6BFF1513"/>
    <w:rsid w:val="6C180827"/>
    <w:rsid w:val="6C3B5885"/>
    <w:rsid w:val="6CCF2F50"/>
    <w:rsid w:val="6D8B455C"/>
    <w:rsid w:val="6DA85BDA"/>
    <w:rsid w:val="6DC742B3"/>
    <w:rsid w:val="6E245546"/>
    <w:rsid w:val="6E3D27C7"/>
    <w:rsid w:val="6EB517E7"/>
    <w:rsid w:val="6ECF5AB5"/>
    <w:rsid w:val="6F1C062E"/>
    <w:rsid w:val="700A492A"/>
    <w:rsid w:val="705362D1"/>
    <w:rsid w:val="705838E8"/>
    <w:rsid w:val="7094216B"/>
    <w:rsid w:val="71A861A9"/>
    <w:rsid w:val="71FB277D"/>
    <w:rsid w:val="721353D6"/>
    <w:rsid w:val="722717C4"/>
    <w:rsid w:val="72E41463"/>
    <w:rsid w:val="731A4E85"/>
    <w:rsid w:val="736305DA"/>
    <w:rsid w:val="73BE7F06"/>
    <w:rsid w:val="74440F40"/>
    <w:rsid w:val="745B39A7"/>
    <w:rsid w:val="74650381"/>
    <w:rsid w:val="746F7452"/>
    <w:rsid w:val="74F040EF"/>
    <w:rsid w:val="74FA31C0"/>
    <w:rsid w:val="74FF5651"/>
    <w:rsid w:val="750E27C7"/>
    <w:rsid w:val="753A180E"/>
    <w:rsid w:val="75535318"/>
    <w:rsid w:val="76676633"/>
    <w:rsid w:val="779C055E"/>
    <w:rsid w:val="78374E9A"/>
    <w:rsid w:val="7859644F"/>
    <w:rsid w:val="78C55892"/>
    <w:rsid w:val="795D1F6F"/>
    <w:rsid w:val="798D4602"/>
    <w:rsid w:val="79B102D4"/>
    <w:rsid w:val="79BA2F1D"/>
    <w:rsid w:val="7A861051"/>
    <w:rsid w:val="7BDA78A7"/>
    <w:rsid w:val="7CB24380"/>
    <w:rsid w:val="7CC83BA3"/>
    <w:rsid w:val="7D6F401F"/>
    <w:rsid w:val="7DA939D5"/>
    <w:rsid w:val="7DB17A83"/>
    <w:rsid w:val="7DD047CF"/>
    <w:rsid w:val="7DE70059"/>
    <w:rsid w:val="7E5D5B59"/>
    <w:rsid w:val="7EAA3560"/>
    <w:rsid w:val="7ECD36F3"/>
    <w:rsid w:val="7FEB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3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Body Text"/>
    <w:basedOn w:val="1"/>
    <w:next w:val="1"/>
    <w:unhideWhenUsed/>
    <w:qFormat/>
    <w:uiPriority w:val="0"/>
    <w:pPr>
      <w:spacing w:after="120"/>
    </w:pPr>
  </w:style>
  <w:style w:type="paragraph" w:styleId="7">
    <w:name w:val="Body Text Indent"/>
    <w:basedOn w:val="1"/>
    <w:next w:val="8"/>
    <w:unhideWhenUsed/>
    <w:qFormat/>
    <w:uiPriority w:val="0"/>
    <w:pPr>
      <w:spacing w:after="120"/>
      <w:ind w:left="420" w:leftChars="200"/>
    </w:pPr>
  </w:style>
  <w:style w:type="paragraph" w:styleId="8">
    <w:name w:val="Body Text First Indent 2"/>
    <w:basedOn w:val="7"/>
    <w:next w:val="1"/>
    <w:qFormat/>
    <w:uiPriority w:val="0"/>
    <w:pPr>
      <w:adjustRightInd w:val="0"/>
      <w:snapToGrid w:val="0"/>
      <w:spacing w:after="0" w:line="520" w:lineRule="exact"/>
      <w:ind w:left="0" w:leftChars="0" w:right="250" w:rightChars="78" w:firstLine="420" w:firstLineChars="200"/>
    </w:pPr>
    <w:rPr>
      <w:rFonts w:ascii="宋体" w:eastAsia="仿宋_GB2312" w:cs="宋体"/>
      <w:sz w:val="28"/>
    </w:rPr>
  </w:style>
  <w:style w:type="paragraph" w:styleId="9">
    <w:name w:val="Block Text"/>
    <w:basedOn w:val="1"/>
    <w:qFormat/>
    <w:uiPriority w:val="0"/>
    <w:pPr>
      <w:spacing w:line="480" w:lineRule="exact"/>
      <w:ind w:left="100" w:right="111" w:firstLine="556"/>
    </w:pPr>
    <w:rPr>
      <w:sz w:val="28"/>
      <w:szCs w:val="20"/>
    </w:rPr>
  </w:style>
  <w:style w:type="paragraph" w:styleId="10">
    <w:name w:val="Balloon Text"/>
    <w:basedOn w:val="1"/>
    <w:link w:val="46"/>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cs="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pPr>
      <w:spacing w:before="120" w:after="120"/>
      <w:jc w:val="left"/>
    </w:pPr>
    <w:rPr>
      <w:b/>
      <w:bCs/>
      <w:caps/>
      <w:sz w:val="20"/>
      <w:szCs w:val="20"/>
    </w:rPr>
  </w:style>
  <w:style w:type="paragraph" w:styleId="15">
    <w:name w:val="toc 2"/>
    <w:basedOn w:val="1"/>
    <w:next w:val="1"/>
    <w:unhideWhenUsed/>
    <w:qFormat/>
    <w:uiPriority w:val="39"/>
    <w:pPr>
      <w:ind w:left="210"/>
      <w:jc w:val="left"/>
    </w:pPr>
    <w:rPr>
      <w:smallCaps/>
      <w:sz w:val="20"/>
      <w:szCs w:val="20"/>
    </w:rPr>
  </w:style>
  <w:style w:type="paragraph" w:styleId="16">
    <w:name w:val="Body Text First Indent"/>
    <w:basedOn w:val="6"/>
    <w:next w:val="8"/>
    <w:unhideWhenUsed/>
    <w:qFormat/>
    <w:uiPriority w:val="99"/>
    <w:pPr>
      <w:widowControl/>
      <w:ind w:firstLine="420" w:firstLineChars="100"/>
      <w:jc w:val="left"/>
    </w:pPr>
    <w:rPr>
      <w:kern w:val="0"/>
      <w:sz w:val="20"/>
      <w:szCs w:val="20"/>
    </w:r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rPr>
      <w:vanish/>
    </w:rPr>
  </w:style>
  <w:style w:type="character" w:styleId="25">
    <w:name w:val="HTML Variable"/>
    <w:basedOn w:val="18"/>
    <w:qFormat/>
    <w:uiPriority w:val="0"/>
  </w:style>
  <w:style w:type="character" w:styleId="26">
    <w:name w:val="Hyperlink"/>
    <w:basedOn w:val="18"/>
    <w:unhideWhenUsed/>
    <w:qFormat/>
    <w:uiPriority w:val="99"/>
    <w:rPr>
      <w:color w:val="0026E5" w:themeColor="hyperlink"/>
      <w:u w:val="single"/>
      <w14:textFill>
        <w14:solidFill>
          <w14:schemeClr w14:val="hlink"/>
        </w14:solidFill>
      </w14:textFill>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character" w:customStyle="1" w:styleId="31">
    <w:name w:val="标题 1 Char"/>
    <w:basedOn w:val="18"/>
    <w:link w:val="2"/>
    <w:qFormat/>
    <w:uiPriority w:val="0"/>
    <w:rPr>
      <w:rFonts w:ascii="Times New Roman" w:hAnsi="Times New Roman" w:eastAsia="宋体" w:cs="Times New Roman"/>
      <w:b/>
      <w:bCs/>
      <w:kern w:val="44"/>
      <w:sz w:val="44"/>
      <w:szCs w:val="44"/>
    </w:rPr>
  </w:style>
  <w:style w:type="paragraph" w:styleId="3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Table Paragraph"/>
    <w:basedOn w:val="1"/>
    <w:qFormat/>
    <w:uiPriority w:val="0"/>
    <w:rPr>
      <w:rFonts w:ascii="宋体" w:hAnsi="宋体" w:cs="宋体"/>
      <w:lang w:val="zh-CN" w:bidi="zh-CN"/>
    </w:rPr>
  </w:style>
  <w:style w:type="character" w:customStyle="1" w:styleId="35">
    <w:name w:val="font31"/>
    <w:basedOn w:val="18"/>
    <w:qFormat/>
    <w:uiPriority w:val="0"/>
    <w:rPr>
      <w:rFonts w:hint="default" w:ascii="文星仿宋" w:hAnsi="文星仿宋" w:eastAsia="文星仿宋" w:cs="文星仿宋"/>
      <w:color w:val="000000"/>
      <w:sz w:val="18"/>
      <w:szCs w:val="18"/>
      <w:u w:val="none"/>
    </w:rPr>
  </w:style>
  <w:style w:type="character" w:customStyle="1" w:styleId="36">
    <w:name w:val="font81"/>
    <w:basedOn w:val="18"/>
    <w:qFormat/>
    <w:uiPriority w:val="0"/>
    <w:rPr>
      <w:rFonts w:hint="default" w:ascii="文星仿宋" w:hAnsi="文星仿宋" w:eastAsia="文星仿宋" w:cs="文星仿宋"/>
      <w:color w:val="000000"/>
      <w:sz w:val="18"/>
      <w:szCs w:val="18"/>
      <w:u w:val="none"/>
      <w:vertAlign w:val="subscript"/>
    </w:rPr>
  </w:style>
  <w:style w:type="character" w:customStyle="1" w:styleId="37">
    <w:name w:val="font21"/>
    <w:basedOn w:val="18"/>
    <w:qFormat/>
    <w:uiPriority w:val="0"/>
    <w:rPr>
      <w:rFonts w:hint="default" w:ascii="文星仿宋" w:hAnsi="文星仿宋" w:eastAsia="文星仿宋" w:cs="文星仿宋"/>
      <w:color w:val="000000"/>
      <w:sz w:val="18"/>
      <w:szCs w:val="18"/>
      <w:u w:val="none"/>
    </w:rPr>
  </w:style>
  <w:style w:type="character" w:customStyle="1" w:styleId="38">
    <w:name w:val="font61"/>
    <w:basedOn w:val="18"/>
    <w:qFormat/>
    <w:uiPriority w:val="0"/>
    <w:rPr>
      <w:rFonts w:hint="default" w:ascii="仿宋_GB2312" w:eastAsia="仿宋_GB2312" w:cs="仿宋_GB2312"/>
      <w:color w:val="000000"/>
      <w:sz w:val="18"/>
      <w:szCs w:val="18"/>
      <w:u w:val="none"/>
    </w:rPr>
  </w:style>
  <w:style w:type="character" w:customStyle="1" w:styleId="39">
    <w:name w:val="font91"/>
    <w:basedOn w:val="18"/>
    <w:qFormat/>
    <w:uiPriority w:val="0"/>
    <w:rPr>
      <w:rFonts w:hint="default" w:ascii="文星仿宋" w:hAnsi="文星仿宋" w:eastAsia="文星仿宋" w:cs="文星仿宋"/>
      <w:color w:val="000000"/>
      <w:sz w:val="18"/>
      <w:szCs w:val="18"/>
      <w:u w:val="none"/>
      <w:vertAlign w:val="superscript"/>
    </w:rPr>
  </w:style>
  <w:style w:type="character" w:customStyle="1" w:styleId="40">
    <w:name w:val="font101"/>
    <w:basedOn w:val="18"/>
    <w:qFormat/>
    <w:uiPriority w:val="0"/>
    <w:rPr>
      <w:rFonts w:hint="default" w:ascii="文星仿宋" w:hAnsi="文星仿宋" w:eastAsia="文星仿宋" w:cs="文星仿宋"/>
      <w:color w:val="000000"/>
      <w:sz w:val="18"/>
      <w:szCs w:val="18"/>
      <w:u w:val="none"/>
      <w:vertAlign w:val="subscript"/>
    </w:rPr>
  </w:style>
  <w:style w:type="character" w:customStyle="1" w:styleId="41">
    <w:name w:val="font51"/>
    <w:basedOn w:val="18"/>
    <w:qFormat/>
    <w:uiPriority w:val="0"/>
    <w:rPr>
      <w:rFonts w:hint="default" w:ascii="仿宋_GB2312" w:eastAsia="仿宋_GB2312" w:cs="仿宋_GB2312"/>
      <w:color w:val="000000"/>
      <w:sz w:val="18"/>
      <w:szCs w:val="18"/>
      <w:u w:val="none"/>
    </w:rPr>
  </w:style>
  <w:style w:type="character" w:customStyle="1" w:styleId="42">
    <w:name w:val="font112"/>
    <w:basedOn w:val="18"/>
    <w:qFormat/>
    <w:uiPriority w:val="0"/>
    <w:rPr>
      <w:rFonts w:hint="default" w:ascii="仿宋_GB2312" w:eastAsia="仿宋_GB2312" w:cs="仿宋_GB2312"/>
      <w:color w:val="000000"/>
      <w:sz w:val="18"/>
      <w:szCs w:val="18"/>
      <w:u w:val="none"/>
      <w:vertAlign w:val="subscript"/>
    </w:rPr>
  </w:style>
  <w:style w:type="character" w:customStyle="1" w:styleId="43">
    <w:name w:val="font71"/>
    <w:basedOn w:val="18"/>
    <w:qFormat/>
    <w:uiPriority w:val="0"/>
    <w:rPr>
      <w:rFonts w:hint="default" w:ascii="文星仿宋" w:hAnsi="文星仿宋" w:eastAsia="文星仿宋" w:cs="文星仿宋"/>
      <w:color w:val="000000"/>
      <w:sz w:val="18"/>
      <w:szCs w:val="18"/>
      <w:u w:val="none"/>
      <w:vertAlign w:val="subscript"/>
    </w:rPr>
  </w:style>
  <w:style w:type="character" w:customStyle="1" w:styleId="44">
    <w:name w:val="font41"/>
    <w:basedOn w:val="18"/>
    <w:qFormat/>
    <w:uiPriority w:val="0"/>
    <w:rPr>
      <w:rFonts w:hint="default" w:ascii="文星仿宋" w:hAnsi="文星仿宋" w:eastAsia="文星仿宋" w:cs="文星仿宋"/>
      <w:color w:val="000000"/>
      <w:sz w:val="20"/>
      <w:szCs w:val="20"/>
      <w:u w:val="none"/>
    </w:rPr>
  </w:style>
  <w:style w:type="character" w:customStyle="1" w:styleId="45">
    <w:name w:val="font01"/>
    <w:basedOn w:val="18"/>
    <w:qFormat/>
    <w:uiPriority w:val="0"/>
    <w:rPr>
      <w:rFonts w:hint="default" w:ascii="文星仿宋" w:hAnsi="文星仿宋" w:eastAsia="文星仿宋" w:cs="文星仿宋"/>
      <w:color w:val="000000"/>
      <w:sz w:val="18"/>
      <w:szCs w:val="18"/>
      <w:u w:val="none"/>
    </w:rPr>
  </w:style>
  <w:style w:type="character" w:customStyle="1" w:styleId="46">
    <w:name w:val="批注框文本 Char"/>
    <w:basedOn w:val="18"/>
    <w:link w:val="10"/>
    <w:qFormat/>
    <w:uiPriority w:val="0"/>
    <w:rPr>
      <w:rFonts w:ascii="Times New Roman" w:hAnsi="Times New Roman" w:eastAsia="宋体" w:cs="Times New Roman"/>
      <w:kern w:val="2"/>
      <w:sz w:val="18"/>
      <w:szCs w:val="18"/>
    </w:rPr>
  </w:style>
  <w:style w:type="character" w:customStyle="1" w:styleId="47">
    <w:name w:val="标题 3 Char"/>
    <w:basedOn w:val="18"/>
    <w:qFormat/>
    <w:uiPriority w:val="0"/>
    <w:rPr>
      <w:b/>
      <w:bCs/>
      <w:sz w:val="32"/>
      <w:szCs w:val="32"/>
    </w:rPr>
  </w:style>
  <w:style w:type="character" w:customStyle="1" w:styleId="48">
    <w:name w:val="layui-layer-tabnow"/>
    <w:basedOn w:val="18"/>
    <w:qFormat/>
    <w:uiPriority w:val="0"/>
    <w:rPr>
      <w:bdr w:val="single" w:color="CCCCCC" w:sz="6" w:space="0"/>
      <w:shd w:val="clear" w:color="auto" w:fill="FFFFFF"/>
    </w:rPr>
  </w:style>
  <w:style w:type="character" w:customStyle="1" w:styleId="49">
    <w:name w:val="first-child"/>
    <w:basedOn w:val="18"/>
    <w:qFormat/>
    <w:uiPriority w:val="0"/>
  </w:style>
  <w:style w:type="paragraph" w:customStyle="1" w:styleId="5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paragraph" w:customStyle="1" w:styleId="51">
    <w:name w:val="无间隔1"/>
    <w:basedOn w:val="1"/>
    <w:qFormat/>
    <w:uiPriority w:val="1"/>
    <w:pPr>
      <w:spacing w:line="400" w:lineRule="exact"/>
    </w:pPr>
    <w:rPr>
      <w:sz w:val="24"/>
    </w:rPr>
  </w:style>
  <w:style w:type="paragraph" w:customStyle="1" w:styleId="52">
    <w:name w:val="Body Text 2"/>
    <w:basedOn w:val="1"/>
    <w:qFormat/>
    <w:uiPriority w:val="0"/>
    <w:pPr>
      <w:spacing w:after="120" w:afterLines="0" w:line="480" w:lineRule="auto"/>
    </w:pPr>
  </w:style>
  <w:style w:type="character" w:customStyle="1" w:styleId="53">
    <w:name w:val="hover"/>
    <w:basedOn w:val="18"/>
    <w:qFormat/>
    <w:uiPriority w:val="0"/>
    <w:rPr>
      <w:color w:val="2590EB"/>
    </w:rPr>
  </w:style>
  <w:style w:type="character" w:customStyle="1" w:styleId="54">
    <w:name w:val="hover1"/>
    <w:basedOn w:val="18"/>
    <w:qFormat/>
    <w:uiPriority w:val="0"/>
    <w:rPr>
      <w:color w:val="2590EB"/>
    </w:rPr>
  </w:style>
  <w:style w:type="character" w:customStyle="1" w:styleId="55">
    <w:name w:val="hover2"/>
    <w:basedOn w:val="18"/>
    <w:qFormat/>
    <w:uiPriority w:val="0"/>
  </w:style>
  <w:style w:type="character" w:customStyle="1" w:styleId="56">
    <w:name w:val="mini-outputtext1"/>
    <w:basedOn w:val="18"/>
    <w:qFormat/>
    <w:uiPriority w:val="0"/>
  </w:style>
  <w:style w:type="character" w:customStyle="1" w:styleId="57">
    <w:name w:val="hover3"/>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27481</Words>
  <Characters>28885</Characters>
  <Lines>380</Lines>
  <Paragraphs>107</Paragraphs>
  <TotalTime>32</TotalTime>
  <ScaleCrop>false</ScaleCrop>
  <LinksUpToDate>false</LinksUpToDate>
  <CharactersWithSpaces>29124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2024-07-04T08:01:00Z</dcterms:created>
  <dc:creator>w、</dc:creator>
  <cp:lastModifiedBy>动动～</cp:lastModifiedBy>
  <cp:lastPrinted>2024-08-01T03:21:00Z</cp:lastPrinted>
  <dcterms:modified xsi:type="dcterms:W3CDTF">2025-10-10T10:39:57Z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CC1CFAF4820A4000A1EC404245FEC8A0_13</vt:lpwstr>
  </property>
  <property fmtid="{D5CDD505-2E9C-101B-9397-08002B2CF9AE}" pid="4" name="KSOTemplateDocerSaveRecord">
    <vt:lpwstr>eyJoZGlkIjoiY2JkZjU0YTdmYmE4MWQxMTMwMjJlM2M1NzI3MzU1ZDMiLCJ1c2VySWQiOiIxMzY0Nzc2OTQ4In0=</vt:lpwstr>
  </property>
</Properties>
</file>