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FFC0A">
      <w:pPr>
        <w:spacing w:line="480" w:lineRule="auto"/>
        <w:jc w:val="center"/>
        <w:rPr>
          <w:rFonts w:hint="eastAsia" w:ascii="宋体" w:hAnsi="宋体" w:cs="黑体"/>
          <w:b/>
          <w:bCs w:val="0"/>
          <w:color w:val="000000" w:themeColor="text1"/>
          <w:kern w:val="0"/>
          <w:sz w:val="44"/>
          <w:szCs w:val="44"/>
          <w:highlight w:val="none"/>
          <w:lang w:val="en-US" w:eastAsia="zh-CN" w:bidi="ar-SA"/>
          <w14:textFill>
            <w14:solidFill>
              <w14:schemeClr w14:val="tx1"/>
            </w14:solidFill>
          </w14:textFill>
        </w:rPr>
      </w:pPr>
      <w:bookmarkStart w:id="0" w:name="_Toc466566782"/>
      <w:bookmarkEnd w:id="0"/>
      <w:bookmarkStart w:id="1" w:name="_Toc29313"/>
      <w:bookmarkEnd w:id="1"/>
      <w:bookmarkStart w:id="181" w:name="_GoBack"/>
      <w:bookmarkEnd w:id="181"/>
    </w:p>
    <w:p w14:paraId="1C055FD7">
      <w:pPr>
        <w:spacing w:line="480" w:lineRule="auto"/>
        <w:jc w:val="center"/>
        <w:rPr>
          <w:rFonts w:ascii="宋体" w:hAnsi="宋体"/>
          <w:b/>
          <w:bCs/>
          <w:color w:val="000000" w:themeColor="text1"/>
          <w:sz w:val="56"/>
          <w:szCs w:val="56"/>
          <w:highlight w:val="none"/>
          <w14:textFill>
            <w14:solidFill>
              <w14:schemeClr w14:val="tx1"/>
            </w14:solidFill>
          </w14:textFill>
        </w:rPr>
      </w:pPr>
      <w:r>
        <w:rPr>
          <w:rFonts w:hint="eastAsia" w:ascii="宋体" w:hAnsi="宋体"/>
          <w:b/>
          <w:bCs/>
          <w:color w:val="000000" w:themeColor="text1"/>
          <w:sz w:val="56"/>
          <w:szCs w:val="56"/>
          <w:highlight w:val="none"/>
          <w:lang w:val="en-US" w:eastAsia="zh-CN"/>
          <w14:textFill>
            <w14:solidFill>
              <w14:schemeClr w14:val="tx1"/>
            </w14:solidFill>
          </w14:textFill>
        </w:rPr>
        <w:t>卢氏县文物保护管理委员会办公室文物库房升级改造项目</w:t>
      </w:r>
    </w:p>
    <w:p w14:paraId="6288D78E">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417E31D4">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p>
    <w:p w14:paraId="7D740AAB">
      <w:pPr>
        <w:keepNext w:val="0"/>
        <w:keepLines w:val="0"/>
        <w:pageBreakBefore w:val="0"/>
        <w:shd w:val="clear"/>
        <w:kinsoku/>
        <w:overflowPunct/>
        <w:topLinePunct w:val="0"/>
        <w:bidi w:val="0"/>
        <w:snapToGrid/>
        <w:spacing w:after="120" w:line="360" w:lineRule="auto"/>
        <w:jc w:val="center"/>
        <w:textAlignment w:val="auto"/>
        <w:rPr>
          <w:rFonts w:hint="eastAsia" w:ascii="宋体" w:hAnsi="宋体" w:eastAsia="宋体" w:cs="黑体"/>
          <w:b/>
          <w:bCs w:val="0"/>
          <w:color w:val="000000" w:themeColor="text1"/>
          <w:kern w:val="0"/>
          <w:sz w:val="56"/>
          <w:szCs w:val="56"/>
          <w:highlight w:val="none"/>
          <w14:textFill>
            <w14:solidFill>
              <w14:schemeClr w14:val="tx1"/>
            </w14:solidFill>
          </w14:textFill>
        </w:rPr>
      </w:pPr>
      <w:r>
        <w:rPr>
          <w:rFonts w:hint="eastAsia" w:ascii="宋体" w:hAnsi="宋体" w:eastAsia="宋体" w:cs="黑体"/>
          <w:b/>
          <w:bCs w:val="0"/>
          <w:color w:val="000000" w:themeColor="text1"/>
          <w:kern w:val="0"/>
          <w:sz w:val="56"/>
          <w:szCs w:val="56"/>
          <w:highlight w:val="none"/>
          <w14:textFill>
            <w14:solidFill>
              <w14:schemeClr w14:val="tx1"/>
            </w14:solidFill>
          </w14:textFill>
        </w:rPr>
        <w:t>竞争性磋商文件</w:t>
      </w:r>
    </w:p>
    <w:p w14:paraId="0BEF5C2B">
      <w:pPr>
        <w:spacing w:line="600" w:lineRule="auto"/>
        <w:ind w:firstLine="1735" w:firstLineChars="800"/>
        <w:jc w:val="both"/>
        <w:rPr>
          <w:rFonts w:hint="default" w:ascii="宋体" w:hAnsi="宋体" w:eastAsia="宋体" w:cs="宋体"/>
          <w:b/>
          <w:bCs w:val="0"/>
          <w:color w:val="FF0000"/>
          <w:spacing w:val="20"/>
          <w:w w:val="80"/>
          <w:kern w:val="0"/>
          <w:sz w:val="30"/>
          <w:szCs w:val="30"/>
          <w:highlight w:val="none"/>
          <w:lang w:val="en-US" w:eastAsia="zh-CN"/>
        </w:rPr>
      </w:pPr>
      <w:r>
        <w:rPr>
          <w:rFonts w:hint="eastAsia" w:ascii="宋体" w:hAnsi="宋体" w:cs="宋体"/>
          <w:b/>
          <w:bCs w:val="0"/>
          <w:color w:val="000000" w:themeColor="text1"/>
          <w:spacing w:val="20"/>
          <w:w w:val="80"/>
          <w:kern w:val="0"/>
          <w:sz w:val="22"/>
          <w:szCs w:val="22"/>
          <w:highlight w:val="none"/>
          <w:lang w:val="en-US" w:eastAsia="zh-CN"/>
          <w14:textFill>
            <w14:solidFill>
              <w14:schemeClr w14:val="tx1"/>
            </w14:solidFill>
          </w14:textFill>
        </w:rPr>
        <w:t>项目编号：</w:t>
      </w:r>
      <w:r>
        <w:rPr>
          <w:rFonts w:hint="eastAsia" w:ascii="宋体" w:hAnsi="宋体" w:cs="宋体"/>
          <w:b/>
          <w:bCs w:val="0"/>
          <w:color w:val="auto"/>
          <w:spacing w:val="20"/>
          <w:w w:val="80"/>
          <w:kern w:val="0"/>
          <w:sz w:val="22"/>
          <w:szCs w:val="22"/>
          <w:highlight w:val="none"/>
          <w:lang w:val="en-US" w:eastAsia="zh-CN"/>
        </w:rPr>
        <w:t>LSGZ[2025]272-ZC155、三卢竞磋采购-2025-109</w:t>
      </w:r>
    </w:p>
    <w:p w14:paraId="551A51D6">
      <w:pPr>
        <w:spacing w:line="480" w:lineRule="auto"/>
        <w:jc w:val="center"/>
        <w:rPr>
          <w:rFonts w:hint="default" w:ascii="宋体" w:hAnsi="宋体" w:eastAsia="宋体" w:cs="宋体"/>
          <w:b/>
          <w:color w:val="000000" w:themeColor="text1"/>
          <w:sz w:val="24"/>
          <w:szCs w:val="24"/>
          <w:highlight w:val="none"/>
          <w:lang w:val="en-US" w:eastAsia="zh-CN"/>
          <w14:textFill>
            <w14:solidFill>
              <w14:schemeClr w14:val="tx1"/>
            </w14:solidFill>
          </w14:textFill>
        </w:rPr>
      </w:pPr>
    </w:p>
    <w:p w14:paraId="7B4F7064">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39BE5245">
      <w:pPr>
        <w:spacing w:line="480" w:lineRule="auto"/>
        <w:jc w:val="center"/>
        <w:rPr>
          <w:rFonts w:hint="eastAsia" w:ascii="宋体" w:hAnsi="宋体" w:cs="宋体"/>
          <w:b/>
          <w:color w:val="000000" w:themeColor="text1"/>
          <w:sz w:val="28"/>
          <w:szCs w:val="28"/>
          <w:highlight w:val="none"/>
          <w14:textFill>
            <w14:solidFill>
              <w14:schemeClr w14:val="tx1"/>
            </w14:solidFill>
          </w14:textFill>
        </w:rPr>
      </w:pPr>
    </w:p>
    <w:p w14:paraId="7522528F">
      <w:pPr>
        <w:spacing w:line="480" w:lineRule="auto"/>
        <w:jc w:val="center"/>
        <w:rPr>
          <w:rFonts w:ascii="宋体" w:hAnsi="宋体"/>
          <w:b/>
          <w:bCs/>
          <w:color w:val="000000" w:themeColor="text1"/>
          <w:sz w:val="28"/>
          <w:szCs w:val="28"/>
          <w:highlight w:val="none"/>
          <w14:textFill>
            <w14:solidFill>
              <w14:schemeClr w14:val="tx1"/>
            </w14:solidFill>
          </w14:textFill>
        </w:rPr>
      </w:pPr>
    </w:p>
    <w:p w14:paraId="2F27AA02">
      <w:pPr>
        <w:spacing w:line="240" w:lineRule="auto"/>
        <w:rPr>
          <w:rFonts w:ascii="宋体" w:hAnsi="宋体"/>
          <w:b/>
          <w:bCs/>
          <w:color w:val="000000" w:themeColor="text1"/>
          <w:kern w:val="0"/>
          <w:sz w:val="28"/>
          <w:szCs w:val="28"/>
          <w:highlight w:val="none"/>
          <w14:textFill>
            <w14:solidFill>
              <w14:schemeClr w14:val="tx1"/>
            </w14:solidFill>
          </w14:textFill>
        </w:rPr>
      </w:pPr>
    </w:p>
    <w:p w14:paraId="16D29A54">
      <w:pPr>
        <w:spacing w:line="360" w:lineRule="auto"/>
        <w:ind w:firstLine="1247"/>
        <w:rPr>
          <w:rFonts w:ascii="宋体" w:hAnsi="宋体"/>
          <w:b/>
          <w:bCs/>
          <w:color w:val="000000" w:themeColor="text1"/>
          <w:sz w:val="32"/>
          <w:szCs w:val="32"/>
          <w:highlight w:val="none"/>
          <w14:textFill>
            <w14:solidFill>
              <w14:schemeClr w14:val="tx1"/>
            </w14:solidFill>
          </w14:textFill>
        </w:rPr>
      </w:pPr>
    </w:p>
    <w:p w14:paraId="2D4CA92D">
      <w:pPr>
        <w:rPr>
          <w:color w:val="000000" w:themeColor="text1"/>
          <w:highlight w:val="none"/>
          <w14:textFill>
            <w14:solidFill>
              <w14:schemeClr w14:val="tx1"/>
            </w14:solidFill>
          </w14:textFill>
        </w:rPr>
      </w:pPr>
    </w:p>
    <w:p w14:paraId="3C5B561C">
      <w:pPr>
        <w:rPr>
          <w:color w:val="000000" w:themeColor="text1"/>
          <w:highlight w:val="none"/>
          <w14:textFill>
            <w14:solidFill>
              <w14:schemeClr w14:val="tx1"/>
            </w14:solidFill>
          </w14:textFill>
        </w:rPr>
      </w:pPr>
    </w:p>
    <w:p w14:paraId="31AFE159">
      <w:pPr>
        <w:rPr>
          <w:color w:val="000000" w:themeColor="text1"/>
          <w:highlight w:val="none"/>
          <w14:textFill>
            <w14:solidFill>
              <w14:schemeClr w14:val="tx1"/>
            </w14:solidFill>
          </w14:textFill>
        </w:rPr>
      </w:pPr>
    </w:p>
    <w:p w14:paraId="7C736676">
      <w:pPr>
        <w:spacing w:line="480" w:lineRule="auto"/>
        <w:ind w:firstLine="2570" w:firstLineChars="800"/>
        <w:jc w:val="both"/>
        <w:rPr>
          <w:rFonts w:hint="eastAsia" w:ascii="宋体" w:hAnsi="宋体" w:eastAsia="宋体" w:cs="Arial Unicode MS"/>
          <w:b/>
          <w:bCs/>
          <w:color w:val="000000" w:themeColor="text1"/>
          <w:kern w:val="0"/>
          <w:position w:val="-3"/>
          <w:sz w:val="32"/>
          <w:szCs w:val="32"/>
          <w:highlight w:val="none"/>
          <w14:textFill>
            <w14:solidFill>
              <w14:schemeClr w14:val="tx1"/>
            </w14:solidFill>
          </w14:textFill>
        </w:rPr>
      </w:pPr>
      <w:bookmarkStart w:id="2" w:name="_Toc7380_WPSOffice_Level1"/>
      <w:bookmarkStart w:id="3" w:name="_Toc18647_WPSOffice_Level1"/>
      <w:bookmarkStart w:id="4" w:name="_Toc28898_WPSOffice_Level1"/>
    </w:p>
    <w:p w14:paraId="131A0B42">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采</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购</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人：</w:t>
      </w:r>
      <w:r>
        <w:rPr>
          <w:rFonts w:hint="eastAsia" w:ascii="宋体" w:hAnsi="宋体" w:eastAsia="宋体" w:cs="Arial Unicode MS"/>
          <w:b/>
          <w:bCs/>
          <w:color w:val="000000" w:themeColor="text1"/>
          <w:kern w:val="0"/>
          <w:position w:val="-3"/>
          <w:sz w:val="28"/>
          <w:szCs w:val="28"/>
          <w:highlight w:val="none"/>
          <w:lang w:val="en-US" w:eastAsia="zh-CN"/>
          <w14:textFill>
            <w14:solidFill>
              <w14:schemeClr w14:val="tx1"/>
            </w14:solidFill>
          </w14:textFill>
        </w:rPr>
        <w:t>卢氏县文物保护管理所</w:t>
      </w:r>
    </w:p>
    <w:p w14:paraId="5E8D9CC0">
      <w:pPr>
        <w:keepNext w:val="0"/>
        <w:keepLines w:val="0"/>
        <w:pageBreakBefore w:val="0"/>
        <w:widowControl/>
        <w:shd w:val="clear"/>
        <w:tabs>
          <w:tab w:val="left" w:pos="3120"/>
          <w:tab w:val="left" w:pos="4080"/>
          <w:tab w:val="left" w:pos="5060"/>
        </w:tabs>
        <w:kinsoku/>
        <w:wordWrap/>
        <w:overflowPunct/>
        <w:topLinePunct w:val="0"/>
        <w:autoSpaceDE w:val="0"/>
        <w:autoSpaceDN w:val="0"/>
        <w:bidi w:val="0"/>
        <w:adjustRightInd w:val="0"/>
        <w:snapToGrid/>
        <w:spacing w:line="360" w:lineRule="auto"/>
        <w:ind w:firstLine="2249" w:firstLineChars="800"/>
        <w:jc w:val="left"/>
        <w:textAlignment w:val="auto"/>
        <w:rPr>
          <w:rFonts w:hint="eastAsia" w:ascii="宋体" w:hAnsi="宋体" w:eastAsia="宋体" w:cs="Arial Unicode MS"/>
          <w:b/>
          <w:bCs/>
          <w:color w:val="000000" w:themeColor="text1"/>
          <w:kern w:val="0"/>
          <w:position w:val="-3"/>
          <w:sz w:val="28"/>
          <w:szCs w:val="28"/>
          <w:highlight w:val="none"/>
          <w:lang w:eastAsia="zh-CN"/>
          <w14:textFill>
            <w14:solidFill>
              <w14:schemeClr w14:val="tx1"/>
            </w14:solidFill>
          </w14:textFill>
        </w:r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代理机构：</w:t>
      </w:r>
      <w:r>
        <w:rPr>
          <w:rFonts w:hint="eastAsia" w:ascii="宋体" w:hAnsi="宋体" w:eastAsia="宋体" w:cs="Arial Unicode MS"/>
          <w:b/>
          <w:bCs/>
          <w:color w:val="000000" w:themeColor="text1"/>
          <w:kern w:val="0"/>
          <w:position w:val="-3"/>
          <w:sz w:val="28"/>
          <w:szCs w:val="28"/>
          <w:highlight w:val="none"/>
          <w:lang w:eastAsia="zh-CN"/>
          <w14:textFill>
            <w14:solidFill>
              <w14:schemeClr w14:val="tx1"/>
            </w14:solidFill>
          </w14:textFill>
        </w:rPr>
        <w:t>河南展杰工程管理有限公司</w:t>
      </w:r>
    </w:p>
    <w:p w14:paraId="7CB4F940">
      <w:pPr>
        <w:spacing w:line="240" w:lineRule="auto"/>
        <w:ind w:firstLine="2249" w:firstLineChars="800"/>
        <w:jc w:val="left"/>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sectPr>
          <w:pgSz w:w="11906" w:h="16838"/>
          <w:pgMar w:top="1440" w:right="1361" w:bottom="1440" w:left="1587" w:header="851" w:footer="992" w:gutter="0"/>
          <w:pgNumType w:fmt="decimal"/>
          <w:cols w:space="720" w:num="1"/>
          <w:titlePg/>
          <w:docGrid w:type="lines" w:linePitch="317" w:charSpace="0"/>
        </w:sectPr>
      </w:pP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日</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 xml:space="preserve">    </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期：二零二</w:t>
      </w:r>
      <w:r>
        <w:rPr>
          <w:rFonts w:hint="eastAsia" w:ascii="宋体" w:hAnsi="宋体" w:cs="Arial Unicode MS"/>
          <w:b/>
          <w:bCs/>
          <w:color w:val="000000" w:themeColor="text1"/>
          <w:kern w:val="0"/>
          <w:position w:val="-3"/>
          <w:sz w:val="28"/>
          <w:szCs w:val="28"/>
          <w:highlight w:val="none"/>
          <w:lang w:val="en-US" w:eastAsia="zh-CN"/>
          <w14:textFill>
            <w14:solidFill>
              <w14:schemeClr w14:val="tx1"/>
            </w14:solidFill>
          </w14:textFill>
        </w:rPr>
        <w:t>五</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年</w:t>
      </w:r>
      <w:r>
        <w:rPr>
          <w:rFonts w:hint="eastAsia" w:ascii="宋体" w:hAnsi="宋体" w:cs="Arial Unicode MS"/>
          <w:b/>
          <w:bCs/>
          <w:color w:val="000000" w:themeColor="text1"/>
          <w:kern w:val="0"/>
          <w:position w:val="-3"/>
          <w:sz w:val="28"/>
          <w:szCs w:val="28"/>
          <w:highlight w:val="none"/>
          <w:lang w:eastAsia="zh-CN"/>
          <w14:textFill>
            <w14:solidFill>
              <w14:schemeClr w14:val="tx1"/>
            </w14:solidFill>
          </w14:textFill>
        </w:rPr>
        <w:t>十</w:t>
      </w:r>
      <w:r>
        <w:rPr>
          <w:rFonts w:hint="eastAsia" w:ascii="宋体" w:hAnsi="宋体" w:eastAsia="宋体" w:cs="Arial Unicode MS"/>
          <w:b/>
          <w:bCs/>
          <w:color w:val="000000" w:themeColor="text1"/>
          <w:kern w:val="0"/>
          <w:position w:val="-3"/>
          <w:sz w:val="28"/>
          <w:szCs w:val="28"/>
          <w:highlight w:val="none"/>
          <w14:textFill>
            <w14:solidFill>
              <w14:schemeClr w14:val="tx1"/>
            </w14:solidFill>
          </w14:textFill>
        </w:rPr>
        <w:t>月</w:t>
      </w:r>
    </w:p>
    <w:p w14:paraId="05F4750A">
      <w:pPr>
        <w:spacing w:line="240" w:lineRule="auto"/>
        <w:jc w:val="center"/>
        <w:rPr>
          <w:b/>
          <w:bCs/>
          <w:color w:val="000000" w:themeColor="text1"/>
          <w:sz w:val="32"/>
          <w:szCs w:val="32"/>
          <w:highlight w:val="none"/>
          <w14:textFill>
            <w14:solidFill>
              <w14:schemeClr w14:val="tx1"/>
            </w14:solidFill>
          </w14:textFill>
        </w:rPr>
      </w:pPr>
      <w:r>
        <w:rPr>
          <w:rFonts w:ascii="宋体" w:hAnsi="宋体"/>
          <w:b/>
          <w:bCs/>
          <w:color w:val="000000" w:themeColor="text1"/>
          <w:sz w:val="32"/>
          <w:szCs w:val="32"/>
          <w:highlight w:val="none"/>
          <w14:textFill>
            <w14:solidFill>
              <w14:schemeClr w14:val="tx1"/>
            </w14:solidFill>
          </w14:textFill>
        </w:rPr>
        <w:t>目录</w:t>
      </w:r>
    </w:p>
    <w:p w14:paraId="1B856EC2">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fldChar w:fldCharType="begin"/>
      </w:r>
      <w:r>
        <w:rPr>
          <w:rFonts w:hint="eastAsia" w:ascii="宋体" w:hAnsi="宋体" w:eastAsia="宋体" w:cs="宋体"/>
          <w:b/>
          <w:bCs/>
          <w:color w:val="000000" w:themeColor="text1"/>
          <w:sz w:val="32"/>
          <w:szCs w:val="32"/>
          <w:highlight w:val="none"/>
          <w14:textFill>
            <w14:solidFill>
              <w14:schemeClr w14:val="tx1"/>
            </w14:solidFill>
          </w14:textFill>
        </w:rPr>
        <w:instrText xml:space="preserve">TOC \o "1-1" \h \u </w:instrText>
      </w:r>
      <w:r>
        <w:rPr>
          <w:rFonts w:hint="eastAsia" w:ascii="宋体" w:hAnsi="宋体" w:eastAsia="宋体" w:cs="宋体"/>
          <w:b/>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_Toc20157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sz w:val="32"/>
          <w:szCs w:val="32"/>
          <w:highlight w:val="none"/>
          <w14:textFill>
            <w14:solidFill>
              <w14:schemeClr w14:val="tx1"/>
            </w14:solidFill>
          </w14:textFill>
        </w:rPr>
        <w:t xml:space="preserve">第一章 </w:t>
      </w:r>
      <w:r>
        <w:rPr>
          <w:rFonts w:hint="eastAsia" w:ascii="宋体" w:hAnsi="宋体" w:eastAsia="宋体" w:cs="宋体"/>
          <w:bCs/>
          <w:color w:val="000000" w:themeColor="text1"/>
          <w:sz w:val="32"/>
          <w:szCs w:val="32"/>
          <w:highlight w:val="none"/>
          <w:lang w:eastAsia="zh-CN"/>
          <w14:textFill>
            <w14:solidFill>
              <w14:schemeClr w14:val="tx1"/>
            </w14:solidFill>
          </w14:textFill>
        </w:rPr>
        <w:t>竞争性</w:t>
      </w:r>
      <w:r>
        <w:rPr>
          <w:rFonts w:hint="eastAsia" w:ascii="宋体" w:hAnsi="宋体" w:eastAsia="宋体" w:cs="宋体"/>
          <w:bCs/>
          <w:color w:val="000000" w:themeColor="text1"/>
          <w:sz w:val="32"/>
          <w:szCs w:val="32"/>
          <w:highlight w:val="none"/>
          <w14:textFill>
            <w14:solidFill>
              <w14:schemeClr w14:val="tx1"/>
            </w14:solidFill>
          </w14:textFill>
        </w:rPr>
        <w:t>磋商公告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_Toc20157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5430E65D">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_Toc688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highlight w:val="none"/>
          <w14:textFill>
            <w14:solidFill>
              <w14:schemeClr w14:val="tx1"/>
            </w14:solidFill>
          </w14:textFill>
        </w:rPr>
        <w:t>第二章  供应商须知</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_Toc688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9DD9544">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_Toc21759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14:textFill>
            <w14:solidFill>
              <w14:schemeClr w14:val="tx1"/>
            </w14:solidFill>
          </w14:textFill>
        </w:rPr>
        <w:t xml:space="preserve">第三章 </w:t>
      </w:r>
      <w:r>
        <w:rPr>
          <w:rFonts w:hint="eastAsia" w:ascii="宋体" w:hAnsi="宋体" w:eastAsia="宋体" w:cs="宋体"/>
          <w:bCs/>
          <w:color w:val="000000" w:themeColor="text1"/>
          <w:kern w:val="44"/>
          <w:sz w:val="32"/>
          <w:szCs w:val="32"/>
          <w:highlight w:val="none"/>
          <w14:textFill>
            <w14:solidFill>
              <w14:schemeClr w14:val="tx1"/>
            </w14:solidFill>
          </w14:textFill>
        </w:rPr>
        <w:t>采购需求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_Toc21759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27</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74EF39AC">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_Toc21200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14:textFill>
            <w14:solidFill>
              <w14:schemeClr w14:val="tx1"/>
            </w14:solidFill>
          </w14:textFill>
        </w:rPr>
        <w:t xml:space="preserve">第四章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评审办法和标准</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_Toc21200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36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23405132">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_Toc32147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第五章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_Toc32147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43</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0746EE56">
      <w:pPr>
        <w:pStyle w:val="16"/>
        <w:pageBreakBefore w:val="0"/>
        <w:widowControl w:val="0"/>
        <w:tabs>
          <w:tab w:val="right" w:leader="dot" w:pos="8958"/>
        </w:tabs>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begin"/>
      </w:r>
      <w:r>
        <w:rPr>
          <w:rFonts w:hint="eastAsia" w:ascii="宋体" w:hAnsi="宋体" w:eastAsia="宋体" w:cs="宋体"/>
          <w:bCs/>
          <w:color w:val="000000" w:themeColor="text1"/>
          <w:sz w:val="32"/>
          <w:szCs w:val="32"/>
          <w:highlight w:val="none"/>
          <w14:textFill>
            <w14:solidFill>
              <w14:schemeClr w14:val="tx1"/>
            </w14:solidFill>
          </w14:textFill>
        </w:rPr>
        <w:instrText xml:space="preserve"> HYPERLINK \l _Toc18773 </w:instrText>
      </w:r>
      <w:r>
        <w:rPr>
          <w:rFonts w:hint="eastAsia" w:ascii="宋体" w:hAnsi="宋体" w:eastAsia="宋体" w:cs="宋体"/>
          <w:bCs/>
          <w:color w:val="000000" w:themeColor="text1"/>
          <w:sz w:val="32"/>
          <w:szCs w:val="32"/>
          <w:highlight w:val="none"/>
          <w14:textFill>
            <w14:solidFill>
              <w14:schemeClr w14:val="tx1"/>
            </w14:solidFill>
          </w14:textFill>
        </w:rPr>
        <w:fldChar w:fldCharType="separate"/>
      </w:r>
      <w:r>
        <w:rPr>
          <w:rFonts w:hint="eastAsia" w:ascii="宋体" w:hAnsi="宋体" w:eastAsia="宋体" w:cs="宋体"/>
          <w:bCs/>
          <w:color w:val="000000" w:themeColor="text1"/>
          <w:kern w:val="44"/>
          <w:sz w:val="32"/>
          <w:szCs w:val="32"/>
          <w:lang w:val="en-US" w:eastAsia="zh-CN"/>
          <w14:textFill>
            <w14:solidFill>
              <w14:schemeClr w14:val="tx1"/>
            </w14:solidFill>
          </w14:textFill>
        </w:rPr>
        <w:t xml:space="preserve">第六章 </w:t>
      </w:r>
      <w:r>
        <w:rPr>
          <w:rFonts w:hint="eastAsia" w:ascii="宋体" w:hAnsi="宋体" w:eastAsia="宋体" w:cs="宋体"/>
          <w:bCs/>
          <w:color w:val="000000" w:themeColor="text1"/>
          <w:kern w:val="44"/>
          <w:sz w:val="32"/>
          <w:szCs w:val="32"/>
          <w:highlight w:val="none"/>
          <w:lang w:val="en-US" w:eastAsia="zh-CN"/>
          <w14:textFill>
            <w14:solidFill>
              <w14:schemeClr w14:val="tx1"/>
            </w14:solidFill>
          </w14:textFill>
        </w:rPr>
        <w:t>响应文件格式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_Toc18773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46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169FC9E">
      <w:pPr>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bCs/>
          <w:color w:val="000000" w:themeColor="text1"/>
          <w:sz w:val="32"/>
          <w:szCs w:val="32"/>
          <w:highlight w:val="none"/>
          <w14:textFill>
            <w14:solidFill>
              <w14:schemeClr w14:val="tx1"/>
            </w14:solidFill>
          </w14:textFill>
        </w:rPr>
        <w:fldChar w:fldCharType="end"/>
      </w:r>
    </w:p>
    <w:p w14:paraId="6BB4D2AC">
      <w:pPr>
        <w:keepNext/>
        <w:keepLines/>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color w:val="000000" w:themeColor="text1"/>
          <w:sz w:val="32"/>
          <w:szCs w:val="32"/>
          <w:highlight w:val="none"/>
          <w14:textFill>
            <w14:solidFill>
              <w14:schemeClr w14:val="tx1"/>
            </w14:solidFill>
          </w14:textFill>
        </w:rPr>
      </w:pPr>
      <w:bookmarkStart w:id="5" w:name="_Toc21896"/>
      <w:bookmarkStart w:id="6" w:name="_Toc4942"/>
      <w:bookmarkStart w:id="7" w:name="_Toc14639"/>
    </w:p>
    <w:p w14:paraId="304B0D28">
      <w:pPr>
        <w:keepNext/>
        <w:keepLines/>
        <w:jc w:val="center"/>
        <w:outlineLvl w:val="0"/>
        <w:rPr>
          <w:rFonts w:ascii="宋体" w:hAnsi="宋体"/>
          <w:b/>
          <w:bCs/>
          <w:color w:val="000000" w:themeColor="text1"/>
          <w:sz w:val="28"/>
          <w:szCs w:val="36"/>
          <w:highlight w:val="none"/>
          <w14:textFill>
            <w14:solidFill>
              <w14:schemeClr w14:val="tx1"/>
            </w14:solidFill>
          </w14:textFill>
        </w:rPr>
      </w:pPr>
      <w:r>
        <w:rPr>
          <w:rFonts w:hint="eastAsia" w:ascii="宋体" w:hAnsi="宋体"/>
          <w:b/>
          <w:bCs/>
          <w:color w:val="000000" w:themeColor="text1"/>
          <w:sz w:val="28"/>
          <w:szCs w:val="36"/>
          <w:highlight w:val="none"/>
          <w14:textFill>
            <w14:solidFill>
              <w14:schemeClr w14:val="tx1"/>
            </w14:solidFill>
          </w14:textFill>
        </w:rPr>
        <w:br w:type="page"/>
      </w:r>
      <w:bookmarkStart w:id="8" w:name="_Toc20157"/>
      <w:r>
        <w:rPr>
          <w:rFonts w:hint="eastAsia" w:ascii="宋体" w:hAnsi="宋体"/>
          <w:b/>
          <w:bCs/>
          <w:color w:val="000000" w:themeColor="text1"/>
          <w:sz w:val="28"/>
          <w:szCs w:val="36"/>
          <w:highlight w:val="none"/>
          <w14:textFill>
            <w14:solidFill>
              <w14:schemeClr w14:val="tx1"/>
            </w14:solidFill>
          </w14:textFill>
        </w:rPr>
        <w:t xml:space="preserve">第一章 </w:t>
      </w:r>
      <w:r>
        <w:rPr>
          <w:rFonts w:hint="eastAsia" w:ascii="宋体" w:hAnsi="宋体"/>
          <w:b/>
          <w:bCs/>
          <w:color w:val="000000" w:themeColor="text1"/>
          <w:sz w:val="28"/>
          <w:szCs w:val="36"/>
          <w:highlight w:val="none"/>
          <w:lang w:eastAsia="zh-CN"/>
          <w14:textFill>
            <w14:solidFill>
              <w14:schemeClr w14:val="tx1"/>
            </w14:solidFill>
          </w14:textFill>
        </w:rPr>
        <w:t>竞争性</w:t>
      </w:r>
      <w:r>
        <w:rPr>
          <w:rFonts w:hint="eastAsia" w:ascii="宋体" w:hAnsi="宋体"/>
          <w:b/>
          <w:bCs/>
          <w:color w:val="000000" w:themeColor="text1"/>
          <w:sz w:val="28"/>
          <w:szCs w:val="36"/>
          <w:highlight w:val="none"/>
          <w14:textFill>
            <w14:solidFill>
              <w14:schemeClr w14:val="tx1"/>
            </w14:solidFill>
          </w14:textFill>
        </w:rPr>
        <w:t>磋商公告</w:t>
      </w:r>
      <w:bookmarkEnd w:id="2"/>
      <w:bookmarkEnd w:id="3"/>
      <w:bookmarkEnd w:id="4"/>
      <w:bookmarkEnd w:id="5"/>
      <w:bookmarkEnd w:id="6"/>
      <w:bookmarkEnd w:id="7"/>
      <w:bookmarkEnd w:id="8"/>
    </w:p>
    <w:p w14:paraId="795BBBB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bookmarkStart w:id="9" w:name="_Hlk519264333"/>
      <w:bookmarkEnd w:id="9"/>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河南展杰工程管理有限公司受卢氏县文物保护管理所的委托，就</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卢氏县文物保护管理委员会办公室文物库房升级改造项目</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进行竞争性磋商，资金来源为财政资金 ，资金已落实，欢迎符合相关条件的供应商投标。</w:t>
      </w:r>
    </w:p>
    <w:p w14:paraId="6484FFF6">
      <w:pPr>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一、项目概况</w:t>
      </w:r>
    </w:p>
    <w:p w14:paraId="6A3196C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1、采购人：卢氏县文物保护管理所</w:t>
      </w:r>
    </w:p>
    <w:p w14:paraId="4AB2F52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2、项目名称：卢氏县文物保护管理委员会办公室文物库房升级改造项目</w:t>
      </w:r>
    </w:p>
    <w:p w14:paraId="73120EEC">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3、项目编号</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LSGZ[2025]272-ZC155、三卢竞磋采购-2025-109</w:t>
      </w:r>
    </w:p>
    <w:p w14:paraId="43A6C7A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4、采购方式：竞争性磋商</w:t>
      </w:r>
    </w:p>
    <w:p w14:paraId="388670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5、预算金额：50.9920万元</w:t>
      </w:r>
    </w:p>
    <w:p w14:paraId="7FCFFFA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6、采购内容：拟采购一批文物库房门、文物柜架等设备。</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b w:val="0"/>
          <w:bCs w:val="0"/>
          <w:color w:val="auto"/>
          <w:sz w:val="21"/>
          <w:szCs w:val="21"/>
          <w:highlight w:val="none"/>
          <w:lang w:val="en-US" w:eastAsia="zh-CN"/>
        </w:rPr>
        <w:t>具体内容详见第三章采购需求</w:t>
      </w:r>
      <w:r>
        <w:rPr>
          <w:rFonts w:hint="eastAsia" w:asciiTheme="minorEastAsia" w:hAnsiTheme="minorEastAsia" w:eastAsiaTheme="minorEastAsia" w:cstheme="minorEastAsia"/>
          <w:b w:val="0"/>
          <w:bCs w:val="0"/>
          <w:color w:val="auto"/>
          <w:sz w:val="21"/>
          <w:szCs w:val="21"/>
          <w:highlight w:val="none"/>
          <w:lang w:eastAsia="zh-CN"/>
        </w:rPr>
        <w:t>）</w:t>
      </w:r>
    </w:p>
    <w:p w14:paraId="5DE4770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7、资金来源：财政资金 ，已落实</w:t>
      </w:r>
    </w:p>
    <w:p w14:paraId="3888E5EF">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8、标段划分：一个标段</w:t>
      </w:r>
    </w:p>
    <w:p w14:paraId="762AEA3C">
      <w:pPr>
        <w:spacing w:line="360" w:lineRule="auto"/>
        <w:ind w:right="210" w:rightChars="100" w:firstLine="420" w:firstLineChars="200"/>
        <w:contextualSpacing/>
        <w:jc w:val="left"/>
        <w:rPr>
          <w:rFonts w:hint="eastAsia" w:ascii="宋体" w:cs="Times New Roman"/>
          <w:color w:val="auto"/>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w:t>
      </w:r>
      <w:r>
        <w:rPr>
          <w:rFonts w:hint="eastAsia" w:ascii="宋体" w:cs="Times New Roman"/>
          <w:color w:val="auto"/>
          <w:lang w:val="en-US" w:eastAsia="zh-CN"/>
        </w:rPr>
        <w:t>供货期限</w:t>
      </w:r>
      <w:r>
        <w:rPr>
          <w:rFonts w:hint="eastAsia" w:asciiTheme="minorEastAsia" w:hAnsiTheme="minorEastAsia" w:eastAsiaTheme="minorEastAsia" w:cstheme="minorEastAsia"/>
          <w:b w:val="0"/>
          <w:bCs w:val="0"/>
          <w:color w:val="auto"/>
          <w:sz w:val="21"/>
          <w:szCs w:val="21"/>
          <w:highlight w:val="none"/>
          <w:lang w:val="en-US" w:eastAsia="zh-CN"/>
        </w:rPr>
        <w:t>：</w:t>
      </w:r>
      <w:r>
        <w:rPr>
          <w:rFonts w:hint="eastAsia" w:ascii="宋体" w:cs="Times New Roman"/>
          <w:color w:val="auto"/>
          <w:lang w:val="en-US" w:eastAsia="zh-CN"/>
        </w:rPr>
        <w:t>合同签订后60日历天内供货并安装、调试完毕至正常运行。</w:t>
      </w:r>
    </w:p>
    <w:p w14:paraId="4904C63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w:t>
      </w:r>
      <w:r>
        <w:rPr>
          <w:rFonts w:hint="eastAsia" w:asciiTheme="minorEastAsia" w:hAnsiTheme="minorEastAsia" w:eastAsiaTheme="minorEastAsia" w:cstheme="minorEastAsia"/>
          <w:b w:val="0"/>
          <w:bCs w:val="0"/>
          <w:color w:val="auto"/>
          <w:sz w:val="21"/>
          <w:szCs w:val="21"/>
          <w:highlight w:val="none"/>
          <w:lang w:val="en-US" w:eastAsia="zh-CN"/>
        </w:rPr>
        <w:t>0</w:t>
      </w:r>
      <w:r>
        <w:rPr>
          <w:rFonts w:hint="eastAsia" w:asciiTheme="minorEastAsia" w:hAnsiTheme="minorEastAsia" w:eastAsiaTheme="minorEastAsia" w:cstheme="minorEastAsia"/>
          <w:b w:val="0"/>
          <w:bCs w:val="0"/>
          <w:color w:val="auto"/>
          <w:sz w:val="21"/>
          <w:szCs w:val="21"/>
          <w:highlight w:val="none"/>
          <w:lang w:eastAsia="zh-CN"/>
        </w:rPr>
        <w:t>、质量</w:t>
      </w:r>
      <w:r>
        <w:rPr>
          <w:rFonts w:hint="eastAsia" w:asciiTheme="minorEastAsia" w:hAnsiTheme="minorEastAsia" w:eastAsiaTheme="minorEastAsia" w:cstheme="minorEastAsia"/>
          <w:b w:val="0"/>
          <w:bCs w:val="0"/>
          <w:color w:val="auto"/>
          <w:sz w:val="21"/>
          <w:szCs w:val="21"/>
          <w:highlight w:val="none"/>
          <w:lang w:val="en-US" w:eastAsia="zh-CN"/>
        </w:rPr>
        <w:t>标准</w:t>
      </w:r>
      <w:r>
        <w:rPr>
          <w:rFonts w:hint="eastAsia" w:asciiTheme="minorEastAsia" w:hAnsiTheme="minorEastAsia" w:eastAsiaTheme="minorEastAsia" w:cstheme="minorEastAsia"/>
          <w:b w:val="0"/>
          <w:bCs w:val="0"/>
          <w:color w:val="auto"/>
          <w:sz w:val="21"/>
          <w:szCs w:val="21"/>
          <w:highlight w:val="none"/>
          <w:lang w:eastAsia="zh-CN"/>
        </w:rPr>
        <w:t>：符合国家相关规范要求且满足采购人需求。</w:t>
      </w:r>
    </w:p>
    <w:p w14:paraId="5CAE49C8">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11、质保期：一年</w:t>
      </w:r>
    </w:p>
    <w:p w14:paraId="42B4578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12、供货地点</w:t>
      </w:r>
      <w:r>
        <w:rPr>
          <w:rFonts w:hint="eastAsia" w:asciiTheme="minorEastAsia" w:hAnsiTheme="minorEastAsia" w:eastAsiaTheme="minorEastAsia" w:cstheme="minorEastAsia"/>
          <w:b w:val="0"/>
          <w:bCs w:val="0"/>
          <w:color w:val="auto"/>
          <w:sz w:val="21"/>
          <w:szCs w:val="21"/>
          <w:highlight w:val="none"/>
          <w:lang w:eastAsia="zh-CN"/>
        </w:rPr>
        <w:t>：采购人指定地点</w:t>
      </w:r>
    </w:p>
    <w:p w14:paraId="64C68EB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13</w:t>
      </w:r>
      <w:r>
        <w:rPr>
          <w:rFonts w:hint="eastAsia" w:asciiTheme="minorEastAsia" w:hAnsiTheme="minorEastAsia" w:eastAsiaTheme="minorEastAsia" w:cstheme="minorEastAsia"/>
          <w:b w:val="0"/>
          <w:bCs w:val="0"/>
          <w:color w:val="auto"/>
          <w:sz w:val="21"/>
          <w:szCs w:val="21"/>
          <w:highlight w:val="none"/>
          <w:lang w:val="zh-CN" w:eastAsia="zh-CN"/>
        </w:rPr>
        <w:t>、</w:t>
      </w:r>
      <w:r>
        <w:rPr>
          <w:rFonts w:hint="eastAsia" w:asciiTheme="minorEastAsia" w:hAnsiTheme="minorEastAsia" w:eastAsiaTheme="minorEastAsia" w:cstheme="minorEastAsia"/>
          <w:b w:val="0"/>
          <w:bCs w:val="0"/>
          <w:color w:val="auto"/>
          <w:sz w:val="21"/>
          <w:szCs w:val="21"/>
          <w:highlight w:val="none"/>
          <w:lang w:eastAsia="zh-CN"/>
        </w:rPr>
        <w:t>是否接受进口产品：否</w:t>
      </w:r>
    </w:p>
    <w:p w14:paraId="49F6655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14</w:t>
      </w:r>
      <w:r>
        <w:rPr>
          <w:rFonts w:hint="eastAsia" w:asciiTheme="minorEastAsia" w:hAnsiTheme="minorEastAsia" w:eastAsiaTheme="minorEastAsia" w:cstheme="minorEastAsia"/>
          <w:b w:val="0"/>
          <w:bCs w:val="0"/>
          <w:color w:val="auto"/>
          <w:sz w:val="21"/>
          <w:szCs w:val="21"/>
          <w:highlight w:val="none"/>
          <w:lang w:val="zh-CN" w:eastAsia="zh-CN"/>
        </w:rPr>
        <w:t>、是否专门面向中小企业：否</w:t>
      </w:r>
    </w:p>
    <w:p w14:paraId="720A934E">
      <w:pPr>
        <w:widowControl/>
        <w:spacing w:line="480" w:lineRule="exact"/>
        <w:ind w:firstLine="422" w:firstLineChars="200"/>
        <w:rPr>
          <w:rFonts w:hint="eastAsia" w:asciiTheme="minorEastAsia" w:hAnsiTheme="minorEastAsia" w:eastAsiaTheme="minorEastAsia" w:cstheme="minorEastAsia"/>
          <w:b/>
          <w:color w:val="auto"/>
          <w:sz w:val="21"/>
          <w:szCs w:val="21"/>
          <w:highlight w:val="none"/>
          <w:lang w:eastAsia="zh-CN"/>
        </w:rPr>
      </w:pPr>
      <w:r>
        <w:rPr>
          <w:rFonts w:hint="eastAsia" w:asciiTheme="minorEastAsia" w:hAnsiTheme="minorEastAsia" w:eastAsiaTheme="minorEastAsia" w:cstheme="minorEastAsia"/>
          <w:b/>
          <w:color w:val="auto"/>
          <w:sz w:val="21"/>
          <w:szCs w:val="21"/>
          <w:highlight w:val="none"/>
          <w:lang w:eastAsia="zh-CN"/>
        </w:rPr>
        <w:t>二、供应商资格要求：</w:t>
      </w:r>
    </w:p>
    <w:p w14:paraId="72BB830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（一）落实政府采购政策满足的资格要求：本项目非专门面向中小微企业采购项目，执行促进中小型企业发展政策（残疾人福利性企业、监狱企业视同小微企业）、优先采购节能环保产品等政府采购政策。</w:t>
      </w:r>
    </w:p>
    <w:p w14:paraId="52C8E5D3">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（二）供应商参加本次政府采购活动中必须符合《中华人民共和国政府采购法》第二十二条对合格供应商的要求并同时具备以下条件：</w:t>
      </w:r>
    </w:p>
    <w:p w14:paraId="2E48CF70">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1、具有在中华人民共和国境内注册的能够独立承担民事责任的独立法人；具有有效的营业执照、税务登记证、组织机构代码证(或“三证合一”的营业执照)；</w:t>
      </w:r>
    </w:p>
    <w:p w14:paraId="594B1D1A">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2、具有履行合同所必需的设备和专业技术能力；（提供证明材料或承诺书）</w:t>
      </w:r>
    </w:p>
    <w:p w14:paraId="1BA7286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3、提供2022年-2024年度任意一年第三方审计机构出具的财务报告（新成立公司无审计报告应附最新的财务报表及说明）；</w:t>
      </w:r>
    </w:p>
    <w:p w14:paraId="620058A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4、依法缴纳税收（提供2025年01月以来任意一个月企业依法缴纳税收证明材料）和缴纳社会保障资金（提供2025年01月以来连续三个月拟派项目负责人依法缴纳社保证明材料）；</w:t>
      </w:r>
    </w:p>
    <w:p w14:paraId="503465D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5、参加政府采购活动前3年内无行贿犯罪记录，（开标时提供《中国裁判文书网》查询结果网页截图或企业自行承诺的无行贿犯罪承诺书，查询&lt;承诺&gt;对象为“企业，法定代表人，项目负责人”）；</w:t>
      </w:r>
    </w:p>
    <w:p w14:paraId="4E80C1C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6、参加政府采购活动前3年内无商业贿赂、不正当竞争行为、骗取中标、严重违约及重大工程质量等问题（供应商须自行出具承诺书）；</w:t>
      </w:r>
    </w:p>
    <w:p w14:paraId="7FC7691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99DDD95">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8、单位负责人为同一人或者存在控股、管理关系的不同单位，不得同时参加本项目的投标；（提供“国家企业信用信息公示系统”中公示的公司信息、股东或投资人信息查询截图）；</w:t>
      </w:r>
    </w:p>
    <w:p w14:paraId="1CFF065D">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9、本项目不接受联合体投标；</w:t>
      </w:r>
    </w:p>
    <w:p w14:paraId="23AD4CFB">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10、本次磋商实行资格后审；</w:t>
      </w:r>
    </w:p>
    <w:p w14:paraId="0FA945D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注：被列入失信被执行人及重大税收违法失信主体的企业做无效标处理。招标人或招标代理机构有权对投标人信用记录进行甄别和复查。</w:t>
      </w:r>
    </w:p>
    <w:p w14:paraId="5B2DCFC0">
      <w:pPr>
        <w:spacing w:line="500" w:lineRule="exact"/>
        <w:ind w:firstLine="422" w:firstLineChars="200"/>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三、获取竞争性磋商文件</w:t>
      </w:r>
    </w:p>
    <w:p w14:paraId="28F11CAF">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磋商文件获取方式：本项目没有报名环节，供应商凭CA数字证书通过三门峡市公共资源交易中心网（网址：http://gzjy.smx.gov.cn/）点击交易平台选择“市场主体登录”，在所参与项目右侧点击参与投标，即可直接下载本项目磋商文件（磋商文件中包含图纸、清单等招标所需一切内容）。</w:t>
      </w:r>
    </w:p>
    <w:p w14:paraId="2B9C42B0">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办理CA证书：</w:t>
      </w:r>
    </w:p>
    <w:p w14:paraId="6DF1B6FD">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http://gzjy.smx.gov.cn/bzzx/008001/20211105/57b16af9-ab87-4395-a723-7758c628a3f8.html</w:t>
      </w:r>
    </w:p>
    <w:p w14:paraId="2A62F5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left"/>
        <w:rPr>
          <w:rFonts w:hint="eastAsia" w:asciiTheme="minorEastAsia" w:hAnsiTheme="minorEastAsia" w:eastAsiaTheme="minorEastAsia" w:cstheme="minorEastAsia"/>
          <w:i w:val="0"/>
          <w:iCs w:val="0"/>
          <w:caps w:val="0"/>
          <w:color w:val="auto"/>
          <w:spacing w:val="0"/>
          <w:sz w:val="21"/>
          <w:szCs w:val="21"/>
          <w:highlight w:val="yellow"/>
        </w:rPr>
      </w:pPr>
      <w:r>
        <w:rPr>
          <w:rFonts w:hint="eastAsia" w:asciiTheme="minorEastAsia" w:hAnsiTheme="minorEastAsia" w:eastAsiaTheme="minorEastAsia" w:cstheme="minorEastAsia"/>
          <w:b/>
          <w:bCs/>
          <w:color w:val="auto"/>
          <w:kern w:val="0"/>
          <w:sz w:val="21"/>
          <w:szCs w:val="21"/>
          <w:highlight w:val="none"/>
          <w:lang w:val="en-US" w:eastAsia="zh-CN"/>
        </w:rPr>
        <w:t>2、</w:t>
      </w:r>
      <w:r>
        <w:rPr>
          <w:rFonts w:hint="eastAsia" w:asciiTheme="minorEastAsia" w:hAnsiTheme="minorEastAsia" w:eastAsiaTheme="minorEastAsia" w:cstheme="minorEastAsia"/>
          <w:b w:val="0"/>
          <w:bCs/>
          <w:color w:val="auto"/>
          <w:sz w:val="21"/>
          <w:szCs w:val="21"/>
          <w:highlight w:val="none"/>
          <w:lang w:val="en-US" w:eastAsia="zh-CN"/>
        </w:rPr>
        <w:t>磋商文件下载时间：2025年10月12日至2025年11月05日08时40分（北京时间）。</w:t>
      </w:r>
    </w:p>
    <w:p w14:paraId="642F10C5">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本项目为不见面开标项目。开标当日，供应商无需到开标现场参加开标会议，供应商应当在投标截止时间前，登陆不见面开标大厅选择登陆三门峡市公共资源电子招投标系统进行登陆（网址http://120.194.249.36:10094/BidOpening/bidopeninghallaction/hall/login）,在线准时参加开标活动并进行响应文件解密等。每位供应商的解密时间为开标时间起30分钟内完成。</w:t>
      </w:r>
    </w:p>
    <w:p w14:paraId="4784713D">
      <w:pPr>
        <w:spacing w:line="500" w:lineRule="exact"/>
        <w:ind w:firstLine="422" w:firstLineChars="200"/>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四、磋商</w:t>
      </w:r>
      <w:r>
        <w:rPr>
          <w:rFonts w:hint="eastAsia" w:asciiTheme="minorEastAsia" w:hAnsiTheme="minorEastAsia" w:eastAsiaTheme="minorEastAsia" w:cstheme="minorEastAsia"/>
          <w:b/>
          <w:bCs/>
          <w:color w:val="auto"/>
          <w:kern w:val="0"/>
          <w:sz w:val="21"/>
          <w:szCs w:val="21"/>
          <w:highlight w:val="none"/>
          <w:lang w:val="en-US" w:eastAsia="zh-CN"/>
        </w:rPr>
        <w:t>响应性</w:t>
      </w:r>
      <w:r>
        <w:rPr>
          <w:rFonts w:hint="eastAsia" w:asciiTheme="minorEastAsia" w:hAnsiTheme="minorEastAsia" w:eastAsiaTheme="minorEastAsia" w:cstheme="minorEastAsia"/>
          <w:b/>
          <w:bCs/>
          <w:color w:val="auto"/>
          <w:kern w:val="0"/>
          <w:sz w:val="21"/>
          <w:szCs w:val="21"/>
          <w:highlight w:val="none"/>
          <w:lang w:eastAsia="zh-CN"/>
        </w:rPr>
        <w:t>文件的递交截止时间及开评标地点</w:t>
      </w:r>
    </w:p>
    <w:p w14:paraId="4D097C17">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1、响应文件递交的截止时间：2025年11月05日08时40分（北京时间）；</w:t>
      </w:r>
    </w:p>
    <w:p w14:paraId="1055A339">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2、开标地点：卢氏县公共资源交易中心四楼第二开标室；</w:t>
      </w:r>
    </w:p>
    <w:p w14:paraId="63139D7A">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3、评标地点：卢氏县公共资源交易中心二楼第二评标室。</w:t>
      </w:r>
    </w:p>
    <w:p w14:paraId="209D17E1">
      <w:pPr>
        <w:spacing w:line="500" w:lineRule="exact"/>
        <w:ind w:firstLine="422" w:firstLineChars="200"/>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五、投标资料的提交</w:t>
      </w:r>
    </w:p>
    <w:p w14:paraId="09C9E073">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本项目实行资格后审，审查内容以投标截止时间前在三门峡市公共资源交易系统上传的响应文件的信息为准。供应商对响应文件信息的真实性、有效性、清晰可辩性负责，同时，供应商需要完善主体库信息。否则，由此造成应得分而未得分或资格审查不合格等情况的，由供应商承担责任。</w:t>
      </w:r>
    </w:p>
    <w:p w14:paraId="671C09AB">
      <w:pPr>
        <w:spacing w:line="500" w:lineRule="exact"/>
        <w:ind w:firstLine="422" w:firstLineChars="200"/>
        <w:rPr>
          <w:rFonts w:hint="eastAsia" w:asciiTheme="minorEastAsia" w:hAnsiTheme="minorEastAsia" w:eastAsiaTheme="minorEastAsia" w:cstheme="minorEastAsia"/>
          <w:b/>
          <w:bCs/>
          <w:color w:val="auto"/>
          <w:kern w:val="0"/>
          <w:sz w:val="21"/>
          <w:szCs w:val="21"/>
          <w:highlight w:val="none"/>
          <w:lang w:eastAsia="zh-CN"/>
        </w:rPr>
      </w:pPr>
      <w:r>
        <w:rPr>
          <w:rFonts w:hint="eastAsia" w:asciiTheme="minorEastAsia" w:hAnsiTheme="minorEastAsia" w:eastAsiaTheme="minorEastAsia" w:cstheme="minorEastAsia"/>
          <w:b/>
          <w:bCs/>
          <w:color w:val="auto"/>
          <w:kern w:val="0"/>
          <w:sz w:val="21"/>
          <w:szCs w:val="21"/>
          <w:highlight w:val="none"/>
          <w:lang w:eastAsia="zh-CN"/>
        </w:rPr>
        <w:t>六、其他事项</w:t>
      </w:r>
    </w:p>
    <w:p w14:paraId="74B6ACF7">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bookmarkStart w:id="10" w:name="_Toc28016"/>
      <w:bookmarkStart w:id="11" w:name="_Toc12114"/>
      <w:bookmarkStart w:id="12" w:name="_Toc494288834"/>
      <w:bookmarkStart w:id="13" w:name="_Toc184635067"/>
      <w:r>
        <w:rPr>
          <w:rFonts w:hint="eastAsia" w:asciiTheme="minorEastAsia" w:hAnsiTheme="minorEastAsia" w:eastAsiaTheme="minorEastAsia" w:cstheme="minorEastAsia"/>
          <w:b w:val="0"/>
          <w:bCs/>
          <w:color w:val="auto"/>
          <w:sz w:val="21"/>
          <w:szCs w:val="21"/>
          <w:highlight w:val="none"/>
          <w:lang w:val="en-US" w:eastAsia="zh-CN"/>
        </w:rPr>
        <w:t>1、投标供应商应仔细阅读操作手册，在本公告中要求的截止时间前完成磋商文件下载等工作。并充分考虑人为操作和时间等因素，因投标供应商操作不当造成的无法下载磋商文件、无法投标等一切后果，由投标供应商自行承担。</w:t>
      </w:r>
    </w:p>
    <w:p w14:paraId="17E0AA12">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2、投标所发生一切费用由各投标人自行承担，并承担相应的风险和责任；</w:t>
      </w:r>
    </w:p>
    <w:p w14:paraId="5A7C0936">
      <w:pPr>
        <w:widowControl/>
        <w:spacing w:line="480" w:lineRule="exact"/>
        <w:ind w:firstLine="420" w:firstLineChars="200"/>
        <w:rPr>
          <w:rFonts w:hint="eastAsia" w:asciiTheme="minorEastAsia" w:hAnsiTheme="minorEastAsia" w:eastAsiaTheme="minorEastAsia" w:cstheme="minorEastAsia"/>
          <w:b w:val="0"/>
          <w:bCs/>
          <w:color w:val="auto"/>
          <w:sz w:val="21"/>
          <w:szCs w:val="21"/>
          <w:highlight w:val="none"/>
          <w:lang w:val="en-US" w:eastAsia="zh-CN"/>
        </w:rPr>
      </w:pPr>
      <w:r>
        <w:rPr>
          <w:rFonts w:hint="eastAsia" w:asciiTheme="minorEastAsia" w:hAnsiTheme="minorEastAsia" w:eastAsiaTheme="minorEastAsia" w:cstheme="minorEastAsia"/>
          <w:b w:val="0"/>
          <w:bCs/>
          <w:color w:val="auto"/>
          <w:sz w:val="21"/>
          <w:szCs w:val="21"/>
          <w:highlight w:val="none"/>
          <w:lang w:val="en-US" w:eastAsia="zh-CN"/>
        </w:rPr>
        <w:t>3、供应商递交的响应文件不论中标与否均不予退还。</w:t>
      </w:r>
    </w:p>
    <w:p w14:paraId="40FDA37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温馨提示：本项目为电子化、无纸化交易项目，开标时不再接受任何纸质资料，为保证您能投标成功，请需仔细阅读磋商文件和三门峡市公共资源交易中心官网业务办理指南。</w:t>
      </w:r>
    </w:p>
    <w:p w14:paraId="0EA1190A">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七、磋商保证金</w:t>
      </w:r>
    </w:p>
    <w:p w14:paraId="4C14D5D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按照《河南省财政厅关于优化政府采购营商环境有关问题的通知》（豫财购[2019]4号文）的要求本项目不再收取磋商保证金。</w:t>
      </w:r>
    </w:p>
    <w:p w14:paraId="3CB44024">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八、发布磋商公告的媒介</w:t>
      </w:r>
      <w:bookmarkEnd w:id="10"/>
      <w:bookmarkEnd w:id="11"/>
      <w:bookmarkEnd w:id="12"/>
    </w:p>
    <w:bookmarkEnd w:id="13"/>
    <w:p w14:paraId="40225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本次竞争性磋商公告同时在《中国招标投标公共服务平台》、《河南省政府采购网》、《三门峡市公共资源交易中心》等媒体上公开发布。</w:t>
      </w:r>
    </w:p>
    <w:p w14:paraId="5516EDCF">
      <w:pPr>
        <w:spacing w:line="500" w:lineRule="exact"/>
        <w:ind w:firstLine="422" w:firstLineChars="200"/>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lang w:eastAsia="zh-CN"/>
          <w14:textFill>
            <w14:solidFill>
              <w14:schemeClr w14:val="tx1"/>
            </w14:solidFill>
          </w14:textFill>
        </w:rPr>
        <w:t>九、联系方式</w:t>
      </w:r>
    </w:p>
    <w:p w14:paraId="541D2CB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监督单位：卢氏县政府采购办公室</w:t>
      </w:r>
    </w:p>
    <w:p w14:paraId="086D8F8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联系人：郭伟静</w:t>
      </w:r>
    </w:p>
    <w:p w14:paraId="4EA0FF7D">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电话：0398-7863556、13949795722</w:t>
      </w:r>
    </w:p>
    <w:p w14:paraId="05529526">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地址：卢氏县城关镇解放路中段</w:t>
      </w:r>
    </w:p>
    <w:p w14:paraId="6A2E8EA1">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监督单位：卢氏县文化广电和旅游局</w:t>
      </w:r>
    </w:p>
    <w:p w14:paraId="6D9CE48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联系人：李雅捷</w:t>
      </w:r>
    </w:p>
    <w:p w14:paraId="6930FC9D">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电话：15516265530、0398-3123888</w:t>
      </w:r>
    </w:p>
    <w:p w14:paraId="25EA0025">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地址：卢氏县新建路南段</w:t>
      </w:r>
    </w:p>
    <w:p w14:paraId="12504EEC">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采购人：卢氏县文物保护管理所</w:t>
      </w:r>
    </w:p>
    <w:p w14:paraId="4975DA9A">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联系人：张蓓</w:t>
      </w:r>
    </w:p>
    <w:p w14:paraId="1F24A28E">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电话：13639899833、13849839841</w:t>
      </w:r>
    </w:p>
    <w:p w14:paraId="143BC70E">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地址：卢氏县西街一街坊13号</w:t>
      </w:r>
    </w:p>
    <w:p w14:paraId="40C5BD57">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代理机构：河南展杰工程管理有限公司</w:t>
      </w:r>
    </w:p>
    <w:p w14:paraId="258538C0">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联系人：王女士</w:t>
      </w:r>
    </w:p>
    <w:p w14:paraId="08D5A774">
      <w:pPr>
        <w:widowControl/>
        <w:spacing w:line="480" w:lineRule="exact"/>
        <w:ind w:firstLine="420" w:firstLineChars="200"/>
        <w:rPr>
          <w:rFonts w:hint="default"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电话：15539875589、0398-3181269</w:t>
      </w:r>
    </w:p>
    <w:p w14:paraId="0C61ABF4">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地址：河南省三门峡市卢氏县城关镇虢都路与靖华西路交叉路口150米</w:t>
      </w:r>
    </w:p>
    <w:p w14:paraId="0FD8F62F">
      <w:pPr>
        <w:widowControl/>
        <w:spacing w:line="480" w:lineRule="exact"/>
        <w:ind w:firstLine="420" w:firstLineChars="200"/>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pPr>
    </w:p>
    <w:p w14:paraId="77B6C2AE">
      <w:pPr>
        <w:spacing w:line="500" w:lineRule="exact"/>
        <w:ind w:firstLine="480" w:firstLineChars="200"/>
        <w:rPr>
          <w:rFonts w:ascii="Calibri" w:hAnsi="Calibri"/>
          <w:color w:val="000000" w:themeColor="text1"/>
          <w:kern w:val="0"/>
          <w:sz w:val="24"/>
          <w:highlight w:val="none"/>
          <w14:textFill>
            <w14:solidFill>
              <w14:schemeClr w14:val="tx1"/>
            </w14:solidFill>
          </w14:textFill>
        </w:rPr>
      </w:pPr>
    </w:p>
    <w:p w14:paraId="578D3636">
      <w:pPr>
        <w:spacing w:line="460" w:lineRule="exact"/>
        <w:ind w:firstLine="480" w:firstLineChars="200"/>
        <w:jc w:val="right"/>
        <w:rPr>
          <w:rFonts w:ascii="宋体" w:hAnsi="宋体"/>
          <w:color w:val="000000" w:themeColor="text1"/>
          <w:sz w:val="24"/>
          <w:highlight w:val="none"/>
          <w14:textFill>
            <w14:solidFill>
              <w14:schemeClr w14:val="tx1"/>
            </w14:solidFill>
          </w14:textFill>
        </w:rPr>
      </w:pPr>
    </w:p>
    <w:p w14:paraId="43A8626E">
      <w:pPr>
        <w:keepNext/>
        <w:keepLines/>
        <w:jc w:val="center"/>
        <w:outlineLvl w:val="0"/>
        <w:rPr>
          <w:rFonts w:ascii="宋体" w:hAnsi="宋体"/>
          <w:b/>
          <w:bCs/>
          <w:color w:val="000000" w:themeColor="text1"/>
          <w:kern w:val="44"/>
          <w:sz w:val="36"/>
          <w:szCs w:val="36"/>
          <w:highlight w:val="none"/>
          <w14:textFill>
            <w14:solidFill>
              <w14:schemeClr w14:val="tx1"/>
            </w14:solidFill>
          </w14:textFill>
        </w:rPr>
      </w:pPr>
      <w:r>
        <w:rPr>
          <w:rFonts w:hint="eastAsia" w:ascii="宋体" w:hAnsi="宋体"/>
          <w:b/>
          <w:bCs/>
          <w:color w:val="000000" w:themeColor="text1"/>
          <w:kern w:val="44"/>
          <w:sz w:val="36"/>
          <w:szCs w:val="36"/>
          <w:highlight w:val="none"/>
          <w14:textFill>
            <w14:solidFill>
              <w14:schemeClr w14:val="tx1"/>
            </w14:solidFill>
          </w14:textFill>
        </w:rPr>
        <w:br w:type="page"/>
      </w:r>
      <w:bookmarkStart w:id="14" w:name="_Toc466566783"/>
      <w:bookmarkEnd w:id="14"/>
      <w:bookmarkStart w:id="15" w:name="_Toc3187"/>
      <w:bookmarkEnd w:id="15"/>
      <w:bookmarkStart w:id="16" w:name="_Toc11439"/>
      <w:bookmarkStart w:id="17" w:name="_Toc31013_WPSOffice_Level1"/>
      <w:bookmarkStart w:id="18" w:name="_Toc9448"/>
      <w:bookmarkStart w:id="19" w:name="_Toc24425"/>
      <w:bookmarkStart w:id="20" w:name="_Toc688"/>
      <w:bookmarkStart w:id="21" w:name="_Toc15117_WPSOffice_Level1"/>
      <w:bookmarkStart w:id="22" w:name="_Toc16092_WPSOffice_Level1"/>
      <w:bookmarkStart w:id="23" w:name="_Toc9900_WPSOffice_Level1"/>
      <w:r>
        <w:rPr>
          <w:rFonts w:hint="eastAsia" w:ascii="宋体" w:hAnsi="宋体"/>
          <w:b/>
          <w:bCs/>
          <w:color w:val="000000" w:themeColor="text1"/>
          <w:kern w:val="44"/>
          <w:sz w:val="36"/>
          <w:szCs w:val="36"/>
          <w:highlight w:val="none"/>
          <w14:textFill>
            <w14:solidFill>
              <w14:schemeClr w14:val="tx1"/>
            </w14:solidFill>
          </w14:textFill>
        </w:rPr>
        <w:t>第二章  供应商须知</w:t>
      </w:r>
      <w:bookmarkEnd w:id="16"/>
      <w:bookmarkEnd w:id="17"/>
      <w:bookmarkEnd w:id="18"/>
      <w:bookmarkEnd w:id="19"/>
      <w:bookmarkEnd w:id="20"/>
      <w:bookmarkEnd w:id="21"/>
      <w:bookmarkEnd w:id="22"/>
      <w:bookmarkEnd w:id="23"/>
    </w:p>
    <w:p w14:paraId="15E21840">
      <w:pPr>
        <w:jc w:val="center"/>
        <w:outlineLvl w:val="1"/>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供应商须知前附表</w:t>
      </w:r>
    </w:p>
    <w:tbl>
      <w:tblPr>
        <w:tblStyle w:val="20"/>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2171"/>
        <w:gridCol w:w="6727"/>
      </w:tblGrid>
      <w:tr w14:paraId="7CB1B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7D0789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条款号</w:t>
            </w:r>
          </w:p>
        </w:tc>
        <w:tc>
          <w:tcPr>
            <w:tcW w:w="2171" w:type="dxa"/>
            <w:tcBorders>
              <w:top w:val="single" w:color="auto" w:sz="4" w:space="0"/>
              <w:left w:val="nil"/>
              <w:bottom w:val="single" w:color="auto" w:sz="4" w:space="0"/>
              <w:right w:val="single" w:color="auto" w:sz="4" w:space="0"/>
            </w:tcBorders>
            <w:vAlign w:val="center"/>
          </w:tcPr>
          <w:p w14:paraId="4A81D48B">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条款名称</w:t>
            </w:r>
          </w:p>
        </w:tc>
        <w:tc>
          <w:tcPr>
            <w:tcW w:w="6727" w:type="dxa"/>
            <w:tcBorders>
              <w:top w:val="single" w:color="auto" w:sz="4" w:space="0"/>
              <w:left w:val="nil"/>
              <w:bottom w:val="single" w:color="auto" w:sz="4" w:space="0"/>
              <w:right w:val="single" w:color="auto" w:sz="4" w:space="0"/>
            </w:tcBorders>
            <w:vAlign w:val="center"/>
          </w:tcPr>
          <w:p w14:paraId="5DA261CF">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编  列  内  容</w:t>
            </w:r>
          </w:p>
        </w:tc>
      </w:tr>
      <w:tr w14:paraId="7AC53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6DAC1E7">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2171" w:type="dxa"/>
            <w:tcBorders>
              <w:top w:val="single" w:color="auto" w:sz="4" w:space="0"/>
              <w:left w:val="nil"/>
              <w:bottom w:val="single" w:color="auto" w:sz="4" w:space="0"/>
              <w:right w:val="single" w:color="auto" w:sz="4" w:space="0"/>
            </w:tcBorders>
            <w:vAlign w:val="center"/>
          </w:tcPr>
          <w:p w14:paraId="1E9E7CF9">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w:t>
            </w:r>
          </w:p>
        </w:tc>
        <w:tc>
          <w:tcPr>
            <w:tcW w:w="6727" w:type="dxa"/>
            <w:tcBorders>
              <w:top w:val="single" w:color="auto" w:sz="4" w:space="0"/>
              <w:left w:val="nil"/>
              <w:bottom w:val="single" w:color="auto" w:sz="4" w:space="0"/>
              <w:right w:val="single" w:color="auto" w:sz="4" w:space="0"/>
            </w:tcBorders>
            <w:vAlign w:val="center"/>
          </w:tcPr>
          <w:p w14:paraId="139271D0">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监督单位：卢氏县政府采购办公室</w:t>
            </w:r>
          </w:p>
          <w:p w14:paraId="14E85A1D">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联系人：郭伟静</w:t>
            </w:r>
          </w:p>
          <w:p w14:paraId="6939CD8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电话：0398-7863556、13949795722</w:t>
            </w:r>
          </w:p>
          <w:p w14:paraId="20E1CC05">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地址：卢氏县城关镇解放路中段</w:t>
            </w:r>
          </w:p>
          <w:p w14:paraId="2F3FA2F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监督单位：卢氏县文化广电和旅游局</w:t>
            </w:r>
          </w:p>
          <w:p w14:paraId="7A42AEC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联系人：李雅捷</w:t>
            </w:r>
          </w:p>
          <w:p w14:paraId="7248174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电话：15516265530、0398-3123888</w:t>
            </w:r>
          </w:p>
          <w:p w14:paraId="372042C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地址：卢氏县新建路南段</w:t>
            </w:r>
          </w:p>
        </w:tc>
      </w:tr>
      <w:tr w14:paraId="198F5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27A372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w:t>
            </w:r>
          </w:p>
        </w:tc>
        <w:tc>
          <w:tcPr>
            <w:tcW w:w="2171" w:type="dxa"/>
            <w:tcBorders>
              <w:top w:val="single" w:color="auto" w:sz="4" w:space="0"/>
              <w:left w:val="nil"/>
              <w:bottom w:val="single" w:color="auto" w:sz="4" w:space="0"/>
              <w:right w:val="single" w:color="auto" w:sz="4" w:space="0"/>
            </w:tcBorders>
            <w:vAlign w:val="center"/>
          </w:tcPr>
          <w:p w14:paraId="1FF5E8C5">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w:t>
            </w:r>
          </w:p>
        </w:tc>
        <w:tc>
          <w:tcPr>
            <w:tcW w:w="6727" w:type="dxa"/>
            <w:tcBorders>
              <w:top w:val="single" w:color="auto" w:sz="4" w:space="0"/>
              <w:left w:val="nil"/>
              <w:bottom w:val="single" w:color="auto" w:sz="4" w:space="0"/>
              <w:right w:val="single" w:color="auto" w:sz="4" w:space="0"/>
            </w:tcBorders>
            <w:vAlign w:val="center"/>
          </w:tcPr>
          <w:p w14:paraId="4C53D5C9">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采购人：卢氏县文物保护管理所</w:t>
            </w:r>
          </w:p>
          <w:p w14:paraId="15844892">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联系人：张蓓</w:t>
            </w:r>
          </w:p>
          <w:p w14:paraId="13DC8F34">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电话：13639899833、13849839841</w:t>
            </w:r>
          </w:p>
          <w:p w14:paraId="2F47B903">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地址：卢氏县西街一街坊13号</w:t>
            </w:r>
          </w:p>
        </w:tc>
      </w:tr>
      <w:tr w14:paraId="2558A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268C16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171" w:type="dxa"/>
            <w:tcBorders>
              <w:top w:val="single" w:color="auto" w:sz="4" w:space="0"/>
              <w:left w:val="nil"/>
              <w:bottom w:val="single" w:color="auto" w:sz="4" w:space="0"/>
              <w:right w:val="single" w:color="auto" w:sz="4" w:space="0"/>
            </w:tcBorders>
            <w:vAlign w:val="center"/>
          </w:tcPr>
          <w:p w14:paraId="4A65F1FF">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采购代理机构</w:t>
            </w:r>
          </w:p>
        </w:tc>
        <w:tc>
          <w:tcPr>
            <w:tcW w:w="6727" w:type="dxa"/>
            <w:tcBorders>
              <w:top w:val="single" w:color="auto" w:sz="4" w:space="0"/>
              <w:left w:val="nil"/>
              <w:bottom w:val="single" w:color="auto" w:sz="4" w:space="0"/>
              <w:right w:val="single" w:color="auto" w:sz="4" w:space="0"/>
            </w:tcBorders>
            <w:vAlign w:val="center"/>
          </w:tcPr>
          <w:p w14:paraId="51F6AEF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代理机构：河南展杰工程管理有限公司</w:t>
            </w:r>
          </w:p>
          <w:p w14:paraId="0843B461">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联系人：王女士</w:t>
            </w:r>
          </w:p>
          <w:p w14:paraId="730AF43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电话：15539875589、0398-3181269</w:t>
            </w:r>
          </w:p>
          <w:p w14:paraId="527B5BC7">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地址：河南省三门峡市卢氏县城关镇虢都路与靖华西路交叉路口150米</w:t>
            </w:r>
          </w:p>
        </w:tc>
      </w:tr>
      <w:tr w14:paraId="2185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61DA05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171" w:type="dxa"/>
            <w:tcBorders>
              <w:top w:val="single" w:color="auto" w:sz="4" w:space="0"/>
              <w:left w:val="nil"/>
              <w:bottom w:val="single" w:color="auto" w:sz="4" w:space="0"/>
              <w:right w:val="single" w:color="auto" w:sz="4" w:space="0"/>
            </w:tcBorders>
            <w:vAlign w:val="center"/>
          </w:tcPr>
          <w:p w14:paraId="51F09CE9">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项目名称</w:t>
            </w:r>
          </w:p>
        </w:tc>
        <w:tc>
          <w:tcPr>
            <w:tcW w:w="6727" w:type="dxa"/>
            <w:tcBorders>
              <w:top w:val="single" w:color="auto" w:sz="4" w:space="0"/>
              <w:left w:val="nil"/>
              <w:bottom w:val="single" w:color="auto" w:sz="4" w:space="0"/>
              <w:right w:val="single" w:color="auto" w:sz="4" w:space="0"/>
            </w:tcBorders>
            <w:vAlign w:val="center"/>
          </w:tcPr>
          <w:p w14:paraId="1E5A0564">
            <w:pPr>
              <w:spacing w:line="24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卢氏县文物保护管理委员会办公室文物库房升级改造项目</w:t>
            </w:r>
          </w:p>
        </w:tc>
      </w:tr>
      <w:tr w14:paraId="1374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4826010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171" w:type="dxa"/>
            <w:tcBorders>
              <w:top w:val="single" w:color="auto" w:sz="4" w:space="0"/>
              <w:left w:val="nil"/>
              <w:bottom w:val="single" w:color="auto" w:sz="4" w:space="0"/>
              <w:right w:val="single" w:color="auto" w:sz="4" w:space="0"/>
            </w:tcBorders>
            <w:vAlign w:val="center"/>
          </w:tcPr>
          <w:p w14:paraId="3005A047">
            <w:pPr>
              <w:spacing w:line="240"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供货地点</w:t>
            </w:r>
          </w:p>
        </w:tc>
        <w:tc>
          <w:tcPr>
            <w:tcW w:w="6727" w:type="dxa"/>
            <w:tcBorders>
              <w:top w:val="single" w:color="auto" w:sz="4" w:space="0"/>
              <w:left w:val="nil"/>
              <w:bottom w:val="single" w:color="auto" w:sz="4" w:space="0"/>
              <w:right w:val="single" w:color="auto" w:sz="4" w:space="0"/>
            </w:tcBorders>
            <w:vAlign w:val="center"/>
          </w:tcPr>
          <w:p w14:paraId="7401229B">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采购人指定地点</w:t>
            </w:r>
          </w:p>
        </w:tc>
      </w:tr>
      <w:tr w14:paraId="577D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4186B6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171" w:type="dxa"/>
            <w:tcBorders>
              <w:top w:val="single" w:color="auto" w:sz="4" w:space="0"/>
              <w:left w:val="nil"/>
              <w:bottom w:val="single" w:color="auto" w:sz="4" w:space="0"/>
              <w:right w:val="single" w:color="auto" w:sz="4" w:space="0"/>
            </w:tcBorders>
            <w:vAlign w:val="center"/>
          </w:tcPr>
          <w:p w14:paraId="7982AA85">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资金来源</w:t>
            </w:r>
          </w:p>
        </w:tc>
        <w:tc>
          <w:tcPr>
            <w:tcW w:w="6727" w:type="dxa"/>
            <w:tcBorders>
              <w:top w:val="single" w:color="auto" w:sz="4" w:space="0"/>
              <w:left w:val="nil"/>
              <w:bottom w:val="single" w:color="auto" w:sz="4" w:space="0"/>
              <w:right w:val="single" w:color="auto" w:sz="4" w:space="0"/>
            </w:tcBorders>
            <w:vAlign w:val="center"/>
          </w:tcPr>
          <w:p w14:paraId="14EF9146">
            <w:pPr>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财政资金 </w:t>
            </w:r>
          </w:p>
        </w:tc>
      </w:tr>
      <w:tr w14:paraId="11A0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49E4580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171" w:type="dxa"/>
            <w:tcBorders>
              <w:top w:val="single" w:color="auto" w:sz="4" w:space="0"/>
              <w:left w:val="nil"/>
              <w:bottom w:val="single" w:color="auto" w:sz="4" w:space="0"/>
              <w:right w:val="single" w:color="auto" w:sz="4" w:space="0"/>
            </w:tcBorders>
            <w:vAlign w:val="center"/>
          </w:tcPr>
          <w:p w14:paraId="738B58A0">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出资比例</w:t>
            </w:r>
          </w:p>
        </w:tc>
        <w:tc>
          <w:tcPr>
            <w:tcW w:w="6727" w:type="dxa"/>
            <w:tcBorders>
              <w:top w:val="single" w:color="auto" w:sz="4" w:space="0"/>
              <w:left w:val="nil"/>
              <w:bottom w:val="single" w:color="auto" w:sz="4" w:space="0"/>
              <w:right w:val="single" w:color="auto" w:sz="4" w:space="0"/>
            </w:tcBorders>
            <w:vAlign w:val="center"/>
          </w:tcPr>
          <w:p w14:paraId="1EB9BB0B">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100%</w:t>
            </w:r>
          </w:p>
        </w:tc>
      </w:tr>
      <w:tr w14:paraId="5E18E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9C0631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171" w:type="dxa"/>
            <w:tcBorders>
              <w:top w:val="single" w:color="auto" w:sz="4" w:space="0"/>
              <w:left w:val="nil"/>
              <w:bottom w:val="single" w:color="auto" w:sz="4" w:space="0"/>
              <w:right w:val="single" w:color="auto" w:sz="4" w:space="0"/>
            </w:tcBorders>
            <w:vAlign w:val="center"/>
          </w:tcPr>
          <w:p w14:paraId="2EC9407E">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资金落实情况</w:t>
            </w:r>
          </w:p>
        </w:tc>
        <w:tc>
          <w:tcPr>
            <w:tcW w:w="6727" w:type="dxa"/>
            <w:tcBorders>
              <w:top w:val="single" w:color="auto" w:sz="4" w:space="0"/>
              <w:left w:val="nil"/>
              <w:bottom w:val="single" w:color="auto" w:sz="4" w:space="0"/>
              <w:right w:val="single" w:color="auto" w:sz="4" w:space="0"/>
            </w:tcBorders>
            <w:vAlign w:val="center"/>
          </w:tcPr>
          <w:p w14:paraId="562E407E">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已落实</w:t>
            </w:r>
          </w:p>
        </w:tc>
      </w:tr>
      <w:tr w14:paraId="476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C02202B">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2171" w:type="dxa"/>
            <w:tcBorders>
              <w:top w:val="single" w:color="auto" w:sz="4" w:space="0"/>
              <w:left w:val="nil"/>
              <w:bottom w:val="single" w:color="auto" w:sz="4" w:space="0"/>
              <w:right w:val="single" w:color="auto" w:sz="4" w:space="0"/>
            </w:tcBorders>
            <w:vAlign w:val="center"/>
          </w:tcPr>
          <w:p w14:paraId="49B3FFB5">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招标范围</w:t>
            </w:r>
          </w:p>
        </w:tc>
        <w:tc>
          <w:tcPr>
            <w:tcW w:w="6727" w:type="dxa"/>
            <w:tcBorders>
              <w:top w:val="single" w:color="auto" w:sz="4" w:space="0"/>
              <w:left w:val="nil"/>
              <w:bottom w:val="single" w:color="auto" w:sz="4" w:space="0"/>
              <w:right w:val="single" w:color="auto" w:sz="4" w:space="0"/>
            </w:tcBorders>
            <w:vAlign w:val="center"/>
          </w:tcPr>
          <w:p w14:paraId="039D4C96">
            <w:pPr>
              <w:snapToGrid w:val="0"/>
              <w:spacing w:line="240" w:lineRule="auto"/>
              <w:jc w:val="left"/>
              <w:textAlignment w:val="baseline"/>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竞争性磋商文件所包含的全部内容</w:t>
            </w:r>
          </w:p>
        </w:tc>
      </w:tr>
      <w:tr w14:paraId="08A6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F3A16BA">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p>
        </w:tc>
        <w:tc>
          <w:tcPr>
            <w:tcW w:w="2171" w:type="dxa"/>
            <w:tcBorders>
              <w:top w:val="single" w:color="auto" w:sz="4" w:space="0"/>
              <w:left w:val="nil"/>
              <w:bottom w:val="single" w:color="auto" w:sz="4" w:space="0"/>
              <w:right w:val="single" w:color="auto" w:sz="4" w:space="0"/>
            </w:tcBorders>
            <w:vAlign w:val="center"/>
          </w:tcPr>
          <w:p w14:paraId="148D0C4D">
            <w:pPr>
              <w:spacing w:line="240" w:lineRule="auto"/>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及质保期</w:t>
            </w:r>
          </w:p>
        </w:tc>
        <w:tc>
          <w:tcPr>
            <w:tcW w:w="6727" w:type="dxa"/>
            <w:tcBorders>
              <w:top w:val="single" w:color="auto" w:sz="4" w:space="0"/>
              <w:left w:val="nil"/>
              <w:bottom w:val="single" w:color="auto" w:sz="4" w:space="0"/>
              <w:right w:val="single" w:color="auto" w:sz="4" w:space="0"/>
            </w:tcBorders>
            <w:vAlign w:val="center"/>
          </w:tcPr>
          <w:p w14:paraId="73E9645C">
            <w:pPr>
              <w:spacing w:line="240" w:lineRule="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供货期</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合同签订后60日历天内供货并安装、调试完毕至正常运行。</w:t>
            </w:r>
          </w:p>
          <w:p w14:paraId="36526E7D">
            <w:pPr>
              <w:spacing w:line="240" w:lineRule="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质保期：一年</w:t>
            </w:r>
          </w:p>
        </w:tc>
      </w:tr>
      <w:tr w14:paraId="4199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212C761">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p>
        </w:tc>
        <w:tc>
          <w:tcPr>
            <w:tcW w:w="2171" w:type="dxa"/>
            <w:tcBorders>
              <w:top w:val="single" w:color="auto" w:sz="4" w:space="0"/>
              <w:left w:val="nil"/>
              <w:bottom w:val="single" w:color="auto" w:sz="4" w:space="0"/>
              <w:right w:val="single" w:color="auto" w:sz="4" w:space="0"/>
            </w:tcBorders>
            <w:vAlign w:val="center"/>
          </w:tcPr>
          <w:p w14:paraId="5C18DA8C">
            <w:pPr>
              <w:spacing w:line="240" w:lineRule="auto"/>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质量</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标准</w:t>
            </w:r>
          </w:p>
        </w:tc>
        <w:tc>
          <w:tcPr>
            <w:tcW w:w="6727" w:type="dxa"/>
            <w:tcBorders>
              <w:top w:val="single" w:color="auto" w:sz="4" w:space="0"/>
              <w:left w:val="nil"/>
              <w:bottom w:val="single" w:color="auto" w:sz="4" w:space="0"/>
              <w:right w:val="single" w:color="auto" w:sz="4" w:space="0"/>
            </w:tcBorders>
            <w:vAlign w:val="center"/>
          </w:tcPr>
          <w:p w14:paraId="4D5CA021">
            <w:pPr>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符合国家相关规范要求且满足采购人需求</w:t>
            </w:r>
          </w:p>
        </w:tc>
      </w:tr>
      <w:tr w14:paraId="408E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530B7DC">
            <w:pPr>
              <w:spacing w:line="36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12</w:t>
            </w:r>
          </w:p>
        </w:tc>
        <w:tc>
          <w:tcPr>
            <w:tcW w:w="2171" w:type="dxa"/>
            <w:tcBorders>
              <w:top w:val="single" w:color="auto" w:sz="4" w:space="0"/>
              <w:left w:val="nil"/>
              <w:bottom w:val="single" w:color="auto" w:sz="4" w:space="0"/>
              <w:right w:val="single" w:color="auto" w:sz="4" w:space="0"/>
            </w:tcBorders>
            <w:vAlign w:val="center"/>
          </w:tcPr>
          <w:p w14:paraId="04458E84">
            <w:pPr>
              <w:keepNext w:val="0"/>
              <w:keepLines w:val="0"/>
              <w:pageBreakBefore w:val="0"/>
              <w:widowControl w:val="0"/>
              <w:kinsoku/>
              <w:wordWrap w:val="0"/>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采购内容</w:t>
            </w:r>
          </w:p>
        </w:tc>
        <w:tc>
          <w:tcPr>
            <w:tcW w:w="6727" w:type="dxa"/>
            <w:tcBorders>
              <w:top w:val="single" w:color="auto" w:sz="4" w:space="0"/>
              <w:left w:val="nil"/>
              <w:bottom w:val="single" w:color="auto" w:sz="4" w:space="0"/>
              <w:right w:val="single" w:color="auto" w:sz="4" w:space="0"/>
            </w:tcBorders>
            <w:vAlign w:val="center"/>
          </w:tcPr>
          <w:p w14:paraId="29C85BFA">
            <w:pPr>
              <w:keepNext w:val="0"/>
              <w:keepLines w:val="0"/>
              <w:pageBreakBefore w:val="0"/>
              <w:widowControl w:val="0"/>
              <w:kinsoku/>
              <w:wordWrap w:val="0"/>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拟采购一批文物库房门、文物柜架等设备。</w:t>
            </w:r>
          </w:p>
        </w:tc>
      </w:tr>
      <w:tr w14:paraId="6359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2417B8D">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p>
        </w:tc>
        <w:tc>
          <w:tcPr>
            <w:tcW w:w="2171" w:type="dxa"/>
            <w:tcBorders>
              <w:top w:val="single" w:color="auto" w:sz="4" w:space="0"/>
              <w:left w:val="nil"/>
              <w:bottom w:val="single" w:color="auto" w:sz="4" w:space="0"/>
              <w:right w:val="single" w:color="auto" w:sz="4" w:space="0"/>
            </w:tcBorders>
            <w:vAlign w:val="center"/>
          </w:tcPr>
          <w:p w14:paraId="74BDCD44">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响应人资质条件</w:t>
            </w:r>
          </w:p>
        </w:tc>
        <w:tc>
          <w:tcPr>
            <w:tcW w:w="6727" w:type="dxa"/>
            <w:tcBorders>
              <w:top w:val="single" w:color="auto" w:sz="4" w:space="0"/>
              <w:left w:val="nil"/>
              <w:bottom w:val="single" w:color="auto" w:sz="4" w:space="0"/>
              <w:right w:val="single" w:color="auto" w:sz="4" w:space="0"/>
            </w:tcBorders>
            <w:vAlign w:val="center"/>
          </w:tcPr>
          <w:p w14:paraId="384052C9">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（一）落实政府采购政策满足的资格要求：本项目非专门面向中小微企业采购项目，执行促进中小型企业发展政策（残疾人福利性企业、监狱企业视同小微企业）、优先采购节能环保产品等政府采购政策。</w:t>
            </w:r>
          </w:p>
          <w:p w14:paraId="0EA05A38">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（二）供应商参加本次政府采购活动中必须符合《中华人民共和国政府采购法》第二十二条对合格供应商的要求并同时具备以下条件：</w:t>
            </w:r>
          </w:p>
          <w:p w14:paraId="720FE278">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1、具有在中华人民共和国境内注册的能够独立承担民事责任的独立法人；具有有效的营业执照、税务登记证、组织机构代码证(或“三证合一”的营业执照)；</w:t>
            </w:r>
          </w:p>
          <w:p w14:paraId="02BB1018">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2、具有履行合同所必需的设备和专业技术能力；（提供证明材料或承诺书）</w:t>
            </w:r>
          </w:p>
          <w:p w14:paraId="79CE1009">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3、提供2022年-2024年度任意一年第三方审计机构出具的财务报告（新成立公司无审计报告应附最新的财务报表及说明）；</w:t>
            </w:r>
          </w:p>
          <w:p w14:paraId="635ACBFE">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4、依法缴纳税收（提供2025年01月以来任意一个月企业依法缴纳税收证明材料）和缴纳社会保障资金（提供2025年01月以来连续三个月拟派项目负责人依法缴纳社保证明材料）</w:t>
            </w:r>
          </w:p>
          <w:p w14:paraId="335B39AF">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5、参加政府采购活动前3年内无行贿犯罪记录，（开标时提供《中国裁判文书网》查询结果网页截图或企业自行承诺的无行贿犯罪承诺书，查询&lt;承诺&gt;对象为“企业，法定代表人，项目负责人”）；</w:t>
            </w:r>
          </w:p>
          <w:p w14:paraId="7D3CB6D6">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6.参加政府采购活动前3年内无商业贿赂、不正当竞争行为、骗取中标、严重违约及重大工程质量等问题（供应商须自行出具承诺书）；</w:t>
            </w:r>
          </w:p>
          <w:p w14:paraId="3E27CD7A">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p w14:paraId="7AD28B66">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 xml:space="preserve">8、单位负责人为同一人或者存在控股、管理关系的不同单位，不得同时参加本项目的投标；（提供“国家企业信用信息公示系统”中公示的公司信息、股东或投资人信息查询截图） </w:t>
            </w:r>
          </w:p>
          <w:p w14:paraId="243197A0">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9、本项目不接受联合体投标；</w:t>
            </w:r>
          </w:p>
          <w:p w14:paraId="04D40DA6">
            <w:pPr>
              <w:spacing w:line="24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10、本次磋商实行资格后审；</w:t>
            </w:r>
          </w:p>
          <w:p w14:paraId="18EA444D">
            <w:pPr>
              <w:spacing w:line="240" w:lineRule="auto"/>
              <w:ind w:right="210" w:rightChars="100" w:firstLine="420" w:firstLineChars="200"/>
              <w:contextualSpacing/>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注：被列入失信被执行人及重大税收违法失信主体的企业做无效标处理。招标人或招标代理机构有权对投标人信用记录进行甄别和复查。</w:t>
            </w:r>
          </w:p>
        </w:tc>
      </w:tr>
      <w:tr w14:paraId="187A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0FB1621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171" w:type="dxa"/>
            <w:tcBorders>
              <w:top w:val="single" w:color="auto" w:sz="4" w:space="0"/>
              <w:left w:val="nil"/>
              <w:bottom w:val="single" w:color="auto" w:sz="4" w:space="0"/>
              <w:right w:val="single" w:color="auto" w:sz="4" w:space="0"/>
            </w:tcBorders>
            <w:vAlign w:val="center"/>
          </w:tcPr>
          <w:p w14:paraId="3CC4C0EA">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是否接受联合体投标</w:t>
            </w:r>
          </w:p>
        </w:tc>
        <w:tc>
          <w:tcPr>
            <w:tcW w:w="6727" w:type="dxa"/>
            <w:tcBorders>
              <w:top w:val="single" w:color="auto" w:sz="4" w:space="0"/>
              <w:left w:val="nil"/>
              <w:bottom w:val="single" w:color="auto" w:sz="4" w:space="0"/>
              <w:right w:val="single" w:color="auto" w:sz="4" w:space="0"/>
            </w:tcBorders>
            <w:vAlign w:val="center"/>
          </w:tcPr>
          <w:p w14:paraId="28CDD16D">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■不接受</w:t>
            </w:r>
          </w:p>
        </w:tc>
      </w:tr>
      <w:tr w14:paraId="0A3B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0D1DA669">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171" w:type="dxa"/>
            <w:tcBorders>
              <w:top w:val="single" w:color="auto" w:sz="4" w:space="0"/>
              <w:left w:val="nil"/>
              <w:bottom w:val="single" w:color="auto" w:sz="4" w:space="0"/>
              <w:right w:val="single" w:color="auto" w:sz="4" w:space="0"/>
            </w:tcBorders>
            <w:vAlign w:val="center"/>
          </w:tcPr>
          <w:p w14:paraId="7B1A52B5">
            <w:pPr>
              <w:widowControl/>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报价及费用</w:t>
            </w:r>
          </w:p>
        </w:tc>
        <w:tc>
          <w:tcPr>
            <w:tcW w:w="6727" w:type="dxa"/>
            <w:tcBorders>
              <w:top w:val="single" w:color="auto" w:sz="4" w:space="0"/>
              <w:left w:val="nil"/>
              <w:bottom w:val="single" w:color="auto" w:sz="4" w:space="0"/>
              <w:right w:val="single" w:color="auto" w:sz="4" w:space="0"/>
            </w:tcBorders>
            <w:vAlign w:val="center"/>
          </w:tcPr>
          <w:p w14:paraId="58909104">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1．本项目应以人民币报价，供应商应就该项目完整投标（报价应包含</w:t>
            </w:r>
            <w:r>
              <w:rPr>
                <w:rFonts w:hint="eastAsia" w:asciiTheme="minorEastAsia" w:hAnsiTheme="minorEastAsia" w:eastAsiaTheme="minorEastAsia" w:cstheme="minorEastAsia"/>
                <w:color w:val="000000" w:themeColor="text1"/>
                <w:kern w:val="0"/>
                <w:sz w:val="21"/>
                <w:szCs w:val="21"/>
                <w:highlight w:val="none"/>
                <w:lang w:eastAsia="zh-CN"/>
                <w14:textFill>
                  <w14:solidFill>
                    <w14:schemeClr w14:val="tx1"/>
                  </w14:solidFill>
                </w14:textFill>
              </w:rPr>
              <w:t>货物费、运输费、技术指导费、税费等综合费用</w:t>
            </w: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），采购人不另外支付其他任何费用；</w:t>
            </w:r>
          </w:p>
          <w:p w14:paraId="344F25B7">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highlight w:val="none"/>
                <w14:textFill>
                  <w14:solidFill>
                    <w14:schemeClr w14:val="tx1"/>
                  </w14:solidFill>
                </w14:textFill>
              </w:rPr>
              <w:t>2.代理报酬的计算方法按以下方式执行：参照河南省招标投标协会豫招协会【2023】002号文件收费标准，由成交人支付。</w:t>
            </w:r>
          </w:p>
        </w:tc>
      </w:tr>
      <w:tr w14:paraId="6242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A42F1E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2171" w:type="dxa"/>
            <w:tcBorders>
              <w:top w:val="single" w:color="auto" w:sz="4" w:space="0"/>
              <w:left w:val="nil"/>
              <w:bottom w:val="single" w:color="auto" w:sz="4" w:space="0"/>
              <w:right w:val="single" w:color="auto" w:sz="4" w:space="0"/>
            </w:tcBorders>
            <w:vAlign w:val="center"/>
          </w:tcPr>
          <w:p w14:paraId="59AB9597">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踏勘现场</w:t>
            </w:r>
          </w:p>
        </w:tc>
        <w:tc>
          <w:tcPr>
            <w:tcW w:w="6727" w:type="dxa"/>
            <w:tcBorders>
              <w:top w:val="single" w:color="auto" w:sz="4" w:space="0"/>
              <w:left w:val="nil"/>
              <w:bottom w:val="single" w:color="auto" w:sz="4" w:space="0"/>
              <w:right w:val="single" w:color="auto" w:sz="4" w:space="0"/>
            </w:tcBorders>
            <w:vAlign w:val="center"/>
          </w:tcPr>
          <w:p w14:paraId="0AED7FCA">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■不组织</w:t>
            </w:r>
          </w:p>
        </w:tc>
      </w:tr>
      <w:tr w14:paraId="55F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40EBCD7">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7</w:t>
            </w:r>
          </w:p>
        </w:tc>
        <w:tc>
          <w:tcPr>
            <w:tcW w:w="2171" w:type="dxa"/>
            <w:tcBorders>
              <w:top w:val="single" w:color="auto" w:sz="4" w:space="0"/>
              <w:left w:val="nil"/>
              <w:bottom w:val="single" w:color="auto" w:sz="4" w:space="0"/>
              <w:right w:val="single" w:color="auto" w:sz="4" w:space="0"/>
            </w:tcBorders>
            <w:vAlign w:val="center"/>
          </w:tcPr>
          <w:p w14:paraId="7486BF7A">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投标预备会</w:t>
            </w:r>
          </w:p>
        </w:tc>
        <w:tc>
          <w:tcPr>
            <w:tcW w:w="6727" w:type="dxa"/>
            <w:tcBorders>
              <w:top w:val="single" w:color="auto" w:sz="4" w:space="0"/>
              <w:left w:val="nil"/>
              <w:bottom w:val="single" w:color="auto" w:sz="4" w:space="0"/>
              <w:right w:val="single" w:color="auto" w:sz="4" w:space="0"/>
            </w:tcBorders>
            <w:vAlign w:val="center"/>
          </w:tcPr>
          <w:p w14:paraId="1115A590">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■不召开</w:t>
            </w:r>
          </w:p>
        </w:tc>
      </w:tr>
      <w:tr w14:paraId="55EAB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C2E9ECE">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p>
        </w:tc>
        <w:tc>
          <w:tcPr>
            <w:tcW w:w="2171" w:type="dxa"/>
            <w:tcBorders>
              <w:top w:val="single" w:color="auto" w:sz="4" w:space="0"/>
              <w:left w:val="nil"/>
              <w:bottom w:val="single" w:color="auto" w:sz="4" w:space="0"/>
              <w:right w:val="single" w:color="auto" w:sz="4" w:space="0"/>
            </w:tcBorders>
            <w:vAlign w:val="center"/>
          </w:tcPr>
          <w:p w14:paraId="6E5DBD78">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分  包</w:t>
            </w:r>
          </w:p>
        </w:tc>
        <w:tc>
          <w:tcPr>
            <w:tcW w:w="6727" w:type="dxa"/>
            <w:tcBorders>
              <w:top w:val="single" w:color="auto" w:sz="4" w:space="0"/>
              <w:left w:val="nil"/>
              <w:bottom w:val="single" w:color="auto" w:sz="4" w:space="0"/>
              <w:right w:val="single" w:color="auto" w:sz="4" w:space="0"/>
            </w:tcBorders>
            <w:vAlign w:val="center"/>
          </w:tcPr>
          <w:p w14:paraId="06E2C40C">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6FE3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D9C3894">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9</w:t>
            </w:r>
          </w:p>
        </w:tc>
        <w:tc>
          <w:tcPr>
            <w:tcW w:w="2171" w:type="dxa"/>
            <w:tcBorders>
              <w:top w:val="single" w:color="auto" w:sz="4" w:space="0"/>
              <w:left w:val="nil"/>
              <w:bottom w:val="single" w:color="auto" w:sz="4" w:space="0"/>
              <w:right w:val="single" w:color="auto" w:sz="4" w:space="0"/>
            </w:tcBorders>
            <w:vAlign w:val="center"/>
          </w:tcPr>
          <w:p w14:paraId="73430554">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偏  离</w:t>
            </w:r>
          </w:p>
        </w:tc>
        <w:tc>
          <w:tcPr>
            <w:tcW w:w="6727" w:type="dxa"/>
            <w:tcBorders>
              <w:top w:val="single" w:color="auto" w:sz="4" w:space="0"/>
              <w:left w:val="nil"/>
              <w:bottom w:val="single" w:color="auto" w:sz="4" w:space="0"/>
              <w:right w:val="single" w:color="auto" w:sz="4" w:space="0"/>
            </w:tcBorders>
            <w:vAlign w:val="center"/>
          </w:tcPr>
          <w:p w14:paraId="0682234C">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允许（正偏离，即优于本项目设定的技术参数和产品质量的偏离）</w:t>
            </w:r>
          </w:p>
        </w:tc>
      </w:tr>
      <w:tr w14:paraId="0353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59F2649">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20</w:t>
            </w:r>
          </w:p>
        </w:tc>
        <w:tc>
          <w:tcPr>
            <w:tcW w:w="2171" w:type="dxa"/>
            <w:tcBorders>
              <w:top w:val="single" w:color="auto" w:sz="4" w:space="0"/>
              <w:left w:val="nil"/>
              <w:bottom w:val="single" w:color="auto" w:sz="4" w:space="0"/>
              <w:right w:val="single" w:color="auto" w:sz="4" w:space="0"/>
            </w:tcBorders>
            <w:vAlign w:val="center"/>
          </w:tcPr>
          <w:p w14:paraId="72845B00">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构成竞争性磋商文件的其他材料</w:t>
            </w:r>
          </w:p>
        </w:tc>
        <w:tc>
          <w:tcPr>
            <w:tcW w:w="6727" w:type="dxa"/>
            <w:tcBorders>
              <w:top w:val="single" w:color="auto" w:sz="4" w:space="0"/>
              <w:left w:val="nil"/>
              <w:bottom w:val="single" w:color="auto" w:sz="4" w:space="0"/>
              <w:right w:val="single" w:color="auto" w:sz="4" w:space="0"/>
            </w:tcBorders>
            <w:vAlign w:val="center"/>
          </w:tcPr>
          <w:p w14:paraId="317CE242">
            <w:pPr>
              <w:spacing w:line="240"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对竞争性磋商文件所作的澄清（含答疑）、修改，补充构成竞争性磋商文件的组成部分。</w:t>
            </w:r>
          </w:p>
        </w:tc>
      </w:tr>
      <w:tr w14:paraId="78457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8A96E14">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21</w:t>
            </w:r>
          </w:p>
        </w:tc>
        <w:tc>
          <w:tcPr>
            <w:tcW w:w="2171" w:type="dxa"/>
            <w:tcBorders>
              <w:top w:val="single" w:color="auto" w:sz="4" w:space="0"/>
              <w:left w:val="nil"/>
              <w:bottom w:val="single" w:color="auto" w:sz="4" w:space="0"/>
              <w:right w:val="single" w:color="auto" w:sz="4" w:space="0"/>
            </w:tcBorders>
            <w:vAlign w:val="center"/>
          </w:tcPr>
          <w:p w14:paraId="6394483D">
            <w:pPr>
              <w:spacing w:line="240" w:lineRule="auto"/>
              <w:jc w:val="center"/>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响应人要求澄清竞争性磋商文件的截止时间</w:t>
            </w:r>
          </w:p>
        </w:tc>
        <w:tc>
          <w:tcPr>
            <w:tcW w:w="6727" w:type="dxa"/>
            <w:tcBorders>
              <w:top w:val="single" w:color="auto" w:sz="4" w:space="0"/>
              <w:left w:val="nil"/>
              <w:bottom w:val="single" w:color="auto" w:sz="4" w:space="0"/>
              <w:right w:val="single" w:color="auto" w:sz="4" w:space="0"/>
            </w:tcBorders>
            <w:vAlign w:val="center"/>
          </w:tcPr>
          <w:p w14:paraId="57AC0554">
            <w:pPr>
              <w:spacing w:line="240" w:lineRule="auto"/>
              <w:jc w:val="both"/>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递交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截止时间至少3个工作日前</w:t>
            </w:r>
          </w:p>
        </w:tc>
      </w:tr>
      <w:tr w14:paraId="5B9E0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47124ED">
            <w:pPr>
              <w:spacing w:line="288"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22</w:t>
            </w:r>
          </w:p>
        </w:tc>
        <w:tc>
          <w:tcPr>
            <w:tcW w:w="2171" w:type="dxa"/>
            <w:tcBorders>
              <w:top w:val="single" w:color="auto" w:sz="4" w:space="0"/>
              <w:left w:val="nil"/>
              <w:bottom w:val="single" w:color="auto" w:sz="4" w:space="0"/>
              <w:right w:val="single" w:color="auto" w:sz="4" w:space="0"/>
            </w:tcBorders>
            <w:vAlign w:val="center"/>
          </w:tcPr>
          <w:p w14:paraId="3B14BCD8">
            <w:pPr>
              <w:spacing w:line="240"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w:t>
            </w:r>
          </w:p>
        </w:tc>
        <w:tc>
          <w:tcPr>
            <w:tcW w:w="6727" w:type="dxa"/>
            <w:tcBorders>
              <w:top w:val="single" w:color="auto" w:sz="4" w:space="0"/>
              <w:left w:val="nil"/>
              <w:bottom w:val="single" w:color="auto" w:sz="4" w:space="0"/>
              <w:right w:val="single" w:color="auto" w:sz="4" w:space="0"/>
            </w:tcBorders>
            <w:vAlign w:val="center"/>
          </w:tcPr>
          <w:p w14:paraId="05E112C9">
            <w:pPr>
              <w:spacing w:line="240" w:lineRule="auto"/>
              <w:jc w:val="both"/>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auto"/>
                <w:sz w:val="21"/>
                <w:szCs w:val="21"/>
                <w:highlight w:val="none"/>
                <w:lang w:eastAsia="zh-CN"/>
              </w:rPr>
              <w:t>2025年</w:t>
            </w:r>
            <w:r>
              <w:rPr>
                <w:rFonts w:hint="eastAsia" w:asciiTheme="minorEastAsia" w:hAnsiTheme="minorEastAsia" w:eastAsiaTheme="minorEastAsia" w:cstheme="minorEastAsia"/>
                <w:color w:val="auto"/>
                <w:sz w:val="21"/>
                <w:szCs w:val="21"/>
                <w:highlight w:val="none"/>
                <w:lang w:val="en-US" w:eastAsia="zh-CN"/>
              </w:rPr>
              <w:t>11</w:t>
            </w:r>
            <w:r>
              <w:rPr>
                <w:rFonts w:hint="eastAsia" w:asciiTheme="minorEastAsia" w:hAnsiTheme="minorEastAsia" w:eastAsiaTheme="minorEastAsia" w:cstheme="minorEastAsia"/>
                <w:color w:val="auto"/>
                <w:sz w:val="21"/>
                <w:szCs w:val="21"/>
                <w:highlight w:val="none"/>
                <w:lang w:eastAsia="zh-CN"/>
              </w:rPr>
              <w:t>月0</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lang w:eastAsia="zh-CN"/>
              </w:rPr>
              <w:t>日08时40分</w:t>
            </w:r>
          </w:p>
        </w:tc>
      </w:tr>
      <w:tr w14:paraId="5AF6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1DF0C22B">
            <w:pPr>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23</w:t>
            </w:r>
          </w:p>
        </w:tc>
        <w:tc>
          <w:tcPr>
            <w:tcW w:w="2171" w:type="dxa"/>
            <w:tcBorders>
              <w:top w:val="single" w:color="auto" w:sz="4" w:space="0"/>
              <w:left w:val="nil"/>
              <w:bottom w:val="single" w:color="auto" w:sz="4" w:space="0"/>
              <w:right w:val="single" w:color="auto" w:sz="4" w:space="0"/>
            </w:tcBorders>
            <w:vAlign w:val="center"/>
          </w:tcPr>
          <w:p w14:paraId="7351F93B">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响应人确认收到竞争性磋商文件澄清的时间</w:t>
            </w:r>
          </w:p>
        </w:tc>
        <w:tc>
          <w:tcPr>
            <w:tcW w:w="6727" w:type="dxa"/>
            <w:tcBorders>
              <w:top w:val="single" w:color="auto" w:sz="4" w:space="0"/>
              <w:left w:val="nil"/>
              <w:bottom w:val="single" w:color="auto" w:sz="4" w:space="0"/>
              <w:right w:val="single" w:color="auto" w:sz="4" w:space="0"/>
            </w:tcBorders>
            <w:vAlign w:val="center"/>
          </w:tcPr>
          <w:p w14:paraId="7610C281">
            <w:pPr>
              <w:spacing w:line="240"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在收到相应澄清文件后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368ED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55A2F826">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w:t>
            </w:r>
          </w:p>
        </w:tc>
        <w:tc>
          <w:tcPr>
            <w:tcW w:w="2171" w:type="dxa"/>
            <w:tcBorders>
              <w:top w:val="single" w:color="auto" w:sz="4" w:space="0"/>
              <w:left w:val="nil"/>
              <w:bottom w:val="single" w:color="auto" w:sz="4" w:space="0"/>
              <w:right w:val="single" w:color="auto" w:sz="4" w:space="0"/>
            </w:tcBorders>
            <w:vAlign w:val="center"/>
          </w:tcPr>
          <w:p w14:paraId="390142C5">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响应人确认收到竞争性磋商文件修改的时间</w:t>
            </w:r>
          </w:p>
        </w:tc>
        <w:tc>
          <w:tcPr>
            <w:tcW w:w="6727" w:type="dxa"/>
            <w:tcBorders>
              <w:top w:val="single" w:color="auto" w:sz="4" w:space="0"/>
              <w:left w:val="nil"/>
              <w:bottom w:val="single" w:color="auto" w:sz="4" w:space="0"/>
              <w:right w:val="single" w:color="auto" w:sz="4" w:space="0"/>
            </w:tcBorders>
            <w:vAlign w:val="center"/>
          </w:tcPr>
          <w:p w14:paraId="393C33A3">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在收到相应修改文件后</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 xml:space="preserve"> 24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小时内</w:t>
            </w:r>
          </w:p>
        </w:tc>
      </w:tr>
      <w:tr w14:paraId="4974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296C5865">
            <w:pPr>
              <w:jc w:val="cente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2171" w:type="dxa"/>
            <w:tcBorders>
              <w:top w:val="single" w:color="auto" w:sz="4" w:space="0"/>
              <w:left w:val="nil"/>
              <w:bottom w:val="single" w:color="auto" w:sz="4" w:space="0"/>
              <w:right w:val="single" w:color="auto" w:sz="4" w:space="0"/>
            </w:tcBorders>
            <w:vAlign w:val="center"/>
          </w:tcPr>
          <w:p w14:paraId="7A2C9F7A">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构成响应文件的其他材料</w:t>
            </w:r>
          </w:p>
        </w:tc>
        <w:tc>
          <w:tcPr>
            <w:tcW w:w="6727" w:type="dxa"/>
            <w:tcBorders>
              <w:top w:val="single" w:color="auto" w:sz="4" w:space="0"/>
              <w:left w:val="nil"/>
              <w:bottom w:val="single" w:color="auto" w:sz="4" w:space="0"/>
              <w:right w:val="single" w:color="auto" w:sz="4" w:space="0"/>
            </w:tcBorders>
            <w:vAlign w:val="center"/>
          </w:tcPr>
          <w:p w14:paraId="50EA7B47">
            <w:pPr>
              <w:spacing w:line="240" w:lineRule="auto"/>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p>
        </w:tc>
      </w:tr>
      <w:tr w14:paraId="1F92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860FEA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26</w:t>
            </w:r>
          </w:p>
        </w:tc>
        <w:tc>
          <w:tcPr>
            <w:tcW w:w="2171" w:type="dxa"/>
            <w:tcBorders>
              <w:top w:val="single" w:color="auto" w:sz="4" w:space="0"/>
              <w:left w:val="nil"/>
              <w:bottom w:val="single" w:color="auto" w:sz="4" w:space="0"/>
              <w:right w:val="single" w:color="auto" w:sz="4" w:space="0"/>
            </w:tcBorders>
            <w:vAlign w:val="center"/>
          </w:tcPr>
          <w:p w14:paraId="6B0E7C5E">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w:t>
            </w:r>
          </w:p>
        </w:tc>
        <w:tc>
          <w:tcPr>
            <w:tcW w:w="6727" w:type="dxa"/>
            <w:tcBorders>
              <w:top w:val="single" w:color="auto" w:sz="4" w:space="0"/>
              <w:left w:val="nil"/>
              <w:bottom w:val="single" w:color="auto" w:sz="4" w:space="0"/>
              <w:right w:val="single" w:color="auto" w:sz="4" w:space="0"/>
            </w:tcBorders>
            <w:vAlign w:val="center"/>
          </w:tcPr>
          <w:p w14:paraId="64E16BA8">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截止之日起60日历天</w:t>
            </w:r>
          </w:p>
        </w:tc>
      </w:tr>
      <w:tr w14:paraId="743F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991465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27</w:t>
            </w:r>
          </w:p>
        </w:tc>
        <w:tc>
          <w:tcPr>
            <w:tcW w:w="2171" w:type="dxa"/>
            <w:tcBorders>
              <w:top w:val="single" w:color="auto" w:sz="4" w:space="0"/>
              <w:left w:val="nil"/>
              <w:bottom w:val="single" w:color="auto" w:sz="4" w:space="0"/>
              <w:right w:val="single" w:color="auto" w:sz="4" w:space="0"/>
            </w:tcBorders>
            <w:vAlign w:val="center"/>
          </w:tcPr>
          <w:p w14:paraId="69184268">
            <w:pPr>
              <w:spacing w:line="240" w:lineRule="auto"/>
              <w:jc w:val="both"/>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及履约保证及</w:t>
            </w:r>
          </w:p>
        </w:tc>
        <w:tc>
          <w:tcPr>
            <w:tcW w:w="6727" w:type="dxa"/>
            <w:tcBorders>
              <w:top w:val="single" w:color="auto" w:sz="4" w:space="0"/>
              <w:left w:val="nil"/>
              <w:bottom w:val="single" w:color="auto" w:sz="4" w:space="0"/>
              <w:right w:val="single" w:color="auto" w:sz="4" w:space="0"/>
            </w:tcBorders>
            <w:vAlign w:val="center"/>
          </w:tcPr>
          <w:p w14:paraId="02BD50FF">
            <w:pPr>
              <w:widowControl/>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磋商保证金</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01D7C5DC">
            <w:pPr>
              <w:pStyle w:val="18"/>
              <w:spacing w:line="240" w:lineRule="auto"/>
              <w:ind w:left="0" w:leftChars="0" w:firstLine="0" w:firstLineChars="0"/>
              <w:jc w:val="left"/>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履约保证金：无</w:t>
            </w:r>
          </w:p>
        </w:tc>
      </w:tr>
      <w:tr w14:paraId="1E3B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A06EE1A">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28</w:t>
            </w:r>
          </w:p>
        </w:tc>
        <w:tc>
          <w:tcPr>
            <w:tcW w:w="2171" w:type="dxa"/>
            <w:tcBorders>
              <w:top w:val="single" w:color="auto" w:sz="4" w:space="0"/>
              <w:left w:val="nil"/>
              <w:bottom w:val="single" w:color="auto" w:sz="4" w:space="0"/>
              <w:right w:val="single" w:color="auto" w:sz="4" w:space="0"/>
            </w:tcBorders>
            <w:vAlign w:val="center"/>
          </w:tcPr>
          <w:p w14:paraId="04E10617">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近年完成的类似项目的年份要求</w:t>
            </w:r>
          </w:p>
        </w:tc>
        <w:tc>
          <w:tcPr>
            <w:tcW w:w="6727" w:type="dxa"/>
            <w:tcBorders>
              <w:top w:val="single" w:color="auto" w:sz="4" w:space="0"/>
              <w:left w:val="nil"/>
              <w:bottom w:val="single" w:color="auto" w:sz="4" w:space="0"/>
              <w:right w:val="single" w:color="auto" w:sz="4" w:space="0"/>
            </w:tcBorders>
            <w:vAlign w:val="center"/>
          </w:tcPr>
          <w:p w14:paraId="29A91978">
            <w:pPr>
              <w:spacing w:line="240"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2DAF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6BA09781">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29</w:t>
            </w:r>
          </w:p>
        </w:tc>
        <w:tc>
          <w:tcPr>
            <w:tcW w:w="2171" w:type="dxa"/>
            <w:tcBorders>
              <w:top w:val="single" w:color="auto" w:sz="4" w:space="0"/>
              <w:left w:val="nil"/>
              <w:bottom w:val="single" w:color="auto" w:sz="4" w:space="0"/>
              <w:right w:val="single" w:color="auto" w:sz="4" w:space="0"/>
            </w:tcBorders>
            <w:vAlign w:val="center"/>
          </w:tcPr>
          <w:p w14:paraId="1CABCD51">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近年发生的诉讼及仲裁情况的年份要求</w:t>
            </w:r>
          </w:p>
        </w:tc>
        <w:tc>
          <w:tcPr>
            <w:tcW w:w="6727" w:type="dxa"/>
            <w:tcBorders>
              <w:top w:val="single" w:color="auto" w:sz="4" w:space="0"/>
              <w:left w:val="nil"/>
              <w:bottom w:val="single" w:color="auto" w:sz="4" w:space="0"/>
              <w:right w:val="single" w:color="auto" w:sz="4" w:space="0"/>
            </w:tcBorders>
            <w:vAlign w:val="center"/>
          </w:tcPr>
          <w:p w14:paraId="7F69D01F">
            <w:pPr>
              <w:spacing w:line="240" w:lineRule="auto"/>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u w:val="none"/>
                <w14:textFill>
                  <w14:solidFill>
                    <w14:schemeClr w14:val="tx1"/>
                  </w14:solidFill>
                </w14:textFill>
              </w:rPr>
              <w:t>近</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年，指</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202</w:t>
            </w:r>
            <w:r>
              <w:rPr>
                <w:rFonts w:hint="eastAsia" w:asciiTheme="minorEastAsia" w:hAnsiTheme="minorEastAsia" w:eastAsiaTheme="minorEastAsia" w:cstheme="minorEastAsia"/>
                <w:color w:val="000000" w:themeColor="text1"/>
                <w:sz w:val="21"/>
                <w:szCs w:val="21"/>
                <w:highlight w:val="none"/>
                <w:u w:val="singl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日以来</w:t>
            </w:r>
          </w:p>
        </w:tc>
      </w:tr>
      <w:tr w14:paraId="5B0B7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50252755">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30</w:t>
            </w:r>
          </w:p>
        </w:tc>
        <w:tc>
          <w:tcPr>
            <w:tcW w:w="2171" w:type="dxa"/>
            <w:tcBorders>
              <w:top w:val="single" w:color="auto" w:sz="4" w:space="0"/>
              <w:left w:val="nil"/>
              <w:bottom w:val="single" w:color="auto" w:sz="4" w:space="0"/>
              <w:right w:val="single" w:color="auto" w:sz="4" w:space="0"/>
            </w:tcBorders>
            <w:vAlign w:val="center"/>
          </w:tcPr>
          <w:p w14:paraId="16FFC247">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是否允许递交备选投标方案</w:t>
            </w:r>
          </w:p>
        </w:tc>
        <w:tc>
          <w:tcPr>
            <w:tcW w:w="6727" w:type="dxa"/>
            <w:tcBorders>
              <w:top w:val="single" w:color="auto" w:sz="4" w:space="0"/>
              <w:left w:val="nil"/>
              <w:bottom w:val="single" w:color="auto" w:sz="4" w:space="0"/>
              <w:right w:val="single" w:color="auto" w:sz="4" w:space="0"/>
            </w:tcBorders>
            <w:vAlign w:val="center"/>
          </w:tcPr>
          <w:p w14:paraId="22B9D9E7">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■不允许</w:t>
            </w:r>
          </w:p>
        </w:tc>
      </w:tr>
      <w:tr w14:paraId="116E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E007ED0">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w:t>
            </w:r>
          </w:p>
        </w:tc>
        <w:tc>
          <w:tcPr>
            <w:tcW w:w="2171" w:type="dxa"/>
            <w:tcBorders>
              <w:top w:val="single" w:color="auto" w:sz="4" w:space="0"/>
              <w:left w:val="nil"/>
              <w:bottom w:val="single" w:color="auto" w:sz="4" w:space="0"/>
              <w:right w:val="single" w:color="auto" w:sz="4" w:space="0"/>
            </w:tcBorders>
            <w:vAlign w:val="center"/>
          </w:tcPr>
          <w:p w14:paraId="340CD33B">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签字和（或）盖章要求</w:t>
            </w:r>
          </w:p>
        </w:tc>
        <w:tc>
          <w:tcPr>
            <w:tcW w:w="6727" w:type="dxa"/>
            <w:tcBorders>
              <w:top w:val="single" w:color="auto" w:sz="4" w:space="0"/>
              <w:left w:val="nil"/>
              <w:bottom w:val="single" w:color="auto" w:sz="4" w:space="0"/>
              <w:right w:val="single" w:color="auto" w:sz="4" w:space="0"/>
            </w:tcBorders>
            <w:vAlign w:val="center"/>
          </w:tcPr>
          <w:p w14:paraId="464AB946">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电子化响应文件的签章：</w:t>
            </w:r>
          </w:p>
          <w:p w14:paraId="0D38E31D">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1、响应人在生成电子化响应文件后，应对电子化响应文件进行签章，未对电子化文件进行签章的视为无效投标。</w:t>
            </w:r>
          </w:p>
          <w:p w14:paraId="734F5209">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2、竞争性磋商文件中要求</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法定代表人或授权委托人签字或盖章的，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响应人在进行</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电子化响应文件签章时，以签盖法定代表人签章为准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6626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9225033">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32</w:t>
            </w:r>
          </w:p>
        </w:tc>
        <w:tc>
          <w:tcPr>
            <w:tcW w:w="2171" w:type="dxa"/>
            <w:tcBorders>
              <w:top w:val="single" w:color="auto" w:sz="4" w:space="0"/>
              <w:left w:val="nil"/>
              <w:bottom w:val="single" w:color="auto" w:sz="4" w:space="0"/>
              <w:right w:val="single" w:color="auto" w:sz="4" w:space="0"/>
            </w:tcBorders>
            <w:vAlign w:val="center"/>
          </w:tcPr>
          <w:p w14:paraId="0DC036B0">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w:t>
            </w:r>
          </w:p>
        </w:tc>
        <w:tc>
          <w:tcPr>
            <w:tcW w:w="6727" w:type="dxa"/>
            <w:tcBorders>
              <w:top w:val="single" w:color="auto" w:sz="4" w:space="0"/>
              <w:left w:val="nil"/>
              <w:bottom w:val="single" w:color="auto" w:sz="4" w:space="0"/>
              <w:right w:val="single" w:color="auto" w:sz="4" w:space="0"/>
            </w:tcBorders>
            <w:vAlign w:val="center"/>
          </w:tcPr>
          <w:p w14:paraId="358200DD">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用CA在电子平台上传电子响应文件；</w:t>
            </w:r>
          </w:p>
          <w:p w14:paraId="731A7602">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开标时不再递交纸质响应文件</w:t>
            </w:r>
          </w:p>
        </w:tc>
      </w:tr>
      <w:tr w14:paraId="75A1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0FD6FD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33</w:t>
            </w:r>
          </w:p>
        </w:tc>
        <w:tc>
          <w:tcPr>
            <w:tcW w:w="2171" w:type="dxa"/>
            <w:tcBorders>
              <w:top w:val="single" w:color="auto" w:sz="4" w:space="0"/>
              <w:left w:val="nil"/>
              <w:bottom w:val="single" w:color="auto" w:sz="4" w:space="0"/>
              <w:right w:val="single" w:color="auto" w:sz="4" w:space="0"/>
            </w:tcBorders>
            <w:vAlign w:val="center"/>
          </w:tcPr>
          <w:p w14:paraId="5F5D0939">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开标时间及地点</w:t>
            </w:r>
          </w:p>
        </w:tc>
        <w:tc>
          <w:tcPr>
            <w:tcW w:w="6727" w:type="dxa"/>
            <w:tcBorders>
              <w:top w:val="single" w:color="auto" w:sz="4" w:space="0"/>
              <w:left w:val="nil"/>
              <w:bottom w:val="single" w:color="auto" w:sz="4" w:space="0"/>
              <w:right w:val="single" w:color="auto" w:sz="4" w:space="0"/>
            </w:tcBorders>
            <w:vAlign w:val="center"/>
          </w:tcPr>
          <w:p w14:paraId="40B272F9">
            <w:pPr>
              <w:spacing w:line="240" w:lineRule="auto"/>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响应文件递交截止时间及开标时间：</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2025年</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月0</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日08时40分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0F53069">
            <w:pPr>
              <w:spacing w:line="24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开标地点：卢氏县公共资源交易中心</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第二开标室</w:t>
            </w:r>
          </w:p>
          <w:p w14:paraId="0CB8131F">
            <w:pPr>
              <w:spacing w:line="240" w:lineRule="auto"/>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评标地点：卢氏县公共资源交易中心二楼</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第二评标室</w:t>
            </w:r>
          </w:p>
          <w:p w14:paraId="64055F8B">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开标时，供应商必须持CA密钥在规定时间内对本单位的加密电子响应文件进行远程解密。本次项目实行远程不见面</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开标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tc>
      </w:tr>
      <w:tr w14:paraId="50E0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18B4A99">
            <w:pPr>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34</w:t>
            </w:r>
          </w:p>
        </w:tc>
        <w:tc>
          <w:tcPr>
            <w:tcW w:w="2171" w:type="dxa"/>
            <w:tcBorders>
              <w:top w:val="single" w:color="auto" w:sz="4" w:space="0"/>
              <w:left w:val="nil"/>
              <w:bottom w:val="single" w:color="auto" w:sz="4" w:space="0"/>
              <w:right w:val="single" w:color="auto" w:sz="4" w:space="0"/>
            </w:tcBorders>
            <w:vAlign w:val="center"/>
          </w:tcPr>
          <w:p w14:paraId="1A68F6A0">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是否退还响应文件</w:t>
            </w:r>
          </w:p>
        </w:tc>
        <w:tc>
          <w:tcPr>
            <w:tcW w:w="6727" w:type="dxa"/>
            <w:tcBorders>
              <w:top w:val="single" w:color="auto" w:sz="4" w:space="0"/>
              <w:left w:val="nil"/>
              <w:bottom w:val="single" w:color="auto" w:sz="4" w:space="0"/>
              <w:right w:val="single" w:color="auto" w:sz="4" w:space="0"/>
            </w:tcBorders>
            <w:vAlign w:val="center"/>
          </w:tcPr>
          <w:p w14:paraId="0CD6A92E">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w:t>
            </w:r>
          </w:p>
        </w:tc>
      </w:tr>
      <w:tr w14:paraId="545C9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31D009D4">
            <w:pPr>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35</w:t>
            </w:r>
          </w:p>
        </w:tc>
        <w:tc>
          <w:tcPr>
            <w:tcW w:w="2171" w:type="dxa"/>
            <w:tcBorders>
              <w:top w:val="single" w:color="auto" w:sz="4" w:space="0"/>
              <w:left w:val="nil"/>
              <w:bottom w:val="single" w:color="auto" w:sz="4" w:space="0"/>
              <w:right w:val="single" w:color="auto" w:sz="4" w:space="0"/>
            </w:tcBorders>
            <w:vAlign w:val="center"/>
          </w:tcPr>
          <w:p w14:paraId="7AF03366">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开标程序</w:t>
            </w:r>
          </w:p>
        </w:tc>
        <w:tc>
          <w:tcPr>
            <w:tcW w:w="6727" w:type="dxa"/>
            <w:tcBorders>
              <w:top w:val="single" w:color="auto" w:sz="4" w:space="0"/>
              <w:left w:val="nil"/>
              <w:bottom w:val="single" w:color="auto" w:sz="4" w:space="0"/>
              <w:right w:val="single" w:color="auto" w:sz="4" w:space="0"/>
            </w:tcBorders>
            <w:vAlign w:val="center"/>
          </w:tcPr>
          <w:p w14:paraId="6AEE6E49">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主持人开标按下列程序进行开标：</w:t>
            </w:r>
          </w:p>
          <w:p w14:paraId="06CCE700">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（1）本项目为不见面开标项目，开标当日，投标人无需到开标现场参加开标会议，投标人应当在投标截止时间前，登陆不见面开标大厅选择登陆三门峡市公共资源电子招投标系统进行登陆（网址为</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http://120.194.249.36:10094/BidOpening/bidopeninghallaction/hall/login</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）,在线准时参加开标活动并进行投标文件解密等。每位投标人的解密时间为开标时间起30分钟内完成。</w:t>
            </w:r>
          </w:p>
        </w:tc>
      </w:tr>
      <w:tr w14:paraId="3F79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61CD6739">
            <w:pPr>
              <w:jc w:val="center"/>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36</w:t>
            </w:r>
          </w:p>
        </w:tc>
        <w:tc>
          <w:tcPr>
            <w:tcW w:w="2171" w:type="dxa"/>
            <w:tcBorders>
              <w:top w:val="single" w:color="auto" w:sz="4" w:space="0"/>
              <w:left w:val="nil"/>
              <w:bottom w:val="single" w:color="auto" w:sz="4" w:space="0"/>
              <w:right w:val="single" w:color="auto" w:sz="4" w:space="0"/>
            </w:tcBorders>
            <w:vAlign w:val="center"/>
          </w:tcPr>
          <w:p w14:paraId="5194A3D8">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磋商小组的组建</w:t>
            </w:r>
          </w:p>
        </w:tc>
        <w:tc>
          <w:tcPr>
            <w:tcW w:w="6727" w:type="dxa"/>
            <w:tcBorders>
              <w:top w:val="single" w:color="auto" w:sz="4" w:space="0"/>
              <w:left w:val="nil"/>
              <w:bottom w:val="single" w:color="auto" w:sz="4" w:space="0"/>
              <w:right w:val="single" w:color="auto" w:sz="4" w:space="0"/>
            </w:tcBorders>
            <w:vAlign w:val="center"/>
          </w:tcPr>
          <w:p w14:paraId="38ACD09F">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磋商小组成员3人，其中采购人代表 1 人，其余技术、经济等方面的专家 2 人从</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河南省财政厅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综合评标专家库中随机抽取。</w:t>
            </w:r>
          </w:p>
        </w:tc>
      </w:tr>
      <w:tr w14:paraId="3A43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4F8869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w:t>
            </w:r>
          </w:p>
        </w:tc>
        <w:tc>
          <w:tcPr>
            <w:tcW w:w="2171" w:type="dxa"/>
            <w:tcBorders>
              <w:top w:val="single" w:color="auto" w:sz="4" w:space="0"/>
              <w:left w:val="nil"/>
              <w:bottom w:val="single" w:color="auto" w:sz="4" w:space="0"/>
              <w:right w:val="single" w:color="auto" w:sz="4" w:space="0"/>
            </w:tcBorders>
            <w:vAlign w:val="center"/>
          </w:tcPr>
          <w:p w14:paraId="27F8C2FA">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是否授权磋商小组确定中标人</w:t>
            </w:r>
          </w:p>
        </w:tc>
        <w:tc>
          <w:tcPr>
            <w:tcW w:w="6727" w:type="dxa"/>
            <w:tcBorders>
              <w:top w:val="single" w:color="auto" w:sz="4" w:space="0"/>
              <w:left w:val="nil"/>
              <w:bottom w:val="single" w:color="auto" w:sz="4" w:space="0"/>
              <w:right w:val="single" w:color="auto" w:sz="4" w:space="0"/>
            </w:tcBorders>
            <w:vAlign w:val="center"/>
          </w:tcPr>
          <w:p w14:paraId="1EEBA1DE">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否，按顺序推荐的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候选人数：</w:t>
            </w:r>
            <w:r>
              <w:rPr>
                <w:rFonts w:hint="eastAsia" w:asciiTheme="minorEastAsia" w:hAnsiTheme="minorEastAsia" w:eastAsiaTheme="minorEastAsia" w:cstheme="minorEastAsia"/>
                <w:color w:val="000000" w:themeColor="text1"/>
                <w:sz w:val="21"/>
                <w:szCs w:val="21"/>
                <w:highlight w:val="none"/>
                <w:u w:val="single"/>
                <w14:textFill>
                  <w14:solidFill>
                    <w14:schemeClr w14:val="tx1"/>
                  </w14:solidFill>
                </w14:textFill>
              </w:rPr>
              <w:t>3名</w:t>
            </w:r>
          </w:p>
        </w:tc>
      </w:tr>
      <w:tr w14:paraId="51060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4F700394">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38</w:t>
            </w:r>
          </w:p>
        </w:tc>
        <w:tc>
          <w:tcPr>
            <w:tcW w:w="2171" w:type="dxa"/>
            <w:tcBorders>
              <w:top w:val="single" w:color="auto" w:sz="4" w:space="0"/>
              <w:left w:val="nil"/>
              <w:bottom w:val="single" w:color="auto" w:sz="4" w:space="0"/>
              <w:right w:val="single" w:color="auto" w:sz="4" w:space="0"/>
            </w:tcBorders>
            <w:vAlign w:val="center"/>
          </w:tcPr>
          <w:p w14:paraId="6DC4EDBE">
            <w:pPr>
              <w:spacing w:line="240" w:lineRule="auto"/>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采购预算金额及最高限价</w:t>
            </w:r>
          </w:p>
        </w:tc>
        <w:tc>
          <w:tcPr>
            <w:tcW w:w="6727" w:type="dxa"/>
            <w:tcBorders>
              <w:top w:val="single" w:color="auto" w:sz="4" w:space="0"/>
              <w:left w:val="nil"/>
              <w:bottom w:val="single" w:color="auto" w:sz="4" w:space="0"/>
              <w:right w:val="single" w:color="auto" w:sz="4" w:space="0"/>
            </w:tcBorders>
            <w:vAlign w:val="center"/>
          </w:tcPr>
          <w:p w14:paraId="42115EB7">
            <w:pPr>
              <w:spacing w:line="240" w:lineRule="auto"/>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招标控制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价：</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r>
              <w:rPr>
                <w:rFonts w:hint="eastAsia" w:asciiTheme="minorEastAsia" w:hAnsiTheme="minorEastAsia" w:eastAsiaTheme="minorEastAsia" w:cstheme="minorEastAsia"/>
                <w:b w:val="0"/>
                <w:bCs w:val="0"/>
                <w:color w:val="auto"/>
                <w:sz w:val="21"/>
                <w:szCs w:val="21"/>
                <w:highlight w:val="none"/>
                <w:lang w:val="en-US" w:eastAsia="zh-CN"/>
              </w:rPr>
              <w:t>50.9920万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元</w:t>
            </w:r>
          </w:p>
          <w:p w14:paraId="319F4157">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本次竞争性磋商分为两轮报价。磋商供</w:t>
            </w:r>
            <w:r>
              <w:rPr>
                <w:rFonts w:hint="eastAsia" w:asciiTheme="minorEastAsia" w:hAnsiTheme="minorEastAsia" w:eastAsiaTheme="minorEastAsia" w:cstheme="minorEastAsia"/>
                <w:color w:val="000000" w:themeColor="text1"/>
                <w:sz w:val="21"/>
                <w:szCs w:val="21"/>
                <w14:textFill>
                  <w14:solidFill>
                    <w14:schemeClr w14:val="tx1"/>
                  </w14:solidFill>
                </w14:textFill>
              </w:rPr>
              <w:t>应商响应性文件中的报价作为第一次报价，不得高于项目预算金额且不公开；第二轮报价不得高于第一轮报价,参与评标报价以最终报价为准。</w:t>
            </w:r>
          </w:p>
        </w:tc>
      </w:tr>
      <w:tr w14:paraId="580A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2F3CAD05">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39</w:t>
            </w:r>
          </w:p>
        </w:tc>
        <w:tc>
          <w:tcPr>
            <w:tcW w:w="2171" w:type="dxa"/>
            <w:tcBorders>
              <w:top w:val="single" w:color="auto" w:sz="4" w:space="0"/>
              <w:left w:val="nil"/>
              <w:bottom w:val="single" w:color="auto" w:sz="4" w:space="0"/>
              <w:right w:val="single" w:color="auto" w:sz="4" w:space="0"/>
            </w:tcBorders>
            <w:vAlign w:val="center"/>
          </w:tcPr>
          <w:p w14:paraId="09DCE2EB">
            <w:pPr>
              <w:spacing w:line="240" w:lineRule="auto"/>
              <w:jc w:val="center"/>
              <w:rPr>
                <w:rFonts w:hint="eastAsia" w:asciiTheme="minorEastAsia" w:hAnsiTheme="minorEastAsia" w:eastAsiaTheme="minorEastAsia" w:cstheme="minorEastAsia"/>
                <w:color w:val="FF0000"/>
                <w:sz w:val="21"/>
                <w:szCs w:val="21"/>
                <w:lang w:eastAsia="zh-CN"/>
              </w:rPr>
            </w:pPr>
            <w:r>
              <w:rPr>
                <w:rFonts w:hint="eastAsia" w:asciiTheme="minorEastAsia" w:hAnsiTheme="minorEastAsia" w:eastAsiaTheme="minorEastAsia" w:cstheme="minorEastAsia"/>
                <w:color w:val="auto"/>
                <w:sz w:val="21"/>
                <w:szCs w:val="21"/>
                <w:lang w:eastAsia="zh-CN"/>
              </w:rPr>
              <w:t>付款方式</w:t>
            </w:r>
          </w:p>
        </w:tc>
        <w:tc>
          <w:tcPr>
            <w:tcW w:w="6727" w:type="dxa"/>
            <w:tcBorders>
              <w:top w:val="single" w:color="auto" w:sz="4" w:space="0"/>
              <w:left w:val="nil"/>
              <w:bottom w:val="single" w:color="auto" w:sz="4" w:space="0"/>
              <w:right w:val="single" w:color="auto" w:sz="4" w:space="0"/>
            </w:tcBorders>
            <w:vAlign w:val="center"/>
          </w:tcPr>
          <w:p w14:paraId="50C841B3">
            <w:pPr>
              <w:keepNext w:val="0"/>
              <w:keepLines w:val="0"/>
              <w:widowControl/>
              <w:suppressLineNumbers w:val="0"/>
              <w:jc w:val="left"/>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合同签订生效后5个工作日内，采购人向中标人支付合同金额的50%作为预付款；货物到货安装调试完毕，经双方验收合格后，采购人向中标人支付合同金额的50%。</w:t>
            </w:r>
          </w:p>
        </w:tc>
      </w:tr>
      <w:tr w14:paraId="7829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6882E721">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40</w:t>
            </w:r>
          </w:p>
        </w:tc>
        <w:tc>
          <w:tcPr>
            <w:tcW w:w="2171" w:type="dxa"/>
            <w:tcBorders>
              <w:top w:val="single" w:color="auto" w:sz="4" w:space="0"/>
              <w:left w:val="nil"/>
              <w:bottom w:val="single" w:color="auto" w:sz="4" w:space="0"/>
              <w:right w:val="single" w:color="auto" w:sz="4" w:space="0"/>
            </w:tcBorders>
            <w:vAlign w:val="center"/>
          </w:tcPr>
          <w:p w14:paraId="213DC3CD">
            <w:pPr>
              <w:adjustRightInd w:val="0"/>
              <w:spacing w:line="240" w:lineRule="auto"/>
              <w:ind w:left="2" w:leftChars="0" w:hanging="2" w:hangingChars="1"/>
              <w:jc w:val="center"/>
              <w:rPr>
                <w:rFonts w:hint="eastAsia" w:asciiTheme="minorEastAsia" w:hAnsiTheme="minorEastAsia" w:eastAsiaTheme="minorEastAsia" w:cstheme="minorEastAsia"/>
                <w:color w:val="000000" w:themeColor="text1"/>
                <w:sz w:val="21"/>
                <w:szCs w:val="21"/>
                <w:highlight w:val="yellow"/>
                <w:lang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政府采购合同融资政策</w:t>
            </w:r>
          </w:p>
        </w:tc>
        <w:tc>
          <w:tcPr>
            <w:tcW w:w="6727" w:type="dxa"/>
            <w:tcBorders>
              <w:top w:val="single" w:color="auto" w:sz="4" w:space="0"/>
              <w:left w:val="nil"/>
              <w:bottom w:val="single" w:color="auto" w:sz="4" w:space="0"/>
              <w:right w:val="single" w:color="auto" w:sz="4" w:space="0"/>
            </w:tcBorders>
            <w:vAlign w:val="center"/>
          </w:tcPr>
          <w:p w14:paraId="675FDF16">
            <w:pPr>
              <w:adjustRightInd w:val="0"/>
              <w:spacing w:line="240" w:lineRule="auto"/>
              <w:ind w:left="2" w:leftChars="0" w:hanging="2" w:hangingChars="1"/>
              <w:jc w:val="left"/>
              <w:rPr>
                <w:rFonts w:hint="eastAsia" w:asciiTheme="minorEastAsia" w:hAnsiTheme="minorEastAsia" w:eastAsiaTheme="minorEastAsia" w:cstheme="minorEastAsia"/>
                <w:color w:val="000000" w:themeColor="text1"/>
                <w:sz w:val="21"/>
                <w:szCs w:val="21"/>
                <w:highlight w:val="yellow"/>
                <w14:textFill>
                  <w14:solidFill>
                    <w14:schemeClr w14:val="tx1"/>
                  </w14:solidFill>
                </w14:textFill>
              </w:rPr>
            </w:pPr>
            <w: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t>中标后，如需融资，参照《河南省政府采购合同融资工作实施方案》（豫财购〔2017〕10号）执行。</w:t>
            </w:r>
          </w:p>
        </w:tc>
      </w:tr>
      <w:tr w14:paraId="7B791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1CE75D3">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41</w:t>
            </w:r>
          </w:p>
        </w:tc>
        <w:tc>
          <w:tcPr>
            <w:tcW w:w="2171" w:type="dxa"/>
            <w:tcBorders>
              <w:top w:val="single" w:color="auto" w:sz="4" w:space="0"/>
              <w:left w:val="nil"/>
              <w:bottom w:val="single" w:color="auto" w:sz="4" w:space="0"/>
              <w:right w:val="single" w:color="auto" w:sz="4" w:space="0"/>
            </w:tcBorders>
            <w:vAlign w:val="center"/>
          </w:tcPr>
          <w:p w14:paraId="6372C387">
            <w:pPr>
              <w:spacing w:line="240" w:lineRule="auto"/>
              <w:jc w:val="center"/>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p>
        </w:tc>
        <w:tc>
          <w:tcPr>
            <w:tcW w:w="6727" w:type="dxa"/>
            <w:tcBorders>
              <w:top w:val="single" w:color="auto" w:sz="4" w:space="0"/>
              <w:left w:val="nil"/>
              <w:bottom w:val="single" w:color="auto" w:sz="4" w:space="0"/>
              <w:right w:val="single" w:color="auto" w:sz="4" w:space="0"/>
            </w:tcBorders>
            <w:vAlign w:val="center"/>
          </w:tcPr>
          <w:p w14:paraId="77448A3D">
            <w:pPr>
              <w:spacing w:line="240" w:lineRule="auto"/>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本项目为</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卢氏县文物保护管理委员会办公室文物库房升级改造采购项目</w:t>
            </w:r>
          </w:p>
          <w:p w14:paraId="5A816461">
            <w:pPr>
              <w:spacing w:line="240" w:lineRule="auto"/>
              <w:jc w:val="left"/>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采购标的所属行业：</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制造业</w:t>
            </w:r>
          </w:p>
          <w:p w14:paraId="0609DA9D">
            <w:pPr>
              <w:spacing w:line="240" w:lineRule="auto"/>
              <w:jc w:val="left"/>
              <w:rPr>
                <w:rFonts w:hint="eastAsia" w:asciiTheme="minorEastAsia" w:hAnsiTheme="minorEastAsia" w:eastAsiaTheme="minorEastAsia" w:cstheme="minorEastAsia"/>
                <w:b/>
                <w:bCs/>
                <w:color w:val="000000" w:themeColor="text1"/>
                <w:spacing w:val="6"/>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划定标准为：《工业和信息化部、国家统计局、国家发展和改革委员会、财政部关于印发&lt;中小企业划型标准规定的通知&gt;（工信部联企业〔2011〕300号）规定的划分标准为依据。</w:t>
            </w:r>
          </w:p>
        </w:tc>
      </w:tr>
      <w:tr w14:paraId="4E90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6EC44DA">
            <w:pPr>
              <w:spacing w:line="312" w:lineRule="auto"/>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42</w:t>
            </w:r>
          </w:p>
        </w:tc>
        <w:tc>
          <w:tcPr>
            <w:tcW w:w="2171" w:type="dxa"/>
            <w:tcBorders>
              <w:top w:val="single" w:color="auto" w:sz="4" w:space="0"/>
              <w:left w:val="nil"/>
              <w:bottom w:val="single" w:color="auto" w:sz="4" w:space="0"/>
              <w:right w:val="single" w:color="auto" w:sz="4" w:space="0"/>
            </w:tcBorders>
            <w:vAlign w:val="center"/>
          </w:tcPr>
          <w:p w14:paraId="7516DAA5">
            <w:pPr>
              <w:spacing w:line="240" w:lineRule="auto"/>
              <w:ind w:firstLine="372" w:firstLineChars="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重新招标</w:t>
            </w:r>
          </w:p>
        </w:tc>
        <w:tc>
          <w:tcPr>
            <w:tcW w:w="6727" w:type="dxa"/>
            <w:tcBorders>
              <w:top w:val="single" w:color="auto" w:sz="4" w:space="0"/>
              <w:left w:val="nil"/>
              <w:bottom w:val="single" w:color="auto" w:sz="4" w:space="0"/>
              <w:right w:val="single" w:color="auto" w:sz="4" w:space="0"/>
            </w:tcBorders>
            <w:vAlign w:val="center"/>
          </w:tcPr>
          <w:p w14:paraId="0A839433">
            <w:pPr>
              <w:tabs>
                <w:tab w:val="left" w:pos="1463"/>
              </w:tabs>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出现下列情形之一的，采购人或者招标代理机构应当终止竞争性磋商活动，发布项目终止公告并说明原因，重新开展招标活动：</w:t>
            </w:r>
          </w:p>
          <w:p w14:paraId="06DB469D">
            <w:pPr>
              <w:tabs>
                <w:tab w:val="left" w:pos="1463"/>
              </w:tabs>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（一）因情况变化，不再符合规定的竞争性磋商采购方式适用情形的；</w:t>
            </w:r>
          </w:p>
          <w:p w14:paraId="66CE9C10">
            <w:pPr>
              <w:tabs>
                <w:tab w:val="left" w:pos="1463"/>
              </w:tabs>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（二）出现影响采购公正的违法、违规行为的；</w:t>
            </w:r>
          </w:p>
          <w:p w14:paraId="317D22F6">
            <w:pPr>
              <w:tabs>
                <w:tab w:val="left" w:pos="1463"/>
              </w:tabs>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tc>
      </w:tr>
      <w:tr w14:paraId="3A5E1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3D363D5B">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43</w:t>
            </w:r>
          </w:p>
        </w:tc>
        <w:tc>
          <w:tcPr>
            <w:tcW w:w="2171" w:type="dxa"/>
            <w:tcBorders>
              <w:top w:val="single" w:color="auto" w:sz="4" w:space="0"/>
              <w:left w:val="nil"/>
              <w:bottom w:val="single" w:color="auto" w:sz="4" w:space="0"/>
              <w:right w:val="single" w:color="auto" w:sz="4" w:space="0"/>
            </w:tcBorders>
            <w:vAlign w:val="center"/>
          </w:tcPr>
          <w:p w14:paraId="6B643A0A">
            <w:pPr>
              <w:spacing w:line="240" w:lineRule="auto"/>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相同品牌产品的处理</w:t>
            </w:r>
          </w:p>
        </w:tc>
        <w:tc>
          <w:tcPr>
            <w:tcW w:w="6727" w:type="dxa"/>
            <w:tcBorders>
              <w:top w:val="single" w:color="auto" w:sz="4" w:space="0"/>
              <w:left w:val="nil"/>
              <w:bottom w:val="single" w:color="auto" w:sz="4" w:space="0"/>
              <w:right w:val="single" w:color="auto" w:sz="4" w:space="0"/>
            </w:tcBorders>
            <w:vAlign w:val="center"/>
          </w:tcPr>
          <w:p w14:paraId="38B1C8EE">
            <w:pPr>
              <w:spacing w:line="240" w:lineRule="auto"/>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 xml:space="preserve">提供相同品牌产品且通过资格性审查、符合性审查的不同供应商，按一家供应商计算，评审后得分最高的同品牌供应商获得成交供应商推荐资格；评审得分相同的，最后报价最低的供应商获得成交供应商推荐资格，最后报价也相同的，由磋商小组投票决定。非单一产品采购项目中，多家供应商提供的核心产品品牌相同的，视为提供相同品牌产品。 </w:t>
            </w:r>
          </w:p>
          <w:p w14:paraId="46410AC5">
            <w:pPr>
              <w:spacing w:line="240" w:lineRule="auto"/>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本次采购项目的核心产品为：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无。</w:t>
            </w:r>
          </w:p>
        </w:tc>
      </w:tr>
      <w:tr w14:paraId="5917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94" w:type="dxa"/>
            <w:tcBorders>
              <w:top w:val="single" w:color="auto" w:sz="4" w:space="0"/>
              <w:left w:val="single" w:color="auto" w:sz="4" w:space="0"/>
              <w:bottom w:val="single" w:color="auto" w:sz="4" w:space="0"/>
              <w:right w:val="single" w:color="auto" w:sz="4" w:space="0"/>
            </w:tcBorders>
            <w:shd w:val="clear" w:color="auto" w:fill="auto"/>
            <w:vAlign w:val="center"/>
          </w:tcPr>
          <w:p w14:paraId="7EA242BC">
            <w:pPr>
              <w:jc w:val="center"/>
              <w:rPr>
                <w:rFonts w:hint="eastAsia" w:asciiTheme="minorEastAsia" w:hAnsiTheme="minorEastAsia" w:eastAsiaTheme="minorEastAsia" w:cstheme="minorEastAsia"/>
                <w:b w:val="0"/>
                <w:bCs w:val="0"/>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44</w:t>
            </w:r>
          </w:p>
        </w:tc>
        <w:tc>
          <w:tcPr>
            <w:tcW w:w="2171" w:type="dxa"/>
            <w:tcBorders>
              <w:top w:val="single" w:color="auto" w:sz="4" w:space="0"/>
              <w:left w:val="nil"/>
              <w:bottom w:val="single" w:color="auto" w:sz="4" w:space="0"/>
              <w:right w:val="single" w:color="auto" w:sz="4" w:space="0"/>
            </w:tcBorders>
            <w:vAlign w:val="center"/>
          </w:tcPr>
          <w:p w14:paraId="33B065AD">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竞争性磋商文件的解释</w:t>
            </w:r>
          </w:p>
        </w:tc>
        <w:tc>
          <w:tcPr>
            <w:tcW w:w="6727" w:type="dxa"/>
            <w:tcBorders>
              <w:top w:val="single" w:color="auto" w:sz="4" w:space="0"/>
              <w:left w:val="nil"/>
              <w:bottom w:val="single" w:color="auto" w:sz="4" w:space="0"/>
              <w:right w:val="single" w:color="auto" w:sz="4" w:space="0"/>
            </w:tcBorders>
            <w:vAlign w:val="center"/>
          </w:tcPr>
          <w:p w14:paraId="3A8580C5">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在符合相关法律法规的前题下，竞争性磋商文件的解释权归采购人所有。本竞争性磋商文件中其他部分内容与响应人须知前附表不一致的，以响应人须知前附表为准。</w:t>
            </w:r>
          </w:p>
        </w:tc>
      </w:tr>
      <w:tr w14:paraId="5559E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7BD44EA8">
            <w:pPr>
              <w:jc w:val="center"/>
              <w:rPr>
                <w:rFonts w:hint="default"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45</w:t>
            </w:r>
          </w:p>
        </w:tc>
        <w:tc>
          <w:tcPr>
            <w:tcW w:w="2171" w:type="dxa"/>
            <w:tcBorders>
              <w:top w:val="single" w:color="auto" w:sz="4" w:space="0"/>
              <w:left w:val="nil"/>
              <w:bottom w:val="single" w:color="auto" w:sz="4" w:space="0"/>
              <w:right w:val="single" w:color="auto" w:sz="4" w:space="0"/>
            </w:tcBorders>
            <w:vAlign w:val="center"/>
          </w:tcPr>
          <w:p w14:paraId="6834121D">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答疑</w:t>
            </w:r>
          </w:p>
        </w:tc>
        <w:tc>
          <w:tcPr>
            <w:tcW w:w="6727" w:type="dxa"/>
            <w:tcBorders>
              <w:top w:val="single" w:color="auto" w:sz="4" w:space="0"/>
              <w:left w:val="nil"/>
              <w:bottom w:val="single" w:color="auto" w:sz="4" w:space="0"/>
              <w:right w:val="single" w:color="auto" w:sz="4" w:space="0"/>
            </w:tcBorders>
            <w:vAlign w:val="center"/>
          </w:tcPr>
          <w:p w14:paraId="4671A3E8">
            <w:pPr>
              <w:spacing w:line="240" w:lineRule="auto"/>
              <w:ind w:right="-153" w:rightChars="-73"/>
              <w:jc w:val="left"/>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需要解答的疑问以书面形式加盖单位公章递交至采购人或代理机构，逾期提交的问题概不做回复。采购人将需要解答的内容以公告形式发至所有潜在响应人。</w:t>
            </w:r>
          </w:p>
        </w:tc>
      </w:tr>
      <w:tr w14:paraId="20F9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9792" w:type="dxa"/>
            <w:gridSpan w:val="3"/>
            <w:tcBorders>
              <w:top w:val="single" w:color="auto" w:sz="4" w:space="0"/>
              <w:left w:val="single" w:color="auto" w:sz="4" w:space="0"/>
              <w:bottom w:val="single" w:color="auto" w:sz="4" w:space="0"/>
              <w:right w:val="single" w:color="auto" w:sz="4" w:space="0"/>
            </w:tcBorders>
            <w:vAlign w:val="center"/>
          </w:tcPr>
          <w:p w14:paraId="7B36A49C">
            <w:pPr>
              <w:spacing w:line="240" w:lineRule="auto"/>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46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电子化交易注意事项</w:t>
            </w:r>
          </w:p>
        </w:tc>
      </w:tr>
      <w:tr w14:paraId="6FDF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94" w:type="dxa"/>
            <w:tcBorders>
              <w:top w:val="single" w:color="auto" w:sz="4" w:space="0"/>
              <w:left w:val="single" w:color="auto" w:sz="4" w:space="0"/>
              <w:bottom w:val="single" w:color="auto" w:sz="4" w:space="0"/>
              <w:right w:val="single" w:color="auto" w:sz="4" w:space="0"/>
            </w:tcBorders>
            <w:vAlign w:val="center"/>
          </w:tcPr>
          <w:p w14:paraId="46F08D7D">
            <w:pPr>
              <w:spacing w:line="240" w:lineRule="auto"/>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p>
        </w:tc>
        <w:tc>
          <w:tcPr>
            <w:tcW w:w="8898" w:type="dxa"/>
            <w:gridSpan w:val="2"/>
            <w:tcBorders>
              <w:top w:val="single" w:color="auto" w:sz="4" w:space="0"/>
              <w:left w:val="nil"/>
              <w:bottom w:val="single" w:color="auto" w:sz="4" w:space="0"/>
              <w:right w:val="single" w:color="auto" w:sz="4" w:space="0"/>
            </w:tcBorders>
            <w:vAlign w:val="center"/>
          </w:tcPr>
          <w:p w14:paraId="2C42D262">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本项目为电子化交易项目，响应性文件是供应商、供应商（以下简称“供应商”）通过中心响应性文件制作系统制作，并经过电子签章和加密后生成的电子版响应性文件。供应商投标时，不须提交纸质文件资料。</w:t>
            </w:r>
          </w:p>
          <w:p w14:paraId="1BB2AED5">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电子化响应性文件具体制作教材请供应商通过CA证书登录三门峡市公共资源电子化交易系统在 “交易智库”中下载操作流程</w:t>
            </w:r>
          </w:p>
          <w:p w14:paraId="7C369F6C">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温馨提示：本项目为电子化、无纸化交易项目，供应商时不接受任何纸质资料，为保证您能投标成功，请需仔细阅读以下条款。</w:t>
            </w:r>
          </w:p>
          <w:p w14:paraId="79F1E8B3">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一、电子化投标</w:t>
            </w:r>
          </w:p>
          <w:p w14:paraId="1782C0FD">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（一）电子化响应性文件的签章</w:t>
            </w:r>
          </w:p>
          <w:p w14:paraId="0D13BE09">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1、供应商在生成电子化响应性文件后，应对电子化响应性文件进行签章，未进行签章的视为无效投标。</w:t>
            </w:r>
          </w:p>
          <w:p w14:paraId="48C0FEBE">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中要求法定代表人或授权委托人签字或盖章的，供应商在进行电子化响应性文件签章时，以签盖法定代表人签章为准。电子化响应性文件具体制作教材请供应商通过CA证书登录三门峡市公共资源电子化交易系统在右上角“交易智库”中查看。电子化响应性文件工具请点击http://t.cn/A6ZvtVob进行下载。</w:t>
            </w:r>
          </w:p>
          <w:p w14:paraId="128368DD">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（二）电子化响应性文件的格式及上传投标</w:t>
            </w:r>
          </w:p>
          <w:p w14:paraId="0B69F7FA">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供应商所上传的电子化响应性文件，应是通过中心响应性文件制作系统制作的（响应性文件制作工具下载地址：http://t.cn/A6ZvtVob），经过签章和加密后生成的电子版响应性文件。其中包含用于响应性文件上传的主文件（后缀为.smxtf）和用于应急补救的响应性文件备份文件（后缀为.nsmxtf）。备份文件主要用于电子化开标出现技术问题后的补救，请供应商随身携带。</w:t>
            </w:r>
          </w:p>
          <w:p w14:paraId="221ED481">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注：供应商投报多个标段的，需要每个标段单独制作电子响应性文件。</w:t>
            </w:r>
          </w:p>
          <w:p w14:paraId="7468FA38">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2、电子化响应性文件应在投标截止时间前成功上传至三门峡市公共资源电子化交易系统。至投标截止时间止，仍未上传成功的电子化响应性文件将不予接收。</w:t>
            </w:r>
          </w:p>
          <w:p w14:paraId="0EE397DD">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注：如按照电子化投标操作教材制作完成的电子化响应性文件无法上传的，供应商应在投标截止时间前尽早的联系中心技术人员，以便有充分的时间进行处理。供应商应充分考虑到处理技术问题和上传数据等工作所需的时间问题，响应性文件未在投标截止时间前成功上传的，其响应性文件不予接收。</w:t>
            </w:r>
          </w:p>
          <w:p w14:paraId="47067FC9">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技术联系电话：400-998-0000</w:t>
            </w:r>
          </w:p>
          <w:p w14:paraId="264E29A5">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主体库咨询电话:0398-3117815</w:t>
            </w:r>
          </w:p>
          <w:p w14:paraId="15CB19B9">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CA证书制发:0398-2181635</w:t>
            </w:r>
          </w:p>
          <w:p w14:paraId="7FB3C1A0">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科技信息科:0398-3117095</w:t>
            </w:r>
          </w:p>
          <w:p w14:paraId="190CFFF9">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（三）电子化项目开标、解密、唱标、评标</w:t>
            </w:r>
          </w:p>
          <w:p w14:paraId="5E987201">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本项目采用电子化、无纸化进行招标，开标当日，供应商无需到开标现场参加开标会议，供应商应当在投标截止时间前，登陆不见面开标大厅选择登陆三门峡市公共资源电子招投标系统进行登陆（网址为http://t.cn/A6huPROa）,在线准时参加开标活动并进行响应性文件解密等。</w:t>
            </w:r>
          </w:p>
          <w:p w14:paraId="34D1971D">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2、电子化响应性文件采用一次加密方式。开标时，由供应商使用CA 证书，在规定时间内对其电子化响应性文件进行解密。每位供应商的解密时间为开标时间起30 分钟内，如在规定时间内未完成解密的，其响应性文件不予开标、唱标。</w:t>
            </w:r>
          </w:p>
          <w:p w14:paraId="16D12CF4">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3、电子化响应性文件解密异常的处理</w:t>
            </w:r>
          </w:p>
          <w:p w14:paraId="64BE52DA">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如出现响应人的电子响应文件无法解密等异常情况，响应人应及时致电中心技术人员说明。响应文件异常，按以下步骤进行处理：</w:t>
            </w:r>
          </w:p>
          <w:p w14:paraId="78388FCE">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（1）首先由技术人员进行问题排查。</w:t>
            </w:r>
          </w:p>
          <w:p w14:paraId="1301AFB4">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（2）经技术人员排查后，是供应商文件自身问题导致响应性文件无法解密的，该响应性文件将不予接收、解密和唱标。开标会议继续进行。</w:t>
            </w:r>
          </w:p>
          <w:p w14:paraId="55434FB0">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9503FA0">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4、待所有供应商响应性文件解密完成后，由中介服务机构操作，对所有已解密响应性文件进行唱标。</w:t>
            </w:r>
          </w:p>
          <w:p w14:paraId="7A97A489">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供应商应保证在开标期间电话、电脑、网络能够正常工作，供应商因停电、电脑病毒、网络堵塞等原因，未在规定的解密时间内对响应性文件进行解密的，其响应性文件不予接收、唱标。</w:t>
            </w:r>
          </w:p>
          <w:p w14:paraId="08FDE5C7">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5、开标时供应商可登录到交易系统中在开标解密栏中点击报价一览表查看自己的投标报价。如对自己的唱标内容有异议的，应在供应商解密成功后10分钟内向中</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介</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服务机构通过开标大厅对话框提出质疑。中介服务机构应在监督人员的监督下接受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的质疑通过开标大厅对话框</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进行答复</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并做好书面记录。</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未在规定时间内提出质疑的，视为认可唱标内容。</w:t>
            </w:r>
          </w:p>
          <w:p w14:paraId="26A8AE85">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6、评标时，</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对电子化投标文件有质疑的，将通过电子化交易系统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向供应商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发起质疑。</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的回复文件必须以经过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和其法定代表人签章的PDF式文件为准，并通过电子化交易系统提交至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A123224">
            <w:pPr>
              <w:spacing w:line="240" w:lineRule="auto"/>
              <w:ind w:right="-153" w:rightChars="-73"/>
              <w:jc w:val="left"/>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如磋商小组</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对需要回复的</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供应商在</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规定时间内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30分钟内</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通过电子化交易系统未收到回复的，视为</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放弃回复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670363D4">
            <w:pPr>
              <w:spacing w:line="240" w:lineRule="auto"/>
              <w:ind w:right="-153" w:rightChars="-73"/>
              <w:jc w:val="left"/>
              <w:rPr>
                <w:rFonts w:hint="eastAsia" w:asciiTheme="minorEastAsia" w:hAnsiTheme="minorEastAsia" w:eastAsiaTheme="minorEastAsia" w:cstheme="minorEastAsia"/>
                <w:b/>
                <w:bCs/>
                <w:color w:val="000000" w:themeColor="text1"/>
                <w:kern w:val="0"/>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提示：本项目为电子化、无纸化交易项目，供应商时不再接受任何纸质资料，为保证您能投标成功，请需仔细阅读以上条款。</w:t>
            </w:r>
          </w:p>
        </w:tc>
      </w:tr>
    </w:tbl>
    <w:p w14:paraId="20728DD1">
      <w:pPr>
        <w:spacing w:line="500" w:lineRule="exact"/>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4" w:name="_Toc184635071"/>
      <w:bookmarkEnd w:id="24"/>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br w:type="page"/>
      </w:r>
      <w:bookmarkStart w:id="25" w:name="_Toc184635093"/>
      <w:bookmarkEnd w:id="25"/>
    </w:p>
    <w:p w14:paraId="240631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1、总则</w:t>
      </w:r>
    </w:p>
    <w:p w14:paraId="383FBA0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26" w:name="_Toc179632548"/>
      <w:bookmarkStart w:id="27" w:name="_Toc152045531"/>
      <w:bookmarkStart w:id="28" w:name="_Toc144974499"/>
      <w:bookmarkStart w:id="29" w:name="_Toc15204230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1.1项目概况</w:t>
      </w:r>
    </w:p>
    <w:p w14:paraId="7721B35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1.1.1根据根据《中华人民共和国政府采购法》、《政府采购非招标采购方式管理办法》等有关法律、法规和规章的规定，本招标项目已具备磋商条件，现对本项目进行竞争性磋商。</w:t>
      </w:r>
    </w:p>
    <w:p w14:paraId="30D6D32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1.1.2本项目采购人：见供应商须知前附表。</w:t>
      </w:r>
    </w:p>
    <w:p w14:paraId="39ADA5D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1.1.3本项目采购代理机构：见供应商须知前附表。</w:t>
      </w:r>
    </w:p>
    <w:p w14:paraId="3193C84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1.1.4本项目名称：见供应商须知前附表。</w:t>
      </w:r>
    </w:p>
    <w:bookmarkEnd w:id="26"/>
    <w:bookmarkEnd w:id="27"/>
    <w:bookmarkEnd w:id="28"/>
    <w:bookmarkEnd w:id="29"/>
    <w:p w14:paraId="3CDE75D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1.2资金来源和落实情况</w:t>
      </w:r>
    </w:p>
    <w:p w14:paraId="5A75B9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1.2.1本项目的资金来源：见供应商须知前附表。</w:t>
      </w:r>
    </w:p>
    <w:p w14:paraId="0711952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1.2.2本项目的出资比例：见供应商须知前附表。</w:t>
      </w:r>
    </w:p>
    <w:p w14:paraId="6D24474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1.2.3本项目的资金落实情况：见供应商须知前附表。</w:t>
      </w:r>
    </w:p>
    <w:p w14:paraId="74BE7DA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0" w:name="_Toc144974500"/>
      <w:bookmarkStart w:id="31" w:name="_Toc152042308"/>
      <w:bookmarkStart w:id="32" w:name="_Toc152045532"/>
      <w:bookmarkStart w:id="33" w:name="_Toc179632549"/>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1.3采购内容、采购要求、实施期限、服务地点和质量标准</w:t>
      </w:r>
    </w:p>
    <w:p w14:paraId="0357792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1.3.1本项目采购内容：见供应商须知前附表。</w:t>
      </w:r>
    </w:p>
    <w:p w14:paraId="4F23FA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1.3.2本项目的质量标准：见供应商须知前附表</w:t>
      </w:r>
    </w:p>
    <w:p w14:paraId="2749FEF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1.3.3本项目的实施期限：见供应商须知前附表。</w:t>
      </w:r>
    </w:p>
    <w:p w14:paraId="007C544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1.3.4本项目服务地点：见供应商须知前附表。</w:t>
      </w:r>
    </w:p>
    <w:bookmarkEnd w:id="30"/>
    <w:bookmarkEnd w:id="31"/>
    <w:bookmarkEnd w:id="32"/>
    <w:bookmarkEnd w:id="33"/>
    <w:p w14:paraId="000CE0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4" w:name="_Toc179632550"/>
      <w:bookmarkStart w:id="35" w:name="_Toc152045533"/>
      <w:bookmarkStart w:id="36" w:name="_Toc152042309"/>
      <w:bookmarkStart w:id="37" w:name="_Toc144974501"/>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1.4供应商资格要求</w:t>
      </w:r>
      <w:bookmarkEnd w:id="34"/>
      <w:bookmarkEnd w:id="35"/>
      <w:bookmarkEnd w:id="36"/>
      <w:bookmarkEnd w:id="37"/>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6C01AB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38" w:name="_Toc152042311"/>
      <w:bookmarkStart w:id="39" w:name="_Toc144974503"/>
      <w:bookmarkStart w:id="40" w:name="_Toc179632552"/>
      <w:bookmarkStart w:id="41" w:name="_Toc152045535"/>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1.5费用承担</w:t>
      </w:r>
      <w:bookmarkEnd w:id="38"/>
      <w:bookmarkEnd w:id="39"/>
      <w:bookmarkEnd w:id="40"/>
      <w:bookmarkEnd w:id="41"/>
    </w:p>
    <w:p w14:paraId="42262BF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供应商准备和参加投标活动发生的费用自理。</w:t>
      </w:r>
    </w:p>
    <w:p w14:paraId="47A83D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1.6保密</w:t>
      </w:r>
    </w:p>
    <w:p w14:paraId="257EB0D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参与招标投标活动的各方应对竞争性磋商文件和响应性文件中的商业和技术等秘密保密，违者应对由此造成的后果承担法律责任。</w:t>
      </w:r>
    </w:p>
    <w:p w14:paraId="7F810EF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1.7语言文字</w:t>
      </w:r>
    </w:p>
    <w:p w14:paraId="33EB748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除专用术语外，与招标投标有关的语言均使用中文。专用术语应附有中文注释。</w:t>
      </w:r>
    </w:p>
    <w:p w14:paraId="1E11696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1.8计量单位</w:t>
      </w:r>
    </w:p>
    <w:p w14:paraId="6C73F44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所有计量均采用中华人民共和国法定计量单位。</w:t>
      </w:r>
    </w:p>
    <w:p w14:paraId="43D1A3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1.9踏勘现场</w:t>
      </w:r>
    </w:p>
    <w:p w14:paraId="2F3FBC7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3901A79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1.10投标预备会</w:t>
      </w:r>
    </w:p>
    <w:p w14:paraId="1D25CB9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0DDD08E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1.11分包</w:t>
      </w:r>
    </w:p>
    <w:p w14:paraId="6AA971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489B4D7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1.12偏离</w:t>
      </w:r>
    </w:p>
    <w:p w14:paraId="07263B6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w:t>
      </w:r>
    </w:p>
    <w:p w14:paraId="1620836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bookmarkStart w:id="42" w:name="_Toc516499647"/>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2、竞争性磋商文件</w:t>
      </w:r>
      <w:bookmarkEnd w:id="42"/>
    </w:p>
    <w:p w14:paraId="5E28CF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2.1竞争性磋商文件的组成</w:t>
      </w:r>
    </w:p>
    <w:p w14:paraId="1D46176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本竞争性磋商文件包括：</w:t>
      </w:r>
    </w:p>
    <w:p w14:paraId="46DE0A5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(1）竞争性磋商公告；</w:t>
      </w:r>
    </w:p>
    <w:p w14:paraId="0B6B1E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(2）供应商须知；</w:t>
      </w:r>
    </w:p>
    <w:p w14:paraId="56A17D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采购需求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19F275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评审标准及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办法；</w:t>
      </w:r>
    </w:p>
    <w:p w14:paraId="02634BB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(5）合同条款及格式；</w:t>
      </w:r>
    </w:p>
    <w:p w14:paraId="5B99A1A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(6）响应文件格式；</w:t>
      </w:r>
    </w:p>
    <w:p w14:paraId="128B5E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根据本章第2.2</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款</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对竞争性磋商文件所作的澄清、修改，构成竞争性磋商文件的组成部分。</w:t>
      </w:r>
    </w:p>
    <w:p w14:paraId="70F866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2.2竞争性磋商文件</w:t>
      </w:r>
      <w:bookmarkStart w:id="43" w:name="_Toc51649964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澄清与修改</w:t>
      </w:r>
    </w:p>
    <w:p w14:paraId="7195381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2.2.1供应商应仔细阅读和检查采购文件的全部内容。如发现缺页或附件不全，应及时向采购人（或采购代理机构）提出，以便补齐。如有疑问，应在供应商须知前附表规定的时间在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电子化交易系统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平台上进行提问，要求采购人对采购文件予以澄清。</w:t>
      </w:r>
    </w:p>
    <w:p w14:paraId="0850FD4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2.2.2采购人或采购代理机构可主动地或在解答供应商提出的澄清问题时对采购文件进行澄清或修改。采购代理机构将以发布澄清（更正）公告的方式，澄清或修改采购文件，澄清或修改的内容作为采购文件的组成部分。澄清或者修改的内容可能影响响应文件编制的，应当在递交首次响应文件截止时间至少3个工作日前，在原公告发布媒体上发布变更公告（或澄清公告），不足3个工作日的，应当顺延首次递交响应文件截止时间。</w:t>
      </w:r>
    </w:p>
    <w:p w14:paraId="7E23664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2.2.3采购文件的澄清将在供应商须知前附表规定的时间在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公共资源交易平台上公布给供应商，但不指明澄清问题的来源。</w:t>
      </w:r>
    </w:p>
    <w:p w14:paraId="4379D55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2.2.4采购人、采购代理机构对已发出的采购文件进行的澄清、更正或修改，澄清、更正或修改的内容将作为采购文件的组成部分。采购代理机构将通过</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公共资源交易中心交易平台“变更（澄清或更正）公告”和系统内部“答疑文件”告知供应商，各供应商须重新下载最新的答疑、变更（澄清或更正）文件，以此编制响应文件。</w:t>
      </w:r>
    </w:p>
    <w:p w14:paraId="2691AFD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2.2.5</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公共资源交易中心平台供应商信息在磋商开始前具有保密性，供应商在响应文件提交截止时间前应当自行查看项目进展、答疑、变更（澄清或更正）通知、澄清及回复，因供应商未及时查看而造成的后果自负</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w:t>
      </w:r>
    </w:p>
    <w:p w14:paraId="746868DD">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3、响应性文件</w:t>
      </w:r>
      <w:bookmarkEnd w:id="43"/>
    </w:p>
    <w:p w14:paraId="2390EE0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3.1响应性文件的组成</w:t>
      </w:r>
    </w:p>
    <w:p w14:paraId="5B0F1D6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3.1.1响应性文件应包括下列内容：见响应文件格式</w:t>
      </w:r>
    </w:p>
    <w:p w14:paraId="2ABE767C">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b/>
          <w:bCs/>
          <w:color w:val="000000" w:themeColor="text1"/>
          <w:kern w:val="10"/>
          <w:sz w:val="21"/>
          <w:szCs w:val="21"/>
          <w:highlight w:val="none"/>
          <w:lang w:val="zh-CN"/>
          <w14:textFill>
            <w14:solidFill>
              <w14:schemeClr w14:val="tx1"/>
            </w14:solidFill>
          </w14:textFill>
        </w:rPr>
        <w:t>响应文件的格式</w:t>
      </w:r>
    </w:p>
    <w:p w14:paraId="4C18B1E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3.2</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投标人所上传的电子化响应文件，应是通过中心响应文件制作系统制作的（响应文件制作工具下载地址：http://t.cn/A6ZvtVob），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14ED05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注：供应商投报多个标段的，需要每个标段单独制作电子响应文件。</w:t>
      </w:r>
    </w:p>
    <w:p w14:paraId="4FB3C345">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4" w:name="_Toc3669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、电子化磋商响应文件的签署</w:t>
      </w:r>
      <w:bookmarkEnd w:id="44"/>
    </w:p>
    <w:p w14:paraId="5DE8FF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3.3</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供应商在进行电子化磋商响应文件签章时，竞争性磋商文件中要求供应商盖章的，以签盖单位章为准；要求法定代表人签章的，以签盖法定代表人签章为准。电子化磋商响应文件具体制作教材请供应商通过 CA 证书登录三门峡市公共资源电子化交易系统在右上角“组件下载”中查看。</w:t>
      </w:r>
    </w:p>
    <w:p w14:paraId="4FF85BF4">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pPr>
      <w:bookmarkStart w:id="45" w:name="_Toc1982_WPSOffice_Level3"/>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b/>
          <w:bCs/>
          <w:color w:val="000000" w:themeColor="text1"/>
          <w:kern w:val="10"/>
          <w:sz w:val="21"/>
          <w:szCs w:val="21"/>
          <w:highlight w:val="none"/>
          <w:lang w:val="zh-CN" w:eastAsia="zh-CN"/>
          <w14:textFill>
            <w14:solidFill>
              <w14:schemeClr w14:val="tx1"/>
            </w14:solidFill>
          </w14:textFill>
        </w:rPr>
        <w:t>电子化磋商响应文件的上传</w:t>
      </w:r>
      <w:bookmarkEnd w:id="45"/>
    </w:p>
    <w:p w14:paraId="49A5C8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3.4</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电子化磋商响应文件应在磋商截止时间前成功上传至三门峡市公共资源电子化交易系统。至磋商截止时间止，仍未上传成功的电子化磋商响应文件将不予接收。</w:t>
      </w:r>
    </w:p>
    <w:p w14:paraId="3367946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注：如按照电子化投标操作教材制作完成的电子化磋商响应文件无法上传的，供应商应在磋商截止时间前尽早的联系中心技术人员，以便有充分的时间进行处理。供应商应充分考虑到处理技术问题和上传数据等工作的时间问题，磋商响应文件未在磋商截止时间前成功上传的，其磋商响应文件不予接收。</w:t>
      </w:r>
    </w:p>
    <w:p w14:paraId="27E558D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3.5投标报价</w:t>
      </w:r>
    </w:p>
    <w:p w14:paraId="2DAFDFBC">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本项目的磋商报价采用本须知前附表所规定的方式进行报价。供应商的响应报价（及最后报价）应当包括满足所应提供的货物及服务等全部内容（除非在供应商须知前附表中另有规定）。所有报价及合同所有款项均应以人民币报价。供应商的报价应遵守《中华人民共和国价格法》。</w:t>
      </w:r>
    </w:p>
    <w:p w14:paraId="12937A1F">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参考相关收费标准结合供应商自身情况自主报价，但不得</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以可能影响合同履行的异常低价竞标</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1B82CD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参考采购人所提供的采购范围及工作内容、质量标准、采购预算等全部内容，结合本项目实际情况和供应商自身成本、市场行情等因素，自主报价。不得高于采购人给定的预算价或最高限价，否则响应文件将被认定为无效响应文件</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55596454">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应当按照采购文件提供的报价表格式如实填写各项货物的单价、分项总价和总报价。供应商应认真填报所有项目的单价和合价，响应文件中若有漏项、漏报，采购人视为供应商的报价在总报价中已经包括；供应商提交最后报价后，如果被确定为成交人，该供应商所报价格，在合同履行过程中是固定不变的，除因采购人原因引起的变更外，不予调整。供应商报价有算术错误的，其风险由供应商承担。</w:t>
      </w:r>
    </w:p>
    <w:p w14:paraId="7AED924F">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应当由供应商完成的而供应商在报价组成中没有详细列出的工作内容，其报价均视为包含在报价组成已列出的项目之中，采购人不另行支付。</w:t>
      </w:r>
    </w:p>
    <w:p w14:paraId="70DF23ED">
      <w:pPr>
        <w:wordWrap w:val="0"/>
        <w:adjustRightInd w:val="0"/>
        <w:snapToGrid w:val="0"/>
        <w:spacing w:line="360" w:lineRule="auto"/>
        <w:ind w:firstLine="422" w:firstLineChars="20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本次磋商允许供应商有二次报价，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供应商响应性文件中的报价作为第一次报价，不得高于项目预算金额且不公开；第二轮报价不得高于第一轮报价,</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最后一次报价为最终报价，</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成交价以最终报价为准。</w:t>
      </w:r>
      <w:r>
        <w:rPr>
          <w:rFonts w:hint="eastAsia" w:asciiTheme="minorEastAsia" w:hAnsiTheme="minorEastAsia" w:eastAsiaTheme="minorEastAsia" w:cstheme="minorEastAsia"/>
          <w:b/>
          <w:color w:val="000000" w:themeColor="text1"/>
          <w:sz w:val="21"/>
          <w:szCs w:val="21"/>
          <w:highlight w:val="none"/>
          <w14:textFill>
            <w14:solidFill>
              <w14:schemeClr w14:val="tx1"/>
            </w14:solidFill>
          </w14:textFill>
        </w:rPr>
        <w:t>最终报价是供应商响应文件的有效组成部分</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3817F4D">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lang w:val="en-US" w:eastAsia="zh-CN"/>
          <w14:textFill>
            <w14:solidFill>
              <w14:schemeClr w14:val="tx1"/>
            </w14:solidFill>
          </w14:textFill>
        </w:rPr>
        <w:t>3.5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供应商的磋商报价不得高于磋商控制价，否则为废标</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49BDCEF4">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响应性文件的编制</w:t>
      </w:r>
    </w:p>
    <w:p w14:paraId="6814F9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.1响应性文件应按第六章“响应性文件格式”进行编写，如有必要，可以增加附页，作为响应性文件的组成部分。</w:t>
      </w:r>
    </w:p>
    <w:p w14:paraId="56C5E3E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.2响应性文件应当对竞争性磋商文件有关</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供货期（服务周期）</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、磋商有效期、质量标准、招标范围、响应性文件的编制等实质性内容作出响应。响应性文件不响应本竞争性磋商文件的实质性要求和条件的，其投标将被拒绝。</w:t>
      </w:r>
    </w:p>
    <w:p w14:paraId="054BE67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3.7.3竞争性磋商文件中要求供应商盖章的，以签盖单位章为准；要求法定代表人或授权委托人签字或盖章的，以签盖法定代表人电子签章为准。</w:t>
      </w:r>
    </w:p>
    <w:p w14:paraId="6474B56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磋商有效期</w:t>
      </w:r>
    </w:p>
    <w:p w14:paraId="7945F2D5">
      <w:pPr>
        <w:tabs>
          <w:tab w:val="left" w:pos="100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.1自磋商截止时间起60日历天。在磋商有效期内，供应商不得要求撤销或修改其响应文件。</w:t>
      </w:r>
    </w:p>
    <w:p w14:paraId="0070968C">
      <w:pPr>
        <w:tabs>
          <w:tab w:val="left" w:pos="782"/>
        </w:tabs>
        <w:wordWrap w:val="0"/>
        <w:overflowPunct w:val="0"/>
        <w:adjustRightInd w:val="0"/>
        <w:snapToGrid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出现特殊情况需要延长磋商有效期的，采购人以书面形式通知所有供应商延长磋商有效期。供应商同意延长的，应相应延长其磋商保证金的有效期，但不得要求或被允许修改或撤销其响应文件；供应商拒绝延长的，其投标失效。</w:t>
      </w:r>
    </w:p>
    <w:p w14:paraId="59335536">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磋商保证金</w:t>
      </w:r>
    </w:p>
    <w:p w14:paraId="3098EF0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按照《河南省财政厅关于优化政府采购营商环境有关问题的通知》（豫财购[2019]4号文）的要求本项目不再收取磋商保证金。</w:t>
      </w:r>
    </w:p>
    <w:p w14:paraId="6361D7C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资格审查资料</w:t>
      </w:r>
    </w:p>
    <w:p w14:paraId="1A04F94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见供应商须知前附表供应商资格要求</w:t>
      </w:r>
    </w:p>
    <w:p w14:paraId="06F801F1">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备选投标方案</w:t>
      </w:r>
    </w:p>
    <w:p w14:paraId="43EC865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除供应商须知前附表另有规定外，供应商不得递交备选投标方案。允许供应商递交备选投标方案的，只有成交人所递交的备选投标方案方可予以考虑。磋商小组认为成交人的备选投标方案优于其按照竞争性磋商文件要求编制的投标方案的，采购人可以接受该备选投标方案。</w:t>
      </w:r>
    </w:p>
    <w:p w14:paraId="4956D6C0">
      <w:pPr>
        <w:wordWrap w:val="0"/>
        <w:spacing w:line="360" w:lineRule="auto"/>
        <w:ind w:firstLine="422" w:firstLineChars="200"/>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10"/>
          <w:sz w:val="21"/>
          <w:szCs w:val="21"/>
          <w:highlight w:val="none"/>
          <w14:textFill>
            <w14:solidFill>
              <w14:schemeClr w14:val="tx1"/>
            </w14:solidFill>
          </w14:textFill>
        </w:rPr>
        <w:t>5．磋商</w:t>
      </w:r>
    </w:p>
    <w:p w14:paraId="31113C75">
      <w:pPr>
        <w:wordWrap w:val="0"/>
        <w:spacing w:line="360" w:lineRule="auto"/>
        <w:ind w:firstLine="420" w:firstLineChars="2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磋商会议</w:t>
      </w:r>
    </w:p>
    <w:p w14:paraId="117FDD5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5.1.1采购人和采购代理机构将在“供应商须知前附表”中规定的时间和地点组织磋商会议。供应商无需到现场参加磋商会议，磋商会议采用“远程不见面”方式，供应商须在采购文件规定的响应文件提交截止时间前，登录远程开标大厅，在线准时参加磋商会议活动，并在规定的时间内对响应文件进行解密、答疑澄清（如需要）、最后报价等。</w:t>
      </w:r>
    </w:p>
    <w:p w14:paraId="5F124D9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5.1.2供应商须在供应商须知前附表规定的时间内完成响应文件的解密。由于供应商的自</w:t>
      </w:r>
    </w:p>
    <w:p w14:paraId="4BE44F7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身原因，在规定时间内解密不成功的，其响应文件将被拒绝。</w:t>
      </w:r>
    </w:p>
    <w:p w14:paraId="3513E71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5.1.3供应商在“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公共资源交易中心”网站下载采购文件成功后，如未在采购文件</w:t>
      </w:r>
    </w:p>
    <w:p w14:paraId="14E8EC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规定的“响应文件提交截止时间”前成功上传或误传加密的响应文件，而导致的解密失败，</w:t>
      </w:r>
    </w:p>
    <w:p w14:paraId="2CA38AF5">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其响应文件将被拒绝。</w:t>
      </w:r>
    </w:p>
    <w:p w14:paraId="73CD4DA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5.1.4供应商代表对磋商会议过程有疑义的，应当在磋商开始前通过交易系统提出询问。</w:t>
      </w:r>
    </w:p>
    <w:p w14:paraId="391EFA3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5.1.5在供应商须知前附表规定的时间内完成响应文件解密的供应商不足3家的，将不再</w:t>
      </w:r>
    </w:p>
    <w:p w14:paraId="40B927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进行磋商（特殊情况除外）。</w:t>
      </w:r>
    </w:p>
    <w:p w14:paraId="335F5562">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.磋商细则</w:t>
      </w:r>
    </w:p>
    <w:p w14:paraId="140C6AB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.1采购人按照上传响应性文件时间的顺序，决定磋商顺序；</w:t>
      </w:r>
    </w:p>
    <w:p w14:paraId="70575E0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所有成员应当集中与单一供应商分别进行磋商。磋商小组将根据采购文件规定的程序、评定成交的标准等事项与实质性响应采购文件要求的供应商分别进行磋商。在磋商中，磋商的任何一方不得透露与磋商有关的其他供应商的技术资料、价格和其他信息。</w:t>
      </w:r>
    </w:p>
    <w:p w14:paraId="01C82A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.3本次磋商中，响应性文件中的报价为第一次报价。</w:t>
      </w:r>
    </w:p>
    <w:p w14:paraId="7379BD9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.4供应商可以在磋商小组规定的时间内进行第二次报价，通过交易中心系统以电子形式递交，第二轮报价不得高于第一轮报价，成交价以最终报价为准。磋商过程中，磋商小组可以根据磋商情况调整磋商轮次。</w:t>
      </w:r>
    </w:p>
    <w:p w14:paraId="1ED1ABB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5.2</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.5本项目采用综合评分法，磋商小组成员综合评审各供应商提交的响应性文件，按总得分由高到低的顺序推荐3名成交候选人，并编写评审报告。</w:t>
      </w:r>
    </w:p>
    <w:p w14:paraId="6095994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小组</w:t>
      </w:r>
    </w:p>
    <w:p w14:paraId="1306515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.1磋商小组由采购人依法组建，负责磋商。根据《政府采购竞争性磋商采购方式管理办法》的规定，磋商小组应当履行以下义务：</w:t>
      </w:r>
    </w:p>
    <w:p w14:paraId="5721FD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（一）遵纪守法，客观、公正、廉洁地履行职责；</w:t>
      </w:r>
    </w:p>
    <w:p w14:paraId="6906698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根据竞争性磋商文件的规定独立进行评审，对个人的评审意见承担法律责任；磋商小组将综合分析、评审供应商的各项指标，而不以单项指标的优劣评定出成交候选人或成交人。</w:t>
      </w:r>
    </w:p>
    <w:p w14:paraId="3A7809A9">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参与磋商报告的起草；</w:t>
      </w:r>
    </w:p>
    <w:p w14:paraId="39EDB9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配合采购人、代理机构答复供应商提出的质疑；</w:t>
      </w:r>
    </w:p>
    <w:p w14:paraId="19AC137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配合财政部门的投诉处理和监督检查工作。</w:t>
      </w:r>
    </w:p>
    <w:p w14:paraId="40A28A62">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.2磋商小组由有关技术、经济方面的专家组成。磋商小组人数及技术、经济专家的确定方式见供应商须知前附表。</w:t>
      </w:r>
    </w:p>
    <w:p w14:paraId="1991E153">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.3磋商原则</w:t>
      </w:r>
    </w:p>
    <w:p w14:paraId="03DCC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严格按照竞争性磋商文件中的所有相关规定；按照“客观、公正、审慎”的原则进行磋商。</w:t>
      </w:r>
    </w:p>
    <w:p w14:paraId="60E4E07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.2反对不正当竞争。</w:t>
      </w:r>
    </w:p>
    <w:p w14:paraId="33B865D8">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、磋商过程的保密</w:t>
      </w:r>
    </w:p>
    <w:p w14:paraId="2FFFB9C5">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.1响应性文件的审查、澄清、评价和比较的有关资料以及成交候选人的推荐情况，与评标有关的其他任何情况均应严格保密。</w:t>
      </w:r>
    </w:p>
    <w:p w14:paraId="66C210B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.2在响应性文件的评审和比较、成交候选人推荐以及授予合同的过程中，供应商向采购人和磋商小组施加影响的任何行为，都将会导致其投标被拒绝。</w:t>
      </w:r>
    </w:p>
    <w:p w14:paraId="031A22EB">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.3采购人不对未成交人就评标过程以及未能成交原因作出任何解释。未成交人不得向磋商小组成员和其他有关人员索问评标过程的情况和资料。</w:t>
      </w:r>
    </w:p>
    <w:p w14:paraId="5034B0F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、响应性文件的澄清</w:t>
      </w:r>
    </w:p>
    <w:p w14:paraId="16CACFB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在磋商期间，磋商小组可以要求供应商对其响应文件中含义不明确、同类问题表述不一致或者有明显文字和计算错误的内容等作必要的澄清、说明或更正。供应商的澄清、说明或更正应在磋商小组规定的时间内以书面方式进行，并不得超出响应文件范围或者改变响应文件的实质性内容。供应商拒不进行澄清、说明、更正的，或者不能在规定时间内作出书面澄清、说明、更正的，其响应文件将被作为无效响应文件处理。</w:t>
      </w:r>
    </w:p>
    <w:p w14:paraId="174B58A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磋商小组要求供应商澄清、说明或者更正响应文件将在</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三门峡市</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资源交易系统中向供应商发出，供应商在收到该要求后，应在磋商小组规定时间内在交易系统中做出相应的回复，如果磋商小组在规定时间内没有收到供应商的回复则视为该供应商没有回复</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由此造成后果由供应商自行承担</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60FE39F2">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.2供应商应当在采购文件中确定的响应文件递交截止时间前，登录远程开标大厅，在线准时参加磋商活动并根据需要进行文件答疑澄清等。</w:t>
      </w:r>
    </w:p>
    <w:p w14:paraId="20BBC3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.3供应商的澄清、说明或者更正应当加盖单位的电子签章及法定代表人（或单位负责人）的电子签章（若平台不能提交法定代表人签章或者供应商电子章的除外）。</w:t>
      </w:r>
    </w:p>
    <w:p w14:paraId="18B00D5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.4响应文件的澄清、说明或者更正不得对响应文件的内容进行实质性修改。</w:t>
      </w:r>
    </w:p>
    <w:p w14:paraId="2ECEE4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5.5</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.5供应商的澄清、说明或更正将作为响应文件的一部分并</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取代响应文件中被澄清的部分</w:t>
      </w:r>
    </w:p>
    <w:p w14:paraId="06EDB36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5.6、响应性文件的初步评审</w:t>
      </w:r>
    </w:p>
    <w:p w14:paraId="79AEE739">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资格审查</w:t>
      </w:r>
    </w:p>
    <w:p w14:paraId="7B179016">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磋商小组依据法律法规和采购文件中规定的内容，对供应商的资格（提交的资格证明材料见供应商须知前附表）进行审查。未通过资格审查的供应商不能进入下一阶段评审；通过资格审查的供应商不足3家的（特殊情况下不足2家的），不得进入下一阶段评审</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w:t>
      </w:r>
    </w:p>
    <w:p w14:paraId="1799BE8C">
      <w:pPr>
        <w:numPr>
          <w:ilvl w:val="0"/>
          <w:numId w:val="0"/>
        </w:num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5.6.2</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响应文件符合性审查</w:t>
      </w:r>
    </w:p>
    <w:p w14:paraId="79403C6A">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性审查是指依据采购文件的规定，从商务和技术角度对响应文件的有效性、完整性和响应程度进行审查，以确定是否对采购文件的实质性要求做出响应。供应商应当按照采购文件中的相关要求，提交符合性证明材料。未通过符合性审查的供应商不能进入下一阶段评审，其响应文件将被认定为无效响应文件；通过符合性审查的供应商数量不足3家的（特殊情况下不足2家的），不得作进一步的比较和评价。</w:t>
      </w:r>
    </w:p>
    <w:p w14:paraId="2A75BE49">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.响应性文件计算错误的修正</w:t>
      </w:r>
    </w:p>
    <w:p w14:paraId="0919E6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.1磋商小组将对确定为实质上响应竞争性磋商文件要求的响应性文件进行校核，看其是否有计算或表达上的错误，修正错误的原则如下：</w:t>
      </w:r>
    </w:p>
    <w:p w14:paraId="48B94AB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.1如果数字表示的金额和用文字表示的金额不一致时，应以文字表示的金额为准；</w:t>
      </w:r>
    </w:p>
    <w:p w14:paraId="1CCEE6D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.2当单价与数量的乘积与合价不一致时，以单价为准，除非磋商小组认为单价有明显的小数点错误，此时应以标出的合价为准，并修改单价。</w:t>
      </w:r>
    </w:p>
    <w:p w14:paraId="6602D23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5.7.3</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按上述修正错误的原则</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及方法调整或修正响应性文件的投标报价，供应商同意后，调整后的投标报价对供应商起约束作用。如果供应商不接受修正后的报价，则磋商小组对其不再进行评审。</w:t>
      </w:r>
    </w:p>
    <w:p w14:paraId="369E1465">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.响应性文件的评审、比较和否决</w:t>
      </w:r>
    </w:p>
    <w:p w14:paraId="484844C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.1磋商小组仅对在实质上响应竞争性磋商文件要求的响应性文件进行评估和比较。</w:t>
      </w:r>
    </w:p>
    <w:p w14:paraId="49105EB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5.8</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磋商小组认为某供应商的报价明显低于其他通过符合性审查供应商的报价，有可能影响产品质量或者不能诚信履约的，磋商小组将通过交易系统向该供应商发出通知，要求该供应商通过交易系统（接到通知后30分钟内）提供书面说明，并提交相关证明材料， 供应商不能证明其报价合理性的，磋商小组将其响应文件作为无效响应文件处理。</w:t>
      </w:r>
    </w:p>
    <w:p w14:paraId="3F53715D">
      <w:pPr>
        <w:wordWrap w:val="0"/>
        <w:spacing w:line="360" w:lineRule="auto"/>
        <w:ind w:firstLine="420" w:firstLineChars="200"/>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5.8.3</w:t>
      </w:r>
      <w:r>
        <w:rPr>
          <w:rFonts w:hint="eastAsia" w:asciiTheme="minorEastAsia" w:hAnsiTheme="minorEastAsia" w:eastAsiaTheme="minorEastAsia" w:cstheme="minorEastAsia"/>
          <w:b w:val="0"/>
          <w:bCs w:val="0"/>
          <w:snapToGrid w:val="0"/>
          <w:color w:val="000000" w:themeColor="text1"/>
          <w:kern w:val="0"/>
          <w:sz w:val="21"/>
          <w:szCs w:val="21"/>
          <w:highlight w:val="none"/>
          <w:shd w:val="clear" w:color="auto" w:fill="FFFFFF"/>
          <w14:textFill>
            <w14:solidFill>
              <w14:schemeClr w14:val="tx1"/>
            </w14:solidFill>
          </w14:textFill>
        </w:rPr>
        <w:t>磋商小组应当要求所有实质性响应的供应商在规定时间内提交最后报价，提交最后报价的供应商不得少于3家。</w:t>
      </w:r>
    </w:p>
    <w:p w14:paraId="2D6600AC">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5.8.4</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出现下列情形之一的，采购人或者招标代理机构应当终止竞争性磋商活动，发布项目终止公告并说明原因，重新开展招标活动：</w:t>
      </w:r>
    </w:p>
    <w:p w14:paraId="4B1EF94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（一）因情况变化，不再符合规定的竞争性磋商采购方式适用情形的；</w:t>
      </w:r>
    </w:p>
    <w:p w14:paraId="67CA65E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（二）出现影响采购公正的违法、违规行为的；</w:t>
      </w:r>
    </w:p>
    <w:p w14:paraId="364320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（三）除《政府采购竞争性磋商采购方式管理暂行办法》第二十一条第三款规定的情形外，在采购过程中符合要求的供应商或者报价未超过采购预算的供应商不足3家的。</w:t>
      </w:r>
    </w:p>
    <w:p w14:paraId="196F9F3C">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5.9</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、成交原则</w:t>
      </w:r>
    </w:p>
    <w:p w14:paraId="4D20E51D">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磋商小组根据综合评分情况，按照评审得分由高到低顺序推荐3名</w:t>
      </w:r>
      <w:r>
        <w:rPr>
          <w:rFonts w:hint="eastAsia" w:asciiTheme="minorEastAsia" w:hAnsiTheme="minorEastAsia" w:eastAsiaTheme="minorEastAsia" w:cstheme="minorEastAsia"/>
          <w:bCs/>
          <w:color w:val="000000" w:themeColor="text1"/>
          <w:sz w:val="21"/>
          <w:szCs w:val="21"/>
          <w:highlight w:val="none"/>
          <w:lang w:val="en-US" w:eastAsia="zh-CN"/>
          <w14:textFill>
            <w14:solidFill>
              <w14:schemeClr w14:val="tx1"/>
            </w14:solidFill>
          </w14:textFill>
        </w:rPr>
        <w:t>成交</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供应商，并编写评审报告并在报告上签字。评审得分相同的，按照最后报价由低到高的顺序推荐。评审得分且最后报价相同的，按照技术指标优劣顺序推荐。</w:t>
      </w:r>
    </w:p>
    <w:p w14:paraId="13CF90D2">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bCs w:val="0"/>
          <w:color w:val="000000" w:themeColor="text1"/>
          <w:sz w:val="21"/>
          <w:szCs w:val="21"/>
          <w:highlight w:val="none"/>
          <w14:textFill>
            <w14:solidFill>
              <w14:schemeClr w14:val="tx1"/>
            </w14:solidFill>
          </w14:textFill>
        </w:rPr>
        <w:t>、评审报告</w:t>
      </w:r>
    </w:p>
    <w:p w14:paraId="4E2267F7">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磋商小组组应当根据评审记录和评审结果编写评审报告，其主要内容包括：</w:t>
      </w:r>
    </w:p>
    <w:p w14:paraId="5BA2EC75">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.1招标活</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动的具体方式和相关情况，以及参加招标活动的供应商名单；</w:t>
      </w:r>
    </w:p>
    <w:p w14:paraId="54F3D244">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 w:val="0"/>
          <w:bCs/>
          <w:color w:val="000000" w:themeColor="text1"/>
          <w:sz w:val="21"/>
          <w:szCs w:val="21"/>
          <w:highlight w:val="none"/>
          <w14:textFill>
            <w14:solidFill>
              <w14:schemeClr w14:val="tx1"/>
            </w14:solidFill>
          </w14:textFill>
        </w:rPr>
        <w:t>.2评审</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日期和地点，磋商小组成员名单；</w:t>
      </w:r>
    </w:p>
    <w:p w14:paraId="603EB231">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.3评审情况记录和说明，包括对供应商的资格审查情况、响应文件评审情况、磋商情况、报价情况等；</w:t>
      </w:r>
    </w:p>
    <w:p w14:paraId="1E566168">
      <w:pPr>
        <w:wordWrap w:val="0"/>
        <w:spacing w:line="360" w:lineRule="auto"/>
        <w:ind w:firstLine="420" w:firstLineChars="200"/>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highlight w:val="none"/>
          <w:lang w:val="en-US" w:eastAsia="zh-CN"/>
          <w14:textFill>
            <w14:solidFill>
              <w14:schemeClr w14:val="tx1"/>
            </w14:solidFill>
          </w14:textFill>
        </w:rPr>
        <w:t>5.10</w:t>
      </w: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.4提出的成交候选人的名单及理由。</w:t>
      </w:r>
    </w:p>
    <w:p w14:paraId="541F3A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Cs/>
          <w:color w:val="000000" w:themeColor="text1"/>
          <w:sz w:val="21"/>
          <w:szCs w:val="21"/>
          <w:highlight w:val="none"/>
          <w14:textFill>
            <w14:solidFill>
              <w14:schemeClr w14:val="tx1"/>
            </w14:solidFill>
          </w14:textFill>
        </w:rPr>
        <w:t>评审报告应当由磋商小组全体人员签字认可。磋商小组成员对评审报告有异议的，磋商小组按照少数服从多数的原则推荐成交候选人，招标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2DA927E4">
      <w:pPr>
        <w:wordWrap w:val="0"/>
        <w:spacing w:line="360" w:lineRule="auto"/>
        <w:ind w:firstLine="422" w:firstLineChars="200"/>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bCs w:val="0"/>
          <w:color w:val="000000" w:themeColor="text1"/>
          <w:sz w:val="21"/>
          <w:szCs w:val="21"/>
          <w:highlight w:val="none"/>
          <w:lang w:val="zh-CN" w:eastAsia="zh-CN"/>
          <w14:textFill>
            <w14:solidFill>
              <w14:schemeClr w14:val="tx1"/>
            </w14:solidFill>
          </w14:textFill>
        </w:rPr>
        <w:t>确定成交供应商</w:t>
      </w:r>
    </w:p>
    <w:p w14:paraId="40E0BC7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.1 磋商小组应当根据综合评分情况，按照评审</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高到低的顺序推荐</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3名</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成交候选人，并向采购人提供书面评审报告，</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由采购人确定排名第一的为成交供应商</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，采购人及采购代理机构在政府采购项目评审结束之日当天完成评标报告的报送、中标（成交）供应商的确定、中标（成交）公告发布及中标（成交）通知书的发出等。</w:t>
      </w:r>
    </w:p>
    <w:p w14:paraId="4C4D7BBA">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、成交通知</w:t>
      </w:r>
    </w:p>
    <w:p w14:paraId="09822EC8">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.1成交供应商确定后，采购人向成交供应商签发《成交通知书》，并将成交结果通知所有未成交的供应商。</w:t>
      </w:r>
    </w:p>
    <w:p w14:paraId="3CDE993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w:t>
      </w:r>
      <w:r>
        <w:rPr>
          <w:rFonts w:hint="eastAsia" w:asciiTheme="minorEastAsia" w:hAnsiTheme="minorEastAsia" w:eastAsiaTheme="minorEastAsia" w:cstheme="minorEastAsia"/>
          <w:b w:val="0"/>
          <w:bCs w:val="0"/>
          <w:color w:val="000000" w:themeColor="text1"/>
          <w:sz w:val="21"/>
          <w:szCs w:val="21"/>
          <w:highlight w:val="none"/>
          <w14:textFill>
            <w14:solidFill>
              <w14:schemeClr w14:val="tx1"/>
            </w14:solidFill>
          </w14:textFill>
        </w:rPr>
        <w:t>.2《成交通知书》作为签订合同的依据，对采购人和成交供应商均具有法律效力，成交通知书发出后，采购人改变成交结果或者成交供应商放弃项目，应依法承担法律责任。</w:t>
      </w:r>
    </w:p>
    <w:p w14:paraId="3915E507">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、合同授予</w:t>
      </w:r>
    </w:p>
    <w:p w14:paraId="5A3FBDE4">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.1成交供应商接到《成交通知书》后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1个工作</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日内按指定地点与采购人签订采购合同；采购人应当在合同签订后</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个工作日内在河南政府采购网公示采购合同，并完成合同备案。</w:t>
      </w:r>
    </w:p>
    <w:p w14:paraId="5BCEC39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.2采购人签发的成交通知书、竞争性磋商文件、成交供应商的磋商响应文件及其澄清文件等，均为签订合同的依据。</w:t>
      </w:r>
    </w:p>
    <w:p w14:paraId="2DBC0543">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.3成交供应商如不按本供应商须知的规定与采购人订立合同，则采购人将废除授标，并做出相应的处罚，同时依法承担相应法律责任。</w:t>
      </w:r>
    </w:p>
    <w:p w14:paraId="4CCFF9F0">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.4成交供应商需向采购代理机构支付代理服务费。</w:t>
      </w:r>
    </w:p>
    <w:p w14:paraId="2A2279E5">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bookmarkStart w:id="46" w:name="_Toc7342_WPSOffice_Level3"/>
      <w:r>
        <w:rPr>
          <w:rFonts w:hint="eastAsia" w:asciiTheme="minorEastAsia" w:hAnsiTheme="minorEastAsia" w:eastAsiaTheme="minorEastAsia" w:cstheme="minorEastAsia"/>
          <w:b/>
          <w:bCs/>
          <w:color w:val="000000" w:themeColor="text1"/>
          <w:sz w:val="21"/>
          <w:szCs w:val="21"/>
          <w:lang w:val="zh-CN"/>
          <w14:textFill>
            <w14:solidFill>
              <w14:schemeClr w14:val="tx1"/>
            </w14:solidFill>
          </w14:textFill>
        </w:rPr>
        <w:t>特别注意事项</w:t>
      </w:r>
      <w:bookmarkEnd w:id="46"/>
    </w:p>
    <w:p w14:paraId="6BB472F5">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.1现下列情形之一的，磋商小组可取消其磋商资格：</w:t>
      </w:r>
    </w:p>
    <w:p w14:paraId="42B388F4">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（1）未按磋商文件要求和规定提交实质性响应材料的；</w:t>
      </w:r>
    </w:p>
    <w:p w14:paraId="05CC40E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（2）相互串通磋商的（有下列情形之一的，视为供应商相互串通磋商）；</w:t>
      </w:r>
    </w:p>
    <w:p w14:paraId="74D42B5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A、不同供应商的响应文件由同一单位或者个人编制</w:t>
      </w:r>
    </w:p>
    <w:p w14:paraId="4C73FD7C">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B、不同供应商委托同一单位或者个人办理磋商事宜</w:t>
      </w:r>
    </w:p>
    <w:p w14:paraId="3DB6488D">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C、不同供应商的响应文件载明的项目管理成员为同一人</w:t>
      </w:r>
    </w:p>
    <w:p w14:paraId="54BE5219">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D、不同供应商的响应文件异常一致或者磋商报价呈规律性差异</w:t>
      </w:r>
    </w:p>
    <w:p w14:paraId="206265F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E、不同供应商的磋商保证金从同一单位的账户转出</w:t>
      </w:r>
    </w:p>
    <w:p w14:paraId="5EF29083">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1"/>
          <w:szCs w:val="21"/>
          <w:lang w:val="zh-CN" w:eastAsia="zh-CN"/>
          <w14:textFill>
            <w14:solidFill>
              <w14:schemeClr w14:val="tx1"/>
            </w14:solidFill>
          </w14:textFill>
        </w:rPr>
        <w:t>.2供应商出现下列情形之一的，将被视为非实质性响应磋商文件要求：</w:t>
      </w:r>
    </w:p>
    <w:p w14:paraId="0A97980E">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（1）供货期限不确切或不符合磋商文件要求的；</w:t>
      </w:r>
    </w:p>
    <w:p w14:paraId="3A40B47F">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（2）最后报价有选择性的；</w:t>
      </w:r>
    </w:p>
    <w:p w14:paraId="28EA74DB">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（3）最后报价超过采购预算金额的；</w:t>
      </w:r>
    </w:p>
    <w:p w14:paraId="70414768">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（4）被磋商小组认定存在重大负偏离的；</w:t>
      </w:r>
    </w:p>
    <w:p w14:paraId="15C00891">
      <w:pPr>
        <w:autoSpaceDE w:val="0"/>
        <w:autoSpaceDN w:val="0"/>
        <w:spacing w:line="400" w:lineRule="exact"/>
        <w:ind w:firstLine="420" w:firstLineChars="200"/>
        <w:jc w:val="left"/>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14:textFill>
            <w14:solidFill>
              <w14:schemeClr w14:val="tx1"/>
            </w14:solidFill>
          </w14:textFill>
        </w:rPr>
        <w:t>注：所谓重大负偏离是指供应商对磋商文件的响应在范围、质量、数量和供货期限要求等方面明显不能满足采购需求的。重大负偏离的认定须经磋商小组三分之二以上同意。</w:t>
      </w:r>
    </w:p>
    <w:p w14:paraId="10262C5C">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、纪律和监督</w:t>
      </w:r>
    </w:p>
    <w:p w14:paraId="20D694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.1对采购人的纪律要求</w:t>
      </w:r>
    </w:p>
    <w:p w14:paraId="793CAB4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采购人不得泄漏竞争性磋商中应当保密的情况和资料，不得与供应商串通损害国家利益、社会公共利益或者他人合法权益。</w:t>
      </w:r>
    </w:p>
    <w:p w14:paraId="228C0C1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.2对供应商的纪律要求</w:t>
      </w:r>
    </w:p>
    <w:p w14:paraId="1003AF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供应商不得相互串通或者与采购人串通，不得向采购人或者磋商小组成员行贿谋取成交，不得以他人名义磋商或者以其他方式弄虚作假骗取成交；供应商不得以任何方式干扰、影响磋商工作。</w:t>
      </w:r>
    </w:p>
    <w:p w14:paraId="1399F51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.3对磋商小组成员的纪律要求</w:t>
      </w:r>
    </w:p>
    <w:p w14:paraId="5173F8F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磋商小组成员不得收受他人的财物或者其他好处，不得向他人透漏对响应文件的评审和比较、成交候选人的推荐情况以及与磋商有关的其他情况。在磋商活动中，磋商小组成员不得擅离职守，影响磋商程序正常进行。</w:t>
      </w:r>
    </w:p>
    <w:p w14:paraId="4A4E878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.4对与磋商活动有关的工作人员的纪律要求</w:t>
      </w:r>
    </w:p>
    <w:p w14:paraId="19CCB7F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与磋商活动有关的工作人员不得收受他人的财物或者其他好处，不得向他人透漏对响应文件的评审和比较、成交候选人的推荐情况以及与磋商有关的其他情况。在磋商活动中，与磋商活动有关的工作人员不得擅离职守，影响磋商程序正常进行。</w:t>
      </w:r>
    </w:p>
    <w:p w14:paraId="29C978C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.5投诉</w:t>
      </w:r>
    </w:p>
    <w:p w14:paraId="116A5F8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供应商和其他利害关系人认为本次竞争性磋商违反法律、法规和规章规定的，有权向有关行政监督部门投诉。</w:t>
      </w:r>
    </w:p>
    <w:p w14:paraId="5A8F3E3B">
      <w:pPr>
        <w:wordWrap w:val="0"/>
        <w:spacing w:line="360" w:lineRule="auto"/>
        <w:ind w:firstLine="422" w:firstLineChars="20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、质疑程序及处理</w:t>
      </w:r>
    </w:p>
    <w:p w14:paraId="47BF6F0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若供应商认为其磋商未获公平评审或磋商文件、采购过程和成交结果使自己的合法权益受到损害，可以在知道或者应知其权益受到损害之日起7个工作日内，将质疑书原件送达采购人或采购代理机构。提出质疑期限的计算，依照下列规定办理：</w:t>
      </w:r>
    </w:p>
    <w:p w14:paraId="1BE52EA1">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（一）对可以质疑的磋商文件提出质疑的，为收到磋商文件之日或者磋商文件公告期限届满之日；</w:t>
      </w:r>
    </w:p>
    <w:p w14:paraId="059DF02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（二）对采购过程提出质疑的，为各采购程序环节结束之日；</w:t>
      </w:r>
    </w:p>
    <w:p w14:paraId="5645AE0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（三）对成交结果提出质疑的，为成交结果公告期限届满之日。</w:t>
      </w:r>
    </w:p>
    <w:p w14:paraId="712C971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.2质疑书应当包括下列主要内容，并按照“谁主张、谁举证”的原则，附上相关证明材料。否则，采购人不予受理：</w:t>
      </w:r>
    </w:p>
    <w:p w14:paraId="66DEA8FE">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（一）质疑供应商全称、地址、法定代表人、联系人及联系电话、邮政编码等；</w:t>
      </w:r>
    </w:p>
    <w:p w14:paraId="1D6C5DD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（二）被质疑采购项目的名称、编号；</w:t>
      </w:r>
    </w:p>
    <w:p w14:paraId="6570D010">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（三）质疑的具体事项、明确的请求和主张；</w:t>
      </w:r>
    </w:p>
    <w:p w14:paraId="5C45417F">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（四）质疑所依据的法律依据（具体条款）、具体事实和具体理由。质疑书依据理由部分只有主观陈述、推理、猜测等，而没有提供客观事实依据、法律依据的；</w:t>
      </w:r>
    </w:p>
    <w:p w14:paraId="5326C794">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质疑事项按照有关法律、法规和规章规定及竞争性磋商文件要求属于保密或者处于保密阶段的事项，磋商响应供应商必须提供正常的信息来源或有效证据，磋商响应供应商不能提供或者拒绝提供合法的信息来源或有效证据的；</w:t>
      </w:r>
    </w:p>
    <w:p w14:paraId="4AA8A6E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（六）充足有效的相关证明材料；如果涉及到产品功能或技术指标的，应出具相关制造商的证明文件；</w:t>
      </w:r>
    </w:p>
    <w:p w14:paraId="6443D5A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（七）质疑材料中有外文资料的，应一并附上中文译本，并以中文译本为准。</w:t>
      </w:r>
    </w:p>
    <w:p w14:paraId="5285410C">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（八）提起质疑的日期</w:t>
      </w:r>
    </w:p>
    <w:p w14:paraId="1282C51A">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供应商质疑实行实名制并须在质疑书上署名。供应商不得进行虚假、恶意质疑，不得以质疑为手段获取不当得利、实现非法目的。供应商为自然人的，应当由本人签字；供应商为法人的，应当由法定代表人签字或盖章并加盖公章；供应商为其他组织的，应当由主要负责人签字或盖章并加盖公章。供应商其他工作人员或代理人员在质疑书上的署名不具有法律效力。</w:t>
      </w:r>
    </w:p>
    <w:p w14:paraId="63EAB0D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.4供应商委托代理人办理质疑事宜，应当提交授权委托书，并载明委托代理的具体权限和事项。授权委托书应当由委托人签字并加盖单位公章。</w:t>
      </w:r>
    </w:p>
    <w:p w14:paraId="09139B26">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5提交质疑书时，供应商应同时提交本人身份证，委托他人代理质疑事宜的，还应提交被委托人的身份证。供应商是法人的，应一并提交法人营业执照和法定代表人身份证；供应商是其他组织的，应一并提交其他组织经营许可证和主要负责人身份证。供应商应当提供上述证明材料的原件及复印件，原件经采购人核对无误后返还。</w:t>
      </w:r>
    </w:p>
    <w:p w14:paraId="06A0DEB8">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6质疑书提交方式。供应商或者其委托代理人应当当面提交质疑书及相关证明材料。供应商以电子邮件、传真等其他方式提交质疑书及相关证明材料的，或者不是供应商或者其委托代理人提交质疑书及相关证明材料的，采购人或采购机构可以拒收。</w:t>
      </w:r>
    </w:p>
    <w:p w14:paraId="7C954C4D">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7供应商不得虚假质疑和恶意质疑，并对质疑内容的真实性承担责任。供应商或者其他利害关系人通过捏造事实、伪造证明材料等方式提出异议或投诉，阻碍磋商活动正常进行的，属于严重不良行为，采购人将提请财政部门将其列入不良行为记录名单，并依法予以处罚。</w:t>
      </w:r>
    </w:p>
    <w:p w14:paraId="30476A3B">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8采购人将在收到符合上述条件的书面质疑后7个工作日内审查质疑事项，作出答复或相关处理决定，并以书面形式通知质疑供应商和其他有关供应商，但答复的内容不涉及商业秘密。若质疑涉及磋商制度或程序，将被转交政府采购的管理部门审查。采购人遵循“谁过错谁负担”的原则，有过错的一方承担调查论证费用。</w:t>
      </w:r>
    </w:p>
    <w:p w14:paraId="643B74C7">
      <w:pPr>
        <w:wordWrap w:val="0"/>
        <w:spacing w:line="360" w:lineRule="auto"/>
        <w:ind w:firstLine="420" w:firstLineChars="20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.9质疑供应商对采购人的答复不满意以及采购人未在规定的时间内做出答复的，可以在答复期满后15个工作日内向财政部门投诉。</w:t>
      </w:r>
    </w:p>
    <w:p w14:paraId="7BBA3F0A">
      <w:pPr>
        <w:autoSpaceDE w:val="0"/>
        <w:autoSpaceDN w:val="0"/>
        <w:spacing w:line="400" w:lineRule="exact"/>
        <w:ind w:firstLine="422" w:firstLineChars="200"/>
        <w:jc w:val="left"/>
        <w:outlineLvl w:val="3"/>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pPr>
      <w:bookmarkStart w:id="47" w:name="_Toc4433565"/>
      <w:bookmarkStart w:id="48" w:name="_Toc3220174"/>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12、</w:t>
      </w:r>
      <w:r>
        <w:rPr>
          <w:rFonts w:hint="eastAsia" w:asciiTheme="minorEastAsia" w:hAnsiTheme="minorEastAsia" w:eastAsiaTheme="minorEastAsia" w:cstheme="minorEastAsia"/>
          <w:b/>
          <w:bCs/>
          <w:color w:val="000000" w:themeColor="text1"/>
          <w:sz w:val="21"/>
          <w:szCs w:val="21"/>
          <w:highlight w:val="none"/>
          <w:lang w:val="zh-CN" w:eastAsia="zh-CN"/>
          <w14:textFill>
            <w14:solidFill>
              <w14:schemeClr w14:val="tx1"/>
            </w14:solidFill>
          </w14:textFill>
        </w:rPr>
        <w:t>重新开展采购活动</w:t>
      </w:r>
      <w:bookmarkEnd w:id="47"/>
      <w:bookmarkEnd w:id="48"/>
    </w:p>
    <w:p w14:paraId="7043951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出现下列情形之一的，将终止竞争性磋商采购活动，发布项目终止公告并说明原因，重新开展采购活动：</w:t>
      </w:r>
    </w:p>
    <w:p w14:paraId="7DB69747">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12.1、不符合法律、法规和竞争性磋商文件中规定的其他实质性要求的；</w:t>
      </w:r>
    </w:p>
    <w:p w14:paraId="65EB8856">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12.2、其他法律、法规及本竞争性磋商文件规定的属响应无效的情形。终止竞争性磋商采购活动的条款；</w:t>
      </w:r>
    </w:p>
    <w:p w14:paraId="5E5D57EA">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12.3、因情况变化，不再符合规定的竞争性磋商采购方式适用情形的；出现影响采购公正的违法、违规行为的；</w:t>
      </w:r>
    </w:p>
    <w:p w14:paraId="2807E52F">
      <w:pPr>
        <w:wordWrap w:val="0"/>
        <w:spacing w:line="360" w:lineRule="auto"/>
        <w:ind w:firstLine="420" w:firstLineChars="200"/>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12.4、磋商截止时间结束后参加供应商不足3家的，应重新组织采购，评审期间符合专业条件的供应商或者对磋商响应文件作出实质响应的供应商不足3家的，应重新组织采购。</w:t>
      </w:r>
    </w:p>
    <w:p w14:paraId="5CBE946B">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val="en-US" w:eastAsia="zh-CN" w:bidi="zh-CN"/>
          <w14:textFill>
            <w14:solidFill>
              <w14:schemeClr w14:val="tx1"/>
            </w14:solidFill>
          </w14:textFill>
        </w:rPr>
        <w:t>13、</w:t>
      </w: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招标代理服务收费参照豫招协[2023]002号河南省招标投标协会关于印发《河南省招标代理服务收费指导意见》规定的收费标准收取中标服务费。</w:t>
      </w:r>
    </w:p>
    <w:p w14:paraId="31D37727">
      <w:pPr>
        <w:tabs>
          <w:tab w:val="left" w:pos="1341"/>
        </w:tabs>
        <w:autoSpaceDE w:val="0"/>
        <w:autoSpaceDN w:val="0"/>
        <w:ind w:firstLine="418" w:firstLineChars="200"/>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pPr>
      <w:r>
        <w:rPr>
          <w:rFonts w:hint="eastAsia" w:asciiTheme="minorEastAsia" w:hAnsiTheme="minorEastAsia" w:eastAsiaTheme="minorEastAsia" w:cstheme="minorEastAsia"/>
          <w:b/>
          <w:bCs/>
          <w:color w:val="000000" w:themeColor="text1"/>
          <w:spacing w:val="-1"/>
          <w:sz w:val="21"/>
          <w:szCs w:val="21"/>
          <w:lang w:bidi="zh-CN"/>
          <w14:textFill>
            <w14:solidFill>
              <w14:schemeClr w14:val="tx1"/>
            </w14:solidFill>
          </w14:textFill>
        </w:rPr>
        <w:t>河南省招标代理服务费计算标准</w:t>
      </w:r>
    </w:p>
    <w:tbl>
      <w:tblPr>
        <w:tblStyle w:val="20"/>
        <w:tblpPr w:leftFromText="180" w:rightFromText="180" w:vertAnchor="text" w:horzAnchor="page" w:tblpX="1862" w:tblpY="481"/>
        <w:tblOverlap w:val="never"/>
        <w:tblW w:w="8339" w:type="dxa"/>
        <w:tblInd w:w="0" w:type="dxa"/>
        <w:tblLayout w:type="fixed"/>
        <w:tblCellMar>
          <w:top w:w="0" w:type="dxa"/>
          <w:left w:w="15" w:type="dxa"/>
          <w:bottom w:w="0" w:type="dxa"/>
          <w:right w:w="15" w:type="dxa"/>
        </w:tblCellMar>
      </w:tblPr>
      <w:tblGrid>
        <w:gridCol w:w="3553"/>
        <w:gridCol w:w="1642"/>
        <w:gridCol w:w="1433"/>
        <w:gridCol w:w="1711"/>
      </w:tblGrid>
      <w:tr w14:paraId="04FF7CD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A211E4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项目类型/（金额万元）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3926344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工程</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8AD3D6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货物</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D930E5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服务</w:t>
            </w:r>
          </w:p>
        </w:tc>
      </w:tr>
      <w:tr w14:paraId="57EDA7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154E459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100万元以下（含100万元）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2E5FEB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086F33B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2F1B1F6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1.70%</w:t>
            </w:r>
          </w:p>
        </w:tc>
      </w:tr>
      <w:tr w14:paraId="560C4177">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723DC18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100-500万元（含500万元）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5EC2DEE">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789E264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8A8046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1.20%</w:t>
            </w:r>
          </w:p>
        </w:tc>
      </w:tr>
      <w:tr w14:paraId="6846C124">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F6FC86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500-1000万元（含1000万元）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20B7B5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2DF37E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0.80%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9B2F4C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0.70%</w:t>
            </w:r>
          </w:p>
        </w:tc>
      </w:tr>
      <w:tr w14:paraId="77C2EFDE">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DA4B976">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1000-5000万元（含5000万元）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62B54BE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F42351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0.50%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0208D3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0.40%</w:t>
            </w:r>
          </w:p>
        </w:tc>
      </w:tr>
      <w:tr w14:paraId="020EFF50">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51D0841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5000万元--1亿元（含1亿元）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C119BA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39FA74D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0.30%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7D4AD8DA">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0.25%</w:t>
            </w:r>
          </w:p>
        </w:tc>
      </w:tr>
      <w:tr w14:paraId="3A4C83F1">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64BF5FD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1亿--5亿元（含5亿元）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7FEE6BFC">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C064A6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69C7F94">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0.10%</w:t>
            </w:r>
          </w:p>
        </w:tc>
      </w:tr>
      <w:tr w14:paraId="0775D32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right w:val="single" w:color="000000" w:sz="4" w:space="0"/>
            </w:tcBorders>
            <w:noWrap w:val="0"/>
            <w:vAlign w:val="center"/>
          </w:tcPr>
          <w:p w14:paraId="2C6EF38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5亿--10亿元（含10亿元）</w:t>
            </w:r>
          </w:p>
        </w:tc>
        <w:tc>
          <w:tcPr>
            <w:tcW w:w="1642" w:type="dxa"/>
            <w:tcBorders>
              <w:top w:val="single" w:color="000000" w:sz="4" w:space="0"/>
              <w:left w:val="single" w:color="000000" w:sz="4" w:space="0"/>
              <w:right w:val="single" w:color="000000" w:sz="4" w:space="0"/>
            </w:tcBorders>
            <w:noWrap w:val="0"/>
            <w:vAlign w:val="center"/>
          </w:tcPr>
          <w:p w14:paraId="511B481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433" w:type="dxa"/>
            <w:tcBorders>
              <w:top w:val="single" w:color="000000" w:sz="4" w:space="0"/>
              <w:left w:val="single" w:color="000000" w:sz="4" w:space="0"/>
              <w:right w:val="single" w:color="000000" w:sz="4" w:space="0"/>
            </w:tcBorders>
            <w:noWrap w:val="0"/>
            <w:vAlign w:val="center"/>
          </w:tcPr>
          <w:p w14:paraId="7838471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c>
          <w:tcPr>
            <w:tcW w:w="1711" w:type="dxa"/>
            <w:tcBorders>
              <w:top w:val="single" w:color="000000" w:sz="4" w:space="0"/>
              <w:left w:val="single" w:color="000000" w:sz="4" w:space="0"/>
              <w:right w:val="single" w:color="000000" w:sz="4" w:space="0"/>
            </w:tcBorders>
            <w:noWrap w:val="0"/>
            <w:vAlign w:val="center"/>
          </w:tcPr>
          <w:p w14:paraId="1D91E43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0.045%</w:t>
            </w:r>
          </w:p>
        </w:tc>
      </w:tr>
      <w:tr w14:paraId="28A182E3">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C3F37C9">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10亿--50亿元（含50亿元）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19A6860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54D54DE7">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370D479B">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0.010%</w:t>
            </w:r>
          </w:p>
        </w:tc>
      </w:tr>
      <w:tr w14:paraId="26C5749B">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48555A8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50亿--100亿元（含</w:t>
            </w: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100</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亿元）</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05DFB771">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2A15B15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5052DFE8">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0.008%</w:t>
            </w:r>
          </w:p>
        </w:tc>
      </w:tr>
      <w:tr w14:paraId="455C7B8A">
        <w:tblPrEx>
          <w:tblCellMar>
            <w:top w:w="0" w:type="dxa"/>
            <w:left w:w="15" w:type="dxa"/>
            <w:bottom w:w="0" w:type="dxa"/>
            <w:right w:w="15" w:type="dxa"/>
          </w:tblCellMar>
        </w:tblPrEx>
        <w:trPr>
          <w:trHeight w:val="679" w:hRule="atLeast"/>
        </w:trPr>
        <w:tc>
          <w:tcPr>
            <w:tcW w:w="3553" w:type="dxa"/>
            <w:tcBorders>
              <w:top w:val="single" w:color="000000" w:sz="4" w:space="0"/>
              <w:left w:val="single" w:color="000000" w:sz="4" w:space="0"/>
              <w:bottom w:val="single" w:color="000000" w:sz="4" w:space="0"/>
              <w:right w:val="single" w:color="000000" w:sz="4" w:space="0"/>
            </w:tcBorders>
            <w:noWrap w:val="0"/>
            <w:vAlign w:val="center"/>
          </w:tcPr>
          <w:p w14:paraId="360754A2">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100亿元以上</w:t>
            </w:r>
          </w:p>
        </w:tc>
        <w:tc>
          <w:tcPr>
            <w:tcW w:w="1642" w:type="dxa"/>
            <w:tcBorders>
              <w:top w:val="single" w:color="000000" w:sz="4" w:space="0"/>
              <w:left w:val="single" w:color="000000" w:sz="4" w:space="0"/>
              <w:bottom w:val="single" w:color="000000" w:sz="4" w:space="0"/>
              <w:right w:val="single" w:color="000000" w:sz="4" w:space="0"/>
            </w:tcBorders>
            <w:noWrap w:val="0"/>
            <w:vAlign w:val="center"/>
          </w:tcPr>
          <w:p w14:paraId="5BC7C0B5">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433" w:type="dxa"/>
            <w:tcBorders>
              <w:top w:val="single" w:color="000000" w:sz="4" w:space="0"/>
              <w:left w:val="single" w:color="000000" w:sz="4" w:space="0"/>
              <w:bottom w:val="single" w:color="000000" w:sz="4" w:space="0"/>
              <w:right w:val="single" w:color="000000" w:sz="4" w:space="0"/>
            </w:tcBorders>
            <w:noWrap w:val="0"/>
            <w:vAlign w:val="center"/>
          </w:tcPr>
          <w:p w14:paraId="4DE748A3">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c>
          <w:tcPr>
            <w:tcW w:w="1711" w:type="dxa"/>
            <w:tcBorders>
              <w:top w:val="single" w:color="000000" w:sz="4" w:space="0"/>
              <w:left w:val="single" w:color="000000" w:sz="4" w:space="0"/>
              <w:bottom w:val="single" w:color="000000" w:sz="4" w:space="0"/>
              <w:right w:val="single" w:color="000000" w:sz="4" w:space="0"/>
            </w:tcBorders>
            <w:noWrap w:val="0"/>
            <w:vAlign w:val="center"/>
          </w:tcPr>
          <w:p w14:paraId="41778B20">
            <w:pPr>
              <w:autoSpaceDN w:val="0"/>
              <w:jc w:val="center"/>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0.004%</w:t>
            </w:r>
          </w:p>
        </w:tc>
      </w:tr>
      <w:tr w14:paraId="1C259708">
        <w:tblPrEx>
          <w:tblCellMar>
            <w:top w:w="0" w:type="dxa"/>
            <w:left w:w="15" w:type="dxa"/>
            <w:bottom w:w="0" w:type="dxa"/>
            <w:right w:w="15" w:type="dxa"/>
          </w:tblCellMar>
        </w:tblPrEx>
        <w:trPr>
          <w:trHeight w:val="621" w:hRule="atLeast"/>
        </w:trPr>
        <w:tc>
          <w:tcPr>
            <w:tcW w:w="8339" w:type="dxa"/>
            <w:gridSpan w:val="4"/>
            <w:noWrap w:val="0"/>
            <w:vAlign w:val="center"/>
          </w:tcPr>
          <w:p w14:paraId="58BBBBA9">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注：1.按本表费率计算的收费金额为招标代理服务费的基准价格，不含工程量清单、最高投标限价（招标控制价）或标底的编制费用。</w:t>
            </w:r>
          </w:p>
          <w:p w14:paraId="52C32E11">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2.招标代理服务收费按差额定率累进法计算。</w:t>
            </w:r>
          </w:p>
          <w:p w14:paraId="18B03A8A">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例如：某工程招标代理业务，项目预算金额（招标控制价）为10000 万元，招标代理服务收费计算如下：</w:t>
            </w:r>
          </w:p>
          <w:p w14:paraId="3E0E8685">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bidi="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100万元×1.2%=1.2万元</w:t>
            </w:r>
          </w:p>
          <w:p w14:paraId="0ADC5F48">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（500-100）万元×1.0%=4万元</w:t>
            </w:r>
          </w:p>
          <w:p w14:paraId="70718E86">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（1000-500）×0.7%=3.5万元</w:t>
            </w:r>
          </w:p>
          <w:p w14:paraId="3AE9F4E3">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（5000-1000）×0.4%=16万元</w:t>
            </w:r>
          </w:p>
          <w:p w14:paraId="5575C17B">
            <w:pPr>
              <w:autoSpaceDN w:val="0"/>
              <w:spacing w:line="500" w:lineRule="exact"/>
              <w:jc w:val="left"/>
              <w:textAlignment w:val="cente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zh-CN" w:bidi="zh-CN"/>
                <w14:textFill>
                  <w14:solidFill>
                    <w14:schemeClr w14:val="tx1"/>
                  </w14:solidFill>
                </w14:textFill>
              </w:rPr>
              <w:t>（10000-5000）×0.25%=12.5万元合计收费=1.2+4+3.5+16+12.5=37.2万元</w:t>
            </w:r>
          </w:p>
        </w:tc>
      </w:tr>
    </w:tbl>
    <w:p w14:paraId="7FE1540E">
      <w:pPr>
        <w:wordWrap w:val="0"/>
        <w:spacing w:line="360" w:lineRule="auto"/>
        <w:ind w:firstLine="422" w:firstLineChars="20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14、需要补充的其他内容</w:t>
      </w:r>
    </w:p>
    <w:p w14:paraId="7EB17B4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.1采购人不承诺最低价中标，而且采购人没有义务解释说明未中标原因。</w:t>
      </w:r>
    </w:p>
    <w:p w14:paraId="25637B55">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.2其它未尽事宜，按国家有关法律、法规执行。</w:t>
      </w:r>
    </w:p>
    <w:p w14:paraId="7C537ABB">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.3本</w:t>
      </w:r>
      <w:r>
        <w:rPr>
          <w:rFonts w:hint="eastAsia" w:asciiTheme="minorEastAsia" w:hAnsiTheme="minorEastAsia" w:eastAsiaTheme="minorEastAsia" w:cstheme="minorEastAsia"/>
          <w:color w:val="000000" w:themeColor="text1"/>
          <w:spacing w:val="-4"/>
          <w:kern w:val="0"/>
          <w:sz w:val="21"/>
          <w:szCs w:val="21"/>
          <w:lang w:eastAsia="zh-CN"/>
          <w14:textFill>
            <w14:solidFill>
              <w14:schemeClr w14:val="tx1"/>
            </w14:solidFill>
          </w14:textFill>
        </w:rPr>
        <w:t>竞争性磋商文件</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解释权归采购人。</w:t>
      </w:r>
    </w:p>
    <w:p w14:paraId="46274CA9">
      <w:pPr>
        <w:autoSpaceDE w:val="0"/>
        <w:autoSpaceDN w:val="0"/>
        <w:adjustRightInd w:val="0"/>
        <w:spacing w:before="32" w:line="400" w:lineRule="exact"/>
        <w:ind w:right="-57" w:firstLine="404" w:firstLineChars="200"/>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kern w:val="0"/>
          <w:sz w:val="21"/>
          <w:szCs w:val="21"/>
          <w:lang w:val="en-US" w:eastAsia="zh-CN"/>
          <w14:textFill>
            <w14:solidFill>
              <w14:schemeClr w14:val="tx1"/>
            </w14:solidFill>
          </w14:textFill>
        </w:rPr>
        <w:t>14</w:t>
      </w:r>
      <w:r>
        <w:rPr>
          <w:rFonts w:hint="eastAsia" w:asciiTheme="minorEastAsia" w:hAnsiTheme="minorEastAsia" w:eastAsiaTheme="minorEastAsia" w:cstheme="minorEastAsia"/>
          <w:color w:val="000000" w:themeColor="text1"/>
          <w:spacing w:val="-4"/>
          <w:kern w:val="0"/>
          <w:sz w:val="21"/>
          <w:szCs w:val="21"/>
          <w14:textFill>
            <w14:solidFill>
              <w14:schemeClr w14:val="tx1"/>
            </w14:solidFill>
          </w14:textFill>
        </w:rPr>
        <w:t>.4本项目落实节能环保、中小微型企业扶持等相关政府采购政策，本项目支持河南省政府采购合同融资政策。</w:t>
      </w:r>
    </w:p>
    <w:p w14:paraId="6BF5CBE3">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1D8505DD">
      <w:pPr>
        <w:adjustRightInd w:val="0"/>
        <w:snapToGrid w:val="0"/>
        <w:spacing w:line="360" w:lineRule="auto"/>
        <w:rPr>
          <w:rFonts w:hint="eastAsia" w:asciiTheme="minorEastAsia" w:hAnsiTheme="minorEastAsia" w:eastAsiaTheme="minorEastAsia" w:cstheme="minorEastAsia"/>
          <w:color w:val="000000" w:themeColor="text1"/>
          <w:kern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附件</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1</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：河南省政府采购合同融资政策告知函</w:t>
      </w:r>
    </w:p>
    <w:p w14:paraId="322C7A15">
      <w:pPr>
        <w:adjustRightInd w:val="0"/>
        <w:snapToGrid w:val="0"/>
        <w:spacing w:line="360" w:lineRule="auto"/>
        <w:ind w:firstLine="422" w:firstLineChars="200"/>
        <w:jc w:val="cente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pPr>
      <w:bookmarkStart w:id="49" w:name="_Toc19399"/>
      <w:bookmarkStart w:id="50" w:name="_Toc7567"/>
    </w:p>
    <w:p w14:paraId="76CE7AFB">
      <w:pPr>
        <w:adjustRightInd w:val="0"/>
        <w:snapToGrid w:val="0"/>
        <w:spacing w:line="360" w:lineRule="auto"/>
        <w:ind w:firstLine="422" w:firstLineChars="200"/>
        <w:jc w:val="cente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lang w:eastAsia="en-US"/>
          <w14:textFill>
            <w14:solidFill>
              <w14:schemeClr w14:val="tx1"/>
            </w14:solidFill>
          </w14:textFill>
        </w:rPr>
        <w:t>河南省政府采购合同融资政策告知函</w:t>
      </w:r>
      <w:bookmarkEnd w:id="49"/>
      <w:bookmarkEnd w:id="50"/>
    </w:p>
    <w:p w14:paraId="46E5D857">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47FC079D">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w:t>
      </w:r>
    </w:p>
    <w:p w14:paraId="0936DF88">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欢迎贵公司参与河南省政府采购活动！</w:t>
      </w:r>
    </w:p>
    <w:p w14:paraId="3BFBAE25">
      <w:pPr>
        <w:adjustRightInd w:val="0"/>
        <w:snapToGrid w:val="0"/>
        <w:spacing w:line="360" w:lineRule="auto"/>
        <w:ind w:firstLine="420" w:firstLineChars="200"/>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政府采购合同融资是河南省财政厅支持中小微企业发展，针对参与政府采购活动的</w:t>
      </w:r>
      <w:r>
        <w:rPr>
          <w:rFonts w:hint="eastAsia" w:asciiTheme="minorEastAsia" w:hAnsiTheme="minorEastAsia" w:eastAsiaTheme="minorEastAsia" w:cstheme="minorEastAsia"/>
          <w:color w:val="000000" w:themeColor="text1"/>
          <w:kern w:val="0"/>
          <w:sz w:val="21"/>
          <w:szCs w:val="21"/>
          <w14:textFill>
            <w14:solidFill>
              <w14:schemeClr w14:val="tx1"/>
            </w14:solidFill>
          </w14:textFill>
        </w:rPr>
        <w:t>投标人</w:t>
      </w:r>
      <w:r>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t>融资难、融资贵问题推出的一项融资政策。贵公司若成为本次政府采购项目的中标供应商，可持政府采购合同向金融机构申请贷款，无需抵押、担保，融资机构将根据《河南省政府采购合同融资工作实施方案》（豫财购〔2017〕10号），按照双方自愿的原则提供便捷、优惠的贷款服务。</w:t>
      </w:r>
    </w:p>
    <w:p w14:paraId="290EC3AF">
      <w:pPr>
        <w:autoSpaceDE w:val="0"/>
        <w:autoSpaceDN w:val="0"/>
        <w:adjustRightInd w:val="0"/>
        <w:snapToGrid w:val="0"/>
        <w:spacing w:before="240" w:after="60" w:line="360" w:lineRule="auto"/>
        <w:ind w:firstLine="420" w:firstLineChars="20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bookmarkStart w:id="51" w:name="_Toc15196"/>
      <w:r>
        <w:rPr>
          <w:rFonts w:hint="eastAsia" w:asciiTheme="minorEastAsia" w:hAnsiTheme="minorEastAsia" w:eastAsiaTheme="minorEastAsia" w:cstheme="minorEastAsia"/>
          <w:color w:val="000000" w:themeColor="text1"/>
          <w:sz w:val="21"/>
          <w:szCs w:val="21"/>
          <w14:textFill>
            <w14:solidFill>
              <w14:schemeClr w14:val="tx1"/>
            </w14:solidFill>
          </w14:textFill>
        </w:rPr>
        <w:t>贷款渠道和提供贷款的金融机构，可在河南省政府采购网“河南省政府采购合同融资平台”查询联系。</w:t>
      </w:r>
      <w:bookmarkEnd w:id="51"/>
    </w:p>
    <w:p w14:paraId="64DAFE90">
      <w:pPr>
        <w:jc w:val="left"/>
        <w:rPr>
          <w:rFonts w:hint="eastAsia" w:asciiTheme="minorEastAsia" w:hAnsiTheme="minorEastAsia" w:eastAsiaTheme="minorEastAsia" w:cstheme="minorEastAsia"/>
          <w:color w:val="000000" w:themeColor="text1"/>
          <w:kern w:val="0"/>
          <w:sz w:val="21"/>
          <w:szCs w:val="21"/>
          <w:lang w:eastAsia="en-US"/>
          <w14:textFill>
            <w14:solidFill>
              <w14:schemeClr w14:val="tx1"/>
            </w14:solidFill>
          </w14:textFill>
        </w:rPr>
      </w:pPr>
    </w:p>
    <w:p w14:paraId="0445FB9D">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br w:type="page"/>
      </w:r>
    </w:p>
    <w:p w14:paraId="53428DFE">
      <w:pPr>
        <w:widowControl/>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附件2</w:t>
      </w:r>
    </w:p>
    <w:p w14:paraId="7417F3E6">
      <w:pPr>
        <w:pStyle w:val="6"/>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卢氏县政府采购合同融资政策告知书各供应商:</w:t>
      </w:r>
    </w:p>
    <w:p w14:paraId="51EE3EED">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欢迎贵公司参与卢氏县政府采购活动!近年来，卢氏县积极发挥政府采购政策功能，加大对中小企业支持力度，创新运用“政采贷”信贷产品，畅通中小企业融资“绿色通道”，为企业发展提质增效注入金融活水为更好满足中小微供应商短、频、急的资金需求，帮助中小微企业解决融资难题，提升金融服务实体经济能力，服务市场主体推动经济稳健发展，我县各金融机构着力优化产品服务、无需抵押担保、简化审贷程序、缩短审贷周期，为供应商合同融资贷款提供便利条件，现编制《卢氏县政府采购合同融资政策告知书》，方便中小企业供应商朋友们进一步了解政府采购融资政策和获取贷款的流程.</w:t>
      </w:r>
    </w:p>
    <w:p w14:paraId="65120537">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特别提醒:该告知书仅统计了我县部分可以提供线上融资的金融机构，凡参与我县政府采购项目，有融资需求的本地或外地中标(中标)供应商，均可通过“河南省政府采购网:进入“河南省政府采购合同融资平台”，申请融资服务，凡在政府采购合同融资平台登记的金融机构均可开展融资贷款业务。对“政采贷”工作开展过程中发现的新问题、新情况或者建议意见，及时向我县财政部门反馈。</w:t>
      </w:r>
    </w:p>
    <w:p w14:paraId="60DABDF5">
      <w:pPr>
        <w:pStyle w:val="6"/>
        <w:ind w:firstLine="420" w:firstLineChars="200"/>
        <w:jc w:val="left"/>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联系电话:0398-7863556</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7"/>
        <w:gridCol w:w="3028"/>
        <w:gridCol w:w="3119"/>
      </w:tblGrid>
      <w:tr w14:paraId="3D10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3303" w:type="dxa"/>
            <w:vAlign w:val="center"/>
          </w:tcPr>
          <w:p w14:paraId="45E85592">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单位名称</w:t>
            </w:r>
          </w:p>
        </w:tc>
        <w:tc>
          <w:tcPr>
            <w:tcW w:w="3304" w:type="dxa"/>
            <w:vAlign w:val="center"/>
          </w:tcPr>
          <w:p w14:paraId="7E5D3A1A">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联系人</w:t>
            </w:r>
          </w:p>
        </w:tc>
        <w:tc>
          <w:tcPr>
            <w:tcW w:w="3304" w:type="dxa"/>
            <w:vAlign w:val="center"/>
          </w:tcPr>
          <w:p w14:paraId="0BAD409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联系方式</w:t>
            </w:r>
          </w:p>
        </w:tc>
      </w:tr>
      <w:tr w14:paraId="417B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75E0C58">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中国建设银行股份有限公司卢氏支行</w:t>
            </w:r>
          </w:p>
        </w:tc>
        <w:tc>
          <w:tcPr>
            <w:tcW w:w="3304" w:type="dxa"/>
            <w:vAlign w:val="center"/>
          </w:tcPr>
          <w:p w14:paraId="435EE9BA">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张江涛</w:t>
            </w:r>
          </w:p>
        </w:tc>
        <w:tc>
          <w:tcPr>
            <w:tcW w:w="3304" w:type="dxa"/>
            <w:vAlign w:val="center"/>
          </w:tcPr>
          <w:p w14:paraId="048F1400">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18739850204</w:t>
            </w:r>
          </w:p>
        </w:tc>
      </w:tr>
      <w:tr w14:paraId="41657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537BC380">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中国农业银行股份有限公司卢氏县支行</w:t>
            </w:r>
          </w:p>
        </w:tc>
        <w:tc>
          <w:tcPr>
            <w:tcW w:w="3304" w:type="dxa"/>
            <w:vAlign w:val="center"/>
          </w:tcPr>
          <w:p w14:paraId="34815B34">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代仁旺</w:t>
            </w:r>
          </w:p>
        </w:tc>
        <w:tc>
          <w:tcPr>
            <w:tcW w:w="3304" w:type="dxa"/>
            <w:vAlign w:val="center"/>
          </w:tcPr>
          <w:p w14:paraId="7A506E1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18939062604</w:t>
            </w:r>
          </w:p>
        </w:tc>
      </w:tr>
      <w:tr w14:paraId="2A90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3" w:type="dxa"/>
            <w:vAlign w:val="center"/>
          </w:tcPr>
          <w:p w14:paraId="4B8D26EF">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中原银行股份有限公司卢氏支行</w:t>
            </w:r>
          </w:p>
        </w:tc>
        <w:tc>
          <w:tcPr>
            <w:tcW w:w="3304" w:type="dxa"/>
            <w:vAlign w:val="center"/>
          </w:tcPr>
          <w:p w14:paraId="752072B4">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李 博</w:t>
            </w:r>
          </w:p>
        </w:tc>
        <w:tc>
          <w:tcPr>
            <w:tcW w:w="3304" w:type="dxa"/>
            <w:vAlign w:val="center"/>
          </w:tcPr>
          <w:p w14:paraId="5A336943">
            <w:pPr>
              <w:pStyle w:val="6"/>
              <w:jc w:val="center"/>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15839857887</w:t>
            </w:r>
          </w:p>
        </w:tc>
      </w:tr>
    </w:tbl>
    <w:p w14:paraId="6EA51EE1">
      <w:pPr>
        <w:numPr>
          <w:ilvl w:val="0"/>
          <w:numId w:val="1"/>
        </w:numPr>
        <w:wordWrap w:val="0"/>
        <w:spacing w:line="360" w:lineRule="auto"/>
        <w:ind w:firstLine="480" w:firstLineChars="200"/>
        <w:rPr>
          <w:rFonts w:hint="eastAsia" w:ascii="宋体" w:hAnsi="宋体" w:cs="宋体"/>
          <w:color w:val="FF0000"/>
          <w:sz w:val="24"/>
          <w:highlight w:val="none"/>
        </w:rPr>
      </w:pPr>
      <w:r>
        <w:rPr>
          <w:color w:val="FF0000"/>
          <w:kern w:val="2"/>
          <w:sz w:val="24"/>
          <w:szCs w:val="24"/>
        </w:rPr>
        <w:br w:type="page"/>
      </w:r>
    </w:p>
    <w:p w14:paraId="0612685F">
      <w:pPr>
        <w:keepNext/>
        <w:keepLines/>
        <w:numPr>
          <w:ilvl w:val="0"/>
          <w:numId w:val="2"/>
        </w:numPr>
        <w:spacing w:after="360" w:line="500" w:lineRule="exact"/>
        <w:jc w:val="center"/>
        <w:outlineLvl w:val="0"/>
        <w:rPr>
          <w:rFonts w:hint="eastAsia" w:ascii="宋体" w:hAnsi="宋体"/>
          <w:b/>
          <w:bCs/>
          <w:color w:val="FF0000"/>
          <w:kern w:val="44"/>
          <w:sz w:val="28"/>
          <w:szCs w:val="28"/>
          <w:highlight w:val="none"/>
        </w:rPr>
        <w:sectPr>
          <w:footerReference r:id="rId6" w:type="first"/>
          <w:footerReference r:id="rId5" w:type="default"/>
          <w:pgSz w:w="11906" w:h="16838"/>
          <w:pgMar w:top="1440" w:right="1361" w:bottom="1440" w:left="1587" w:header="851" w:footer="992" w:gutter="0"/>
          <w:pgNumType w:fmt="decimal" w:start="1"/>
          <w:cols w:space="720" w:num="1"/>
          <w:docGrid w:type="lines" w:linePitch="317" w:charSpace="0"/>
        </w:sectPr>
      </w:pPr>
      <w:bookmarkStart w:id="52" w:name="_Toc21759"/>
    </w:p>
    <w:p w14:paraId="6430028E">
      <w:pPr>
        <w:keepNext/>
        <w:keepLines/>
        <w:numPr>
          <w:ilvl w:val="0"/>
          <w:numId w:val="2"/>
        </w:numPr>
        <w:spacing w:after="360" w:line="50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采购需求</w:t>
      </w:r>
      <w:bookmarkEnd w:id="52"/>
    </w:p>
    <w:p w14:paraId="226442CC">
      <w:pPr>
        <w:adjustRightInd w:val="0"/>
        <w:snapToGrid w:val="0"/>
        <w:spacing w:line="336" w:lineRule="auto"/>
        <w:rPr>
          <w:rFonts w:hint="default"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一、项目概况</w:t>
      </w:r>
    </w:p>
    <w:p w14:paraId="6A9E9E06">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1、采购人：卢氏县文物保护管理所</w:t>
      </w:r>
    </w:p>
    <w:p w14:paraId="33219939">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2、项目名称：卢氏县文物保护管理委员会办公室文物库房升级改造项目</w:t>
      </w:r>
    </w:p>
    <w:p w14:paraId="1DE3EA4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3、预算金额：50.9920万元</w:t>
      </w:r>
    </w:p>
    <w:p w14:paraId="240CEC8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4、采购内容：</w:t>
      </w:r>
      <w:r>
        <w:rPr>
          <w:rFonts w:hint="eastAsia" w:ascii="宋体" w:cs="Times New Roman"/>
          <w:u w:val="none"/>
          <w:lang w:val="en-US" w:eastAsia="zh-CN"/>
        </w:rPr>
        <w:t>拟采购一批文物库房门、文物柜架等设备。</w:t>
      </w:r>
    </w:p>
    <w:p w14:paraId="625E257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5、</w:t>
      </w:r>
      <w:r>
        <w:rPr>
          <w:rFonts w:hint="eastAsia" w:ascii="宋体" w:cs="Times New Roman"/>
          <w:color w:val="auto"/>
          <w:lang w:val="en-US" w:eastAsia="zh-CN"/>
        </w:rPr>
        <w:t>供货期限</w:t>
      </w:r>
      <w:r>
        <w:rPr>
          <w:rFonts w:hint="eastAsia" w:ascii="宋体" w:hAnsi="Times New Roman" w:eastAsia="宋体" w:cs="Times New Roman"/>
          <w:color w:val="auto"/>
          <w:lang w:val="en-US" w:eastAsia="zh-CN"/>
        </w:rPr>
        <w:t>：</w:t>
      </w:r>
      <w:r>
        <w:rPr>
          <w:rFonts w:hint="eastAsia" w:ascii="宋体" w:cs="Times New Roman"/>
          <w:color w:val="auto"/>
          <w:lang w:val="en-US" w:eastAsia="zh-CN"/>
        </w:rPr>
        <w:t>合同签订后60日历天内供货并安装、调试完毕至正常运行。</w:t>
      </w:r>
    </w:p>
    <w:p w14:paraId="6DB981C1">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、质量</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标准</w:t>
      </w:r>
      <w:r>
        <w:rPr>
          <w:rFonts w:hint="eastAsia" w:asciiTheme="minorEastAsia" w:hAnsiTheme="minorEastAsia" w:eastAsiaTheme="minorEastAsia" w:cstheme="minorEastAsia"/>
          <w:b w:val="0"/>
          <w:bCs w:val="0"/>
          <w:color w:val="000000" w:themeColor="text1"/>
          <w:sz w:val="21"/>
          <w:szCs w:val="21"/>
          <w:highlight w:val="none"/>
          <w:lang w:eastAsia="zh-CN"/>
          <w14:textFill>
            <w14:solidFill>
              <w14:schemeClr w14:val="tx1"/>
            </w14:solidFill>
          </w14:textFill>
        </w:rPr>
        <w:t>：符合国家相关规范要求且满足采购人需求</w:t>
      </w:r>
    </w:p>
    <w:p w14:paraId="0714FF92">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7、质保期：一年</w:t>
      </w:r>
    </w:p>
    <w:p w14:paraId="5237601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8、供货地点：采购人指定地点</w:t>
      </w:r>
    </w:p>
    <w:p w14:paraId="2D93D484">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9</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是否接受进口产品：否</w:t>
      </w:r>
    </w:p>
    <w:p w14:paraId="704ECC4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10</w:t>
      </w:r>
      <w:r>
        <w:rPr>
          <w:rFonts w:hint="eastAsia" w:asciiTheme="minorEastAsia" w:hAnsiTheme="minorEastAsia" w:eastAsiaTheme="minorEastAsia" w:cstheme="minorEastAsia"/>
          <w:b w:val="0"/>
          <w:bCs w:val="0"/>
          <w:color w:val="000000" w:themeColor="text1"/>
          <w:sz w:val="21"/>
          <w:szCs w:val="21"/>
          <w:highlight w:val="none"/>
          <w:lang w:val="zh-CN" w:eastAsia="zh-CN"/>
          <w14:textFill>
            <w14:solidFill>
              <w14:schemeClr w14:val="tx1"/>
            </w14:solidFill>
          </w14:textFill>
        </w:rPr>
        <w:t>、是否专门面向中小企业：否</w:t>
      </w:r>
    </w:p>
    <w:p w14:paraId="5DD7A357">
      <w:pPr>
        <w:spacing w:line="360" w:lineRule="auto"/>
        <w:ind w:right="210" w:rightChars="100" w:firstLine="420" w:firstLineChars="200"/>
        <w:contextualSpacing/>
        <w:jc w:val="left"/>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11、节能环保产品要求：本项目采购产品中，空调属于政府强制采购节能产品，必须提供所投产品有效的节能产品认证证书。</w:t>
      </w:r>
    </w:p>
    <w:p w14:paraId="5C22F207">
      <w:pPr>
        <w:adjustRightInd w:val="0"/>
        <w:snapToGrid w:val="0"/>
        <w:spacing w:line="336" w:lineRule="auto"/>
        <w:rPr>
          <w:rFonts w:hint="eastAsia" w:ascii="宋体" w:hAnsi="宋体" w:eastAsia="宋体" w:cs="宋体"/>
          <w:b/>
          <w:color w:val="000000" w:themeColor="text1"/>
          <w:sz w:val="22"/>
          <w:szCs w:val="22"/>
          <w:lang w:val="en-US" w:eastAsia="zh-CN"/>
          <w14:textFill>
            <w14:solidFill>
              <w14:schemeClr w14:val="tx1"/>
            </w14:solidFill>
          </w14:textFill>
        </w:rPr>
      </w:pPr>
      <w:r>
        <w:rPr>
          <w:rFonts w:hint="eastAsia" w:ascii="宋体" w:hAnsi="宋体" w:eastAsia="宋体" w:cs="宋体"/>
          <w:b/>
          <w:color w:val="000000" w:themeColor="text1"/>
          <w:sz w:val="22"/>
          <w:szCs w:val="22"/>
          <w:lang w:val="en-US" w:eastAsia="zh-CN"/>
          <w14:textFill>
            <w14:solidFill>
              <w14:schemeClr w14:val="tx1"/>
            </w14:solidFill>
          </w14:textFill>
        </w:rPr>
        <w:t>二、采购清单及参数要求</w:t>
      </w:r>
    </w:p>
    <w:tbl>
      <w:tblPr>
        <w:tblStyle w:val="20"/>
        <w:tblW w:w="140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3"/>
        <w:gridCol w:w="1317"/>
        <w:gridCol w:w="8681"/>
        <w:gridCol w:w="627"/>
        <w:gridCol w:w="710"/>
        <w:gridCol w:w="945"/>
        <w:gridCol w:w="1191"/>
      </w:tblGrid>
      <w:tr w14:paraId="2C3C4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DFF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序号</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EBEA">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名称</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3694">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技术要求</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8EC0D">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数量</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6CA5">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18"/>
                <w:szCs w:val="18"/>
                <w:u w:val="none"/>
              </w:rPr>
            </w:pPr>
            <w:r>
              <w:rPr>
                <w:rFonts w:hint="eastAsia" w:ascii="宋体" w:hAnsi="宋体" w:eastAsia="宋体" w:cs="宋体"/>
                <w:b/>
                <w:bCs/>
                <w:i w:val="0"/>
                <w:iCs w:val="0"/>
                <w:color w:val="auto"/>
                <w:kern w:val="0"/>
                <w:sz w:val="18"/>
                <w:szCs w:val="18"/>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66F0">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单价（元）</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3409">
            <w:pPr>
              <w:keepNext w:val="0"/>
              <w:keepLines w:val="0"/>
              <w:widowControl/>
              <w:suppressLineNumbers w:val="0"/>
              <w:spacing w:line="240" w:lineRule="auto"/>
              <w:jc w:val="center"/>
              <w:textAlignment w:val="center"/>
              <w:rPr>
                <w:rFonts w:hint="default" w:ascii="宋体" w:hAnsi="宋体" w:eastAsia="宋体" w:cs="宋体"/>
                <w:b/>
                <w:bCs/>
                <w:i w:val="0"/>
                <w:iCs w:val="0"/>
                <w:color w:val="auto"/>
                <w:kern w:val="0"/>
                <w:sz w:val="18"/>
                <w:szCs w:val="18"/>
                <w:u w:val="none"/>
                <w:lang w:val="en-US" w:eastAsia="zh-CN" w:bidi="ar"/>
              </w:rPr>
            </w:pPr>
            <w:r>
              <w:rPr>
                <w:rFonts w:hint="eastAsia" w:ascii="宋体" w:hAnsi="宋体" w:eastAsia="宋体" w:cs="宋体"/>
                <w:b/>
                <w:bCs/>
                <w:i w:val="0"/>
                <w:iCs w:val="0"/>
                <w:color w:val="auto"/>
                <w:kern w:val="0"/>
                <w:sz w:val="18"/>
                <w:szCs w:val="18"/>
                <w:u w:val="none"/>
                <w:lang w:val="en-US" w:eastAsia="zh-CN" w:bidi="ar"/>
              </w:rPr>
              <w:t>合计（元）</w:t>
            </w:r>
          </w:p>
        </w:tc>
      </w:tr>
      <w:tr w14:paraId="1FB56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8B56">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3E6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库房基础改造</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B6FA">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窗户封堵（23㎡）、防盗门拆除及安装（2扇）、墙体拆除（30㎡）及新建（30㎡）、LED灯具（12套）及开关（20套）更换、门锁（3套）更换等；</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4F2B5">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3C5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项</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C790D">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5BD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20000</w:t>
            </w:r>
          </w:p>
        </w:tc>
      </w:tr>
      <w:tr w14:paraId="7A7D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E64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90C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重型横梁式文物储藏柜（</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i w:val="0"/>
                <w:iCs w:val="0"/>
                <w:color w:val="auto"/>
                <w:sz w:val="18"/>
                <w:szCs w:val="18"/>
                <w:u w:val="none"/>
                <w:lang w:val="en-US" w:eastAsia="zh-CN"/>
              </w:rPr>
              <w:t>1300*600*2200mm）</w:t>
            </w:r>
          </w:p>
        </w:tc>
        <w:tc>
          <w:tcPr>
            <w:tcW w:w="8681" w:type="dxa"/>
            <w:vMerge w:val="restart"/>
            <w:tcBorders>
              <w:top w:val="single" w:color="000000" w:sz="4" w:space="0"/>
              <w:left w:val="single" w:color="000000" w:sz="4" w:space="0"/>
              <w:right w:val="single" w:color="000000" w:sz="4" w:space="0"/>
            </w:tcBorders>
            <w:shd w:val="clear" w:color="auto" w:fill="auto"/>
            <w:vAlign w:val="center"/>
          </w:tcPr>
          <w:p w14:paraId="36430699">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snapToGrid w:val="0"/>
                <w:kern w:val="2"/>
                <w:sz w:val="24"/>
                <w:szCs w:val="24"/>
                <w:lang w:val="en-US" w:eastAsia="zh-CN" w:bidi="ar-SA"/>
              </w:rPr>
              <w:drawing>
                <wp:inline distT="0" distB="0" distL="0" distR="0">
                  <wp:extent cx="2656840" cy="2837815"/>
                  <wp:effectExtent l="0" t="0" r="10160" b="1206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56840" cy="2837815"/>
                          </a:xfrm>
                          <a:prstGeom prst="rect">
                            <a:avLst/>
                          </a:prstGeom>
                          <a:noFill/>
                          <a:ln>
                            <a:noFill/>
                          </a:ln>
                        </pic:spPr>
                      </pic:pic>
                    </a:graphicData>
                  </a:graphic>
                </wp:inline>
              </w:drawing>
            </w:r>
          </w:p>
          <w:p w14:paraId="3313798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用途：适用于雕塑、陶瓷器、青铜器等重型藏品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材料：立柱2.0mm冷轧钢板；横梁1.8*80*50 P型管；层板1.2mm冷轧钢板；侧板1.0mm冷轧钢板；玻璃6mm夹胶玻璃；门框为优质塑钢。</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结构性能：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（1）横梁式储藏架结构，4层（含顶层），主要由立柱、横梁、层板等组成。架体承重均匀。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（2）横梁采用优质冷轧钢板，横梁截面为80×50的P型钢、焊接上爪钩，插在立柱蝶形孔内。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（3）立柱一体成型，成型规格77mm×75mm。直接插入底盘的方孔内，用夹紧块固定。</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（4）搁板带加强筋。使架体承重性强，结构稳定，每层承重≥500kg/㎡。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（5）所有棱、角、边都采用圆弧设计避免藏品取用时产生的刮擦损坏。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（6）搁板高度可以调节，有利于空间合理利用。文物藏品往往占用空间较大，超宽架体设计充分满足保管要求。保管与展示功能兼备。</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（7）侧护板为正面凹凸左右两边大圆角竖三拼式结构，并在每列护板上加装目录检索标识牌。</w:t>
            </w:r>
          </w:p>
          <w:p w14:paraId="6A2C317E">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材料标准、技术参数：</w:t>
            </w:r>
          </w:p>
          <w:p w14:paraId="674CAFA8">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立柱：采用2.0mm优质冷轧钢板一体成型，立柱成型尺寸77*75mm（±2mm），经十二折弯成型，立柱内侧为开口式，立柱两侧各压有两条圆弧筋；立柱正面中间为3mm凹进面，整个立柱承重性能强，外形美观。标准要求：硬度≥3H；附着力不低于0级；耐盐雾性达810h无异常（耐腐蚀等级10级）；耐湿热性达810h无异常；耐酸性达300h无异常；力学性能：抗拉强度≥425MPa、下屈服强度≥276MPa、断后伸长率≥33.0%。</w:t>
            </w:r>
          </w:p>
          <w:p w14:paraId="1830DDD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橫梁：采用1.8mm优质冷轧钢板一体成型，横梁为封闭型P型横梁，横梁成型尺寸为80*50mm（±2mm），采用激光焊接，外观美观。标准要求：硬度≥3H；附着力不低于0级；耐盐雾性达810h无异常（耐腐蚀等级10级）；耐湿热性达810h无异常；耐酸性达300h无异常；力学性能：抗拉强度≥439MPa、下屈服强度≥285MPa、断后伸长率≥34.5%。</w:t>
            </w:r>
          </w:p>
          <w:p w14:paraId="70D450E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层板：采用1.2mm优质冷轧钢板经四折弯成型，底部加强筋增强承重，层板成型厚度为25mm（±2mm），经静电喷塑处理。标准要求：硬度≥3H；附着力不低于0级；耐盐雾性达810h无异常（耐腐蚀等级10级）；耐湿热性达810h无异常；耐酸性达300h无异常；力学性能：抗拉强度≥435MPa、下屈服强度≥282MPa、断后伸长率≥35.0%。</w:t>
            </w:r>
          </w:p>
          <w:p w14:paraId="1AC1EC6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（4）侧板：采用1.0mm优质冷轧钢板，表面静电高温喷塑处理。</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CE8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8</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519D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节</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A2C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9500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3AC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76000</w:t>
            </w:r>
          </w:p>
        </w:tc>
      </w:tr>
      <w:tr w14:paraId="1794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6"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8C9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3</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91C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重型横梁式文物储藏柜（</w:t>
            </w:r>
            <w:r>
              <w:rPr>
                <w:rFonts w:hint="eastAsia" w:ascii="宋体" w:hAnsi="宋体" w:eastAsia="宋体" w:cs="宋体"/>
                <w:i w:val="0"/>
                <w:iCs w:val="0"/>
                <w:color w:val="auto"/>
                <w:kern w:val="0"/>
                <w:sz w:val="18"/>
                <w:szCs w:val="18"/>
                <w:u w:val="none"/>
                <w:lang w:val="en-US" w:eastAsia="zh-CN" w:bidi="ar"/>
              </w:rPr>
              <w:t>≥</w:t>
            </w:r>
            <w:r>
              <w:rPr>
                <w:rFonts w:hint="eastAsia" w:ascii="宋体" w:hAnsi="宋体" w:eastAsia="宋体" w:cs="宋体"/>
                <w:i w:val="0"/>
                <w:iCs w:val="0"/>
                <w:color w:val="auto"/>
                <w:sz w:val="18"/>
                <w:szCs w:val="18"/>
                <w:u w:val="none"/>
                <w:lang w:val="en-US" w:eastAsia="zh-CN"/>
              </w:rPr>
              <w:t>1300*800*2200mm）</w:t>
            </w:r>
          </w:p>
        </w:tc>
        <w:tc>
          <w:tcPr>
            <w:tcW w:w="8681" w:type="dxa"/>
            <w:vMerge w:val="continue"/>
            <w:tcBorders>
              <w:left w:val="single" w:color="000000" w:sz="4" w:space="0"/>
              <w:bottom w:val="single" w:color="000000" w:sz="4" w:space="0"/>
              <w:right w:val="single" w:color="000000" w:sz="4" w:space="0"/>
            </w:tcBorders>
            <w:shd w:val="clear" w:color="auto" w:fill="auto"/>
            <w:vAlign w:val="center"/>
          </w:tcPr>
          <w:p w14:paraId="27AF9A91">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53B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20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83E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节</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A564B">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11400</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B54">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228000</w:t>
            </w:r>
          </w:p>
        </w:tc>
      </w:tr>
      <w:tr w14:paraId="44279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08B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278A">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文物库房金库门</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2855">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Times New Roman"/>
                <w:bCs/>
                <w:snapToGrid w:val="0"/>
                <w:sz w:val="24"/>
                <w:szCs w:val="21"/>
              </w:rPr>
              <w:drawing>
                <wp:inline distT="0" distB="0" distL="0" distR="0">
                  <wp:extent cx="2989580" cy="2611120"/>
                  <wp:effectExtent l="0" t="0" r="12700" b="1016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95041" cy="2703056"/>
                          </a:xfrm>
                          <a:prstGeom prst="rect">
                            <a:avLst/>
                          </a:prstGeom>
                          <a:noFill/>
                          <a:ln>
                            <a:noFill/>
                          </a:ln>
                        </pic:spPr>
                      </pic:pic>
                    </a:graphicData>
                  </a:graphic>
                </wp:inline>
              </w:drawing>
            </w:r>
          </w:p>
          <w:p w14:paraId="7281FFE3">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1.尺寸规格：≥1500*2200mm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2.文物库房门外观及结构：门框与门扇的正面周边间隙不大于1mm，不应有明显凸起、凹陷、划痕。所有钢铁部分都应采取防腐措施，包括喷镀、电镀、喷塑、喷漆或其他等效措施，焊接点不应有焊疤；</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3.门扇生产的材料为：1.2mm厚不锈钢板+钢骨架+5.0mm厚钢板+5.0mm厚不锈钢板+3.0mm厚钢制骨架及60mm厚钢筋混凝土层（C30混凝土，直径12mm钢筋，间距150mm，单层双向）+5.0mm厚钢板+1.0mm厚不锈钢钢板；</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门框：文物库房门的基本结构为门框、门扇、机械密码锁及锁的执行机构，带防水系统、内外手轮和锁栓互锁装置（或互开装置）、生物门禁系统、震动及烟雾报警系统等机构。门框内对角线尺寸偏差不超过1.5mm，门扇外对角线尺寸偏差不超过1.5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5.锁具配置：文物库房门配备3把机械密码锁和1套指纹锁，带四锁联动装置（3把密码锁+1套指纹锁）；文物库房门在2人以上同时开启四套锁具中任意三套锁具后，文物库房门才能开启；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内外双手轮及锁栓互锁装置：为了确保库房管理人员进入库房作业时人员和藏品的安全，文物库房门在库内可锁闭，文物库房门带内外双手轮，两个手轮都控制库房门的主锁栓（板栓），库内手轮锁闭锁栓后，库外手轮及锁具不能旋转，避免人员在外旋转手轮或锁具造成库房门误锁或变形，内外互锁的主锁体需采用一体加工而成，无焊接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7.灵活轻便重型铰链：门铰链除能支撑门扇的重量外，还能进行调节，在不大于80N的外力作用下，门扇可灵活启闭；</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8.灵活轻便锁栓机构：库房门的锁栓及执行机构运动灵活，手动暗掣在受到不大于30N的力作用下，即可将门扇锁住或打开；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9.库房门开启定位装置：库房门开启到任何位置均需能定位，不会产生自掩现象；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10.无障碍门槛装置：库房门门槛做无障碍设置，以确保文物搬运时无障碍；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 xml:space="preserve">11.防水性：库房门的门框及门扇安装防水橡胶，配合强力防水压紧装置；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12.水密性：库房门具有良好的水密功能，水密性能达5级以上；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13.抗风压性：库房门具有良好的抗风压功能，抗风压功能达6级以上；</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14.气密性：库房门具有良好的气密性功能，气密性能达7级以上</w:t>
            </w:r>
            <w:r>
              <w:rPr>
                <w:rFonts w:hint="eastAsia" w:ascii="宋体" w:hAnsi="宋体" w:cs="宋体"/>
                <w:b w:val="0"/>
                <w:bCs w:val="0"/>
                <w:color w:val="auto"/>
                <w:kern w:val="2"/>
                <w:sz w:val="18"/>
                <w:szCs w:val="18"/>
                <w:highlight w:val="none"/>
                <w:lang w:val="en-US" w:eastAsia="zh-CN" w:bidi="ar-SA"/>
              </w:rPr>
              <w:t>；</w:t>
            </w:r>
          </w:p>
          <w:p w14:paraId="47BBA229">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15.抗震功能：库房门需具有抗震功能，抗震设防烈度≥7度</w:t>
            </w:r>
            <w:r>
              <w:rPr>
                <w:rFonts w:hint="eastAsia" w:ascii="宋体" w:hAnsi="宋体" w:cs="宋体"/>
                <w:b w:val="0"/>
                <w:bCs w:val="0"/>
                <w:color w:val="auto"/>
                <w:kern w:val="2"/>
                <w:sz w:val="18"/>
                <w:szCs w:val="18"/>
                <w:highlight w:val="none"/>
                <w:lang w:val="en-US" w:eastAsia="zh-CN" w:bidi="ar-SA"/>
              </w:rPr>
              <w:t>；</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C90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D84A8">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A64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8010">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128000</w:t>
            </w:r>
          </w:p>
        </w:tc>
      </w:tr>
      <w:tr w14:paraId="6474D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B7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24DF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文物库房安全门</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6184B">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Times New Roman"/>
                <w:snapToGrid w:val="0"/>
                <w:szCs w:val="22"/>
              </w:rPr>
              <w:drawing>
                <wp:inline distT="0" distB="0" distL="114300" distR="114300">
                  <wp:extent cx="1923415" cy="2767330"/>
                  <wp:effectExtent l="0" t="0" r="12065" b="6350"/>
                  <wp:docPr id="4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6"/>
                          <pic:cNvPicPr>
                            <a:picLocks noChangeAspect="1"/>
                          </pic:cNvPicPr>
                        </pic:nvPicPr>
                        <pic:blipFill>
                          <a:blip r:embed="rId12"/>
                          <a:srcRect r="7391"/>
                          <a:stretch>
                            <a:fillRect/>
                          </a:stretch>
                        </pic:blipFill>
                        <pic:spPr>
                          <a:xfrm>
                            <a:off x="0" y="0"/>
                            <a:ext cx="1923415" cy="2767330"/>
                          </a:xfrm>
                          <a:prstGeom prst="rect">
                            <a:avLst/>
                          </a:prstGeom>
                          <a:noFill/>
                          <a:ln>
                            <a:noFill/>
                          </a:ln>
                        </pic:spPr>
                      </pic:pic>
                    </a:graphicData>
                  </a:graphic>
                </wp:inline>
              </w:drawing>
            </w:r>
          </w:p>
          <w:p w14:paraId="7C6476F4">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尺寸规格：≥1500*2200mm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1.防盗级别：甲级；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2.表面处理：烤漆；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3.主体材质：锌合金；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4.开门方式：平开门；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5.锁芯等级：C级锁芯；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6.门扇厚度：95mm；</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6E43">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57D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樘</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57CA">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8000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1A82">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8000</w:t>
            </w:r>
          </w:p>
        </w:tc>
      </w:tr>
      <w:tr w14:paraId="3F55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44B8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190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b w:val="0"/>
                <w:bCs w:val="0"/>
                <w:color w:val="auto"/>
                <w:sz w:val="18"/>
                <w:szCs w:val="18"/>
                <w:lang w:val="en-US" w:eastAsia="zh-CN"/>
              </w:rPr>
              <w:t>文物库房专用多功能空气净化系统</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8A9">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default" w:ascii="Calibri" w:hAnsi="Calibri" w:eastAsia="宋体" w:cs="Times New Roman"/>
                <w:snapToGrid w:val="0"/>
                <w:sz w:val="24"/>
                <w:szCs w:val="22"/>
                <w:lang w:val="en-US" w:eastAsia="zh-CN"/>
              </w:rPr>
              <w:drawing>
                <wp:inline distT="0" distB="0" distL="0" distR="0">
                  <wp:extent cx="2520315" cy="1521460"/>
                  <wp:effectExtent l="0" t="0" r="9525" b="2540"/>
                  <wp:docPr id="46" name="图片 4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4"/>
                          <pic:cNvPicPr>
                            <a:picLocks noChangeAspect="1" noChangeArrowheads="1"/>
                          </pic:cNvPicPr>
                        </pic:nvPicPr>
                        <pic:blipFill>
                          <a:blip r:embed="rId13"/>
                          <a:srcRect/>
                          <a:stretch>
                            <a:fillRect/>
                          </a:stretch>
                        </pic:blipFill>
                        <pic:spPr>
                          <a:xfrm>
                            <a:off x="0" y="0"/>
                            <a:ext cx="2520315" cy="1521460"/>
                          </a:xfrm>
                          <a:prstGeom prst="rect">
                            <a:avLst/>
                          </a:prstGeom>
                          <a:noFill/>
                          <a:ln w="9525">
                            <a:noFill/>
                            <a:miter lim="800000"/>
                            <a:headEnd/>
                            <a:tailEnd/>
                          </a:ln>
                        </pic:spPr>
                      </pic:pic>
                    </a:graphicData>
                  </a:graphic>
                </wp:inline>
              </w:drawing>
            </w:r>
            <w:r>
              <w:rPr>
                <w:rFonts w:hint="default" w:ascii="Calibri" w:hAnsi="Calibri" w:eastAsia="宋体" w:cs="Times New Roman"/>
                <w:b/>
                <w:snapToGrid w:val="0"/>
                <w:kern w:val="2"/>
                <w:sz w:val="24"/>
                <w:szCs w:val="22"/>
                <w:lang w:val="en-US" w:eastAsia="zh-CN" w:bidi="ar-SA"/>
              </w:rPr>
              <w:drawing>
                <wp:inline distT="0" distB="0" distL="0" distR="0">
                  <wp:extent cx="2722245" cy="1454150"/>
                  <wp:effectExtent l="0" t="0" r="5715" b="8890"/>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noChangeArrowheads="1"/>
                          </pic:cNvPicPr>
                        </pic:nvPicPr>
                        <pic:blipFill>
                          <a:blip r:embed="rId14"/>
                          <a:srcRect/>
                          <a:stretch>
                            <a:fillRect/>
                          </a:stretch>
                        </pic:blipFill>
                        <pic:spPr>
                          <a:xfrm>
                            <a:off x="0" y="0"/>
                            <a:ext cx="2722245" cy="1454150"/>
                          </a:xfrm>
                          <a:prstGeom prst="rect">
                            <a:avLst/>
                          </a:prstGeom>
                          <a:noFill/>
                          <a:ln w="9525">
                            <a:noFill/>
                            <a:miter lim="800000"/>
                            <a:headEnd/>
                            <a:tailEnd/>
                          </a:ln>
                        </pic:spPr>
                      </pic:pic>
                    </a:graphicData>
                  </a:graphic>
                </wp:inline>
              </w:drawing>
            </w:r>
          </w:p>
          <w:p w14:paraId="0B67F57A">
            <w:pPr>
              <w:keepNext w:val="0"/>
              <w:keepLines w:val="0"/>
              <w:widowControl/>
              <w:numPr>
                <w:ilvl w:val="0"/>
                <w:numId w:val="0"/>
              </w:numPr>
              <w:suppressLineNumbers w:val="0"/>
              <w:spacing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1.尺寸规格：≤900*900*400mm；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2.风量：≥250m³/h；</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3.功率：≤150W；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4.电源：220V～/50Hz；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5.机外静压：≥150Pa；</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6.热回收效率：≥75%；</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7.噪音：≤30分贝；</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8.重量：≤30Kg；</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9.含初效滤网，活性炭滤网，高效滤网，液晶控制面板。</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24D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1559">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C2BF">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524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12500</w:t>
            </w:r>
          </w:p>
        </w:tc>
      </w:tr>
      <w:tr w14:paraId="1E8B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EF2B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F6C1">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库房柜式空调设备</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7030">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ascii="宋体" w:hAnsi="宋体" w:eastAsia="宋体" w:cs="宋体"/>
                <w:snapToGrid w:val="0"/>
                <w:kern w:val="2"/>
                <w:sz w:val="24"/>
                <w:szCs w:val="24"/>
                <w:lang w:val="en-US" w:eastAsia="zh-CN" w:bidi="ar-SA"/>
              </w:rPr>
              <w:drawing>
                <wp:inline distT="0" distB="0" distL="114300" distR="114300">
                  <wp:extent cx="2057400" cy="2057400"/>
                  <wp:effectExtent l="0" t="0" r="0" b="0"/>
                  <wp:docPr id="1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IMG_256"/>
                          <pic:cNvPicPr>
                            <a:picLocks noChangeAspect="1"/>
                          </pic:cNvPicPr>
                        </pic:nvPicPr>
                        <pic:blipFill>
                          <a:blip r:embed="rId15"/>
                          <a:stretch>
                            <a:fillRect/>
                          </a:stretch>
                        </pic:blipFill>
                        <pic:spPr>
                          <a:xfrm>
                            <a:off x="0" y="0"/>
                            <a:ext cx="2057400" cy="2057400"/>
                          </a:xfrm>
                          <a:prstGeom prst="rect">
                            <a:avLst/>
                          </a:prstGeom>
                          <a:noFill/>
                          <a:ln w="9525">
                            <a:noFill/>
                          </a:ln>
                        </pic:spPr>
                      </pic:pic>
                    </a:graphicData>
                  </a:graphic>
                </wp:inline>
              </w:drawing>
            </w:r>
          </w:p>
          <w:p w14:paraId="605B0C14">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1.功率：≥3匹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2.工作方式：变频</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3.类型：立柜式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4.冷暖类型：冷暖电辅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5.适用面积：33㎡-80㎡</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6.能效等级：一级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7.制热功率：≥2970W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8.制热量：≥9660W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9.制冷量：≥7220W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10.室外机噪音：≤56dB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11.制冷功率：≥1980W</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EC0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8EA6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9B1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6800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91C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20400</w:t>
            </w:r>
          </w:p>
        </w:tc>
      </w:tr>
      <w:tr w14:paraId="1AAD3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C4F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D56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三步登高梯</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022F">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snapToGrid w:val="0"/>
                <w:kern w:val="2"/>
                <w:sz w:val="24"/>
                <w:szCs w:val="24"/>
                <w:lang w:val="en-US" w:eastAsia="zh-CN" w:bidi="ar-SA"/>
              </w:rPr>
              <w:drawing>
                <wp:inline distT="0" distB="0" distL="114300" distR="114300">
                  <wp:extent cx="1842770" cy="2523490"/>
                  <wp:effectExtent l="0" t="0" r="1270" b="6350"/>
                  <wp:docPr id="63113" name="图片 63113" descr="工作台、文物车、文物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3" name="图片 63113" descr="工作台、文物车、文物梯"/>
                          <pic:cNvPicPr>
                            <a:picLocks noChangeAspect="1"/>
                          </pic:cNvPicPr>
                        </pic:nvPicPr>
                        <pic:blipFill>
                          <a:blip r:embed="rId16"/>
                          <a:stretch>
                            <a:fillRect/>
                          </a:stretch>
                        </pic:blipFill>
                        <pic:spPr>
                          <a:xfrm>
                            <a:off x="0" y="0"/>
                            <a:ext cx="1850153" cy="2533469"/>
                          </a:xfrm>
                          <a:prstGeom prst="rect">
                            <a:avLst/>
                          </a:prstGeom>
                          <a:noFill/>
                          <a:ln>
                            <a:noFill/>
                          </a:ln>
                        </pic:spPr>
                      </pic:pic>
                    </a:graphicData>
                  </a:graphic>
                </wp:inline>
              </w:drawing>
            </w:r>
          </w:p>
          <w:p w14:paraId="0D909C81">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不锈钢管；优质静音万向轮。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结构性能：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不锈钢结构，有扶手。踏板加装塑胶防滑垫，下带万向轮，移动方便，并保证稳定性；当人踩踏上去之后，登高梯底部万向轮自动缩进，稳当可靠。</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3B24">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46F2">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574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2260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8599">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4520</w:t>
            </w:r>
          </w:p>
        </w:tc>
      </w:tr>
      <w:tr w14:paraId="78FF7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D9CC">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3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B526">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文物减震手推车</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3C35">
            <w:pPr>
              <w:keepNext w:val="0"/>
              <w:keepLines w:val="0"/>
              <w:widowControl/>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snapToGrid w:val="0"/>
                <w:kern w:val="2"/>
                <w:sz w:val="24"/>
                <w:szCs w:val="24"/>
                <w:lang w:val="en-US" w:eastAsia="zh-CN" w:bidi="ar-SA"/>
              </w:rPr>
              <w:drawing>
                <wp:inline distT="0" distB="0" distL="114300" distR="114300">
                  <wp:extent cx="2070735" cy="1548130"/>
                  <wp:effectExtent l="0" t="0" r="1905" b="6350"/>
                  <wp:docPr id="63111" name="图片 63111" descr="C:\我的工作\工程存档\做标书资料\各种说明书介绍证书等\库房密集架柜子图片说明\邦达图集\邦达文物减震车.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1" name="图片 63111" descr="C:\我的工作\工程存档\做标书资料\各种说明书介绍证书等\库房密集架柜子图片说明\邦达图集\邦达文物减震车.jpg"/>
                          <pic:cNvPicPr>
                            <a:picLocks noChangeAspect="1"/>
                          </pic:cNvPicPr>
                        </pic:nvPicPr>
                        <pic:blipFill>
                          <a:blip r:embed="rId17"/>
                          <a:stretch>
                            <a:fillRect/>
                          </a:stretch>
                        </pic:blipFill>
                        <pic:spPr>
                          <a:xfrm>
                            <a:off x="0" y="0"/>
                            <a:ext cx="2070735" cy="1548130"/>
                          </a:xfrm>
                          <a:prstGeom prst="rect">
                            <a:avLst/>
                          </a:prstGeom>
                          <a:noFill/>
                          <a:ln>
                            <a:noFill/>
                          </a:ln>
                        </pic:spPr>
                      </pic:pic>
                    </a:graphicData>
                  </a:graphic>
                </wp:inline>
              </w:drawing>
            </w:r>
          </w:p>
          <w:p w14:paraId="67D2B66C">
            <w:pPr>
              <w:keepNext w:val="0"/>
              <w:keepLines w:val="0"/>
              <w:widowControl/>
              <w:suppressLineNumbers w:val="0"/>
              <w:spacing w:line="240" w:lineRule="auto"/>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材料：</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1.0mm 优质冷轧钢板；优质静音万向轮。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结构性能：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箱体式结构，两端有推手，上层可加四周护板，底部两定向轮和两万向轮（带刹车），单支承重≥80kg，万向轮下带弹簧，当有重物放置，起到减震解压作用。</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4FF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2A6D">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357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18C7">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5000</w:t>
            </w:r>
          </w:p>
        </w:tc>
      </w:tr>
      <w:tr w14:paraId="4227A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41D97">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w:t>
            </w:r>
          </w:p>
        </w:tc>
        <w:tc>
          <w:tcPr>
            <w:tcW w:w="13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D75E0">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文物工作整理台及椅子</w:t>
            </w:r>
          </w:p>
        </w:tc>
        <w:tc>
          <w:tcPr>
            <w:tcW w:w="8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C677">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bookmarkStart w:id="53" w:name="_Toc19814"/>
            <w:r>
              <w:rPr>
                <w:rFonts w:hint="eastAsia" w:ascii="宋体" w:hAnsi="宋体" w:eastAsia="宋体" w:cs="宋体"/>
                <w:snapToGrid w:val="0"/>
                <w:kern w:val="2"/>
                <w:sz w:val="24"/>
                <w:szCs w:val="24"/>
                <w:lang w:val="en-US" w:eastAsia="zh-CN" w:bidi="ar-SA"/>
              </w:rPr>
              <w:drawing>
                <wp:inline distT="0" distB="0" distL="114300" distR="114300">
                  <wp:extent cx="2080895" cy="1311910"/>
                  <wp:effectExtent l="0" t="0" r="6985" b="13970"/>
                  <wp:docPr id="87" name="图片 30" descr="3383f9fca9fda930f4a08abe4ad0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30" descr="3383f9fca9fda930f4a08abe4ad0497"/>
                          <pic:cNvPicPr>
                            <a:picLocks noChangeAspect="1"/>
                          </pic:cNvPicPr>
                        </pic:nvPicPr>
                        <pic:blipFill>
                          <a:blip r:embed="rId18"/>
                          <a:srcRect l="17110" t="1945" r="8971" b="17554"/>
                          <a:stretch>
                            <a:fillRect/>
                          </a:stretch>
                        </pic:blipFill>
                        <pic:spPr>
                          <a:xfrm>
                            <a:off x="0" y="0"/>
                            <a:ext cx="2080895" cy="1311910"/>
                          </a:xfrm>
                          <a:prstGeom prst="rect">
                            <a:avLst/>
                          </a:prstGeom>
                          <a:noFill/>
                          <a:ln>
                            <a:noFill/>
                          </a:ln>
                        </pic:spPr>
                      </pic:pic>
                    </a:graphicData>
                  </a:graphic>
                </wp:inline>
              </w:drawing>
            </w:r>
            <w:bookmarkEnd w:id="53"/>
          </w:p>
          <w:p w14:paraId="73006E02">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文物工作整理台：</w:t>
            </w:r>
          </w:p>
          <w:p w14:paraId="3146246D">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1.框架和嵌板结构。</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2.全部板材种类不超过2种，整体框架和抽屉面板材质相同，用料规格选无变形无裂痕无结疤及无各种自然缺陷的优质木材制作，含水率11.4±0.2%，不良气体排放量符合GB1854-2001木货物中有害物质限量标准。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3.抽屉把手为内凹式。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4.整体油漆要求，阻燃无味无毒环保高标准水性漆，符合国家环保要求。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5.台面制作前木料必须熏蒸消毒，保证案板长期无虫蛀。</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6.台面：采用≥12.7mm厚实芯理化板（双面膜）台面，为了确保实验人员的健康安全，产品各项性能需满足</w:t>
            </w:r>
          </w:p>
          <w:p w14:paraId="7C039D69">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7.整体制作完毕后，表面无挂漆，门抽光滑，线条明亮整齐。</w:t>
            </w:r>
          </w:p>
          <w:p w14:paraId="3647236B">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snapToGrid w:val="0"/>
                <w:kern w:val="2"/>
                <w:sz w:val="24"/>
                <w:szCs w:val="24"/>
                <w:lang w:val="en-US" w:eastAsia="zh-CN" w:bidi="ar-SA"/>
              </w:rPr>
              <w:drawing>
                <wp:inline distT="0" distB="0" distL="114300" distR="114300">
                  <wp:extent cx="2166620" cy="1953895"/>
                  <wp:effectExtent l="0" t="0" r="12700" b="12065"/>
                  <wp:docPr id="35" name="图片 35" descr="0074632d7a74bb661dab1e166f480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0074632d7a74bb661dab1e166f480eb"/>
                          <pic:cNvPicPr>
                            <a:picLocks noChangeAspect="1"/>
                          </pic:cNvPicPr>
                        </pic:nvPicPr>
                        <pic:blipFill>
                          <a:blip r:embed="rId19"/>
                          <a:stretch>
                            <a:fillRect/>
                          </a:stretch>
                        </pic:blipFill>
                        <pic:spPr>
                          <a:xfrm>
                            <a:off x="0" y="0"/>
                            <a:ext cx="2166620" cy="1953895"/>
                          </a:xfrm>
                          <a:prstGeom prst="rect">
                            <a:avLst/>
                          </a:prstGeom>
                        </pic:spPr>
                      </pic:pic>
                    </a:graphicData>
                  </a:graphic>
                </wp:inline>
              </w:drawing>
            </w:r>
          </w:p>
          <w:p w14:paraId="5AB90421">
            <w:pPr>
              <w:keepNext w:val="0"/>
              <w:keepLines w:val="0"/>
              <w:widowControl/>
              <w:numPr>
                <w:ilvl w:val="0"/>
                <w:numId w:val="0"/>
              </w:numPr>
              <w:suppressLineNumbers w:val="0"/>
              <w:spacing w:line="240" w:lineRule="auto"/>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椅子：</w:t>
            </w:r>
          </w:p>
          <w:p w14:paraId="522784FB">
            <w:pPr>
              <w:keepNext w:val="0"/>
              <w:keepLines w:val="0"/>
              <w:widowControl/>
              <w:numPr>
                <w:ilvl w:val="0"/>
                <w:numId w:val="0"/>
              </w:numPr>
              <w:suppressLineNumbers w:val="0"/>
              <w:spacing w:line="240" w:lineRule="auto"/>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1.面料：采用网布饰面，经液态浸色及防潮、防污等处理，柔软舒适，透气性好。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2.海棉：合成乳胶(PU)发泡一体成型泡棉，曲度依照人体工程学背部曲线设计，力求高标准的舒适性，密度 36kg/m2，回弹力47%，柔软性能好、回弹性高。</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3.配件：采用优质气压棒(受力 250kg)，伸缩30万次不漏气。</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4.脚架、脚轮：采用尼龙纤维制成，间隙误差在1%毫米左右，移动杂音小，耐磨性强。</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A41CE">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7965">
            <w:pPr>
              <w:keepNext w:val="0"/>
              <w:keepLines w:val="0"/>
              <w:widowControl/>
              <w:suppressLineNumbers w:val="0"/>
              <w:spacing w:line="240" w:lineRule="auto"/>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E7C8">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2500</w:t>
            </w: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9D6C">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7500</w:t>
            </w:r>
          </w:p>
        </w:tc>
      </w:tr>
      <w:tr w14:paraId="59565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1BF1">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11</w:t>
            </w:r>
          </w:p>
        </w:tc>
        <w:tc>
          <w:tcPr>
            <w:tcW w:w="122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4D8BE3">
            <w:pPr>
              <w:keepNext w:val="0"/>
              <w:keepLines w:val="0"/>
              <w:widowControl/>
              <w:suppressLineNumbers w:val="0"/>
              <w:spacing w:line="240" w:lineRule="auto"/>
              <w:jc w:val="center"/>
              <w:textAlignment w:val="center"/>
              <w:rPr>
                <w:rFonts w:hint="default" w:ascii="宋体" w:hAnsi="宋体" w:eastAsia="宋体" w:cs="宋体"/>
                <w:i w:val="0"/>
                <w:iCs w:val="0"/>
                <w:color w:val="auto"/>
                <w:kern w:val="0"/>
                <w:sz w:val="18"/>
                <w:szCs w:val="18"/>
                <w:u w:val="none"/>
                <w:lang w:val="en-US" w:eastAsia="zh-CN" w:bidi="ar"/>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A873">
            <w:pPr>
              <w:keepNext w:val="0"/>
              <w:keepLines w:val="0"/>
              <w:widowControl/>
              <w:suppressLineNumbers w:val="0"/>
              <w:spacing w:line="240" w:lineRule="auto"/>
              <w:jc w:val="center"/>
              <w:textAlignment w:val="center"/>
              <w:rPr>
                <w:rFonts w:hint="default"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2"/>
                <w:sz w:val="28"/>
                <w:szCs w:val="28"/>
                <w:u w:val="none"/>
                <w:lang w:val="en-US" w:eastAsia="zh-CN" w:bidi="ar-SA"/>
              </w:rPr>
              <w:t>509920</w:t>
            </w:r>
          </w:p>
        </w:tc>
      </w:tr>
    </w:tbl>
    <w:p w14:paraId="0DC52809">
      <w:pPr>
        <w:adjustRightInd w:val="0"/>
        <w:snapToGrid w:val="0"/>
        <w:spacing w:line="336" w:lineRule="auto"/>
        <w:rPr>
          <w:rFonts w:hint="eastAsia" w:ascii="宋体" w:hAnsi="宋体" w:eastAsia="宋体" w:cs="宋体"/>
          <w:b/>
          <w:bCs/>
          <w:sz w:val="28"/>
          <w:szCs w:val="28"/>
        </w:rPr>
        <w:sectPr>
          <w:pgSz w:w="16838" w:h="11906" w:orient="landscape"/>
          <w:pgMar w:top="1587" w:right="1440" w:bottom="1361" w:left="1440" w:header="851" w:footer="992" w:gutter="0"/>
          <w:pgNumType w:fmt="decimal"/>
          <w:cols w:space="720" w:num="1"/>
          <w:docGrid w:type="lines" w:linePitch="317" w:charSpace="0"/>
        </w:sectPr>
      </w:pPr>
    </w:p>
    <w:p w14:paraId="1C5683C5">
      <w:pPr>
        <w:keepNext/>
        <w:keepLines/>
        <w:numPr>
          <w:ilvl w:val="0"/>
          <w:numId w:val="2"/>
        </w:numPr>
        <w:spacing w:after="360" w:line="500" w:lineRule="exact"/>
        <w:jc w:val="center"/>
        <w:outlineLvl w:val="0"/>
        <w:rPr>
          <w:rFonts w:hint="default" w:ascii="宋体" w:hAnsi="宋体" w:eastAsia="宋体" w:cs="Times New Roman"/>
          <w:b/>
          <w:bCs/>
          <w:color w:val="000000" w:themeColor="text1"/>
          <w:kern w:val="44"/>
          <w:sz w:val="28"/>
          <w:szCs w:val="28"/>
          <w:highlight w:val="none"/>
          <w:lang w:val="en-US"/>
          <w14:textFill>
            <w14:solidFill>
              <w14:schemeClr w14:val="tx1"/>
            </w14:solidFill>
          </w14:textFill>
        </w:rPr>
      </w:pPr>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54" w:name="_Toc21200"/>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评审办法和标准</w:t>
      </w:r>
      <w:bookmarkEnd w:id="54"/>
    </w:p>
    <w:p w14:paraId="3C02567F">
      <w:pPr>
        <w:pStyle w:val="3"/>
        <w:adjustRightInd w:val="0"/>
        <w:snapToGrid w:val="0"/>
        <w:spacing w:before="156" w:beforeLines="50" w:after="0" w:line="360" w:lineRule="auto"/>
        <w:ind w:left="0" w:leftChars="0" w:firstLine="0" w:firstLineChars="0"/>
        <w:jc w:val="left"/>
        <w:rPr>
          <w:rFonts w:ascii="宋体" w:hAnsi="宋体" w:eastAsia="宋体" w:cs="Arial"/>
          <w:color w:val="000000" w:themeColor="text1"/>
          <w:sz w:val="21"/>
          <w:szCs w:val="21"/>
          <w:highlight w:val="none"/>
          <w14:textFill>
            <w14:solidFill>
              <w14:schemeClr w14:val="tx1"/>
            </w14:solidFill>
          </w14:textFill>
        </w:rPr>
      </w:pPr>
      <w:bookmarkStart w:id="55" w:name="_Toc486240599"/>
      <w:bookmarkStart w:id="56" w:name="_Toc18373"/>
      <w:bookmarkStart w:id="57" w:name="_Toc484167161"/>
      <w:bookmarkStart w:id="58" w:name="_Toc9697"/>
      <w:bookmarkStart w:id="59" w:name="_Toc493954188"/>
      <w:r>
        <w:rPr>
          <w:rFonts w:ascii="宋体" w:hAnsi="宋体" w:eastAsia="宋体" w:cs="Arial"/>
          <w:color w:val="000000" w:themeColor="text1"/>
          <w:sz w:val="21"/>
          <w:szCs w:val="21"/>
          <w:highlight w:val="none"/>
          <w14:textFill>
            <w14:solidFill>
              <w14:schemeClr w14:val="tx1"/>
            </w14:solidFill>
          </w14:textFill>
        </w:rPr>
        <w:t>一</w:t>
      </w:r>
      <w:r>
        <w:rPr>
          <w:rFonts w:hint="eastAsia" w:ascii="宋体" w:hAnsi="宋体" w:eastAsia="宋体" w:cs="Arial"/>
          <w:color w:val="000000" w:themeColor="text1"/>
          <w:sz w:val="21"/>
          <w:szCs w:val="21"/>
          <w:highlight w:val="none"/>
          <w14:textFill>
            <w14:solidFill>
              <w14:schemeClr w14:val="tx1"/>
            </w14:solidFill>
          </w14:textFill>
        </w:rPr>
        <w:t>、评审</w:t>
      </w:r>
      <w:r>
        <w:rPr>
          <w:rFonts w:ascii="宋体" w:hAnsi="宋体" w:eastAsia="宋体" w:cs="Arial"/>
          <w:color w:val="000000" w:themeColor="text1"/>
          <w:sz w:val="21"/>
          <w:szCs w:val="21"/>
          <w:highlight w:val="none"/>
          <w14:textFill>
            <w14:solidFill>
              <w14:schemeClr w14:val="tx1"/>
            </w14:solidFill>
          </w14:textFill>
        </w:rPr>
        <w:t>依据</w:t>
      </w:r>
      <w:bookmarkEnd w:id="55"/>
      <w:bookmarkEnd w:id="56"/>
      <w:bookmarkEnd w:id="57"/>
      <w:bookmarkEnd w:id="58"/>
      <w:bookmarkEnd w:id="59"/>
    </w:p>
    <w:p w14:paraId="1DE3A6D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bookmarkStart w:id="60" w:name="_Toc493954189"/>
      <w:r>
        <w:rPr>
          <w:rFonts w:hint="eastAsia" w:ascii="宋体" w:hAnsi="宋体" w:cs="Arial"/>
          <w:color w:val="000000" w:themeColor="text1"/>
          <w:szCs w:val="21"/>
          <w:highlight w:val="none"/>
          <w14:textFill>
            <w14:solidFill>
              <w14:schemeClr w14:val="tx1"/>
            </w14:solidFill>
          </w14:textFill>
        </w:rPr>
        <w:t>根据有关法律、行政法规，结合本次招标项目实际情况，遵循公平、公正、科学、择优的基本原则，制定本评审办法。</w:t>
      </w:r>
    </w:p>
    <w:p w14:paraId="1D2F7955">
      <w:pPr>
        <w:pStyle w:val="3"/>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1" w:name="_Toc7010"/>
      <w:bookmarkStart w:id="62" w:name="_Toc32225"/>
      <w:r>
        <w:rPr>
          <w:rFonts w:hint="eastAsia" w:ascii="宋体" w:hAnsi="宋体" w:eastAsia="宋体" w:cs="Arial"/>
          <w:color w:val="000000" w:themeColor="text1"/>
          <w:sz w:val="21"/>
          <w:szCs w:val="21"/>
          <w:highlight w:val="none"/>
          <w14:textFill>
            <w14:solidFill>
              <w14:schemeClr w14:val="tx1"/>
            </w14:solidFill>
          </w14:textFill>
        </w:rPr>
        <w:t>二、</w:t>
      </w:r>
      <w:bookmarkEnd w:id="60"/>
      <w:r>
        <w:rPr>
          <w:rFonts w:hint="eastAsia" w:ascii="宋体" w:hAnsi="宋体" w:eastAsia="宋体" w:cs="Arial"/>
          <w:color w:val="000000" w:themeColor="text1"/>
          <w:sz w:val="21"/>
          <w:szCs w:val="21"/>
          <w:highlight w:val="none"/>
          <w14:textFill>
            <w14:solidFill>
              <w14:schemeClr w14:val="tx1"/>
            </w14:solidFill>
          </w14:textFill>
        </w:rPr>
        <w:t>磋商小组</w:t>
      </w:r>
      <w:bookmarkEnd w:id="61"/>
      <w:bookmarkEnd w:id="62"/>
    </w:p>
    <w:p w14:paraId="64C4857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2.1采购人</w:t>
      </w:r>
      <w:r>
        <w:rPr>
          <w:rFonts w:ascii="宋体" w:hAnsi="宋体" w:cs="Arial"/>
          <w:color w:val="000000" w:themeColor="text1"/>
          <w:szCs w:val="21"/>
          <w:highlight w:val="none"/>
          <w14:textFill>
            <w14:solidFill>
              <w14:schemeClr w14:val="tx1"/>
            </w14:solidFill>
          </w14:textFill>
        </w:rPr>
        <w:t>将</w:t>
      </w:r>
      <w:r>
        <w:rPr>
          <w:rFonts w:hint="eastAsia" w:ascii="宋体" w:hAnsi="宋体" w:cs="Arial"/>
          <w:color w:val="000000" w:themeColor="text1"/>
          <w:szCs w:val="21"/>
          <w:highlight w:val="none"/>
          <w14:textFill>
            <w14:solidFill>
              <w14:schemeClr w14:val="tx1"/>
            </w14:solidFill>
          </w14:textFill>
        </w:rPr>
        <w:t>根据招标采购项目的特点</w:t>
      </w:r>
      <w:r>
        <w:rPr>
          <w:rFonts w:ascii="宋体" w:hAnsi="宋体" w:cs="Arial"/>
          <w:color w:val="000000" w:themeColor="text1"/>
          <w:szCs w:val="21"/>
          <w:highlight w:val="none"/>
          <w14:textFill>
            <w14:solidFill>
              <w14:schemeClr w14:val="tx1"/>
            </w14:solidFill>
          </w14:textFill>
        </w:rPr>
        <w:t>依法组建</w:t>
      </w:r>
      <w:r>
        <w:rPr>
          <w:rFonts w:hint="eastAsia" w:ascii="宋体" w:hAnsi="宋体" w:cs="Arial"/>
          <w:color w:val="000000" w:themeColor="text1"/>
          <w:szCs w:val="21"/>
          <w:highlight w:val="none"/>
          <w14:textFill>
            <w14:solidFill>
              <w14:schemeClr w14:val="tx1"/>
            </w14:solidFill>
          </w14:textFill>
        </w:rPr>
        <w:t>3</w:t>
      </w:r>
      <w:r>
        <w:rPr>
          <w:rFonts w:ascii="宋体" w:hAnsi="宋体" w:cs="Arial"/>
          <w:color w:val="000000" w:themeColor="text1"/>
          <w:szCs w:val="21"/>
          <w:highlight w:val="none"/>
          <w14:textFill>
            <w14:solidFill>
              <w14:schemeClr w14:val="tx1"/>
            </w14:solidFill>
          </w14:textFill>
        </w:rPr>
        <w:t>人</w:t>
      </w:r>
      <w:r>
        <w:rPr>
          <w:rFonts w:hint="eastAsia" w:ascii="宋体" w:hAnsi="宋体" w:cs="Arial"/>
          <w:color w:val="000000" w:themeColor="text1"/>
          <w:szCs w:val="21"/>
          <w:highlight w:val="none"/>
          <w14:textFill>
            <w14:solidFill>
              <w14:schemeClr w14:val="tx1"/>
            </w14:solidFill>
          </w14:textFill>
        </w:rPr>
        <w:t>及</w:t>
      </w:r>
      <w:r>
        <w:rPr>
          <w:rFonts w:ascii="宋体" w:hAnsi="宋体" w:cs="Arial"/>
          <w:color w:val="000000" w:themeColor="text1"/>
          <w:szCs w:val="21"/>
          <w:highlight w:val="none"/>
          <w14:textFill>
            <w14:solidFill>
              <w14:schemeClr w14:val="tx1"/>
            </w14:solidFill>
          </w14:textFill>
        </w:rPr>
        <w:t>以上单数的</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，其成员由从</w:t>
      </w:r>
      <w:r>
        <w:rPr>
          <w:rFonts w:hint="eastAsia" w:ascii="宋体" w:hAnsi="宋体" w:cs="Arial"/>
          <w:color w:val="000000" w:themeColor="text1"/>
          <w:szCs w:val="21"/>
          <w:highlight w:val="none"/>
          <w14:textFill>
            <w14:solidFill>
              <w14:schemeClr w14:val="tx1"/>
            </w14:solidFill>
          </w14:textFill>
        </w:rPr>
        <w:t>相关专家库中</w:t>
      </w:r>
      <w:r>
        <w:rPr>
          <w:rFonts w:ascii="宋体" w:hAnsi="宋体" w:cs="Arial"/>
          <w:color w:val="000000" w:themeColor="text1"/>
          <w:szCs w:val="21"/>
          <w:highlight w:val="none"/>
          <w14:textFill>
            <w14:solidFill>
              <w14:schemeClr w14:val="tx1"/>
            </w14:solidFill>
          </w14:textFill>
        </w:rPr>
        <w:t>随机抽取的</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专家和</w:t>
      </w:r>
      <w:r>
        <w:rPr>
          <w:rFonts w:hint="eastAsia" w:ascii="宋体" w:hAnsi="宋体" w:eastAsia="宋体" w:cs="Arial"/>
          <w:color w:val="000000" w:themeColor="text1"/>
          <w:szCs w:val="21"/>
          <w:highlight w:val="none"/>
          <w14:textFill>
            <w14:solidFill>
              <w14:schemeClr w14:val="tx1"/>
            </w14:solidFill>
          </w14:textFill>
        </w:rPr>
        <w:t>采购人</w:t>
      </w:r>
      <w:r>
        <w:rPr>
          <w:rFonts w:ascii="宋体" w:hAnsi="宋体" w:eastAsia="宋体" w:cs="Arial"/>
          <w:color w:val="000000" w:themeColor="text1"/>
          <w:szCs w:val="21"/>
          <w:highlight w:val="none"/>
          <w14:textFill>
            <w14:solidFill>
              <w14:schemeClr w14:val="tx1"/>
            </w14:solidFill>
          </w14:textFill>
        </w:rPr>
        <w:t>代表</w:t>
      </w:r>
      <w:r>
        <w:rPr>
          <w:rFonts w:ascii="宋体" w:hAnsi="宋体" w:cs="Arial"/>
          <w:color w:val="000000" w:themeColor="text1"/>
          <w:szCs w:val="21"/>
          <w:highlight w:val="none"/>
          <w14:textFill>
            <w14:solidFill>
              <w14:schemeClr w14:val="tx1"/>
            </w14:solidFill>
          </w14:textFill>
        </w:rPr>
        <w:t>组成，其中</w:t>
      </w: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专家不</w:t>
      </w:r>
      <w:r>
        <w:rPr>
          <w:rFonts w:hint="eastAsia" w:ascii="宋体" w:hAnsi="宋体" w:cs="Arial"/>
          <w:color w:val="000000" w:themeColor="text1"/>
          <w:szCs w:val="21"/>
          <w:highlight w:val="none"/>
          <w14:textFill>
            <w14:solidFill>
              <w14:schemeClr w14:val="tx1"/>
            </w14:solidFill>
          </w14:textFill>
        </w:rPr>
        <w:t>得</w:t>
      </w:r>
      <w:r>
        <w:rPr>
          <w:rFonts w:ascii="宋体" w:hAnsi="宋体" w:cs="Arial"/>
          <w:color w:val="000000" w:themeColor="text1"/>
          <w:szCs w:val="21"/>
          <w:highlight w:val="none"/>
          <w14:textFill>
            <w14:solidFill>
              <w14:schemeClr w14:val="tx1"/>
            </w14:solidFill>
          </w14:textFill>
        </w:rPr>
        <w:t>少于</w:t>
      </w:r>
      <w:r>
        <w:rPr>
          <w:rFonts w:hint="eastAsia" w:ascii="宋体" w:hAnsi="宋体" w:cs="Arial"/>
          <w:color w:val="000000" w:themeColor="text1"/>
          <w:szCs w:val="21"/>
          <w:highlight w:val="none"/>
          <w14:textFill>
            <w14:solidFill>
              <w14:schemeClr w14:val="tx1"/>
            </w14:solidFill>
          </w14:textFill>
        </w:rPr>
        <w:t>成员</w:t>
      </w:r>
      <w:r>
        <w:rPr>
          <w:rFonts w:ascii="宋体" w:hAnsi="宋体" w:cs="Arial"/>
          <w:color w:val="000000" w:themeColor="text1"/>
          <w:szCs w:val="21"/>
          <w:highlight w:val="none"/>
          <w14:textFill>
            <w14:solidFill>
              <w14:schemeClr w14:val="tx1"/>
            </w14:solidFill>
          </w14:textFill>
        </w:rPr>
        <w:t>总数的三分之二。</w:t>
      </w:r>
    </w:p>
    <w:p w14:paraId="1E611E91">
      <w:pPr>
        <w:adjustRightInd w:val="0"/>
        <w:snapToGrid w:val="0"/>
        <w:spacing w:line="360" w:lineRule="auto"/>
        <w:ind w:firstLine="420" w:firstLineChars="200"/>
        <w:rPr>
          <w:rFonts w:hint="eastAsia" w:ascii="宋体" w:hAnsi="宋体" w:cs="Arial"/>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2.2评审专家与参加采购活动的供应商存在下列利害关系之一的,应当回避</w:t>
      </w:r>
      <w:r>
        <w:rPr>
          <w:rFonts w:hint="eastAsia" w:ascii="宋体" w:hAnsi="宋体" w:cs="Arial"/>
          <w:color w:val="000000" w:themeColor="text1"/>
          <w:szCs w:val="21"/>
          <w:highlight w:val="none"/>
          <w:lang w:eastAsia="zh-CN"/>
          <w14:textFill>
            <w14:solidFill>
              <w14:schemeClr w14:val="tx1"/>
            </w14:solidFill>
          </w14:textFill>
        </w:rPr>
        <w:t>：</w:t>
      </w:r>
    </w:p>
    <w:p w14:paraId="2F80A5A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1）参加采购活动前三年内,与供应商存在劳动关系,或者担任过供应商的董事、监事,或者是供应商的控股股东或实际控制人；</w:t>
      </w:r>
    </w:p>
    <w:p w14:paraId="05858BCA">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2）与供应商的法定代表人或者负责人有夫妻、直系血亲、三代以内旁系血亲或者近姻亲关系；</w:t>
      </w:r>
    </w:p>
    <w:p w14:paraId="312E892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3）与供应商有其他可能影响招标采购活动公平、公正进行的关系。</w:t>
      </w:r>
    </w:p>
    <w:p w14:paraId="7D598DA6">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评审专家发现本人与参加采购活动的供应商有利害关系的,应当主动提出回避。采购人或者招标代理机构发现评审专家与参加采购活动的供应商有利害关系的,应当要求其回避。</w:t>
      </w:r>
    </w:p>
    <w:p w14:paraId="756770E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2.3评审中因磋商小组成员缺席、回避或者健康等特殊原因导致磋商小组组成不符合本办法规定的，采购人或者招标代理机构应当依法补足后继续评审。被更换的磋商小组成员所作出的评审意见无效。无法及时补足磋商小组成员的，采购人或者招标代理机构应当停止评审活动，封存所有响应文件和开标、评审资料，依法重新组建磋商小组进行评审。原磋商小组所作出的评审意见无效。</w:t>
      </w:r>
    </w:p>
    <w:p w14:paraId="5693479C">
      <w:pPr>
        <w:pStyle w:val="3"/>
        <w:adjustRightInd w:val="0"/>
        <w:snapToGrid w:val="0"/>
        <w:spacing w:before="156" w:beforeLines="50" w:after="0" w:line="360" w:lineRule="auto"/>
        <w:ind w:left="0" w:leftChars="0" w:firstLine="0" w:firstLineChars="0"/>
        <w:rPr>
          <w:rFonts w:hint="eastAsia" w:ascii="宋体" w:hAnsi="宋体" w:eastAsia="宋体" w:cs="Arial"/>
          <w:color w:val="000000" w:themeColor="text1"/>
          <w:sz w:val="21"/>
          <w:szCs w:val="21"/>
          <w:highlight w:val="none"/>
          <w14:textFill>
            <w14:solidFill>
              <w14:schemeClr w14:val="tx1"/>
            </w14:solidFill>
          </w14:textFill>
        </w:rPr>
      </w:pPr>
      <w:bookmarkStart w:id="63" w:name="_Toc25985"/>
      <w:bookmarkStart w:id="64" w:name="_Toc493954190"/>
      <w:bookmarkStart w:id="65" w:name="_Toc31747"/>
      <w:bookmarkStart w:id="66" w:name="_Toc486240601"/>
      <w:bookmarkStart w:id="67" w:name="_Toc484167163"/>
      <w:r>
        <w:rPr>
          <w:rFonts w:hint="eastAsia" w:ascii="宋体" w:hAnsi="宋体" w:eastAsia="宋体" w:cs="Arial"/>
          <w:color w:val="000000" w:themeColor="text1"/>
          <w:sz w:val="21"/>
          <w:szCs w:val="21"/>
          <w:highlight w:val="none"/>
          <w14:textFill>
            <w14:solidFill>
              <w14:schemeClr w14:val="tx1"/>
            </w14:solidFill>
          </w14:textFill>
        </w:rPr>
        <w:t>三、评审方法及标准</w:t>
      </w:r>
      <w:bookmarkEnd w:id="63"/>
      <w:bookmarkEnd w:id="64"/>
      <w:bookmarkEnd w:id="65"/>
    </w:p>
    <w:p w14:paraId="5FABAB83">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3.1</w:t>
      </w:r>
      <w:r>
        <w:rPr>
          <w:rFonts w:ascii="宋体" w:hAnsi="宋体" w:cs="Arial"/>
          <w:color w:val="000000" w:themeColor="text1"/>
          <w:szCs w:val="21"/>
          <w:highlight w:val="none"/>
          <w14:textFill>
            <w14:solidFill>
              <w14:schemeClr w14:val="tx1"/>
            </w14:solidFill>
          </w14:textFill>
        </w:rPr>
        <w:t>本次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采用综合评分法。</w:t>
      </w:r>
      <w:r>
        <w:rPr>
          <w:rFonts w:hint="eastAsia" w:ascii="宋体" w:hAnsi="宋体" w:cs="Arial"/>
          <w:color w:val="000000" w:themeColor="text1"/>
          <w:szCs w:val="21"/>
          <w:highlight w:val="none"/>
          <w14:textFill>
            <w14:solidFill>
              <w14:schemeClr w14:val="tx1"/>
            </w14:solidFill>
          </w14:textFill>
        </w:rPr>
        <w:t>经磋商确定最终采购需求和提交最后报价的供应商后，由磋商小组采用综合评分法对提交最后报价的供应商的响应文件和最后报价进行综合评分。磋商小组将根据综合评分情况，按照评审得分由高到低顺序推荐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3名成交候选供应商，并编写评审报告。评审得分相同的，按照最后报价由低到高的顺序推荐。评审得分且最后报价相同的，按照技术指标优劣顺序推荐。</w:t>
      </w:r>
    </w:p>
    <w:p w14:paraId="601D2715">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3.2采购人或者招标代理机构负责组织评审工作，并履行相关职责；磋商小组负责具体评审事务，并独立履行相关职责。</w:t>
      </w:r>
    </w:p>
    <w:p w14:paraId="746F973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3评审</w:t>
      </w:r>
      <w:r>
        <w:rPr>
          <w:rFonts w:ascii="宋体" w:hAnsi="宋体" w:cs="Arial"/>
          <w:color w:val="000000" w:themeColor="text1"/>
          <w:szCs w:val="21"/>
          <w:highlight w:val="none"/>
          <w14:textFill>
            <w14:solidFill>
              <w14:schemeClr w14:val="tx1"/>
            </w14:solidFill>
          </w14:textFill>
        </w:rPr>
        <w:t>步骤</w:t>
      </w:r>
    </w:p>
    <w:p w14:paraId="7388E73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w:t>
      </w:r>
      <w:r>
        <w:rPr>
          <w:rFonts w:ascii="宋体" w:hAnsi="宋体" w:cs="Arial"/>
          <w:color w:val="000000" w:themeColor="text1"/>
          <w:szCs w:val="21"/>
          <w:highlight w:val="none"/>
          <w14:textFill>
            <w14:solidFill>
              <w14:schemeClr w14:val="tx1"/>
            </w14:solidFill>
          </w14:textFill>
        </w:rPr>
        <w:t>分为</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详细评审</w:t>
      </w:r>
      <w:r>
        <w:rPr>
          <w:rFonts w:hint="eastAsia" w:ascii="宋体" w:hAnsi="宋体" w:cs="Arial"/>
          <w:color w:val="000000" w:themeColor="text1"/>
          <w:szCs w:val="21"/>
          <w:highlight w:val="none"/>
          <w14:textFill>
            <w14:solidFill>
              <w14:schemeClr w14:val="tx1"/>
            </w14:solidFill>
          </w14:textFill>
        </w:rPr>
        <w:t>三</w:t>
      </w:r>
      <w:r>
        <w:rPr>
          <w:rFonts w:ascii="宋体" w:hAnsi="宋体" w:cs="Arial"/>
          <w:color w:val="000000" w:themeColor="text1"/>
          <w:szCs w:val="21"/>
          <w:highlight w:val="none"/>
          <w14:textFill>
            <w14:solidFill>
              <w14:schemeClr w14:val="tx1"/>
            </w14:solidFill>
          </w14:textFill>
        </w:rPr>
        <w:t>个阶段。</w:t>
      </w:r>
    </w:p>
    <w:p w14:paraId="28743BD5">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4初步</w:t>
      </w:r>
      <w:r>
        <w:rPr>
          <w:rFonts w:ascii="宋体" w:hAnsi="宋体" w:cs="Arial"/>
          <w:color w:val="000000" w:themeColor="text1"/>
          <w:szCs w:val="21"/>
          <w:highlight w:val="none"/>
          <w14:textFill>
            <w14:solidFill>
              <w14:schemeClr w14:val="tx1"/>
            </w14:solidFill>
          </w14:textFill>
        </w:rPr>
        <w:t>评审</w:t>
      </w:r>
    </w:p>
    <w:p w14:paraId="5AC6E628">
      <w:pPr>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磋商小组</w:t>
      </w:r>
      <w:r>
        <w:rPr>
          <w:rFonts w:hint="eastAsia" w:ascii="宋体" w:hAnsi="宋体" w:cs="Arial"/>
          <w:color w:val="000000" w:themeColor="text1"/>
          <w:szCs w:val="21"/>
          <w:highlight w:val="none"/>
          <w14:textFill>
            <w14:solidFill>
              <w14:schemeClr w14:val="tx1"/>
            </w14:solidFill>
          </w14:textFill>
        </w:rPr>
        <w:t>对供应商的响应文件进行资格审查、符合性审查，以确定其是否满足供应商资格要求、竞争性磋商文件的实质性要求。</w:t>
      </w:r>
    </w:p>
    <w:p w14:paraId="5E9A2C38">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3.4.1</w:t>
      </w:r>
      <w:r>
        <w:rPr>
          <w:rFonts w:ascii="宋体" w:hAnsi="宋体" w:cs="Arial"/>
          <w:color w:val="000000" w:themeColor="text1"/>
          <w:szCs w:val="21"/>
          <w:highlight w:val="none"/>
          <w14:textFill>
            <w14:solidFill>
              <w14:schemeClr w14:val="tx1"/>
            </w14:solidFill>
          </w14:textFill>
        </w:rPr>
        <w:t>符合性检查依据</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的规定，从</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的有效性、完整性和对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的响应程度进行审查，以确定是否对</w:t>
      </w:r>
      <w:r>
        <w:rPr>
          <w:rFonts w:hint="eastAsia" w:ascii="宋体" w:hAnsi="宋体" w:cs="Arial"/>
          <w:color w:val="000000" w:themeColor="text1"/>
          <w:szCs w:val="21"/>
          <w:highlight w:val="none"/>
          <w14:textFill>
            <w14:solidFill>
              <w14:schemeClr w14:val="tx1"/>
            </w14:solidFill>
          </w14:textFill>
        </w:rPr>
        <w:t>竞争性磋商文件</w:t>
      </w:r>
      <w:r>
        <w:rPr>
          <w:rFonts w:ascii="宋体" w:hAnsi="宋体" w:cs="Arial"/>
          <w:color w:val="000000" w:themeColor="text1"/>
          <w:szCs w:val="21"/>
          <w:highlight w:val="none"/>
          <w14:textFill>
            <w14:solidFill>
              <w14:schemeClr w14:val="tx1"/>
            </w14:solidFill>
          </w14:textFill>
        </w:rPr>
        <w:t>的实质性要求做出响应。</w:t>
      </w:r>
    </w:p>
    <w:p w14:paraId="5AC869DE">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将审查</w:t>
      </w:r>
      <w:r>
        <w:rPr>
          <w:rFonts w:hint="eastAsia" w:ascii="宋体" w:hAnsi="宋体" w:cs="Arial"/>
          <w:color w:val="000000" w:themeColor="text1"/>
          <w:szCs w:val="21"/>
          <w:highlight w:val="none"/>
          <w14:textFill>
            <w14:solidFill>
              <w14:schemeClr w14:val="tx1"/>
            </w14:solidFill>
          </w14:textFill>
        </w:rPr>
        <w:t>响应文件</w:t>
      </w:r>
      <w:r>
        <w:rPr>
          <w:rFonts w:ascii="宋体" w:hAnsi="宋体" w:cs="Arial"/>
          <w:color w:val="000000" w:themeColor="text1"/>
          <w:szCs w:val="21"/>
          <w:highlight w:val="none"/>
          <w14:textFill>
            <w14:solidFill>
              <w14:schemeClr w14:val="tx1"/>
            </w14:solidFill>
          </w14:textFill>
        </w:rPr>
        <w:t>是否完整、总体编制是否有序、文件签署是否合格、</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有无计算上的错误等。</w:t>
      </w:r>
    </w:p>
    <w:p w14:paraId="037645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响应文件报价出现前后不一致的，按照下列规定修正：</w:t>
      </w:r>
    </w:p>
    <w:p w14:paraId="36573640">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1）响应文件中报价一览表（报价表）内容与响应文件中相应内容不一致的，以报价一览表（报价表）为准；</w:t>
      </w:r>
    </w:p>
    <w:p w14:paraId="6B99BA27">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2）大写金额和小写金额不一致的，以大写金额为准；</w:t>
      </w:r>
    </w:p>
    <w:p w14:paraId="6C721E4B">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3）单价金额小数点或者百分比有明显错位的，以报价一览表的总价为准，并修改单价；</w:t>
      </w:r>
    </w:p>
    <w:p w14:paraId="31E3B05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4）总价金额与按单价汇总金额不一致的，以单价金额计算结果为准。</w:t>
      </w:r>
    </w:p>
    <w:p w14:paraId="5A4395D8">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同时出现两种以上不一致的，按照前款规定的顺序修正。修正后的报价经供应商确认后产生约束力，供应商不确认的，其投标无效。</w:t>
      </w:r>
    </w:p>
    <w:p w14:paraId="7DF49D5E">
      <w:pPr>
        <w:numPr>
          <w:ilvl w:val="0"/>
          <w:numId w:val="3"/>
        </w:num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磋商小组认为供应商的报价明显低于其他通过符合性审查供应商的报价，有</w:t>
      </w:r>
      <w:r>
        <w:rPr>
          <w:rFonts w:hint="eastAsia" w:ascii="宋体" w:hAnsi="宋体" w:cs="Arial"/>
          <w:color w:val="000000" w:themeColor="text1"/>
          <w:szCs w:val="21"/>
          <w:highlight w:val="none"/>
          <w:lang w:val="en-US" w:eastAsia="zh-CN"/>
          <w14:textFill>
            <w14:solidFill>
              <w14:schemeClr w14:val="tx1"/>
            </w14:solidFill>
          </w14:textFill>
        </w:rPr>
        <w:t>有可能影响产品质量或者不能诚信履约的</w:t>
      </w:r>
      <w:r>
        <w:rPr>
          <w:rFonts w:hint="eastAsia" w:ascii="宋体" w:hAnsi="宋体" w:cs="Arial"/>
          <w:color w:val="000000" w:themeColor="text1"/>
          <w:szCs w:val="21"/>
          <w:highlight w:val="none"/>
          <w14:textFill>
            <w14:solidFill>
              <w14:schemeClr w14:val="tx1"/>
            </w14:solidFill>
          </w14:textFill>
        </w:rPr>
        <w:t>，应当要求其在评审现场合理的时间内提供书面说明，必要时提交相关证明材料；供应商不能证明其报价合理性的，磋商小组应当将其作为无效投标处理。</w:t>
      </w:r>
    </w:p>
    <w:p w14:paraId="592EE91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3.4.2</w:t>
      </w:r>
      <w:r>
        <w:rPr>
          <w:rFonts w:ascii="宋体" w:hAnsi="宋体" w:cs="Arial"/>
          <w:color w:val="000000" w:themeColor="text1"/>
          <w:szCs w:val="21"/>
          <w:highlight w:val="none"/>
          <w14:textFill>
            <w14:solidFill>
              <w14:schemeClr w14:val="tx1"/>
            </w14:solidFill>
          </w14:textFill>
        </w:rPr>
        <w:t>实质上响应的</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应该是与</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文件要求的全部条款、条件相符，没有重大偏离。对关键条款的偏离、保留和反对，将被认为是实质上的偏离，属于无效投标被拒绝。</w:t>
      </w:r>
      <w:r>
        <w:rPr>
          <w:rFonts w:hint="eastAsia" w:ascii="宋体" w:hAnsi="宋体" w:cs="Arial"/>
          <w:color w:val="000000" w:themeColor="text1"/>
          <w:szCs w:val="21"/>
          <w:highlight w:val="none"/>
          <w14:textFill>
            <w14:solidFill>
              <w14:schemeClr w14:val="tx1"/>
            </w14:solidFill>
          </w14:textFill>
        </w:rPr>
        <w:t>磋商小组</w:t>
      </w:r>
      <w:r>
        <w:rPr>
          <w:rFonts w:ascii="宋体" w:hAnsi="宋体" w:cs="Arial"/>
          <w:color w:val="000000" w:themeColor="text1"/>
          <w:szCs w:val="21"/>
          <w:highlight w:val="none"/>
          <w14:textFill>
            <w14:solidFill>
              <w14:schemeClr w14:val="tx1"/>
            </w14:solidFill>
          </w14:textFill>
        </w:rPr>
        <w:t>决定投标的响应性只根据</w:t>
      </w:r>
      <w:r>
        <w:rPr>
          <w:rFonts w:hint="eastAsia" w:ascii="宋体" w:hAnsi="宋体" w:cs="Arial"/>
          <w:color w:val="000000" w:themeColor="text1"/>
          <w:szCs w:val="21"/>
          <w:highlight w:val="none"/>
          <w14:textFill>
            <w14:solidFill>
              <w14:schemeClr w14:val="tx1"/>
            </w14:solidFill>
          </w14:textFill>
        </w:rPr>
        <w:t>响应</w:t>
      </w:r>
      <w:r>
        <w:rPr>
          <w:rFonts w:ascii="宋体" w:hAnsi="宋体" w:cs="Arial"/>
          <w:color w:val="000000" w:themeColor="text1"/>
          <w:szCs w:val="21"/>
          <w:highlight w:val="none"/>
          <w14:textFill>
            <w14:solidFill>
              <w14:schemeClr w14:val="tx1"/>
            </w14:solidFill>
          </w14:textFill>
        </w:rPr>
        <w:t>文件本身的内容，而不寻求外部的证据。</w:t>
      </w:r>
    </w:p>
    <w:p w14:paraId="27E5592F">
      <w:pPr>
        <w:adjustRightInd w:val="0"/>
        <w:snapToGrid w:val="0"/>
        <w:spacing w:line="360" w:lineRule="auto"/>
        <w:ind w:firstLine="420"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3.4.3</w:t>
      </w:r>
      <w:r>
        <w:rPr>
          <w:rFonts w:ascii="宋体" w:hAnsi="宋体" w:cs="Arial"/>
          <w:color w:val="000000" w:themeColor="text1"/>
          <w:szCs w:val="21"/>
          <w:highlight w:val="none"/>
          <w14:textFill>
            <w14:solidFill>
              <w14:schemeClr w14:val="tx1"/>
            </w14:solidFill>
          </w14:textFill>
        </w:rPr>
        <w:t>实质上没有响应</w:t>
      </w:r>
      <w:r>
        <w:rPr>
          <w:rFonts w:hint="eastAsia" w:ascii="宋体" w:hAnsi="宋体" w:cs="Arial"/>
          <w:color w:val="000000" w:themeColor="text1"/>
          <w:szCs w:val="21"/>
          <w:highlight w:val="none"/>
          <w14:textFill>
            <w14:solidFill>
              <w14:schemeClr w14:val="tx1"/>
            </w14:solidFill>
          </w14:textFill>
        </w:rPr>
        <w:t>竞争性磋商</w:t>
      </w:r>
      <w:r>
        <w:rPr>
          <w:rFonts w:ascii="宋体" w:hAnsi="宋体" w:cs="Arial"/>
          <w:color w:val="000000" w:themeColor="text1"/>
          <w:szCs w:val="21"/>
          <w:highlight w:val="none"/>
          <w14:textFill>
            <w14:solidFill>
              <w14:schemeClr w14:val="tx1"/>
            </w14:solidFill>
          </w14:textFill>
        </w:rPr>
        <w:t>文件要求的投标将被作为无效投标被拒绝。</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不得通过修正或撤销不符合要求的偏离或保留从而使其投标成为实质上响应的投标。</w:t>
      </w:r>
      <w:r>
        <w:rPr>
          <w:rFonts w:ascii="宋体" w:hAnsi="宋体" w:cs="Arial"/>
          <w:b/>
          <w:color w:val="000000" w:themeColor="text1"/>
          <w:szCs w:val="21"/>
          <w:highlight w:val="none"/>
          <w14:textFill>
            <w14:solidFill>
              <w14:schemeClr w14:val="tx1"/>
            </w14:solidFill>
          </w14:textFill>
        </w:rPr>
        <w:t>如发现下列情况之一的，其投标将被作为无效投标被拒绝：</w:t>
      </w:r>
    </w:p>
    <w:p w14:paraId="48F44431">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（1）法律、法规和竞争性磋商文件规定的无效情形；</w:t>
      </w:r>
    </w:p>
    <w:p w14:paraId="593BA3B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（2）响应文件未按竞争性磋商文件要求签署、盖章的，或无法定代表人签字，或签字人无法定代表人有效授权的；</w:t>
      </w:r>
    </w:p>
    <w:p w14:paraId="1689783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（3）不具备竞争性磋商文件中规定的资格要求，资格审查不合格的；</w:t>
      </w:r>
    </w:p>
    <w:p w14:paraId="78037414">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（4）报价不唯一，出现有选择的报价或替代方案的；</w:t>
      </w:r>
    </w:p>
    <w:p w14:paraId="068EBB1F">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（5）报价超过竞争性磋商文件中规定的预算金额或者最高限价的；</w:t>
      </w:r>
    </w:p>
    <w:p w14:paraId="73D43C4E">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（6）磋商有效期不足的；</w:t>
      </w:r>
    </w:p>
    <w:p w14:paraId="61F492BD">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（7）</w:t>
      </w:r>
      <w:r>
        <w:rPr>
          <w:rFonts w:hint="eastAsia" w:ascii="宋体" w:hAnsi="宋体" w:cs="Arial"/>
          <w:b/>
          <w:color w:val="000000" w:themeColor="text1"/>
          <w:szCs w:val="21"/>
          <w:highlight w:val="none"/>
          <w:lang w:val="en-US" w:eastAsia="zh-CN"/>
          <w14:textFill>
            <w14:solidFill>
              <w14:schemeClr w14:val="tx1"/>
            </w14:solidFill>
          </w14:textFill>
        </w:rPr>
        <w:t>供货周期</w:t>
      </w:r>
      <w:r>
        <w:rPr>
          <w:rFonts w:hint="eastAsia" w:ascii="宋体" w:hAnsi="宋体" w:cs="Arial"/>
          <w:b/>
          <w:color w:val="000000" w:themeColor="text1"/>
          <w:szCs w:val="21"/>
          <w:highlight w:val="none"/>
          <w14:textFill>
            <w14:solidFill>
              <w14:schemeClr w14:val="tx1"/>
            </w14:solidFill>
          </w14:textFill>
        </w:rPr>
        <w:t>不满足竞争性磋商文件要求的；</w:t>
      </w:r>
    </w:p>
    <w:p w14:paraId="585442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（8）质量不满足竞争性磋商文件要求的；</w:t>
      </w:r>
    </w:p>
    <w:p w14:paraId="0DEC89F3">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（9）响应文件含有采购人不能接受的附加条件的；</w:t>
      </w:r>
    </w:p>
    <w:p w14:paraId="15162588">
      <w:pPr>
        <w:adjustRightInd w:val="0"/>
        <w:snapToGrid w:val="0"/>
        <w:spacing w:line="360" w:lineRule="auto"/>
        <w:ind w:firstLine="422" w:firstLineChars="200"/>
        <w:rPr>
          <w:rFonts w:hint="eastAsia" w:ascii="宋体" w:hAnsi="宋体" w:cs="Arial"/>
          <w:b/>
          <w:color w:val="000000" w:themeColor="text1"/>
          <w:szCs w:val="21"/>
          <w:highlight w:val="none"/>
          <w14:textFill>
            <w14:solidFill>
              <w14:schemeClr w14:val="tx1"/>
            </w14:solidFill>
          </w14:textFill>
        </w:rPr>
      </w:pPr>
      <w:r>
        <w:rPr>
          <w:rFonts w:hint="eastAsia" w:ascii="宋体" w:hAnsi="宋体" w:cs="Arial"/>
          <w:b/>
          <w:color w:val="000000" w:themeColor="text1"/>
          <w:szCs w:val="21"/>
          <w:highlight w:val="none"/>
          <w14:textFill>
            <w14:solidFill>
              <w14:schemeClr w14:val="tx1"/>
            </w14:solidFill>
          </w14:textFill>
        </w:rPr>
        <w:t>（10）磋商小组认为供应商的报价明显低于其他通过符合性审查供应商的报价，有可能影响工程质量或者不能诚信履约的，应当要求其在磋商现场合理的时间内提供书面说明，必要时提交相关证明材料；供应商不能证明其报价合理性的，磋商小组应当将其作为无效响应处理；</w:t>
      </w:r>
    </w:p>
    <w:p w14:paraId="6F5D164D">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3.4.4磋商小组</w:t>
      </w:r>
      <w:r>
        <w:rPr>
          <w:rFonts w:ascii="宋体" w:hAnsi="宋体" w:cs="Arial"/>
          <w:color w:val="000000" w:themeColor="text1"/>
          <w:szCs w:val="21"/>
          <w:highlight w:val="none"/>
          <w14:textFill>
            <w14:solidFill>
              <w14:schemeClr w14:val="tx1"/>
            </w14:solidFill>
          </w14:textFill>
        </w:rPr>
        <w:t>只对在通过</w:t>
      </w:r>
      <w:r>
        <w:rPr>
          <w:rFonts w:hint="eastAsia" w:ascii="宋体" w:hAnsi="宋体" w:cs="Arial"/>
          <w:color w:val="000000" w:themeColor="text1"/>
          <w:szCs w:val="21"/>
          <w:highlight w:val="none"/>
          <w14:textFill>
            <w14:solidFill>
              <w14:schemeClr w14:val="tx1"/>
            </w14:solidFill>
          </w14:textFill>
        </w:rPr>
        <w:t>初步</w:t>
      </w:r>
      <w:r>
        <w:rPr>
          <w:rFonts w:ascii="宋体" w:hAnsi="宋体" w:cs="Arial"/>
          <w:color w:val="000000" w:themeColor="text1"/>
          <w:szCs w:val="21"/>
          <w:highlight w:val="none"/>
          <w14:textFill>
            <w14:solidFill>
              <w14:schemeClr w14:val="tx1"/>
            </w14:solidFill>
          </w14:textFill>
        </w:rPr>
        <w:t>评审，确定为实质性响应的</w:t>
      </w:r>
      <w:r>
        <w:rPr>
          <w:rFonts w:hint="eastAsia" w:ascii="宋体" w:hAnsi="宋体" w:cs="Arial"/>
          <w:color w:val="000000" w:themeColor="text1"/>
          <w:szCs w:val="21"/>
          <w:highlight w:val="none"/>
          <w14:textFill>
            <w14:solidFill>
              <w14:schemeClr w14:val="tx1"/>
            </w14:solidFill>
          </w14:textFill>
        </w:rPr>
        <w:t>供应商</w:t>
      </w:r>
      <w:r>
        <w:rPr>
          <w:rFonts w:ascii="宋体" w:hAnsi="宋体" w:cs="Arial"/>
          <w:color w:val="000000" w:themeColor="text1"/>
          <w:szCs w:val="21"/>
          <w:highlight w:val="none"/>
          <w14:textFill>
            <w14:solidFill>
              <w14:schemeClr w14:val="tx1"/>
            </w14:solidFill>
          </w14:textFill>
        </w:rPr>
        <w:t>进行下一步</w:t>
      </w:r>
      <w:r>
        <w:rPr>
          <w:rFonts w:hint="eastAsia" w:ascii="宋体" w:hAnsi="宋体" w:cs="Arial"/>
          <w:color w:val="000000" w:themeColor="text1"/>
          <w:szCs w:val="21"/>
          <w:highlight w:val="none"/>
          <w14:textFill>
            <w14:solidFill>
              <w14:schemeClr w14:val="tx1"/>
            </w14:solidFill>
          </w14:textFill>
        </w:rPr>
        <w:t>磋商</w:t>
      </w:r>
      <w:r>
        <w:rPr>
          <w:rFonts w:ascii="宋体" w:hAnsi="宋体" w:cs="Arial"/>
          <w:color w:val="000000" w:themeColor="text1"/>
          <w:szCs w:val="21"/>
          <w:highlight w:val="none"/>
          <w14:textFill>
            <w14:solidFill>
              <w14:schemeClr w14:val="tx1"/>
            </w14:solidFill>
          </w14:textFill>
        </w:rPr>
        <w:t>。</w:t>
      </w:r>
    </w:p>
    <w:p w14:paraId="542AFBC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3.5磋商</w:t>
      </w:r>
    </w:p>
    <w:p w14:paraId="0A2AF67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3.5.1磋商小组对通过初步评审的供应商，磋商小组将按照响应文件递交的逆顺序，分别依次与供应商进行磋商。</w:t>
      </w:r>
    </w:p>
    <w:p w14:paraId="22D55EF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3.5.2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A8BB477">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3.5.3磋商小组要求供应商澄清、说明或者更正响应文件应当以书面形式作出。供应商的澄清、说明或者更正应当由法定代表人或其委托代理人签字或者加盖公章。由委托代理人签字的，应当附法定代表人授权书。供应商为自然人的，应当由本人签字并附身份证明。磋商小组不接受供应商主动提出的澄清、说明。</w:t>
      </w:r>
    </w:p>
    <w:p w14:paraId="77B6EAC9">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3.5.4对于响应文件中不构成实质性偏差的不正规、不一致或不规则，磋商小组可以接受，但这种接受不能损害或影响任何供应商的相对排序。</w:t>
      </w:r>
    </w:p>
    <w:p w14:paraId="7A19D29C">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3.5.5磋商结束后，磋商小组应当要求所有实质性响应的供应商在规定时间内提交最后报价，提交最后报价的供应商不得少于3家。</w:t>
      </w:r>
    </w:p>
    <w:p w14:paraId="1FC9E9C6">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14:textFill>
            <w14:solidFill>
              <w14:schemeClr w14:val="tx1"/>
            </w14:solidFill>
          </w14:textFill>
        </w:rPr>
        <w:t>6</w:t>
      </w:r>
      <w:r>
        <w:rPr>
          <w:rFonts w:ascii="宋体" w:hAnsi="宋体" w:cs="Arial"/>
          <w:color w:val="000000" w:themeColor="text1"/>
          <w:szCs w:val="21"/>
          <w:highlight w:val="none"/>
          <w14:textFill>
            <w14:solidFill>
              <w14:schemeClr w14:val="tx1"/>
            </w14:solidFill>
          </w14:textFill>
        </w:rPr>
        <w:t>详细评审</w:t>
      </w:r>
    </w:p>
    <w:p w14:paraId="75C11AFE">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3.6.1经磋商确定最终采购需求和提交最后报价的供应商后，由磋商小组按照竞争性磋商文件中规定的评审方法和标准，对提交最后报价的供应商的响应文件和最后报价进行综合评分。</w:t>
      </w:r>
    </w:p>
    <w:p w14:paraId="6D1CC4D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3.6.2评审时，磋商小组各成员应当独立对每个有效响应的文件进行评价、打分，然后汇总每个供应商每项评分因素的得分。磋商文件中没有规定的评审标准不得作为评审依据。</w:t>
      </w:r>
    </w:p>
    <w:p w14:paraId="1D75034F">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3.6.3磋商小组将根据综合评分情况，按照评审得分由高到低顺序推荐</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3名成交候选供应商。评审得分相同的，按照最后报价由低到高的顺序推荐。评审得分且最后报价相同的，按照技术指标优劣顺序推荐。</w:t>
      </w:r>
    </w:p>
    <w:p w14:paraId="21A50A3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3.6.4评审</w:t>
      </w:r>
      <w:r>
        <w:rPr>
          <w:rFonts w:ascii="宋体" w:hAnsi="宋体" w:cs="Arial"/>
          <w:color w:val="000000" w:themeColor="text1"/>
          <w:szCs w:val="21"/>
          <w:highlight w:val="none"/>
          <w14:textFill>
            <w14:solidFill>
              <w14:schemeClr w14:val="tx1"/>
            </w14:solidFill>
          </w14:textFill>
        </w:rPr>
        <w:t>结束后，</w:t>
      </w:r>
      <w:r>
        <w:rPr>
          <w:rFonts w:hint="eastAsia" w:ascii="宋体" w:hAnsi="宋体" w:cs="Arial"/>
          <w:color w:val="000000" w:themeColor="text1"/>
          <w:szCs w:val="21"/>
          <w:highlight w:val="none"/>
          <w14:textFill>
            <w14:solidFill>
              <w14:schemeClr w14:val="tx1"/>
            </w14:solidFill>
          </w14:textFill>
        </w:rPr>
        <w:t>磋商小组根据全体评审成员签字的原始评审记录和评审结果编写评审报告。</w:t>
      </w:r>
    </w:p>
    <w:p w14:paraId="1B953193">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3.6.5磋商小组成员对需要共同认定的事项存在争议的，应当按照少数服从多数的原则作出结论。持不同意见的磋商小组成员应当在评审报告上签署不同意见及理由，否则视为同意评审报告。</w:t>
      </w:r>
    </w:p>
    <w:p w14:paraId="747E48A2">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3.6.6评审结果汇总完成后，除下列情形外，任何人不得修改评审结果：</w:t>
      </w:r>
    </w:p>
    <w:p w14:paraId="4B92214A">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1）分值汇总计算错误的；</w:t>
      </w:r>
    </w:p>
    <w:p w14:paraId="5305B94E">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2）分项评分超出评分标准范围的；</w:t>
      </w:r>
    </w:p>
    <w:p w14:paraId="182CDE55">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3）磋商小组成员对客观评审因素评分不一致的；</w:t>
      </w:r>
    </w:p>
    <w:p w14:paraId="36BB43EC">
      <w:pPr>
        <w:adjustRightInd w:val="0"/>
        <w:snapToGrid w:val="0"/>
        <w:spacing w:line="360" w:lineRule="auto"/>
        <w:ind w:firstLine="850" w:firstLineChars="405"/>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4）经磋商小组认定评分畸高、畸低的。</w:t>
      </w:r>
    </w:p>
    <w:p w14:paraId="35BC76EF">
      <w:pPr>
        <w:adjustRightInd w:val="0"/>
        <w:snapToGrid w:val="0"/>
        <w:spacing w:line="360" w:lineRule="auto"/>
        <w:ind w:firstLine="420" w:firstLineChars="200"/>
        <w:rPr>
          <w:rFonts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评审报告签署前，经复核发现存在以上情形之一的，磋商小组应当当场修改评审结果，并在评审报告中记载；评审报告签署后，采购人或者招标代理机构发现存在以上情形之一的，应当组织原磋商小组进行重新评审。</w:t>
      </w:r>
    </w:p>
    <w:p w14:paraId="44D710DD">
      <w:pPr>
        <w:adjustRightInd w:val="0"/>
        <w:snapToGrid w:val="0"/>
        <w:spacing w:line="360" w:lineRule="auto"/>
        <w:ind w:firstLine="420" w:firstLineChars="200"/>
        <w:rPr>
          <w:rFonts w:hint="eastAsia" w:ascii="宋体" w:hAnsi="宋体" w:cs="Arial"/>
          <w:color w:val="000000" w:themeColor="text1"/>
          <w:szCs w:val="2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供应商对本条第一款情形提出质疑的，采购人或者招标代理机构可以组织原磋商小组进行重新评审。</w:t>
      </w:r>
    </w:p>
    <w:bookmarkEnd w:id="66"/>
    <w:bookmarkEnd w:id="67"/>
    <w:p w14:paraId="034EBBE8">
      <w:pPr>
        <w:rPr>
          <w:rFonts w:hint="eastAsia" w:ascii="宋体" w:hAnsi="宋体"/>
          <w:b/>
          <w:bCs/>
          <w:color w:val="000000" w:themeColor="text1"/>
          <w:kern w:val="44"/>
          <w:sz w:val="28"/>
          <w:szCs w:val="28"/>
          <w:highlight w:val="none"/>
          <w14:textFill>
            <w14:solidFill>
              <w14:schemeClr w14:val="tx1"/>
            </w14:solidFill>
          </w14:textFill>
        </w:rPr>
      </w:pPr>
      <w:bookmarkStart w:id="68" w:name="_Toc225255985"/>
      <w:bookmarkStart w:id="69" w:name="_Toc225323330"/>
      <w:bookmarkStart w:id="70" w:name="_Toc225252170"/>
      <w:bookmarkStart w:id="71" w:name="_Toc225259154"/>
      <w:bookmarkStart w:id="72" w:name="_Toc457826999"/>
      <w:bookmarkStart w:id="73" w:name="_Toc493954191"/>
      <w:bookmarkStart w:id="74" w:name="_Toc26655"/>
      <w:bookmarkStart w:id="75" w:name="_Toc15415"/>
      <w:r>
        <w:rPr>
          <w:rFonts w:hint="eastAsia" w:ascii="宋体" w:hAnsi="宋体" w:eastAsia="宋体" w:cs="Arial"/>
          <w:b/>
          <w:bCs/>
          <w:color w:val="000000" w:themeColor="text1"/>
          <w:szCs w:val="21"/>
          <w:highlight w:val="none"/>
          <w14:textFill>
            <w14:solidFill>
              <w14:schemeClr w14:val="tx1"/>
            </w14:solidFill>
          </w14:textFill>
        </w:rPr>
        <w:t>四</w:t>
      </w:r>
      <w:r>
        <w:rPr>
          <w:rFonts w:ascii="宋体" w:hAnsi="宋体" w:eastAsia="宋体" w:cs="Arial"/>
          <w:b/>
          <w:bCs/>
          <w:color w:val="000000" w:themeColor="text1"/>
          <w:szCs w:val="21"/>
          <w:highlight w:val="none"/>
          <w14:textFill>
            <w14:solidFill>
              <w14:schemeClr w14:val="tx1"/>
            </w14:solidFill>
          </w14:textFill>
        </w:rPr>
        <w:t>、</w:t>
      </w:r>
      <w:bookmarkEnd w:id="68"/>
      <w:bookmarkEnd w:id="69"/>
      <w:bookmarkEnd w:id="70"/>
      <w:bookmarkEnd w:id="71"/>
      <w:r>
        <w:rPr>
          <w:rFonts w:ascii="宋体" w:hAnsi="宋体" w:eastAsia="宋体" w:cs="Arial"/>
          <w:b/>
          <w:bCs/>
          <w:color w:val="000000" w:themeColor="text1"/>
          <w:szCs w:val="21"/>
          <w:highlight w:val="none"/>
          <w14:textFill>
            <w14:solidFill>
              <w14:schemeClr w14:val="tx1"/>
            </w14:solidFill>
          </w14:textFill>
        </w:rPr>
        <w:t>评</w:t>
      </w:r>
      <w:r>
        <w:rPr>
          <w:rFonts w:hint="eastAsia" w:ascii="宋体" w:hAnsi="宋体" w:eastAsia="宋体" w:cs="Arial"/>
          <w:b/>
          <w:bCs/>
          <w:color w:val="000000" w:themeColor="text1"/>
          <w:szCs w:val="21"/>
          <w:highlight w:val="none"/>
          <w14:textFill>
            <w14:solidFill>
              <w14:schemeClr w14:val="tx1"/>
            </w14:solidFill>
          </w14:textFill>
        </w:rPr>
        <w:t>审</w:t>
      </w:r>
      <w:r>
        <w:rPr>
          <w:rFonts w:ascii="宋体" w:hAnsi="宋体" w:eastAsia="宋体" w:cs="Arial"/>
          <w:b/>
          <w:bCs/>
          <w:color w:val="000000" w:themeColor="text1"/>
          <w:szCs w:val="21"/>
          <w:highlight w:val="none"/>
          <w14:textFill>
            <w14:solidFill>
              <w14:schemeClr w14:val="tx1"/>
            </w14:solidFill>
          </w14:textFill>
        </w:rPr>
        <w:t>因素及评分标准</w:t>
      </w:r>
      <w:bookmarkEnd w:id="72"/>
      <w:bookmarkEnd w:id="73"/>
      <w:bookmarkEnd w:id="74"/>
      <w:bookmarkEnd w:id="75"/>
    </w:p>
    <w:p w14:paraId="058EAD9D">
      <w:pPr>
        <w:spacing w:line="400" w:lineRule="exact"/>
        <w:ind w:firstLine="422" w:firstLineChars="200"/>
        <w:jc w:val="center"/>
        <w:rPr>
          <w:rFonts w:ascii="宋体" w:hAnsi="宋体" w:cs="宋体"/>
          <w:b/>
          <w:color w:val="000000" w:themeColor="text1"/>
          <w:sz w:val="21"/>
          <w:szCs w:val="21"/>
          <w14:textFill>
            <w14:solidFill>
              <w14:schemeClr w14:val="tx1"/>
            </w14:solidFill>
          </w14:textFill>
        </w:rPr>
      </w:pPr>
      <w:r>
        <w:rPr>
          <w:rFonts w:hint="eastAsia" w:ascii="宋体" w:hAnsi="宋体" w:cs="宋体"/>
          <w:b/>
          <w:color w:val="000000" w:themeColor="text1"/>
          <w:sz w:val="21"/>
          <w:szCs w:val="21"/>
          <w14:textFill>
            <w14:solidFill>
              <w14:schemeClr w14:val="tx1"/>
            </w14:solidFill>
          </w14:textFill>
        </w:rPr>
        <w:t>初步评审详见下表</w:t>
      </w:r>
    </w:p>
    <w:tbl>
      <w:tblPr>
        <w:tblStyle w:val="20"/>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1418"/>
        <w:gridCol w:w="1894"/>
        <w:gridCol w:w="5891"/>
      </w:tblGrid>
      <w:tr w14:paraId="0FA6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026" w:type="dxa"/>
            <w:gridSpan w:val="2"/>
            <w:tcBorders>
              <w:top w:val="single" w:color="auto" w:sz="4" w:space="0"/>
              <w:left w:val="single" w:color="auto" w:sz="4" w:space="0"/>
              <w:bottom w:val="single" w:color="auto" w:sz="4" w:space="0"/>
              <w:right w:val="single" w:color="auto" w:sz="4" w:space="0"/>
            </w:tcBorders>
            <w:noWrap w:val="0"/>
            <w:vAlign w:val="center"/>
          </w:tcPr>
          <w:p w14:paraId="1683F5F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条款号</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B54DF4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评审因素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851B7E6">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评审标准</w:t>
            </w:r>
          </w:p>
        </w:tc>
      </w:tr>
      <w:tr w14:paraId="30F3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restart"/>
            <w:tcBorders>
              <w:left w:val="single" w:color="auto" w:sz="4" w:space="0"/>
              <w:right w:val="single" w:color="auto" w:sz="4" w:space="0"/>
            </w:tcBorders>
            <w:noWrap w:val="0"/>
            <w:vAlign w:val="center"/>
          </w:tcPr>
          <w:p w14:paraId="4D8739A3">
            <w:pPr>
              <w:spacing w:line="360" w:lineRule="auto"/>
              <w:rPr>
                <w:rFonts w:ascii="宋体" w:hAnsi="宋体" w:cs="宋体"/>
                <w:b/>
                <w:color w:val="000000" w:themeColor="text1"/>
                <w:kern w:val="2"/>
                <w:sz w:val="21"/>
                <w:szCs w:val="21"/>
                <w14:textFill>
                  <w14:solidFill>
                    <w14:schemeClr w14:val="tx1"/>
                  </w14:solidFill>
                </w14:textFill>
              </w:rPr>
            </w:pPr>
          </w:p>
        </w:tc>
        <w:tc>
          <w:tcPr>
            <w:tcW w:w="1418" w:type="dxa"/>
            <w:vMerge w:val="restart"/>
            <w:tcBorders>
              <w:left w:val="single" w:color="auto" w:sz="4" w:space="0"/>
              <w:right w:val="single" w:color="auto" w:sz="4" w:space="0"/>
            </w:tcBorders>
            <w:noWrap w:val="0"/>
            <w:vAlign w:val="center"/>
          </w:tcPr>
          <w:p w14:paraId="2A9CDBC2">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lang w:eastAsia="zh-CN"/>
                <w14:textFill>
                  <w14:solidFill>
                    <w14:schemeClr w14:val="tx1"/>
                  </w14:solidFill>
                </w14:textFill>
              </w:rPr>
              <w:t>资格审查</w:t>
            </w:r>
          </w:p>
          <w:p w14:paraId="0CB68C13">
            <w:pPr>
              <w:spacing w:line="360"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标准</w:t>
            </w: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67C2483">
            <w:pPr>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营业执照</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5BC9ABD3">
            <w:pPr>
              <w:jc w:val="left"/>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lang w:eastAsia="zh-CN"/>
                <w14:textFill>
                  <w14:solidFill>
                    <w14:schemeClr w14:val="tx1"/>
                  </w14:solidFill>
                </w14:textFill>
              </w:rPr>
              <w:t>具有在中华人民共和国境内注册的能够独立承担民事责任的独立法人；具有有效的营业执照、税务登记证、组织机构代码证(或“三证合一”的营业执照)</w:t>
            </w:r>
            <w:r>
              <w:rPr>
                <w:rFonts w:hint="eastAsia" w:ascii="宋体" w:hAnsi="宋体" w:eastAsia="宋体" w:cs="宋体"/>
                <w:color w:val="000000" w:themeColor="text1"/>
                <w:kern w:val="2"/>
                <w:sz w:val="21"/>
                <w:szCs w:val="21"/>
                <w14:textFill>
                  <w14:solidFill>
                    <w14:schemeClr w14:val="tx1"/>
                  </w14:solidFill>
                </w14:textFill>
              </w:rPr>
              <w:t>；</w:t>
            </w:r>
          </w:p>
        </w:tc>
      </w:tr>
      <w:tr w14:paraId="1B5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8" w:type="dxa"/>
            <w:vMerge w:val="continue"/>
            <w:tcBorders>
              <w:left w:val="single" w:color="auto" w:sz="4" w:space="0"/>
              <w:right w:val="single" w:color="auto" w:sz="4" w:space="0"/>
            </w:tcBorders>
            <w:noWrap w:val="0"/>
            <w:vAlign w:val="center"/>
          </w:tcPr>
          <w:p w14:paraId="4BD6F2D8">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04D84B0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16F4C09">
            <w:pPr>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具有履行合同所必需的设备和专业技术能力；</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39F33B8">
            <w:pPr>
              <w:spacing w:line="360" w:lineRule="auto"/>
              <w:ind w:right="210" w:rightChars="100"/>
              <w:contextualSpacing/>
              <w:jc w:val="left"/>
              <w:rPr>
                <w:rFonts w:hint="eastAsia" w:ascii="宋体" w:hAnsi="宋体" w:cs="宋体"/>
                <w:color w:val="000000" w:themeColor="text1"/>
                <w:kern w:val="2"/>
                <w:sz w:val="21"/>
                <w:szCs w:val="21"/>
                <w:lang w:val="zh-TW" w:bidi="zh-TW"/>
                <w14:textFill>
                  <w14:solidFill>
                    <w14:schemeClr w14:val="tx1"/>
                  </w14:solidFill>
                </w14:textFill>
              </w:rPr>
            </w:pPr>
            <w:r>
              <w:rPr>
                <w:rFonts w:hint="eastAsia" w:asciiTheme="minorEastAsia" w:hAnsiTheme="minorEastAsia" w:eastAsiaTheme="minorEastAsia" w:cstheme="minorEastAsia"/>
                <w:b w:val="0"/>
                <w:bCs w:val="0"/>
                <w:color w:val="000000" w:themeColor="text1"/>
                <w:sz w:val="21"/>
                <w:szCs w:val="21"/>
                <w:highlight w:val="none"/>
                <w:lang w:val="en-US" w:eastAsia="zh-CN"/>
                <w14:textFill>
                  <w14:solidFill>
                    <w14:schemeClr w14:val="tx1"/>
                  </w14:solidFill>
                </w14:textFill>
              </w:rPr>
              <w:t>提供证明材料或承诺书</w:t>
            </w:r>
          </w:p>
        </w:tc>
      </w:tr>
      <w:tr w14:paraId="57BD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3718036F">
            <w:pPr>
              <w:spacing w:line="360" w:lineRule="auto"/>
              <w:rPr>
                <w:rFonts w:hint="eastAsia"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E023BA5">
            <w:pPr>
              <w:spacing w:line="360" w:lineRule="auto"/>
              <w:jc w:val="center"/>
              <w:rPr>
                <w:rFonts w:ascii="宋体" w:hAnsi="宋体" w:cs="宋体"/>
                <w:bCs/>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66910FB">
            <w:pPr>
              <w:jc w:val="center"/>
              <w:rPr>
                <w:rFonts w:hint="default" w:ascii="宋体" w:hAnsi="宋体" w:eastAsia="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税收和社保</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179F0D">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依法缴纳税收（提供2025年01月以来任意一个月企业依法缴纳税收证明材料）和缴纳社会保障资金（提供2025年01月以来连续三个月拟派项目负责人依法缴纳社保证明材料）</w:t>
            </w:r>
          </w:p>
        </w:tc>
      </w:tr>
      <w:tr w14:paraId="2425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062069F0">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DEE8A4D">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9F26F15">
            <w:pPr>
              <w:spacing w:line="360" w:lineRule="auto"/>
              <w:jc w:val="center"/>
              <w:rPr>
                <w:rFonts w:hint="default"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财务状况</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B854E5B">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提供2022年-2024年度任意一年第三方审计机构出具的财务报告（新成立公司无审计报告应附最新的财务报表及说明）</w:t>
            </w:r>
          </w:p>
        </w:tc>
      </w:tr>
      <w:tr w14:paraId="2DC9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75CAE2F4">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431A363">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28C34BA">
            <w:pPr>
              <w:spacing w:line="360" w:lineRule="auto"/>
              <w:jc w:val="cente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参加政府采购活动前3年内无行贿犯罪记录</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3B3F7FE">
            <w:pPr>
              <w:spacing w:line="360" w:lineRule="auto"/>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sz w:val="21"/>
                <w:szCs w:val="21"/>
                <w:highlight w:val="none"/>
                <w:lang w:val="en-US" w:eastAsia="zh-CN"/>
                <w14:textFill>
                  <w14:solidFill>
                    <w14:schemeClr w14:val="tx1"/>
                  </w14:solidFill>
                </w14:textFill>
              </w:rPr>
              <w:t>参加政府采购活动前3年内无行贿犯罪记录，（开标时提供《中国裁判文书网》查询结果网页截图或企业自行承诺的无行贿犯罪承诺书，查询&lt;承诺&gt;对象为“企业，法定代表人，项目负责人”）；</w:t>
            </w:r>
          </w:p>
        </w:tc>
      </w:tr>
      <w:tr w14:paraId="48988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AFC12A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207D07F9">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94EDF7B">
            <w:pPr>
              <w:spacing w:line="276" w:lineRule="auto"/>
              <w:jc w:val="cente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无商业贿赂和不正当竞争行为的查询证明</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721ACB8">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参加政府采购活动前3年内无商业贿赂、不正当竞争行为、骗取中标、严重违约及重大工程质量等问题（供应商须自行出具承诺书）；</w:t>
            </w:r>
          </w:p>
        </w:tc>
      </w:tr>
      <w:tr w14:paraId="04A9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08" w:type="dxa"/>
            <w:vMerge w:val="continue"/>
            <w:tcBorders>
              <w:left w:val="single" w:color="auto" w:sz="4" w:space="0"/>
              <w:right w:val="single" w:color="auto" w:sz="4" w:space="0"/>
            </w:tcBorders>
            <w:noWrap w:val="0"/>
            <w:vAlign w:val="center"/>
          </w:tcPr>
          <w:p w14:paraId="44D605A2">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807CDA8">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64ED86A">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信用查询</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A99C29C">
            <w:pPr>
              <w:rPr>
                <w:rFonts w:ascii="宋体" w:hAnsi="宋体" w:cs="宋体"/>
                <w:b/>
                <w:color w:val="000000" w:themeColor="text1"/>
                <w:kern w:val="2"/>
                <w:sz w:val="21"/>
                <w:szCs w:val="21"/>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根据《关于在政府采购活动中查询及使用信用记录有关问题的通知》(财库[2016]125号)和豫财购【2016】15号的规定，企业没有被列入“中国执行信息公开网”网站的“失信被执行人”、“信用中国”网站的“重大税收违法失信主体”“政府采购严重违法失信行为记录名单”及“中国政府采购网”网站的“政府采购严重违法失信行为记录名单”，查询渠道：“中国执行信息公开网”网站（http://zxgk.court.gov.cn/shixin）“信用中国”网站（www.creditchina.gov.cn）、中国政府采购网（www.ccgp.gov.cn）；提供网站的查询信息截图（查询时间自公告发布之日起）</w:t>
            </w:r>
          </w:p>
        </w:tc>
      </w:tr>
      <w:tr w14:paraId="2F78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608" w:type="dxa"/>
            <w:vMerge w:val="continue"/>
            <w:tcBorders>
              <w:left w:val="single" w:color="auto" w:sz="4" w:space="0"/>
              <w:right w:val="single" w:color="auto" w:sz="4" w:space="0"/>
            </w:tcBorders>
            <w:noWrap w:val="0"/>
            <w:vAlign w:val="center"/>
          </w:tcPr>
          <w:p w14:paraId="4F806201">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7AD851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6C964C08">
            <w:pPr>
              <w:spacing w:line="276" w:lineRule="auto"/>
              <w:jc w:val="center"/>
              <w:rPr>
                <w:rFonts w:hint="default" w:ascii="宋体" w:hAnsi="宋体" w:eastAsia="宋体" w:cs="宋体"/>
                <w:color w:val="000000" w:themeColor="text1"/>
                <w:kern w:val="2"/>
                <w:sz w:val="21"/>
                <w:szCs w:val="21"/>
                <w:lang w:val="en-US" w:eastAsia="zh-CN" w:bidi="zh-TW"/>
                <w14:textFill>
                  <w14:solidFill>
                    <w14:schemeClr w14:val="tx1"/>
                  </w14:solidFill>
                </w14:textFill>
              </w:rPr>
            </w:pPr>
            <w:r>
              <w:rPr>
                <w:rFonts w:hint="eastAsia" w:ascii="宋体" w:hAnsi="宋体" w:cs="宋体"/>
                <w:color w:val="000000" w:themeColor="text1"/>
                <w:kern w:val="2"/>
                <w:sz w:val="21"/>
                <w:szCs w:val="21"/>
                <w:lang w:val="en-US" w:eastAsia="zh-CN" w:bidi="zh-TW"/>
                <w14:textFill>
                  <w14:solidFill>
                    <w14:schemeClr w14:val="tx1"/>
                  </w14:solidFill>
                </w14:textFill>
              </w:rPr>
              <w:t>控股关系</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E43D8DB">
            <w:pPr>
              <w:spacing w:line="360" w:lineRule="auto"/>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单位负责人为同一人或者存在控股、管理关系的不同单位，不得同时参加本项目的投标；（提供“国家企业信用信息公示系统”中公示的公司信息、股东或投资人信息</w:t>
            </w:r>
            <w:r>
              <w:rPr>
                <w:rFonts w:hint="eastAsia" w:ascii="宋体" w:hAnsi="宋体" w:cs="宋体"/>
                <w:color w:val="000000" w:themeColor="text1"/>
                <w:kern w:val="2"/>
                <w:sz w:val="21"/>
                <w:szCs w:val="21"/>
                <w:lang w:val="en-US" w:eastAsia="zh-CN" w:bidi="zh-TW"/>
                <w14:textFill>
                  <w14:solidFill>
                    <w14:schemeClr w14:val="tx1"/>
                  </w14:solidFill>
                </w14:textFill>
              </w:rPr>
              <w:t>网站截图</w:t>
            </w:r>
            <w:r>
              <w:rPr>
                <w:rFonts w:hint="eastAsia" w:ascii="宋体" w:hAnsi="宋体" w:cs="宋体"/>
                <w:color w:val="000000" w:themeColor="text1"/>
                <w:kern w:val="2"/>
                <w:sz w:val="21"/>
                <w:szCs w:val="21"/>
                <w:lang w:val="zh-TW" w:bidi="zh-TW"/>
                <w14:textFill>
                  <w14:solidFill>
                    <w14:schemeClr w14:val="tx1"/>
                  </w14:solidFill>
                </w14:textFill>
              </w:rPr>
              <w:t>）</w:t>
            </w:r>
          </w:p>
        </w:tc>
      </w:tr>
      <w:tr w14:paraId="78A4C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08" w:type="dxa"/>
            <w:vMerge w:val="continue"/>
            <w:tcBorders>
              <w:left w:val="single" w:color="auto" w:sz="4" w:space="0"/>
              <w:bottom w:val="single" w:color="auto" w:sz="4" w:space="0"/>
              <w:right w:val="single" w:color="auto" w:sz="4" w:space="0"/>
            </w:tcBorders>
            <w:noWrap w:val="0"/>
            <w:vAlign w:val="center"/>
          </w:tcPr>
          <w:p w14:paraId="504F95D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08719F2C">
            <w:pPr>
              <w:spacing w:line="360" w:lineRule="auto"/>
              <w:ind w:firstLine="413" w:firstLineChars="196"/>
              <w:rPr>
                <w:rFonts w:ascii="宋体" w:hAnsi="宋体" w:cs="宋体"/>
                <w:b/>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1756F8A1">
            <w:pPr>
              <w:spacing w:line="276" w:lineRule="auto"/>
              <w:jc w:val="cente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其它资料</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6BAFDAD">
            <w:pPr>
              <w:rPr>
                <w:rFonts w:hint="eastAsia"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1、本项目实行资格后审；</w:t>
            </w:r>
          </w:p>
          <w:p w14:paraId="2C89EE61">
            <w:pPr>
              <w:rPr>
                <w:rFonts w:ascii="宋体" w:hAnsi="宋体" w:cs="宋体"/>
                <w:b/>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2、本项目不接受联合体磋商。</w:t>
            </w:r>
          </w:p>
        </w:tc>
      </w:tr>
      <w:tr w14:paraId="3274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08" w:type="dxa"/>
            <w:vMerge w:val="restart"/>
            <w:tcBorders>
              <w:top w:val="single" w:color="auto" w:sz="4" w:space="0"/>
              <w:left w:val="single" w:color="auto" w:sz="4" w:space="0"/>
              <w:right w:val="single" w:color="auto" w:sz="4" w:space="0"/>
            </w:tcBorders>
            <w:noWrap w:val="0"/>
            <w:vAlign w:val="center"/>
          </w:tcPr>
          <w:p w14:paraId="57CB7B9C">
            <w:pPr>
              <w:spacing w:line="360" w:lineRule="auto"/>
              <w:rPr>
                <w:rFonts w:ascii="宋体" w:hAnsi="宋体" w:cs="宋体"/>
                <w:b/>
                <w:color w:val="000000" w:themeColor="text1"/>
                <w:kern w:val="2"/>
                <w:sz w:val="21"/>
                <w:szCs w:val="21"/>
                <w14:textFill>
                  <w14:solidFill>
                    <w14:schemeClr w14:val="tx1"/>
                  </w14:solidFill>
                </w14:textFill>
              </w:rPr>
            </w:pPr>
            <w:r>
              <w:rPr>
                <w:rFonts w:hint="eastAsia" w:ascii="宋体" w:hAnsi="宋体" w:cs="宋体"/>
                <w:b/>
                <w:color w:val="000000" w:themeColor="text1"/>
                <w:kern w:val="2"/>
                <w:sz w:val="21"/>
                <w:szCs w:val="21"/>
                <w14:textFill>
                  <w14:solidFill>
                    <w14:schemeClr w14:val="tx1"/>
                  </w14:solidFill>
                </w14:textFill>
              </w:rPr>
              <w:t>2.1</w:t>
            </w:r>
          </w:p>
        </w:tc>
        <w:tc>
          <w:tcPr>
            <w:tcW w:w="1418" w:type="dxa"/>
            <w:vMerge w:val="restart"/>
            <w:tcBorders>
              <w:top w:val="single" w:color="auto" w:sz="4" w:space="0"/>
              <w:left w:val="single" w:color="auto" w:sz="4" w:space="0"/>
              <w:right w:val="single" w:color="auto" w:sz="4" w:space="0"/>
            </w:tcBorders>
            <w:noWrap w:val="0"/>
            <w:vAlign w:val="center"/>
          </w:tcPr>
          <w:p w14:paraId="7602BEF9">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符合性</w:t>
            </w:r>
          </w:p>
          <w:p w14:paraId="31B5B4F0">
            <w:pPr>
              <w:spacing w:line="360" w:lineRule="auto"/>
              <w:jc w:val="center"/>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审查</w:t>
            </w:r>
          </w:p>
          <w:p w14:paraId="323FC8A1">
            <w:pPr>
              <w:spacing w:line="360" w:lineRule="auto"/>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标准</w:t>
            </w:r>
          </w:p>
        </w:tc>
        <w:tc>
          <w:tcPr>
            <w:tcW w:w="1894" w:type="dxa"/>
            <w:tcBorders>
              <w:top w:val="single" w:color="auto" w:sz="4" w:space="0"/>
              <w:left w:val="single" w:color="auto" w:sz="4" w:space="0"/>
              <w:right w:val="single" w:color="auto" w:sz="4" w:space="0"/>
            </w:tcBorders>
            <w:noWrap w:val="0"/>
            <w:vAlign w:val="center"/>
          </w:tcPr>
          <w:p w14:paraId="22E12EB1">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供应商名称</w:t>
            </w:r>
          </w:p>
        </w:tc>
        <w:tc>
          <w:tcPr>
            <w:tcW w:w="5891" w:type="dxa"/>
            <w:tcBorders>
              <w:top w:val="single" w:color="auto" w:sz="4" w:space="0"/>
              <w:left w:val="single" w:color="auto" w:sz="4" w:space="0"/>
              <w:right w:val="single" w:color="auto" w:sz="4" w:space="0"/>
            </w:tcBorders>
            <w:noWrap w:val="0"/>
            <w:vAlign w:val="center"/>
          </w:tcPr>
          <w:p w14:paraId="238A35D2">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与营业执照是否一致</w:t>
            </w:r>
          </w:p>
        </w:tc>
      </w:tr>
      <w:tr w14:paraId="00B4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08" w:type="dxa"/>
            <w:vMerge w:val="continue"/>
            <w:tcBorders>
              <w:left w:val="single" w:color="auto" w:sz="4" w:space="0"/>
              <w:right w:val="single" w:color="auto" w:sz="4" w:space="0"/>
            </w:tcBorders>
            <w:noWrap w:val="0"/>
            <w:vAlign w:val="center"/>
          </w:tcPr>
          <w:p w14:paraId="71A34A6E">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4357FF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D8FDBF0">
            <w:pPr>
              <w:jc w:val="center"/>
              <w:rPr>
                <w:rFonts w:hint="eastAsia"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签字盖章</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F3CD79E">
            <w:pP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符合竞争性磋商文件要求的签字、盖章</w:t>
            </w:r>
          </w:p>
        </w:tc>
      </w:tr>
      <w:tr w14:paraId="6DA3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1904FE7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77484527">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923D7F2">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响应文件格式</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62313CE5">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按照第六章“响应文件格式”的要求</w:t>
            </w:r>
          </w:p>
        </w:tc>
      </w:tr>
      <w:tr w14:paraId="2466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jc w:val="center"/>
        </w:trPr>
        <w:tc>
          <w:tcPr>
            <w:tcW w:w="608" w:type="dxa"/>
            <w:vMerge w:val="continue"/>
            <w:tcBorders>
              <w:left w:val="single" w:color="auto" w:sz="4" w:space="0"/>
              <w:right w:val="single" w:color="auto" w:sz="4" w:space="0"/>
            </w:tcBorders>
            <w:noWrap w:val="0"/>
            <w:vAlign w:val="center"/>
          </w:tcPr>
          <w:p w14:paraId="5B1C9216">
            <w:pP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 xml:space="preserve"> </w:t>
            </w:r>
          </w:p>
        </w:tc>
        <w:tc>
          <w:tcPr>
            <w:tcW w:w="1418" w:type="dxa"/>
            <w:vMerge w:val="continue"/>
            <w:tcBorders>
              <w:left w:val="single" w:color="auto" w:sz="4" w:space="0"/>
              <w:right w:val="single" w:color="auto" w:sz="4" w:space="0"/>
            </w:tcBorders>
            <w:noWrap w:val="0"/>
            <w:vAlign w:val="center"/>
          </w:tcPr>
          <w:p w14:paraId="02406ED8">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6A1A3D">
            <w:pPr>
              <w:widowControl/>
              <w:adjustRightInd w:val="0"/>
              <w:snapToGrid w:val="0"/>
              <w:spacing w:line="400" w:lineRule="exact"/>
              <w:jc w:val="center"/>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采购内容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47370AD">
            <w:pPr>
              <w:widowControl/>
              <w:adjustRightInd w:val="0"/>
              <w:snapToGrid w:val="0"/>
              <w:spacing w:line="400" w:lineRule="exact"/>
              <w:rPr>
                <w:rFonts w:ascii="宋体" w:hAnsi="宋体" w:cs="宋体"/>
                <w:color w:val="000000" w:themeColor="text1"/>
                <w:kern w:val="2"/>
                <w:sz w:val="21"/>
                <w:szCs w:val="21"/>
                <w:lang w:val="zh-TW" w:bidi="zh-TW"/>
                <w14:textFill>
                  <w14:solidFill>
                    <w14:schemeClr w14:val="tx1"/>
                  </w14:solidFill>
                </w14:textFill>
              </w:rPr>
            </w:pPr>
            <w:r>
              <w:rPr>
                <w:rFonts w:hint="eastAsia" w:ascii="宋体" w:hAnsi="宋体" w:cs="宋体"/>
                <w:color w:val="000000" w:themeColor="text1"/>
                <w:kern w:val="2"/>
                <w:sz w:val="21"/>
                <w:szCs w:val="21"/>
                <w:lang w:val="zh-TW" w:bidi="zh-TW"/>
                <w14:textFill>
                  <w14:solidFill>
                    <w14:schemeClr w14:val="tx1"/>
                  </w14:solidFill>
                </w14:textFill>
              </w:rPr>
              <w:t>符合第三章“采购内容及要求”规定</w:t>
            </w:r>
          </w:p>
        </w:tc>
      </w:tr>
      <w:tr w14:paraId="38009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70982E0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584B1829">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49119906">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供货期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5AFEB03">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428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exact"/>
          <w:jc w:val="center"/>
        </w:trPr>
        <w:tc>
          <w:tcPr>
            <w:tcW w:w="608" w:type="dxa"/>
            <w:vMerge w:val="continue"/>
            <w:tcBorders>
              <w:left w:val="single" w:color="auto" w:sz="4" w:space="0"/>
              <w:right w:val="single" w:color="auto" w:sz="4" w:space="0"/>
            </w:tcBorders>
            <w:noWrap w:val="0"/>
            <w:vAlign w:val="center"/>
          </w:tcPr>
          <w:p w14:paraId="64F33654">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71AB946">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579F6BAF">
            <w:pPr>
              <w:widowControl/>
              <w:adjustRightInd w:val="0"/>
              <w:snapToGrid w:val="0"/>
              <w:spacing w:line="400" w:lineRule="exact"/>
              <w:jc w:val="center"/>
              <w:rPr>
                <w:rFonts w:hint="default" w:ascii="宋体" w:hAnsi="宋体" w:cs="宋体"/>
                <w:color w:val="000000" w:themeColor="text1"/>
                <w:kern w:val="2"/>
                <w:sz w:val="21"/>
                <w:szCs w:val="21"/>
                <w:lang w:val="en-US" w:eastAsia="zh-CN"/>
                <w14:textFill>
                  <w14:solidFill>
                    <w14:schemeClr w14:val="tx1"/>
                  </w14:solidFill>
                </w14:textFill>
              </w:rPr>
            </w:pPr>
            <w:r>
              <w:rPr>
                <w:rFonts w:hint="eastAsia" w:ascii="宋体" w:hAnsi="宋体" w:cs="宋体"/>
                <w:color w:val="000000" w:themeColor="text1"/>
                <w:kern w:val="2"/>
                <w:sz w:val="21"/>
                <w:szCs w:val="21"/>
                <w:lang w:val="en-US" w:eastAsia="zh-CN"/>
                <w14:textFill>
                  <w14:solidFill>
                    <w14:schemeClr w14:val="tx1"/>
                  </w14:solidFill>
                </w14:textFill>
              </w:rPr>
              <w:t>质保期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1CB7090E">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0884F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608" w:type="dxa"/>
            <w:vMerge w:val="continue"/>
            <w:tcBorders>
              <w:left w:val="single" w:color="auto" w:sz="4" w:space="0"/>
              <w:right w:val="single" w:color="auto" w:sz="4" w:space="0"/>
            </w:tcBorders>
            <w:noWrap w:val="0"/>
            <w:vAlign w:val="center"/>
          </w:tcPr>
          <w:p w14:paraId="7F0E9D01">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33CADD2E">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71497CB8">
            <w:pPr>
              <w:widowControl/>
              <w:adjustRightInd w:val="0"/>
              <w:snapToGrid w:val="0"/>
              <w:spacing w:line="400" w:lineRule="exact"/>
              <w:jc w:val="center"/>
              <w:rPr>
                <w:rFonts w:hint="eastAsia" w:ascii="宋体" w:hAnsi="宋体" w:eastAsia="宋体" w:cs="宋体"/>
                <w:color w:val="000000" w:themeColor="text1"/>
                <w:kern w:val="2"/>
                <w:sz w:val="21"/>
                <w:szCs w:val="21"/>
                <w:lang w:eastAsia="zh-CN"/>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质量</w:t>
            </w:r>
            <w:r>
              <w:rPr>
                <w:rFonts w:hint="eastAsia" w:ascii="宋体" w:hAnsi="宋体" w:cs="宋体"/>
                <w:bCs/>
                <w:color w:val="000000" w:themeColor="text1"/>
                <w:kern w:val="2"/>
                <w:sz w:val="21"/>
                <w:szCs w:val="21"/>
                <w:lang w:val="en-US" w:eastAsia="zh-CN"/>
                <w14:textFill>
                  <w14:solidFill>
                    <w14:schemeClr w14:val="tx1"/>
                  </w14:solidFill>
                </w14:textFill>
              </w:rPr>
              <w:t>标准</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7F74957D">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1A5F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1" w:hRule="exact"/>
          <w:jc w:val="center"/>
        </w:trPr>
        <w:tc>
          <w:tcPr>
            <w:tcW w:w="608" w:type="dxa"/>
            <w:vMerge w:val="continue"/>
            <w:tcBorders>
              <w:left w:val="single" w:color="auto" w:sz="4" w:space="0"/>
              <w:right w:val="single" w:color="auto" w:sz="4" w:space="0"/>
            </w:tcBorders>
            <w:noWrap w:val="0"/>
            <w:vAlign w:val="center"/>
          </w:tcPr>
          <w:p w14:paraId="1205972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63915703">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E758A72">
            <w:pPr>
              <w:widowControl/>
              <w:adjustRightInd w:val="0"/>
              <w:snapToGrid w:val="0"/>
              <w:spacing w:line="400" w:lineRule="exact"/>
              <w:jc w:val="center"/>
              <w:rPr>
                <w:rFonts w:ascii="宋体" w:hAnsi="宋体" w:cs="宋体"/>
                <w:bCs/>
                <w:color w:val="000000" w:themeColor="text1"/>
                <w:kern w:val="2"/>
                <w:sz w:val="21"/>
                <w:szCs w:val="21"/>
                <w14:textFill>
                  <w14:solidFill>
                    <w14:schemeClr w14:val="tx1"/>
                  </w14:solidFill>
                </w14:textFill>
              </w:rPr>
            </w:pPr>
            <w:r>
              <w:rPr>
                <w:rFonts w:ascii="宋体" w:hAnsi="宋体" w:cs="宋体"/>
                <w:bCs/>
                <w:color w:val="000000" w:themeColor="text1"/>
                <w:kern w:val="2"/>
                <w:sz w:val="21"/>
                <w:szCs w:val="21"/>
                <w14:textFill>
                  <w14:solidFill>
                    <w14:schemeClr w14:val="tx1"/>
                  </w14:solidFill>
                </w14:textFill>
              </w:rPr>
              <w:t>磋商报价</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2157848B">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1、不得超出最高限价，超出最高限价者，按无效标处理</w:t>
            </w:r>
          </w:p>
          <w:p w14:paraId="663783D1">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2、最终报价不得超过第一次磋商报价；</w:t>
            </w:r>
          </w:p>
          <w:p w14:paraId="69E6AA9D">
            <w:pPr>
              <w:widowControl/>
              <w:adjustRightInd w:val="0"/>
              <w:snapToGrid w:val="0"/>
              <w:spacing w:line="400" w:lineRule="exact"/>
              <w:rPr>
                <w:rFonts w:hint="eastAsia"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3、最终报价明显低于成本价的，响应人需做出合理说明，否则将承担不被接受的风险。</w:t>
            </w:r>
          </w:p>
        </w:tc>
      </w:tr>
      <w:tr w14:paraId="777D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75DACAA">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13C298E0">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00B68317">
            <w:pPr>
              <w:widowControl/>
              <w:adjustRightInd w:val="0"/>
              <w:snapToGrid w:val="0"/>
              <w:spacing w:line="40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投标</w:t>
            </w:r>
            <w:r>
              <w:rPr>
                <w:rFonts w:ascii="宋体" w:hAnsi="宋体" w:cs="宋体"/>
                <w:bCs/>
                <w:color w:val="000000" w:themeColor="text1"/>
                <w:kern w:val="2"/>
                <w:sz w:val="21"/>
                <w:szCs w:val="21"/>
                <w14:textFill>
                  <w14:solidFill>
                    <w14:schemeClr w14:val="tx1"/>
                  </w14:solidFill>
                </w14:textFill>
              </w:rPr>
              <w:t>有效期</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4E56D6D5">
            <w:pPr>
              <w:widowControl/>
              <w:adjustRightInd w:val="0"/>
              <w:snapToGrid w:val="0"/>
              <w:spacing w:line="400" w:lineRule="exact"/>
              <w:rPr>
                <w:rFonts w:ascii="宋体" w:hAnsi="宋体" w:cs="宋体"/>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7061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608" w:type="dxa"/>
            <w:vMerge w:val="continue"/>
            <w:tcBorders>
              <w:left w:val="single" w:color="auto" w:sz="4" w:space="0"/>
              <w:right w:val="single" w:color="auto" w:sz="4" w:space="0"/>
            </w:tcBorders>
            <w:noWrap w:val="0"/>
            <w:vAlign w:val="center"/>
          </w:tcPr>
          <w:p w14:paraId="03D21928">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right w:val="single" w:color="auto" w:sz="4" w:space="0"/>
            </w:tcBorders>
            <w:noWrap w:val="0"/>
            <w:vAlign w:val="center"/>
          </w:tcPr>
          <w:p w14:paraId="48120E9F">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2AE9642C">
            <w:pPr>
              <w:widowControl/>
              <w:adjustRightInd w:val="0"/>
              <w:snapToGrid w:val="0"/>
              <w:spacing w:line="400" w:lineRule="exact"/>
              <w:jc w:val="center"/>
              <w:rPr>
                <w:rFonts w:hint="default" w:ascii="宋体" w:hAnsi="宋体" w:eastAsia="宋体" w:cs="宋体"/>
                <w:bCs/>
                <w:color w:val="000000" w:themeColor="text1"/>
                <w:kern w:val="2"/>
                <w:sz w:val="21"/>
                <w:szCs w:val="21"/>
                <w:lang w:val="en-US" w:eastAsia="zh-CN"/>
                <w14:textFill>
                  <w14:solidFill>
                    <w14:schemeClr w14:val="tx1"/>
                  </w14:solidFill>
                </w14:textFill>
              </w:rPr>
            </w:pPr>
            <w:r>
              <w:rPr>
                <w:rFonts w:hint="eastAsia" w:ascii="宋体" w:hAnsi="宋体" w:cs="宋体"/>
                <w:bCs/>
                <w:color w:val="000000" w:themeColor="text1"/>
                <w:kern w:val="2"/>
                <w:sz w:val="21"/>
                <w:szCs w:val="21"/>
                <w:lang w:val="en-US" w:eastAsia="zh-CN"/>
                <w14:textFill>
                  <w14:solidFill>
                    <w14:schemeClr w14:val="tx1"/>
                  </w14:solidFill>
                </w14:textFill>
              </w:rPr>
              <w:t>供货地点</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348EB049">
            <w:pPr>
              <w:widowControl/>
              <w:adjustRightInd w:val="0"/>
              <w:snapToGrid w:val="0"/>
              <w:spacing w:line="400" w:lineRule="exact"/>
              <w:rPr>
                <w:rFonts w:ascii="宋体" w:hAnsi="宋体" w:cs="宋体"/>
                <w:bCs/>
                <w:color w:val="000000" w:themeColor="text1"/>
                <w:kern w:val="2"/>
                <w:sz w:val="21"/>
                <w:szCs w:val="21"/>
                <w14:textFill>
                  <w14:solidFill>
                    <w14:schemeClr w14:val="tx1"/>
                  </w14:solidFill>
                </w14:textFill>
              </w:rPr>
            </w:pPr>
            <w:r>
              <w:rPr>
                <w:rFonts w:hint="eastAsia" w:ascii="宋体" w:hAnsi="宋体" w:cs="宋体"/>
                <w:bCs/>
                <w:color w:val="000000" w:themeColor="text1"/>
                <w:kern w:val="2"/>
                <w:sz w:val="21"/>
                <w:szCs w:val="21"/>
                <w14:textFill>
                  <w14:solidFill>
                    <w14:schemeClr w14:val="tx1"/>
                  </w14:solidFill>
                </w14:textFill>
              </w:rPr>
              <w:t>符合第二章“供应商须知”规定</w:t>
            </w:r>
          </w:p>
        </w:tc>
      </w:tr>
      <w:tr w14:paraId="4C4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08" w:type="dxa"/>
            <w:vMerge w:val="continue"/>
            <w:tcBorders>
              <w:left w:val="single" w:color="auto" w:sz="4" w:space="0"/>
              <w:bottom w:val="single" w:color="auto" w:sz="4" w:space="0"/>
              <w:right w:val="single" w:color="auto" w:sz="4" w:space="0"/>
            </w:tcBorders>
            <w:noWrap w:val="0"/>
            <w:vAlign w:val="center"/>
          </w:tcPr>
          <w:p w14:paraId="67BD7837">
            <w:pPr>
              <w:rPr>
                <w:rFonts w:ascii="宋体" w:hAnsi="宋体" w:cs="宋体"/>
                <w:color w:val="000000" w:themeColor="text1"/>
                <w:kern w:val="2"/>
                <w:sz w:val="21"/>
                <w:szCs w:val="21"/>
                <w14:textFill>
                  <w14:solidFill>
                    <w14:schemeClr w14:val="tx1"/>
                  </w14:solidFill>
                </w14:textFill>
              </w:rPr>
            </w:pPr>
          </w:p>
        </w:tc>
        <w:tc>
          <w:tcPr>
            <w:tcW w:w="1418" w:type="dxa"/>
            <w:vMerge w:val="continue"/>
            <w:tcBorders>
              <w:left w:val="single" w:color="auto" w:sz="4" w:space="0"/>
              <w:bottom w:val="single" w:color="auto" w:sz="4" w:space="0"/>
              <w:right w:val="single" w:color="auto" w:sz="4" w:space="0"/>
            </w:tcBorders>
            <w:noWrap w:val="0"/>
            <w:vAlign w:val="center"/>
          </w:tcPr>
          <w:p w14:paraId="2A0816AC">
            <w:pPr>
              <w:rPr>
                <w:rFonts w:ascii="宋体" w:hAnsi="宋体" w:cs="宋体"/>
                <w:color w:val="000000" w:themeColor="text1"/>
                <w:kern w:val="2"/>
                <w:sz w:val="21"/>
                <w:szCs w:val="21"/>
                <w14:textFill>
                  <w14:solidFill>
                    <w14:schemeClr w14:val="tx1"/>
                  </w14:solidFill>
                </w14:textFill>
              </w:rPr>
            </w:pPr>
          </w:p>
        </w:tc>
        <w:tc>
          <w:tcPr>
            <w:tcW w:w="1894" w:type="dxa"/>
            <w:tcBorders>
              <w:top w:val="single" w:color="auto" w:sz="4" w:space="0"/>
              <w:left w:val="single" w:color="auto" w:sz="4" w:space="0"/>
              <w:bottom w:val="single" w:color="auto" w:sz="4" w:space="0"/>
              <w:right w:val="single" w:color="auto" w:sz="4" w:space="0"/>
            </w:tcBorders>
            <w:noWrap w:val="0"/>
            <w:vAlign w:val="center"/>
          </w:tcPr>
          <w:p w14:paraId="3198188A">
            <w:pPr>
              <w:widowControl/>
              <w:adjustRightInd w:val="0"/>
              <w:snapToGrid w:val="0"/>
              <w:spacing w:line="400" w:lineRule="exact"/>
              <w:jc w:val="center"/>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其他要求</w:t>
            </w:r>
          </w:p>
        </w:tc>
        <w:tc>
          <w:tcPr>
            <w:tcW w:w="5891" w:type="dxa"/>
            <w:tcBorders>
              <w:top w:val="single" w:color="auto" w:sz="4" w:space="0"/>
              <w:left w:val="single" w:color="auto" w:sz="4" w:space="0"/>
              <w:bottom w:val="single" w:color="auto" w:sz="4" w:space="0"/>
              <w:right w:val="single" w:color="auto" w:sz="4" w:space="0"/>
            </w:tcBorders>
            <w:noWrap w:val="0"/>
            <w:vAlign w:val="center"/>
          </w:tcPr>
          <w:p w14:paraId="02B77C0D">
            <w:pPr>
              <w:widowControl/>
              <w:adjustRightInd w:val="0"/>
              <w:snapToGrid w:val="0"/>
              <w:spacing w:line="400" w:lineRule="exact"/>
              <w:rPr>
                <w:rFonts w:hint="eastAsia" w:ascii="宋体" w:hAnsi="宋体" w:eastAsia="宋体" w:cs="宋体"/>
                <w:bCs/>
                <w:color w:val="000000" w:themeColor="text1"/>
                <w:kern w:val="2"/>
                <w:sz w:val="21"/>
                <w:szCs w:val="21"/>
                <w14:textFill>
                  <w14:solidFill>
                    <w14:schemeClr w14:val="tx1"/>
                  </w14:solidFill>
                </w14:textFill>
              </w:rPr>
            </w:pPr>
            <w:r>
              <w:rPr>
                <w:rFonts w:hint="eastAsia" w:ascii="宋体" w:hAnsi="宋体" w:eastAsia="宋体" w:cs="宋体"/>
                <w:bCs/>
                <w:color w:val="000000" w:themeColor="text1"/>
                <w:kern w:val="2"/>
                <w:sz w:val="21"/>
                <w:szCs w:val="21"/>
                <w14:textFill>
                  <w14:solidFill>
                    <w14:schemeClr w14:val="tx1"/>
                  </w14:solidFill>
                </w14:textFill>
              </w:rPr>
              <w:t>未出现法律法规规定应当否决的其他情形</w:t>
            </w:r>
          </w:p>
        </w:tc>
      </w:tr>
    </w:tbl>
    <w:p w14:paraId="36FCC08E">
      <w:pPr>
        <w:widowControl/>
        <w:jc w:val="center"/>
        <w:rPr>
          <w:rFonts w:hint="eastAsia" w:ascii="宋体" w:hAnsi="宋体"/>
          <w:b/>
          <w:bCs/>
          <w:color w:val="000000" w:themeColor="text1"/>
          <w:sz w:val="21"/>
          <w:szCs w:val="21"/>
          <w14:textFill>
            <w14:solidFill>
              <w14:schemeClr w14:val="tx1"/>
            </w14:solidFill>
          </w14:textFill>
        </w:rPr>
      </w:pPr>
    </w:p>
    <w:p w14:paraId="47E950D4">
      <w:pPr>
        <w:widowControl/>
        <w:jc w:val="center"/>
        <w:rPr>
          <w:rFonts w:hint="eastAsia" w:ascii="宋体" w:hAnsi="宋体"/>
          <w:b/>
          <w:bCs/>
          <w:color w:val="000000" w:themeColor="text1"/>
          <w:sz w:val="21"/>
          <w:szCs w:val="21"/>
          <w14:textFill>
            <w14:solidFill>
              <w14:schemeClr w14:val="tx1"/>
            </w14:solidFill>
          </w14:textFill>
        </w:rPr>
      </w:pPr>
    </w:p>
    <w:p w14:paraId="2C366EAC">
      <w:pPr>
        <w:widowControl/>
        <w:jc w:val="center"/>
        <w:rPr>
          <w:rFonts w:hint="eastAsia" w:ascii="宋体" w:hAnsi="宋体"/>
          <w:b/>
          <w:bCs/>
          <w:color w:val="000000" w:themeColor="text1"/>
          <w:sz w:val="21"/>
          <w:szCs w:val="21"/>
          <w14:textFill>
            <w14:solidFill>
              <w14:schemeClr w14:val="tx1"/>
            </w14:solidFill>
          </w14:textFill>
        </w:rPr>
      </w:pPr>
    </w:p>
    <w:p w14:paraId="71325628">
      <w:pPr>
        <w:widowControl/>
        <w:jc w:val="center"/>
        <w:rPr>
          <w:rFonts w:hint="eastAsia" w:ascii="宋体" w:hAnsi="宋体"/>
          <w:b/>
          <w:bCs/>
          <w:color w:val="000000" w:themeColor="text1"/>
          <w:sz w:val="21"/>
          <w:szCs w:val="21"/>
          <w14:textFill>
            <w14:solidFill>
              <w14:schemeClr w14:val="tx1"/>
            </w14:solidFill>
          </w14:textFill>
        </w:rPr>
      </w:pPr>
    </w:p>
    <w:p w14:paraId="2E58E91B">
      <w:pPr>
        <w:widowControl/>
        <w:jc w:val="center"/>
        <w:rPr>
          <w:rFonts w:hint="eastAsia" w:ascii="宋体" w:hAnsi="宋体"/>
          <w:b/>
          <w:bCs/>
          <w:color w:val="000000" w:themeColor="text1"/>
          <w:sz w:val="21"/>
          <w:szCs w:val="21"/>
          <w14:textFill>
            <w14:solidFill>
              <w14:schemeClr w14:val="tx1"/>
            </w14:solidFill>
          </w14:textFill>
        </w:rPr>
      </w:pPr>
    </w:p>
    <w:p w14:paraId="15DE4088">
      <w:pPr>
        <w:widowControl/>
        <w:jc w:val="center"/>
        <w:rPr>
          <w:rFonts w:hint="eastAsia" w:ascii="宋体" w:hAnsi="宋体"/>
          <w:b/>
          <w:bCs/>
          <w:color w:val="000000" w:themeColor="text1"/>
          <w:sz w:val="21"/>
          <w:szCs w:val="21"/>
          <w14:textFill>
            <w14:solidFill>
              <w14:schemeClr w14:val="tx1"/>
            </w14:solidFill>
          </w14:textFill>
        </w:rPr>
      </w:pPr>
    </w:p>
    <w:p w14:paraId="2FE43C16">
      <w:pPr>
        <w:widowControl/>
        <w:jc w:val="center"/>
        <w:rPr>
          <w:rFonts w:hint="eastAsia"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评分标准</w:t>
      </w:r>
    </w:p>
    <w:tbl>
      <w:tblPr>
        <w:tblStyle w:val="20"/>
        <w:tblW w:w="9808" w:type="dxa"/>
        <w:tblInd w:w="-3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960"/>
        <w:gridCol w:w="662"/>
        <w:gridCol w:w="7149"/>
      </w:tblGrid>
      <w:tr w14:paraId="4169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37" w:type="dxa"/>
            <w:noWrap w:val="0"/>
            <w:vAlign w:val="center"/>
          </w:tcPr>
          <w:p w14:paraId="4D6B83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w:t>
            </w:r>
          </w:p>
          <w:p w14:paraId="08904CE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w:t>
            </w:r>
          </w:p>
        </w:tc>
        <w:tc>
          <w:tcPr>
            <w:tcW w:w="960" w:type="dxa"/>
            <w:noWrap w:val="0"/>
            <w:vAlign w:val="center"/>
          </w:tcPr>
          <w:p w14:paraId="15C316E8">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w:t>
            </w:r>
          </w:p>
          <w:p w14:paraId="44A3C95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分项</w:t>
            </w:r>
          </w:p>
        </w:tc>
        <w:tc>
          <w:tcPr>
            <w:tcW w:w="662" w:type="dxa"/>
            <w:noWrap w:val="0"/>
            <w:vAlign w:val="center"/>
          </w:tcPr>
          <w:p w14:paraId="6EDFF452">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分值</w:t>
            </w:r>
          </w:p>
        </w:tc>
        <w:tc>
          <w:tcPr>
            <w:tcW w:w="7149" w:type="dxa"/>
            <w:noWrap w:val="0"/>
            <w:vAlign w:val="center"/>
          </w:tcPr>
          <w:p w14:paraId="7B727DF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评标标准及分值</w:t>
            </w:r>
          </w:p>
        </w:tc>
      </w:tr>
      <w:tr w14:paraId="3C6C9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037" w:type="dxa"/>
            <w:vMerge w:val="restart"/>
            <w:noWrap w:val="0"/>
            <w:vAlign w:val="center"/>
          </w:tcPr>
          <w:p w14:paraId="509ECD6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商务部分（</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lang w:eastAsia="zh-CN"/>
              </w:rPr>
              <w:t>）</w:t>
            </w:r>
          </w:p>
        </w:tc>
        <w:tc>
          <w:tcPr>
            <w:tcW w:w="960" w:type="dxa"/>
            <w:noWrap w:val="0"/>
            <w:vAlign w:val="center"/>
          </w:tcPr>
          <w:p w14:paraId="6A43F6D3">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实力</w:t>
            </w:r>
          </w:p>
          <w:p w14:paraId="30A18077">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成果</w:t>
            </w:r>
          </w:p>
          <w:p w14:paraId="7556929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体现</w:t>
            </w:r>
          </w:p>
        </w:tc>
        <w:tc>
          <w:tcPr>
            <w:tcW w:w="662" w:type="dxa"/>
            <w:noWrap w:val="0"/>
            <w:vAlign w:val="center"/>
          </w:tcPr>
          <w:p w14:paraId="0DAF1A5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7149" w:type="dxa"/>
            <w:noWrap w:val="0"/>
            <w:vAlign w:val="center"/>
          </w:tcPr>
          <w:p w14:paraId="047BF99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bCs/>
                <w:kern w:val="0"/>
                <w:sz w:val="21"/>
                <w:szCs w:val="21"/>
                <w:lang w:val="en-US" w:eastAsia="zh-CN"/>
              </w:rPr>
              <w:t>投标人具有有效的质量管理体系认证、环境管理体系认证、职业健康安全管理体系认证</w:t>
            </w:r>
            <w:r>
              <w:rPr>
                <w:rFonts w:hint="eastAsia" w:ascii="宋体" w:hAnsi="宋体" w:cs="宋体"/>
                <w:color w:val="000000"/>
                <w:kern w:val="0"/>
                <w:szCs w:val="21"/>
                <w:highlight w:val="none"/>
                <w:lang w:val="zh-CN"/>
              </w:rPr>
              <w:t>（证书范围需包含：</w:t>
            </w:r>
            <w:r>
              <w:rPr>
                <w:rFonts w:hint="eastAsia" w:ascii="宋体" w:hAnsi="宋体" w:cs="宋体"/>
                <w:color w:val="000000"/>
                <w:kern w:val="0"/>
                <w:szCs w:val="21"/>
                <w:highlight w:val="none"/>
                <w:lang w:val="en-US" w:eastAsia="zh-CN"/>
              </w:rPr>
              <w:t>文物柜架、微环境调控设备、空气净化通风设备</w:t>
            </w:r>
            <w:r>
              <w:rPr>
                <w:rFonts w:hint="eastAsia" w:ascii="宋体" w:hAnsi="宋体" w:cs="宋体"/>
                <w:color w:val="000000"/>
                <w:kern w:val="0"/>
                <w:szCs w:val="21"/>
                <w:highlight w:val="none"/>
                <w:lang w:val="zh-CN"/>
              </w:rPr>
              <w:t>）</w:t>
            </w:r>
            <w:r>
              <w:rPr>
                <w:rFonts w:hint="eastAsia" w:ascii="宋体" w:hAnsi="宋体" w:cs="宋体"/>
                <w:color w:val="000000"/>
                <w:kern w:val="0"/>
                <w:szCs w:val="21"/>
                <w:highlight w:val="none"/>
              </w:rPr>
              <w:t>且在有效期内</w:t>
            </w:r>
            <w:r>
              <w:rPr>
                <w:rFonts w:hint="eastAsia" w:ascii="宋体" w:hAnsi="宋体" w:cs="宋体"/>
                <w:color w:val="000000"/>
                <w:kern w:val="0"/>
                <w:szCs w:val="21"/>
                <w:highlight w:val="none"/>
                <w:lang w:val="zh-CN"/>
              </w:rPr>
              <w:t>，证书齐全得</w:t>
            </w:r>
            <w:r>
              <w:rPr>
                <w:rFonts w:hint="eastAsia" w:ascii="宋体" w:hAnsi="宋体" w:cs="宋体"/>
                <w:color w:val="000000"/>
                <w:kern w:val="0"/>
                <w:szCs w:val="21"/>
                <w:highlight w:val="none"/>
                <w:lang w:val="en-US" w:eastAsia="zh-CN"/>
              </w:rPr>
              <w:t>6</w:t>
            </w:r>
            <w:r>
              <w:rPr>
                <w:rFonts w:hint="eastAsia" w:ascii="宋体" w:hAnsi="宋体" w:cs="宋体"/>
                <w:color w:val="000000"/>
                <w:kern w:val="0"/>
                <w:szCs w:val="21"/>
                <w:highlight w:val="none"/>
                <w:lang w:val="zh-CN"/>
              </w:rPr>
              <w:t>分，缺少或证书范围不满足不得分。</w:t>
            </w:r>
            <w:r>
              <w:rPr>
                <w:rFonts w:hint="eastAsia" w:ascii="宋体" w:hAnsi="宋体" w:eastAsia="宋体" w:cs="宋体"/>
                <w:bCs/>
                <w:kern w:val="0"/>
                <w:sz w:val="21"/>
                <w:szCs w:val="21"/>
                <w:lang w:val="en-US" w:eastAsia="zh-CN"/>
              </w:rPr>
              <w:t>每提供一份得2分，最高得6分</w:t>
            </w:r>
            <w:r>
              <w:rPr>
                <w:rFonts w:hint="eastAsia" w:ascii="宋体" w:hAnsi="宋体" w:eastAsia="宋体" w:cs="宋体"/>
                <w:bCs/>
                <w:kern w:val="0"/>
                <w:sz w:val="21"/>
                <w:szCs w:val="21"/>
                <w:lang w:val="zh-CN" w:eastAsia="zh-CN"/>
              </w:rPr>
              <w:t>。</w:t>
            </w:r>
          </w:p>
        </w:tc>
      </w:tr>
      <w:tr w14:paraId="617C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037" w:type="dxa"/>
            <w:vMerge w:val="continue"/>
            <w:tcBorders>
              <w:bottom w:val="single" w:color="auto" w:sz="4" w:space="0"/>
            </w:tcBorders>
            <w:noWrap w:val="0"/>
            <w:vAlign w:val="top"/>
          </w:tcPr>
          <w:p w14:paraId="52F2BFA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tc>
        <w:tc>
          <w:tcPr>
            <w:tcW w:w="960" w:type="dxa"/>
            <w:tcBorders>
              <w:bottom w:val="single" w:color="000000" w:sz="4" w:space="0"/>
            </w:tcBorders>
            <w:noWrap w:val="0"/>
            <w:vAlign w:val="center"/>
          </w:tcPr>
          <w:p w14:paraId="73E05AE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同类</w:t>
            </w:r>
          </w:p>
          <w:p w14:paraId="75CB412D">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经验</w:t>
            </w:r>
          </w:p>
        </w:tc>
        <w:tc>
          <w:tcPr>
            <w:tcW w:w="662" w:type="dxa"/>
            <w:noWrap w:val="0"/>
            <w:vAlign w:val="center"/>
          </w:tcPr>
          <w:p w14:paraId="298F10B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7149" w:type="dxa"/>
            <w:noWrap w:val="0"/>
            <w:vAlign w:val="center"/>
          </w:tcPr>
          <w:p w14:paraId="5BF3814D">
            <w:pPr>
              <w:autoSpaceDE w:val="0"/>
              <w:autoSpaceDN w:val="0"/>
              <w:spacing w:line="360" w:lineRule="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近3年内（2022年1月1日至今），具备类似项目业绩，每提供1项证明材料得1分，本项最高4分。</w:t>
            </w:r>
          </w:p>
          <w:p w14:paraId="224996D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kern w:val="2"/>
                <w:sz w:val="21"/>
                <w:szCs w:val="21"/>
                <w:lang w:val="en-US" w:eastAsia="zh-CN" w:bidi="ar-SA"/>
              </w:rPr>
              <w:t>注：以投标人提供的中标通知书、合同文本原件扫描件，作为评审依据，原件备查。</w:t>
            </w:r>
          </w:p>
        </w:tc>
      </w:tr>
      <w:tr w14:paraId="44AF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Merge w:val="restart"/>
            <w:noWrap w:val="0"/>
            <w:vAlign w:val="center"/>
          </w:tcPr>
          <w:p w14:paraId="34D681F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技术部分（</w:t>
            </w:r>
            <w:r>
              <w:rPr>
                <w:rFonts w:hint="eastAsia" w:ascii="宋体" w:hAnsi="宋体" w:eastAsia="宋体" w:cs="宋体"/>
                <w:color w:val="auto"/>
                <w:sz w:val="21"/>
                <w:szCs w:val="21"/>
                <w:lang w:val="en-US" w:eastAsia="zh-CN"/>
              </w:rPr>
              <w:t>60分</w:t>
            </w:r>
            <w:r>
              <w:rPr>
                <w:rFonts w:hint="eastAsia" w:ascii="宋体" w:hAnsi="宋体" w:eastAsia="宋体" w:cs="宋体"/>
                <w:color w:val="auto"/>
                <w:sz w:val="21"/>
                <w:szCs w:val="21"/>
                <w:lang w:eastAsia="zh-CN"/>
              </w:rPr>
              <w:t>）</w:t>
            </w:r>
          </w:p>
        </w:tc>
        <w:tc>
          <w:tcPr>
            <w:tcW w:w="960" w:type="dxa"/>
            <w:tcBorders>
              <w:top w:val="single" w:color="000000" w:sz="4" w:space="0"/>
            </w:tcBorders>
            <w:noWrap w:val="0"/>
            <w:vAlign w:val="center"/>
          </w:tcPr>
          <w:p w14:paraId="6ED5D2D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技术佐证</w:t>
            </w:r>
          </w:p>
        </w:tc>
        <w:tc>
          <w:tcPr>
            <w:tcW w:w="662" w:type="dxa"/>
            <w:tcBorders>
              <w:top w:val="single" w:color="000000" w:sz="4" w:space="0"/>
            </w:tcBorders>
            <w:noWrap w:val="0"/>
            <w:vAlign w:val="center"/>
          </w:tcPr>
          <w:p w14:paraId="5851D8C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30</w:t>
            </w:r>
          </w:p>
        </w:tc>
        <w:tc>
          <w:tcPr>
            <w:tcW w:w="7149" w:type="dxa"/>
            <w:noWrap w:val="0"/>
            <w:vAlign w:val="center"/>
          </w:tcPr>
          <w:p w14:paraId="62B3D634">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rPr>
              <w:t>评标委员会根据投标人的参数应答、证明材料情况进行评分，评分要求如下：1、</w:t>
            </w:r>
            <w:r>
              <w:rPr>
                <w:rFonts w:hint="eastAsia" w:ascii="宋体" w:hAnsi="宋体" w:eastAsia="宋体" w:cs="宋体"/>
                <w:color w:val="auto"/>
                <w:sz w:val="21"/>
                <w:szCs w:val="21"/>
                <w:highlight w:val="none"/>
                <w:shd w:val="clear" w:color="auto" w:fill="FFFFFF"/>
                <w:lang w:val="en-US" w:eastAsia="zh-CN"/>
              </w:rPr>
              <w:t>重型横梁式文物储藏柜有关立柱、橫梁、层板性能要求：①硬度≥3H；②附着力不低于0级；③耐盐雾性达810h无异常（耐腐蚀等级10级）；④耐湿热性达810h无异常；⑤耐酸性达300h无异常；⑥力学性能：抗拉强度≥425MPa、下屈服强度≥276MPa、断后伸长率≥33.0%。</w:t>
            </w:r>
          </w:p>
          <w:p w14:paraId="5CEA300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2、文物库房金库门性能要求：①气密性能达7级以上；②库房门需具有抗震功能，抗震设防烈度≥7度。</w:t>
            </w:r>
          </w:p>
          <w:p w14:paraId="35EF848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3、文物工作整理台台面双面膜实芯理化板性能要求：①总挥发性有机化合物TVOC释放量为未检出；②甲醛去除率≥60%；③甲苯去除率≥16%；④甲醛释放量≤0.005 mg/m³；⑤燃烧符合HB级、垂直燃符合V-0级。</w:t>
            </w:r>
          </w:p>
          <w:p w14:paraId="0BF2E72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注：以上</w:t>
            </w:r>
            <w:r>
              <w:rPr>
                <w:rFonts w:hint="eastAsia" w:ascii="宋体" w:hAnsi="宋体" w:eastAsia="宋体" w:cs="宋体"/>
                <w:color w:val="auto"/>
                <w:sz w:val="21"/>
                <w:szCs w:val="21"/>
                <w:highlight w:val="none"/>
                <w:shd w:val="clear" w:color="auto" w:fill="FFFFFF"/>
              </w:rPr>
              <w:t>每有一条满足项</w:t>
            </w:r>
            <w:r>
              <w:rPr>
                <w:rFonts w:hint="eastAsia" w:ascii="宋体" w:hAnsi="宋体" w:eastAsia="宋体" w:cs="宋体"/>
                <w:color w:val="auto"/>
                <w:sz w:val="21"/>
                <w:szCs w:val="21"/>
                <w:highlight w:val="none"/>
                <w:shd w:val="clear" w:color="auto" w:fill="FFFFFF"/>
                <w:lang w:val="en-US" w:eastAsia="zh-CN"/>
              </w:rPr>
              <w:t>得2</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共13项</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最高得26分</w:t>
            </w:r>
            <w:r>
              <w:rPr>
                <w:rFonts w:hint="eastAsia" w:ascii="宋体" w:hAnsi="宋体" w:eastAsia="宋体" w:cs="宋体"/>
                <w:color w:val="auto"/>
                <w:sz w:val="21"/>
                <w:szCs w:val="21"/>
                <w:highlight w:val="none"/>
                <w:shd w:val="clear" w:color="auto" w:fill="FFFFFF"/>
              </w:rPr>
              <w:t>；评分依据：证明材料是指对应该项参数指标中要求的</w:t>
            </w:r>
            <w:r>
              <w:rPr>
                <w:rFonts w:hint="eastAsia" w:ascii="宋体" w:hAnsi="宋体" w:eastAsia="宋体" w:cs="宋体"/>
                <w:color w:val="auto"/>
                <w:sz w:val="21"/>
                <w:szCs w:val="21"/>
                <w:highlight w:val="none"/>
                <w:shd w:val="clear" w:color="auto" w:fill="FFFFFF"/>
                <w:lang w:val="en-US" w:eastAsia="zh-CN"/>
              </w:rPr>
              <w:t>由第三方检测机构出具的有效检验检测报告予以佐证，检测报告上须体现CMA或CNAS标志。</w:t>
            </w:r>
          </w:p>
          <w:p w14:paraId="4572C62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4、文物库房专用多功能空气净化系统需提供国家权威机构出具的文物库房专用多功能空气净化系统检测报告或其他相关证明材料得4分</w:t>
            </w:r>
          </w:p>
          <w:p w14:paraId="34FF09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shd w:val="clear" w:color="auto" w:fill="FFFFFF"/>
                <w:lang w:val="en-US" w:eastAsia="zh-CN"/>
              </w:rPr>
              <w:t>注：</w:t>
            </w:r>
            <w:r>
              <w:rPr>
                <w:rFonts w:hint="eastAsia" w:ascii="宋体" w:hAnsi="宋体" w:eastAsia="宋体" w:cs="宋体"/>
                <w:color w:val="auto"/>
                <w:sz w:val="21"/>
                <w:szCs w:val="21"/>
                <w:highlight w:val="none"/>
                <w:shd w:val="clear" w:color="auto" w:fill="FFFFFF"/>
              </w:rPr>
              <w:t>投标人将要求提供的相关证明材料与对应产品进行列表并编制页码，以便核对。</w:t>
            </w:r>
          </w:p>
        </w:tc>
      </w:tr>
      <w:tr w14:paraId="79097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7" w:type="dxa"/>
            <w:vMerge w:val="continue"/>
            <w:noWrap w:val="0"/>
            <w:vAlign w:val="center"/>
          </w:tcPr>
          <w:p w14:paraId="18128FE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tc>
        <w:tc>
          <w:tcPr>
            <w:tcW w:w="960" w:type="dxa"/>
            <w:tcBorders>
              <w:top w:val="single" w:color="000000" w:sz="4" w:space="0"/>
            </w:tcBorders>
            <w:noWrap w:val="0"/>
            <w:vAlign w:val="center"/>
          </w:tcPr>
          <w:p w14:paraId="5ECEA56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项目实施方案</w:t>
            </w:r>
          </w:p>
        </w:tc>
        <w:tc>
          <w:tcPr>
            <w:tcW w:w="662" w:type="dxa"/>
            <w:tcBorders>
              <w:top w:val="single" w:color="000000" w:sz="4" w:space="0"/>
            </w:tcBorders>
            <w:noWrap w:val="0"/>
            <w:vAlign w:val="center"/>
          </w:tcPr>
          <w:p w14:paraId="7852902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7149" w:type="dxa"/>
            <w:noWrap w:val="0"/>
            <w:vAlign w:val="center"/>
          </w:tcPr>
          <w:p w14:paraId="4B656F6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根据各</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提供的项目实施方案（包括对项目总体架构及解决方案、供货组织方案、进度计划实施控制保证方案、供货方案、人力资源安排等内容）</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安装方案</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包括保证工期的施工组织方案、施工防控措施</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施工图纸</w:t>
            </w:r>
            <w:r>
              <w:rPr>
                <w:rFonts w:hint="eastAsia" w:ascii="宋体" w:hAnsi="宋体" w:eastAsia="宋体" w:cs="宋体"/>
                <w:color w:val="auto"/>
                <w:sz w:val="21"/>
                <w:szCs w:val="21"/>
                <w:highlight w:val="none"/>
                <w:shd w:val="clear" w:color="auto" w:fill="FFFFFF"/>
              </w:rPr>
              <w:t>等）进行综合评定，由评委</w:t>
            </w:r>
            <w:r>
              <w:rPr>
                <w:rFonts w:hint="eastAsia" w:ascii="宋体" w:hAnsi="宋体" w:eastAsia="宋体" w:cs="宋体"/>
                <w:color w:val="auto"/>
                <w:sz w:val="21"/>
                <w:szCs w:val="21"/>
                <w:highlight w:val="none"/>
                <w:shd w:val="clear" w:color="auto" w:fill="FFFFFF"/>
                <w:lang w:eastAsia="zh-CN"/>
              </w:rPr>
              <w:t>进行相应档次内打分</w:t>
            </w:r>
            <w:r>
              <w:rPr>
                <w:rFonts w:hint="eastAsia" w:ascii="宋体" w:hAnsi="宋体" w:eastAsia="宋体" w:cs="宋体"/>
                <w:color w:val="auto"/>
                <w:sz w:val="21"/>
                <w:szCs w:val="21"/>
                <w:highlight w:val="none"/>
                <w:shd w:val="clear" w:color="auto" w:fill="FFFFFF"/>
              </w:rPr>
              <w:t>。</w:t>
            </w:r>
          </w:p>
          <w:p w14:paraId="2202367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一档（</w:t>
            </w:r>
            <w:r>
              <w:rPr>
                <w:rFonts w:hint="eastAsia" w:ascii="宋体" w:hAnsi="宋体" w:eastAsia="宋体" w:cs="宋体"/>
                <w:color w:val="auto"/>
                <w:sz w:val="21"/>
                <w:szCs w:val="21"/>
                <w:highlight w:val="none"/>
                <w:shd w:val="clear" w:color="auto" w:fill="FFFFFF"/>
                <w:lang w:val="en-US" w:eastAsia="zh-CN"/>
              </w:rPr>
              <w:t>0-5</w:t>
            </w:r>
            <w:r>
              <w:rPr>
                <w:rFonts w:hint="eastAsia" w:ascii="宋体" w:hAnsi="宋体" w:eastAsia="宋体" w:cs="宋体"/>
                <w:color w:val="auto"/>
                <w:sz w:val="21"/>
                <w:szCs w:val="21"/>
                <w:highlight w:val="none"/>
                <w:shd w:val="clear" w:color="auto" w:fill="FFFFFF"/>
              </w:rPr>
              <w:t>分）：项目实施方案描述一般，方案可操作性一般，简单阐述实施方案。</w:t>
            </w:r>
          </w:p>
          <w:p w14:paraId="39B29F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二档（</w:t>
            </w:r>
            <w:r>
              <w:rPr>
                <w:rFonts w:hint="eastAsia" w:ascii="宋体" w:hAnsi="宋体" w:eastAsia="宋体" w:cs="宋体"/>
                <w:color w:val="auto"/>
                <w:sz w:val="21"/>
                <w:szCs w:val="21"/>
                <w:highlight w:val="none"/>
                <w:shd w:val="clear" w:color="auto" w:fill="FFFFFF"/>
                <w:lang w:val="en-US" w:eastAsia="zh-CN"/>
              </w:rPr>
              <w:t>6-12</w:t>
            </w:r>
            <w:r>
              <w:rPr>
                <w:rFonts w:hint="eastAsia" w:ascii="宋体" w:hAnsi="宋体" w:eastAsia="宋体" w:cs="宋体"/>
                <w:color w:val="auto"/>
                <w:sz w:val="21"/>
                <w:szCs w:val="21"/>
                <w:highlight w:val="none"/>
                <w:shd w:val="clear" w:color="auto" w:fill="FFFFFF"/>
              </w:rPr>
              <w:t>分）：项目实施方案基本可行，供货组织方案、安装方案基本完整、合理，有基本的进度计划实施控制保证方案，有相应的保障措施，供货方案基本可行，人员安排能基本满足项目进度要求。</w:t>
            </w:r>
          </w:p>
          <w:p w14:paraId="6B26DC9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档（</w:t>
            </w:r>
            <w:r>
              <w:rPr>
                <w:rFonts w:hint="eastAsia" w:ascii="宋体" w:hAnsi="宋体" w:eastAsia="宋体" w:cs="宋体"/>
                <w:color w:val="auto"/>
                <w:sz w:val="21"/>
                <w:szCs w:val="21"/>
                <w:highlight w:val="none"/>
                <w:shd w:val="clear" w:color="auto" w:fill="FFFFFF"/>
                <w:lang w:val="en-US" w:eastAsia="zh-CN"/>
              </w:rPr>
              <w:t>13-20</w:t>
            </w:r>
            <w:r>
              <w:rPr>
                <w:rFonts w:hint="eastAsia" w:ascii="宋体" w:hAnsi="宋体" w:eastAsia="宋体" w:cs="宋体"/>
                <w:color w:val="auto"/>
                <w:sz w:val="21"/>
                <w:szCs w:val="21"/>
                <w:highlight w:val="none"/>
                <w:shd w:val="clear" w:color="auto" w:fill="FFFFFF"/>
              </w:rPr>
              <w:t>分）：项目实施方案符合现场实际情况，详细完整、合理、切实可行；供货组织方案、安装方案详细完善、具体合理，有很好的进度计划实施控制保证方案，能明确工期目标的实现；供货方案先进可行，符合采购单位实际情况，物流配送过程行进合理，设备安装及保护方案具体详细，进度安排优于采购单位要求；质量保障措施、工期保证措施、施工防控保障措施、施工期间防护物资保障措施、施工防疫卫生保障措施保障措施得当具体。</w:t>
            </w:r>
          </w:p>
        </w:tc>
      </w:tr>
      <w:tr w14:paraId="029F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7" w:type="dxa"/>
            <w:vMerge w:val="continue"/>
            <w:noWrap w:val="0"/>
            <w:vAlign w:val="center"/>
          </w:tcPr>
          <w:p w14:paraId="6A07F48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p>
        </w:tc>
        <w:tc>
          <w:tcPr>
            <w:tcW w:w="960" w:type="dxa"/>
            <w:noWrap w:val="0"/>
            <w:vAlign w:val="center"/>
          </w:tcPr>
          <w:p w14:paraId="4A4F479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售后服务</w:t>
            </w:r>
          </w:p>
        </w:tc>
        <w:tc>
          <w:tcPr>
            <w:tcW w:w="662" w:type="dxa"/>
            <w:noWrap w:val="0"/>
            <w:vAlign w:val="center"/>
          </w:tcPr>
          <w:p w14:paraId="02E0D8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7149" w:type="dxa"/>
            <w:noWrap w:val="0"/>
            <w:vAlign w:val="center"/>
          </w:tcPr>
          <w:p w14:paraId="19B942E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根据投标文件中售后服务方案内容的可行性、货物免费保修期、出现故障响应时间及解决方案、修复时间、项目回访计划、出现质量问题承诺更换时间、定期维护、质保措施、免费技术培训方案、免费保修期外维修方案、备品备件库及专业的售后技术人员配备、评委认可的其它实质性优惠措施等</w:t>
            </w:r>
            <w:r>
              <w:rPr>
                <w:rFonts w:hint="eastAsia" w:ascii="宋体" w:hAnsi="宋体" w:eastAsia="宋体" w:cs="宋体"/>
                <w:color w:val="auto"/>
                <w:sz w:val="21"/>
                <w:szCs w:val="21"/>
                <w:highlight w:val="none"/>
                <w:shd w:val="clear" w:color="auto" w:fill="FFFFFF"/>
                <w:lang w:eastAsia="zh-CN"/>
              </w:rPr>
              <w:t>进行相应档次内打分</w:t>
            </w:r>
            <w:r>
              <w:rPr>
                <w:rFonts w:hint="eastAsia" w:ascii="宋体" w:hAnsi="宋体" w:eastAsia="宋体" w:cs="宋体"/>
                <w:color w:val="auto"/>
                <w:sz w:val="21"/>
                <w:szCs w:val="21"/>
                <w:highlight w:val="none"/>
                <w:shd w:val="clear" w:color="auto" w:fill="FFFFFF"/>
              </w:rPr>
              <w:t>。</w:t>
            </w:r>
          </w:p>
          <w:p w14:paraId="651F9F1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一档（</w:t>
            </w:r>
            <w:r>
              <w:rPr>
                <w:rFonts w:hint="eastAsia" w:ascii="宋体" w:hAnsi="宋体" w:eastAsia="宋体" w:cs="宋体"/>
                <w:color w:val="auto"/>
                <w:sz w:val="21"/>
                <w:szCs w:val="21"/>
                <w:highlight w:val="none"/>
                <w:shd w:val="clear" w:color="auto" w:fill="FFFFFF"/>
                <w:lang w:val="en-US" w:eastAsia="zh-CN"/>
              </w:rPr>
              <w:t>0-2</w:t>
            </w:r>
            <w:r>
              <w:rPr>
                <w:rFonts w:hint="eastAsia" w:ascii="宋体" w:hAnsi="宋体" w:eastAsia="宋体" w:cs="宋体"/>
                <w:color w:val="auto"/>
                <w:sz w:val="21"/>
                <w:szCs w:val="21"/>
                <w:highlight w:val="none"/>
                <w:shd w:val="clear" w:color="auto" w:fill="FFFFFF"/>
              </w:rPr>
              <w:t>分）：售后服务方案，基本能满足招标文件要求；</w:t>
            </w:r>
          </w:p>
          <w:p w14:paraId="5E5D56FF">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二档（</w:t>
            </w:r>
            <w:r>
              <w:rPr>
                <w:rFonts w:hint="eastAsia" w:ascii="宋体" w:hAnsi="宋体" w:eastAsia="宋体" w:cs="宋体"/>
                <w:color w:val="auto"/>
                <w:sz w:val="21"/>
                <w:szCs w:val="21"/>
                <w:highlight w:val="none"/>
                <w:shd w:val="clear" w:color="auto" w:fill="FFFFFF"/>
                <w:lang w:val="en-US" w:eastAsia="zh-CN"/>
              </w:rPr>
              <w:t>3-6</w:t>
            </w:r>
            <w:r>
              <w:rPr>
                <w:rFonts w:hint="eastAsia" w:ascii="宋体" w:hAnsi="宋体" w:eastAsia="宋体" w:cs="宋体"/>
                <w:color w:val="auto"/>
                <w:sz w:val="21"/>
                <w:szCs w:val="21"/>
                <w:highlight w:val="none"/>
                <w:shd w:val="clear" w:color="auto" w:fill="FFFFFF"/>
              </w:rPr>
              <w:t>分）：</w:t>
            </w:r>
            <w:r>
              <w:rPr>
                <w:rFonts w:hint="eastAsia" w:ascii="宋体" w:hAnsi="宋体" w:eastAsia="宋体" w:cs="宋体"/>
                <w:color w:val="auto"/>
                <w:sz w:val="21"/>
                <w:szCs w:val="21"/>
                <w:highlight w:val="none"/>
              </w:rPr>
              <w:t>售后服务方案完整、合理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可行，</w:t>
            </w:r>
            <w:r>
              <w:rPr>
                <w:rFonts w:hint="eastAsia" w:ascii="宋体" w:hAnsi="宋体" w:eastAsia="宋体" w:cs="宋体"/>
                <w:color w:val="auto"/>
                <w:sz w:val="21"/>
                <w:szCs w:val="21"/>
                <w:highlight w:val="none"/>
                <w:shd w:val="clear" w:color="auto" w:fill="FFFFFF"/>
              </w:rPr>
              <w:t>承诺有良好的免费培训计划、培训场地，定期回访的，同时到达故障现场时间优于招标文件要求，有明确的项目实施保障措施，承诺有本地化售后服务措施等。</w:t>
            </w:r>
          </w:p>
          <w:p w14:paraId="2B90E732">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shd w:val="clear" w:color="auto" w:fill="FFFFFF"/>
                <w:lang w:eastAsia="zh-CN"/>
              </w:rPr>
              <w:t>三</w:t>
            </w:r>
            <w:r>
              <w:rPr>
                <w:rFonts w:hint="eastAsia" w:ascii="宋体" w:hAnsi="宋体" w:eastAsia="宋体" w:cs="宋体"/>
                <w:color w:val="auto"/>
                <w:sz w:val="21"/>
                <w:szCs w:val="21"/>
                <w:highlight w:val="none"/>
                <w:shd w:val="clear" w:color="auto" w:fill="FFFFFF"/>
              </w:rPr>
              <w:t>档（</w:t>
            </w:r>
            <w:r>
              <w:rPr>
                <w:rFonts w:hint="eastAsia" w:ascii="宋体" w:hAnsi="宋体" w:eastAsia="宋体" w:cs="宋体"/>
                <w:color w:val="auto"/>
                <w:sz w:val="21"/>
                <w:szCs w:val="21"/>
                <w:highlight w:val="none"/>
                <w:shd w:val="clear" w:color="auto" w:fill="FFFFFF"/>
                <w:lang w:val="en-US" w:eastAsia="zh-CN"/>
              </w:rPr>
              <w:t>7-10</w:t>
            </w:r>
            <w:r>
              <w:rPr>
                <w:rFonts w:hint="eastAsia" w:ascii="宋体" w:hAnsi="宋体" w:eastAsia="宋体" w:cs="宋体"/>
                <w:color w:val="auto"/>
                <w:sz w:val="21"/>
                <w:szCs w:val="21"/>
                <w:highlight w:val="none"/>
                <w:shd w:val="clear" w:color="auto" w:fill="FFFFFF"/>
              </w:rPr>
              <w:t>分）：承诺故障出现解决方案及免费保修期外维修方案详细、完整、有针对性，定期维护，安装方案详细、有安装时间进度计划、人员配置表等，免费保修期，其它有利于采购人或产品的优惠方案的。</w:t>
            </w:r>
          </w:p>
        </w:tc>
      </w:tr>
      <w:tr w14:paraId="110B1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37" w:type="dxa"/>
            <w:noWrap w:val="0"/>
            <w:vAlign w:val="center"/>
          </w:tcPr>
          <w:p w14:paraId="5794CA71">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报价部分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30分</w:t>
            </w:r>
            <w:r>
              <w:rPr>
                <w:rFonts w:hint="eastAsia" w:ascii="宋体" w:hAnsi="宋体" w:eastAsia="宋体" w:cs="宋体"/>
                <w:color w:val="auto"/>
                <w:sz w:val="21"/>
                <w:szCs w:val="21"/>
                <w:lang w:eastAsia="zh-CN"/>
              </w:rPr>
              <w:t>）</w:t>
            </w:r>
          </w:p>
        </w:tc>
        <w:tc>
          <w:tcPr>
            <w:tcW w:w="960" w:type="dxa"/>
            <w:noWrap w:val="0"/>
            <w:vAlign w:val="center"/>
          </w:tcPr>
          <w:p w14:paraId="676E3F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报价</w:t>
            </w:r>
          </w:p>
          <w:p w14:paraId="18C32A0C">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w:t>
            </w:r>
          </w:p>
        </w:tc>
        <w:tc>
          <w:tcPr>
            <w:tcW w:w="662" w:type="dxa"/>
            <w:noWrap w:val="0"/>
            <w:vAlign w:val="center"/>
          </w:tcPr>
          <w:p w14:paraId="150D145F">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7149" w:type="dxa"/>
            <w:noWrap w:val="0"/>
            <w:vAlign w:val="center"/>
          </w:tcPr>
          <w:p w14:paraId="6E8A104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cs="宋体"/>
                <w:snapToGrid w:val="0"/>
                <w:color w:val="auto"/>
                <w:sz w:val="21"/>
                <w:szCs w:val="21"/>
                <w:lang w:val="en-US" w:eastAsia="zh-CN"/>
              </w:rPr>
              <w:t>1、</w:t>
            </w:r>
            <w:r>
              <w:rPr>
                <w:rFonts w:hint="eastAsia" w:ascii="宋体" w:hAnsi="宋体" w:eastAsia="宋体" w:cs="宋体"/>
                <w:color w:val="auto"/>
                <w:sz w:val="21"/>
                <w:szCs w:val="21"/>
                <w:lang w:val="en-US" w:eastAsia="zh-CN"/>
              </w:rPr>
              <w:t>价格分采用低价优先法计算，即</w:t>
            </w:r>
            <w:r>
              <w:rPr>
                <w:rFonts w:hint="eastAsia" w:ascii="宋体" w:hAnsi="宋体" w:eastAsia="宋体" w:cs="宋体"/>
                <w:snapToGrid w:val="0"/>
                <w:color w:val="auto"/>
                <w:sz w:val="21"/>
                <w:szCs w:val="21"/>
              </w:rPr>
              <w:t>满</w:t>
            </w:r>
            <w:r>
              <w:rPr>
                <w:rFonts w:hint="eastAsia" w:ascii="宋体" w:hAnsi="宋体" w:eastAsia="宋体" w:cs="宋体"/>
                <w:color w:val="auto"/>
                <w:sz w:val="21"/>
                <w:szCs w:val="21"/>
              </w:rPr>
              <w:t>足招标文件</w:t>
            </w:r>
            <w:r>
              <w:rPr>
                <w:rFonts w:hint="eastAsia" w:ascii="宋体" w:hAnsi="宋体" w:eastAsia="宋体" w:cs="宋体"/>
                <w:color w:val="auto"/>
                <w:sz w:val="21"/>
                <w:szCs w:val="21"/>
                <w:lang w:val="en-US" w:eastAsia="zh-CN"/>
              </w:rPr>
              <w:t>通过资格性和初步审查且</w:t>
            </w:r>
            <w:r>
              <w:rPr>
                <w:rFonts w:hint="eastAsia" w:ascii="宋体" w:hAnsi="宋体" w:eastAsia="宋体" w:cs="宋体"/>
                <w:color w:val="auto"/>
                <w:sz w:val="21"/>
                <w:szCs w:val="21"/>
              </w:rPr>
              <w:t>投标价格最低的投标报价为评标基准价，其价格得分为满分30分，报价得分=（评标基准价/投标报价）×30%×100。必须提供报价成本的详细说明，否则报价无效。</w:t>
            </w:r>
          </w:p>
          <w:p w14:paraId="37C5130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报价低于预算85%的</w:t>
            </w:r>
            <w:r>
              <w:rPr>
                <w:rFonts w:hint="eastAsia" w:ascii="宋体" w:hAnsi="宋体" w:cs="宋体"/>
                <w:color w:val="auto"/>
                <w:sz w:val="21"/>
                <w:szCs w:val="21"/>
                <w:lang w:eastAsia="zh-CN"/>
              </w:rPr>
              <w:t>且</w:t>
            </w:r>
            <w:r>
              <w:rPr>
                <w:rFonts w:hint="eastAsia" w:ascii="宋体" w:hAnsi="宋体" w:eastAsia="宋体" w:cs="宋体"/>
                <w:color w:val="auto"/>
                <w:sz w:val="21"/>
                <w:szCs w:val="21"/>
                <w:lang w:val="en-US" w:eastAsia="zh-CN"/>
              </w:rPr>
              <w:t>磋商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磋商小组应当将其作为无效投标处理。</w:t>
            </w:r>
          </w:p>
          <w:p w14:paraId="1976FFB3">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3、超出采购人预算价的响应报价为无效报价。</w:t>
            </w:r>
          </w:p>
          <w:p w14:paraId="037BF72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4、价格扣除：投标供应商为中小微企业的（监狱企业/残疾人福 </w:t>
            </w:r>
          </w:p>
          <w:p w14:paraId="7A307D8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利性企业视同小型、微型企业），对所投标的小型和微型企业制造 </w:t>
            </w:r>
          </w:p>
          <w:p w14:paraId="5409037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的产品的价格给予20%的扣除，用扣除后的价格参与评审。参加投 </w:t>
            </w:r>
          </w:p>
          <w:p w14:paraId="060543D6">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标的中小微企业，应当按照《政府采购促进中小企业发展管理办法》 </w:t>
            </w:r>
          </w:p>
          <w:p w14:paraId="7248A51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（财库〔2020〕46 号）的规定提供《中小企业声明函》（中小企业 </w:t>
            </w:r>
          </w:p>
          <w:p w14:paraId="2AA9E4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划型标准详见《关于印发中小企业划型标准规定的通知》工信部联 </w:t>
            </w:r>
          </w:p>
          <w:p w14:paraId="5160946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企业〔2011〕300 号）。投标供应商为大型企业的不适用本款规定。 </w:t>
            </w:r>
          </w:p>
          <w:p w14:paraId="34824CF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5、根据财政部司法部《关于政府采购支持监狱企业发展有关问题32 </w:t>
            </w:r>
          </w:p>
          <w:p w14:paraId="64DD1CF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的通知》（财库〔2014〕68号）规定，本项目对监狱企业作为投标 </w:t>
            </w:r>
          </w:p>
          <w:p w14:paraId="5C6E6C0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供应商所提供的本企业生产的产品的价格给予20%的扣除。监狱企 </w:t>
            </w:r>
          </w:p>
          <w:p w14:paraId="4950D6E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业，应当提供由省级以上监狱管理局、戒毒管理局（含新疆生产建 </w:t>
            </w:r>
          </w:p>
          <w:p w14:paraId="44ABD90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设兵团）出具的属于监狱企业的证明文件。 </w:t>
            </w:r>
          </w:p>
          <w:p w14:paraId="766FB9F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6、参加政府采购活动的残疾人福利性单位应当提供《残疾人福利 </w:t>
            </w:r>
          </w:p>
          <w:p w14:paraId="25E502E0">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性单位声明函》，未填写残疾人福利性单位声明函的在开标过程中 </w:t>
            </w:r>
          </w:p>
          <w:p w14:paraId="73E5B7D7">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不予认可。 </w:t>
            </w:r>
          </w:p>
          <w:p w14:paraId="23FD351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7、同一投标供应商，中小微企业产品和监狱企业产品价格扣除优惠只享受一次，不得重复享受 </w:t>
            </w:r>
          </w:p>
          <w:p w14:paraId="41B0834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例：所投中小微企业产品报价=所投中小微企业产品报价合计× </w:t>
            </w:r>
          </w:p>
          <w:p w14:paraId="2FCC1A3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【1-20%】 </w:t>
            </w:r>
          </w:p>
          <w:p w14:paraId="049CC51A">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注：价格分计算保留小数点后二位。</w:t>
            </w:r>
          </w:p>
        </w:tc>
      </w:tr>
    </w:tbl>
    <w:p w14:paraId="09110759">
      <w:pPr>
        <w:pStyle w:val="13"/>
        <w:rPr>
          <w:rFonts w:hint="eastAsia"/>
          <w:color w:val="000000" w:themeColor="text1"/>
          <w14:textFill>
            <w14:solidFill>
              <w14:schemeClr w14:val="tx1"/>
            </w14:solidFill>
          </w14:textFill>
        </w:rPr>
      </w:pPr>
    </w:p>
    <w:p w14:paraId="32B05786">
      <w:pPr>
        <w:rPr>
          <w:rFonts w:hint="eastAsia"/>
          <w:b/>
          <w:bCs/>
          <w:color w:val="000000" w:themeColor="text1"/>
          <w:highlight w:val="none"/>
          <w14:textFill>
            <w14:solidFill>
              <w14:schemeClr w14:val="tx1"/>
            </w14:solidFill>
          </w14:textFill>
        </w:rPr>
      </w:pPr>
      <w:bookmarkStart w:id="76" w:name="_Toc144974567"/>
      <w:bookmarkEnd w:id="76"/>
      <w:bookmarkStart w:id="77" w:name="_Toc179632618"/>
      <w:bookmarkEnd w:id="77"/>
      <w:bookmarkStart w:id="78" w:name="_Toc144974571"/>
      <w:bookmarkEnd w:id="78"/>
      <w:bookmarkStart w:id="79" w:name="_Toc466566705"/>
      <w:bookmarkEnd w:id="79"/>
      <w:bookmarkStart w:id="80" w:name="_Toc179632622"/>
      <w:bookmarkEnd w:id="80"/>
      <w:bookmarkStart w:id="81" w:name="_Toc375053347"/>
      <w:bookmarkEnd w:id="81"/>
      <w:bookmarkStart w:id="82" w:name="_Toc466566798"/>
      <w:bookmarkEnd w:id="82"/>
      <w:bookmarkStart w:id="83" w:name="_Toc466566709"/>
      <w:bookmarkEnd w:id="83"/>
      <w:bookmarkStart w:id="84" w:name="_Toc466566794"/>
      <w:bookmarkEnd w:id="84"/>
      <w:bookmarkStart w:id="85" w:name="_Toc375053349"/>
      <w:bookmarkEnd w:id="85"/>
      <w:bookmarkStart w:id="86" w:name="_Toc152045604"/>
      <w:bookmarkEnd w:id="86"/>
      <w:bookmarkStart w:id="87" w:name="_Toc152045600"/>
      <w:bookmarkEnd w:id="87"/>
      <w:r>
        <w:rPr>
          <w:rFonts w:hint="eastAsia"/>
          <w:b/>
          <w:bCs/>
          <w:color w:val="000000" w:themeColor="text1"/>
          <w:highlight w:val="none"/>
          <w14:textFill>
            <w14:solidFill>
              <w14:schemeClr w14:val="tx1"/>
            </w14:solidFill>
          </w14:textFill>
        </w:rPr>
        <w:br w:type="page"/>
      </w:r>
    </w:p>
    <w:p w14:paraId="57F49445">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88" w:name="_Toc5821_WPSOffice_Level1"/>
      <w:bookmarkStart w:id="89" w:name="_Toc10927"/>
      <w:bookmarkStart w:id="90" w:name="_Toc1239_WPSOffice_Level1"/>
      <w:bookmarkStart w:id="91" w:name="_Toc18684_WPSOffice_Level1"/>
      <w:bookmarkStart w:id="92" w:name="_Toc9297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93" w:name="_Toc32147"/>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合同条款及格式</w:t>
      </w:r>
      <w:bookmarkEnd w:id="88"/>
      <w:bookmarkEnd w:id="89"/>
      <w:bookmarkEnd w:id="90"/>
      <w:bookmarkEnd w:id="91"/>
      <w:bookmarkEnd w:id="92"/>
      <w:bookmarkEnd w:id="93"/>
      <w:bookmarkStart w:id="94" w:name="_Toc267251442"/>
      <w:bookmarkEnd w:id="94"/>
    </w:p>
    <w:p w14:paraId="200F81BD">
      <w:pPr>
        <w:pStyle w:val="2"/>
        <w:ind w:firstLine="2209" w:firstLineChars="500"/>
        <w:rPr>
          <w:rFonts w:ascii="Times New Roman" w:hAnsi="Times New Roman" w:cs="黑体"/>
          <w:b w:val="0"/>
          <w:bCs w:val="0"/>
          <w:sz w:val="24"/>
          <w:szCs w:val="24"/>
          <w:lang w:eastAsia="en-US"/>
        </w:rPr>
      </w:pPr>
      <w:bookmarkStart w:id="95" w:name="_Toc375040612"/>
      <w:bookmarkEnd w:id="95"/>
      <w:bookmarkStart w:id="96" w:name="_Toc374947236"/>
      <w:bookmarkEnd w:id="96"/>
      <w:bookmarkStart w:id="97" w:name="_Toc375041559"/>
      <w:bookmarkEnd w:id="97"/>
      <w:bookmarkStart w:id="98" w:name="_Toc445390634"/>
      <w:bookmarkEnd w:id="98"/>
      <w:bookmarkStart w:id="99" w:name="_Toc447871549"/>
      <w:bookmarkEnd w:id="99"/>
      <w:bookmarkStart w:id="100" w:name="_Toc375041753"/>
      <w:bookmarkEnd w:id="100"/>
      <w:bookmarkStart w:id="101" w:name="_Toc489024028"/>
      <w:bookmarkEnd w:id="101"/>
      <w:bookmarkStart w:id="102" w:name="_Toc375041310"/>
      <w:bookmarkEnd w:id="102"/>
      <w:bookmarkStart w:id="103" w:name="_Toc29427"/>
      <w:bookmarkEnd w:id="103"/>
      <w:bookmarkStart w:id="104" w:name="_Toc498499550"/>
      <w:bookmarkEnd w:id="104"/>
      <w:bookmarkStart w:id="105" w:name="_Toc423959285"/>
      <w:bookmarkEnd w:id="105"/>
      <w:bookmarkStart w:id="106" w:name="_Toc384309409"/>
      <w:bookmarkEnd w:id="106"/>
      <w:r>
        <w:rPr>
          <w:rFonts w:hint="eastAsia" w:ascii="宋体" w:cs="宋体"/>
          <w:kern w:val="0"/>
        </w:rPr>
        <w:t xml:space="preserve">    </w:t>
      </w:r>
      <w:bookmarkStart w:id="107" w:name="_Toc7651"/>
      <w:bookmarkStart w:id="108" w:name="_Toc407"/>
      <w:r>
        <w:rPr>
          <w:rFonts w:ascii="Times New Roman" w:hAnsi="Times New Roman" w:cs="黑体"/>
          <w:b w:val="0"/>
          <w:bCs w:val="0"/>
          <w:sz w:val="24"/>
          <w:szCs w:val="24"/>
        </w:rPr>
        <w:t>（本合同仅供参考</w:t>
      </w:r>
      <w:r>
        <w:rPr>
          <w:rFonts w:hint="eastAsia" w:ascii="Times New Roman" w:hAnsi="Times New Roman" w:cs="黑体"/>
          <w:b w:val="0"/>
          <w:bCs w:val="0"/>
          <w:sz w:val="24"/>
          <w:szCs w:val="24"/>
        </w:rPr>
        <w:t>）</w:t>
      </w:r>
      <w:bookmarkEnd w:id="107"/>
      <w:bookmarkEnd w:id="108"/>
    </w:p>
    <w:p w14:paraId="34265A0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w:t>
      </w:r>
    </w:p>
    <w:p w14:paraId="6E5A64E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w:t>
      </w:r>
    </w:p>
    <w:p w14:paraId="31C2068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供方持的中标/成交通知书，根据</w:t>
      </w:r>
      <w:r>
        <w:rPr>
          <w:rFonts w:hint="eastAsia" w:ascii="宋体" w:hAnsi="宋体" w:cs="宋体"/>
          <w:sz w:val="22"/>
          <w:szCs w:val="22"/>
          <w:lang w:eastAsia="zh-CN"/>
        </w:rPr>
        <w:t>竞争性磋商文件</w:t>
      </w:r>
      <w:r>
        <w:rPr>
          <w:rFonts w:hint="eastAsia" w:ascii="宋体" w:hAnsi="宋体" w:eastAsia="宋体" w:cs="宋体"/>
          <w:sz w:val="22"/>
          <w:szCs w:val="22"/>
        </w:rPr>
        <w:t>、供方的投标/报价等文件[项目编号： ]，按照《政府采购法》、《合同法》等有关法律、法规，供需双方经协商一致，达成以下合同条款：</w:t>
      </w:r>
    </w:p>
    <w:p w14:paraId="475F7E5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一、本合同名称：</w:t>
      </w:r>
    </w:p>
    <w:p w14:paraId="4B6978AC">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二、本合同总价为人民币元（大写： ）。</w:t>
      </w:r>
    </w:p>
    <w:p w14:paraId="2D4357D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三、质量要求及供方对质量负责条件和期限：</w:t>
      </w:r>
    </w:p>
    <w:p w14:paraId="1453A05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所供货物必须首先符合有关国家强制性规定、国家（行业）标准或相关法律法规要求，同时符合</w:t>
      </w:r>
      <w:r>
        <w:rPr>
          <w:rFonts w:hint="eastAsia" w:ascii="宋体" w:hAnsi="宋体" w:cs="宋体"/>
          <w:sz w:val="22"/>
          <w:szCs w:val="22"/>
          <w:lang w:eastAsia="zh-CN"/>
        </w:rPr>
        <w:t>竞争性磋商文件</w:t>
      </w:r>
      <w:r>
        <w:rPr>
          <w:rFonts w:hint="eastAsia" w:ascii="宋体" w:hAnsi="宋体" w:eastAsia="宋体" w:cs="宋体"/>
          <w:sz w:val="22"/>
          <w:szCs w:val="22"/>
        </w:rPr>
        <w:t>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日。</w:t>
      </w:r>
    </w:p>
    <w:p w14:paraId="460702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四、售后服务承诺：</w:t>
      </w:r>
    </w:p>
    <w:p w14:paraId="69A840C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1、售后服务响应时间：</w:t>
      </w:r>
    </w:p>
    <w:p w14:paraId="093C8DAD">
      <w:pPr>
        <w:pStyle w:val="6"/>
        <w:keepNext w:val="0"/>
        <w:keepLines w:val="0"/>
        <w:pageBreakBefore w:val="0"/>
        <w:widowControl w:val="0"/>
        <w:kinsoku/>
        <w:wordWrap w:val="0"/>
        <w:overflowPunct/>
        <w:topLinePunct w:val="0"/>
        <w:autoSpaceDE w:val="0"/>
        <w:autoSpaceDN w:val="0"/>
        <w:bidi w:val="0"/>
        <w:adjustRightInd/>
        <w:snapToGrid/>
        <w:spacing w:before="3" w:line="460" w:lineRule="exact"/>
        <w:ind w:left="0" w:firstLine="440" w:firstLineChars="200"/>
        <w:textAlignment w:val="auto"/>
        <w:rPr>
          <w:rFonts w:hint="eastAsia" w:ascii="宋体" w:hAnsi="宋体" w:eastAsia="宋体" w:cs="宋体"/>
          <w:b/>
          <w:sz w:val="22"/>
          <w:szCs w:val="22"/>
        </w:rPr>
      </w:pPr>
      <w:r>
        <w:rPr>
          <w:rFonts w:hint="eastAsia" w:ascii="宋体" w:hAnsi="宋体" w:eastAsia="宋体" w:cs="宋体"/>
          <w:sz w:val="22"/>
          <w:szCs w:val="22"/>
        </w:rPr>
        <w:t>2、解决问题时间：</w:t>
      </w:r>
    </w:p>
    <w:p w14:paraId="7EF2C04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3、售后服务机构名称、地址及联系方式：</w:t>
      </w:r>
    </w:p>
    <w:p w14:paraId="7776253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售后服务机构：</w:t>
      </w:r>
    </w:p>
    <w:p w14:paraId="57287DC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地址：</w:t>
      </w:r>
    </w:p>
    <w:p w14:paraId="481AAF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联系人:</w:t>
      </w:r>
    </w:p>
    <w:p w14:paraId="01AB012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4、其他服务承诺：</w:t>
      </w:r>
    </w:p>
    <w:p w14:paraId="05B4371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五、合同履行地点及进度：合同生效后，供方应于年月日前按需方要求在</w:t>
      </w:r>
    </w:p>
    <w:p w14:paraId="16147540">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（需方指定的地点）完成本项目的交货、安装、调试。货物运送的费用由供方负责。需方应在货物到达指定地点后，提供符合安装条件的场地、电源、环境等。</w:t>
      </w:r>
    </w:p>
    <w:p w14:paraId="477E77E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六、供方在交付货物时应向需方提供货物的使用说明、合格证书及其它相关资料，否则按不能交货对待。</w:t>
      </w:r>
    </w:p>
    <w:p w14:paraId="791A24B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七、人员培训：供方免费对需方人员进行技术培训，直到需方人员熟练操作或掌握为准。</w:t>
      </w:r>
    </w:p>
    <w:p w14:paraId="2814EEA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培训地点： 采购人指定地点；培训时间： ；</w:t>
      </w:r>
    </w:p>
    <w:p w14:paraId="5A989B3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培训方式：</w:t>
      </w:r>
    </w:p>
    <w:p w14:paraId="072367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八、验收要求。</w:t>
      </w:r>
    </w:p>
    <w:p w14:paraId="2408B98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1、供方履约完毕及时向需方提出验收申请。</w:t>
      </w:r>
    </w:p>
    <w:p w14:paraId="1278723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2、需方在收到供方验收申请后</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rPr>
        <w:t>个工作日内组织验收。</w:t>
      </w:r>
    </w:p>
    <w:p w14:paraId="5F66898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九、付款程序、方式及期限：</w:t>
      </w:r>
    </w:p>
    <w:p w14:paraId="66A859AF">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1、供方开具以需方单位名称为抬头的发票。</w:t>
      </w:r>
    </w:p>
    <w:p w14:paraId="494BE7F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2、付款方式：</w:t>
      </w:r>
      <w:r>
        <w:rPr>
          <w:rFonts w:hint="eastAsia" w:ascii="宋体" w:hAnsi="宋体" w:eastAsia="宋体" w:cs="Times New Roman"/>
          <w:kern w:val="0"/>
          <w:sz w:val="22"/>
          <w:szCs w:val="22"/>
          <w:lang w:val="en-US" w:eastAsia="zh-CN"/>
        </w:rPr>
        <w:t>按财政规定管理办法支付</w:t>
      </w:r>
      <w:r>
        <w:rPr>
          <w:rFonts w:hint="eastAsia" w:ascii="宋体" w:hAnsi="宋体" w:eastAsia="宋体" w:cs="Times New Roman"/>
          <w:kern w:val="0"/>
          <w:sz w:val="22"/>
          <w:szCs w:val="22"/>
        </w:rPr>
        <w:t>。</w:t>
      </w:r>
    </w:p>
    <w:p w14:paraId="7A4DAC76">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十、违约责任：</w:t>
      </w:r>
    </w:p>
    <w:p w14:paraId="5AE41037">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供方所交付的</w:t>
      </w:r>
      <w:r>
        <w:rPr>
          <w:rFonts w:hint="eastAsia" w:ascii="宋体" w:hAnsi="宋体" w:eastAsia="宋体" w:cs="宋体"/>
          <w:sz w:val="22"/>
          <w:szCs w:val="22"/>
          <w:lang w:eastAsia="zh-CN"/>
        </w:rPr>
        <w:t>系统软件</w:t>
      </w:r>
      <w:r>
        <w:rPr>
          <w:rFonts w:hint="eastAsia" w:ascii="宋体" w:hAnsi="宋体" w:eastAsia="宋体" w:cs="宋体"/>
          <w:sz w:val="22"/>
          <w:szCs w:val="22"/>
        </w:rPr>
        <w:t>质量不符合国家规定标准及合同要求的，或者供方不能交付货物或完成系统安装、调试的，供方应向需方支付合同金额总值10%的违约金，需方有权解除合同，并要求赔偿损失。供方如逾期完成的，每逾期一日供方应向需方支付合同金额的0.5 %违约金。需方无正当理由拒收货物、拒付货款，需方应向供方偿付拒收拒付部分设备款总额0.01 %的违约金；需方如逾期付款的，每逾期付款一日的需方应向供方偿付所欠合同金额0.01 %的违约金。</w:t>
      </w:r>
    </w:p>
    <w:p w14:paraId="42062D0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十一、供需双方应严格遵守</w:t>
      </w:r>
      <w:r>
        <w:rPr>
          <w:rFonts w:hint="eastAsia" w:ascii="宋体" w:hAnsi="宋体" w:cs="宋体"/>
          <w:sz w:val="22"/>
          <w:szCs w:val="22"/>
          <w:lang w:eastAsia="zh-CN"/>
        </w:rPr>
        <w:t>竞争性磋商文件</w:t>
      </w:r>
      <w:r>
        <w:rPr>
          <w:rFonts w:hint="eastAsia" w:ascii="宋体" w:hAnsi="宋体" w:eastAsia="宋体" w:cs="宋体"/>
          <w:sz w:val="22"/>
          <w:szCs w:val="22"/>
        </w:rPr>
        <w:t>要求，如有违反，按</w:t>
      </w:r>
      <w:r>
        <w:rPr>
          <w:rFonts w:hint="eastAsia" w:ascii="宋体" w:hAnsi="宋体" w:cs="宋体"/>
          <w:sz w:val="22"/>
          <w:szCs w:val="22"/>
          <w:lang w:eastAsia="zh-CN"/>
        </w:rPr>
        <w:t>竞争性磋商文件</w:t>
      </w:r>
      <w:r>
        <w:rPr>
          <w:rFonts w:hint="eastAsia" w:ascii="宋体" w:hAnsi="宋体" w:eastAsia="宋体" w:cs="宋体"/>
          <w:sz w:val="22"/>
          <w:szCs w:val="22"/>
        </w:rPr>
        <w:t>的规定处理。</w:t>
      </w:r>
    </w:p>
    <w:p w14:paraId="530EFBE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十二、因货物的质量问题发生争议，由新乡市法定的质量检测机构进行质量检测或鉴定。</w:t>
      </w:r>
    </w:p>
    <w:p w14:paraId="2B0E6AF3">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十三、项目</w:t>
      </w:r>
      <w:r>
        <w:rPr>
          <w:rFonts w:hint="eastAsia" w:ascii="宋体" w:hAnsi="宋体" w:cs="宋体"/>
          <w:sz w:val="22"/>
          <w:szCs w:val="22"/>
          <w:lang w:eastAsia="zh-CN"/>
        </w:rPr>
        <w:t>竞争性磋商文件</w:t>
      </w:r>
      <w:r>
        <w:rPr>
          <w:rFonts w:hint="eastAsia" w:ascii="宋体" w:hAnsi="宋体" w:eastAsia="宋体" w:cs="宋体"/>
          <w:sz w:val="22"/>
          <w:szCs w:val="22"/>
        </w:rPr>
        <w:t>及其修改和澄清、及供方投标文件、供方在投标中的有关承诺及声明均为本合同的组成部分。</w:t>
      </w:r>
    </w:p>
    <w:p w14:paraId="248EAC3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十四、本合同签订和履行适用中华人民共和国法律，因履行合同发生的争议，由供需双方友好协商解决，如协商不成的，任何一方均可向签订合同地人民法院提起诉讼。</w:t>
      </w:r>
    </w:p>
    <w:p w14:paraId="726D1A74">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十五、本合同未尽事宜，供需双方可签订补充协议，与本合同具有同等法律效力，但不能违反</w:t>
      </w:r>
      <w:r>
        <w:rPr>
          <w:rFonts w:hint="eastAsia" w:ascii="宋体" w:hAnsi="宋体" w:cs="宋体"/>
          <w:sz w:val="22"/>
          <w:szCs w:val="22"/>
          <w:lang w:eastAsia="zh-CN"/>
        </w:rPr>
        <w:t>竞争性磋商文件</w:t>
      </w:r>
      <w:r>
        <w:rPr>
          <w:rFonts w:hint="eastAsia" w:ascii="宋体" w:hAnsi="宋体" w:eastAsia="宋体" w:cs="宋体"/>
          <w:sz w:val="22"/>
          <w:szCs w:val="22"/>
        </w:rPr>
        <w:t>及供方的投标或报价文件所规定的实质性条款。</w:t>
      </w:r>
    </w:p>
    <w:p w14:paraId="357581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知识产权：供方须保障需方在使用该项目或其任何一部分时不受到第三方关于侵犯专利权、商标权或工业设计权的指控。如果任何第三方提出侵权指控，供方须与第三方交涉并承担可能发生的一切费用。如需方因此而遭致损失的，供方应赔偿该损失。</w:t>
      </w:r>
    </w:p>
    <w:p w14:paraId="794C4FF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签约时间： 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月</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日签约地址</w:t>
      </w:r>
    </w:p>
    <w:p w14:paraId="1F36981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十七、合同生效、备案及其它</w:t>
      </w:r>
    </w:p>
    <w:p w14:paraId="21D749D1">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1、本合同经双方代表签字并加盖公章后生效。</w:t>
      </w:r>
    </w:p>
    <w:p w14:paraId="0677FEE5">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2、需方应在本合同签订后</w:t>
      </w:r>
      <w:r>
        <w:rPr>
          <w:rFonts w:hint="eastAsia" w:ascii="宋体" w:hAnsi="宋体" w:eastAsia="宋体" w:cs="宋体"/>
          <w:sz w:val="22"/>
          <w:szCs w:val="22"/>
          <w:lang w:val="en-US" w:eastAsia="zh-CN"/>
        </w:rPr>
        <w:t>1</w:t>
      </w:r>
      <w:r>
        <w:rPr>
          <w:rFonts w:hint="eastAsia" w:ascii="宋体" w:hAnsi="宋体" w:eastAsia="宋体" w:cs="宋体"/>
          <w:sz w:val="22"/>
          <w:szCs w:val="22"/>
        </w:rPr>
        <w:t>个工作日内将采购合同</w:t>
      </w:r>
      <w:r>
        <w:rPr>
          <w:rFonts w:hint="eastAsia" w:ascii="宋体" w:hAnsi="宋体" w:eastAsia="宋体" w:cs="宋体"/>
          <w:sz w:val="22"/>
          <w:szCs w:val="22"/>
          <w:lang w:eastAsia="zh-CN"/>
        </w:rPr>
        <w:t>上传至河南省政府采购网</w:t>
      </w:r>
      <w:r>
        <w:rPr>
          <w:rFonts w:hint="eastAsia" w:ascii="宋体" w:hAnsi="宋体" w:eastAsia="宋体" w:cs="宋体"/>
          <w:sz w:val="22"/>
          <w:szCs w:val="22"/>
        </w:rPr>
        <w:t>备案。</w:t>
      </w:r>
    </w:p>
    <w:p w14:paraId="7558867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3、本合同一式6 份，供需双方各持3 份</w:t>
      </w:r>
    </w:p>
    <w:p w14:paraId="4BEE89CB">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供方（公章）：</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需方（公章）：</w:t>
      </w:r>
    </w:p>
    <w:p w14:paraId="2C4A0F89">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地址：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地址：</w:t>
      </w:r>
    </w:p>
    <w:p w14:paraId="21F8D5F2">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lang w:eastAsia="zh-CN"/>
        </w:rPr>
      </w:pP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法定代表人或委托</w:t>
      </w:r>
      <w:r>
        <w:rPr>
          <w:rFonts w:hint="eastAsia" w:ascii="宋体" w:hAnsi="宋体" w:eastAsia="宋体" w:cs="宋体"/>
          <w:sz w:val="22"/>
          <w:szCs w:val="22"/>
          <w:lang w:eastAsia="zh-CN"/>
        </w:rPr>
        <w:t>：</w:t>
      </w:r>
    </w:p>
    <w:p w14:paraId="03F5D25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代理人（签字）：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代理人（签字）：</w:t>
      </w:r>
    </w:p>
    <w:p w14:paraId="2C54B5FA">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 xml:space="preserve">电话：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电话：</w:t>
      </w:r>
    </w:p>
    <w:p w14:paraId="6A2848ED">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开户银行：</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开户银行：</w:t>
      </w:r>
    </w:p>
    <w:p w14:paraId="1C36D508">
      <w:pPr>
        <w:keepNext w:val="0"/>
        <w:keepLines w:val="0"/>
        <w:pageBreakBefore w:val="0"/>
        <w:widowControl w:val="0"/>
        <w:kinsoku/>
        <w:overflowPunct/>
        <w:topLinePunct w:val="0"/>
        <w:autoSpaceDE w:val="0"/>
        <w:autoSpaceDN w:val="0"/>
        <w:bidi w:val="0"/>
        <w:adjustRightInd/>
        <w:snapToGrid/>
        <w:spacing w:beforeLines="0" w:afterLines="0" w:line="460" w:lineRule="exact"/>
        <w:ind w:firstLine="440" w:firstLineChars="200"/>
        <w:jc w:val="left"/>
        <w:textAlignment w:val="auto"/>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账号:</w:t>
      </w:r>
    </w:p>
    <w:p w14:paraId="4CAC4106">
      <w:pPr>
        <w:spacing w:before="156" w:beforeLines="50" w:after="156" w:afterLines="50" w:line="360" w:lineRule="auto"/>
        <w:jc w:val="center"/>
        <w:outlineLvl w:val="0"/>
        <w:rPr>
          <w:rFonts w:hint="eastAsia" w:ascii="宋体"/>
          <w:b/>
          <w:bCs/>
          <w:kern w:val="0"/>
          <w:sz w:val="40"/>
          <w:szCs w:val="40"/>
        </w:rPr>
      </w:pPr>
    </w:p>
    <w:p w14:paraId="65C1A544">
      <w:pPr>
        <w:spacing w:before="156" w:beforeLines="50" w:after="156" w:afterLines="50" w:line="360" w:lineRule="auto"/>
        <w:jc w:val="center"/>
        <w:outlineLvl w:val="0"/>
        <w:rPr>
          <w:rFonts w:hint="eastAsia" w:ascii="宋体"/>
          <w:b/>
          <w:bCs/>
          <w:kern w:val="0"/>
          <w:sz w:val="40"/>
          <w:szCs w:val="40"/>
        </w:rPr>
      </w:pPr>
    </w:p>
    <w:p w14:paraId="22697531">
      <w:pPr>
        <w:keepNext w:val="0"/>
        <w:keepLines w:val="0"/>
        <w:pageBreakBefore w:val="0"/>
        <w:widowControl w:val="0"/>
        <w:numPr>
          <w:ilvl w:val="0"/>
          <w:numId w:val="0"/>
        </w:numPr>
        <w:kinsoku/>
        <w:wordWrap w:val="0"/>
        <w:overflowPunct/>
        <w:topLinePunct w:val="0"/>
        <w:autoSpaceDE/>
        <w:autoSpaceDN/>
        <w:bidi w:val="0"/>
        <w:adjustRightInd/>
        <w:snapToGrid/>
        <w:spacing w:line="360" w:lineRule="auto"/>
        <w:jc w:val="center"/>
        <w:textAlignment w:val="auto"/>
        <w:rPr>
          <w:rFonts w:hint="eastAsia" w:ascii="宋体" w:hAnsi="宋体"/>
          <w:b/>
          <w:bCs/>
          <w:color w:val="000000" w:themeColor="text1"/>
          <w:kern w:val="44"/>
          <w:sz w:val="28"/>
          <w:highlight w:val="none"/>
          <w14:textFill>
            <w14:solidFill>
              <w14:schemeClr w14:val="tx1"/>
            </w14:solidFill>
          </w14:textFill>
        </w:rPr>
      </w:pPr>
      <w:r>
        <w:rPr>
          <w:rFonts w:hint="eastAsia" w:ascii="宋体"/>
          <w:b/>
          <w:bCs/>
          <w:kern w:val="0"/>
          <w:sz w:val="40"/>
          <w:szCs w:val="40"/>
        </w:rPr>
        <w:br w:type="page"/>
      </w:r>
    </w:p>
    <w:p w14:paraId="50178E22">
      <w:pPr>
        <w:keepNext/>
        <w:keepLines/>
        <w:numPr>
          <w:ilvl w:val="0"/>
          <w:numId w:val="2"/>
        </w:numPr>
        <w:spacing w:after="360" w:line="500" w:lineRule="exact"/>
        <w:jc w:val="center"/>
        <w:outlineLvl w:val="0"/>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pPr>
      <w:bookmarkStart w:id="109" w:name="_Toc24079"/>
      <w:bookmarkStart w:id="110" w:name="_Toc19658_WPSOffice_Level1"/>
      <w:bookmarkStart w:id="111" w:name="_Toc10775"/>
      <w:bookmarkStart w:id="112" w:name="_Toc6104_WPSOffice_Level1"/>
      <w:bookmarkStart w:id="113" w:name="_Toc14552"/>
      <w:bookmarkStart w:id="114" w:name="_Toc23111_WPSOffice_Level1"/>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 xml:space="preserve"> </w:t>
      </w:r>
      <w:bookmarkStart w:id="115" w:name="_Toc18773"/>
      <w:r>
        <w:rPr>
          <w:rFonts w:hint="eastAsia" w:ascii="宋体" w:hAnsi="宋体" w:eastAsia="宋体" w:cs="Times New Roman"/>
          <w:b/>
          <w:bCs/>
          <w:color w:val="000000" w:themeColor="text1"/>
          <w:kern w:val="44"/>
          <w:sz w:val="28"/>
          <w:szCs w:val="28"/>
          <w:highlight w:val="none"/>
          <w:lang w:val="en-US" w:eastAsia="zh-CN"/>
          <w14:textFill>
            <w14:solidFill>
              <w14:schemeClr w14:val="tx1"/>
            </w14:solidFill>
          </w14:textFill>
        </w:rPr>
        <w:t>响应文件格式</w:t>
      </w:r>
      <w:bookmarkEnd w:id="109"/>
      <w:bookmarkEnd w:id="110"/>
      <w:bookmarkEnd w:id="111"/>
      <w:bookmarkEnd w:id="112"/>
      <w:bookmarkEnd w:id="113"/>
      <w:bookmarkEnd w:id="114"/>
      <w:bookmarkEnd w:id="115"/>
    </w:p>
    <w:p w14:paraId="13DB80A6">
      <w:pPr>
        <w:rPr>
          <w:rFonts w:ascii="宋体" w:hAnsi="宋体"/>
          <w:color w:val="000000" w:themeColor="text1"/>
          <w:highlight w:val="none"/>
          <w14:textFill>
            <w14:solidFill>
              <w14:schemeClr w14:val="tx1"/>
            </w14:solidFill>
          </w14:textFill>
        </w:rPr>
      </w:pPr>
    </w:p>
    <w:p w14:paraId="22A3C999">
      <w:pPr>
        <w:jc w:val="center"/>
        <w:rPr>
          <w:rFonts w:ascii="宋体" w:hAnsi="宋体"/>
          <w:color w:val="000000" w:themeColor="text1"/>
          <w:highlight w:val="none"/>
          <w14:textFill>
            <w14:solidFill>
              <w14:schemeClr w14:val="tx1"/>
            </w14:solidFill>
          </w14:textFill>
        </w:rPr>
      </w:pPr>
    </w:p>
    <w:p w14:paraId="3EA525C4">
      <w:pPr>
        <w:jc w:val="center"/>
        <w:rPr>
          <w:rFonts w:ascii="宋体" w:hAnsi="宋体"/>
          <w:color w:val="000000" w:themeColor="text1"/>
          <w:highlight w:val="none"/>
          <w14:textFill>
            <w14:solidFill>
              <w14:schemeClr w14:val="tx1"/>
            </w14:solidFill>
          </w14:textFill>
        </w:rPr>
      </w:pPr>
    </w:p>
    <w:p w14:paraId="0B6DE7E7">
      <w:pPr>
        <w:jc w:val="center"/>
        <w:rPr>
          <w:rFonts w:ascii="宋体" w:hAnsi="宋体"/>
          <w:color w:val="000000" w:themeColor="text1"/>
          <w:highlight w:val="none"/>
          <w14:textFill>
            <w14:solidFill>
              <w14:schemeClr w14:val="tx1"/>
            </w14:solidFill>
          </w14:textFill>
        </w:rPr>
      </w:pPr>
    </w:p>
    <w:p w14:paraId="34D23E2B">
      <w:pPr>
        <w:jc w:val="center"/>
        <w:rPr>
          <w:rFonts w:ascii="宋体" w:hAnsi="宋体"/>
          <w:color w:val="000000" w:themeColor="text1"/>
          <w:highlight w:val="none"/>
          <w14:textFill>
            <w14:solidFill>
              <w14:schemeClr w14:val="tx1"/>
            </w14:solidFill>
          </w14:textFill>
        </w:rPr>
      </w:pPr>
    </w:p>
    <w:p w14:paraId="30749CC2">
      <w:pPr>
        <w:jc w:val="center"/>
        <w:rPr>
          <w:rFonts w:hint="eastAsia" w:ascii="宋体" w:hAnsi="宋体" w:eastAsia="宋体"/>
          <w:b/>
          <w:bCs/>
          <w:color w:val="000000" w:themeColor="text1"/>
          <w:sz w:val="36"/>
          <w:szCs w:val="36"/>
          <w:highlight w:val="none"/>
          <w:lang w:eastAsia="zh-CN"/>
          <w14:textFill>
            <w14:solidFill>
              <w14:schemeClr w14:val="tx1"/>
            </w14:solidFill>
          </w14:textFill>
        </w:rPr>
      </w:pPr>
      <w:bookmarkStart w:id="116" w:name="_Toc8780"/>
      <w:r>
        <w:rPr>
          <w:rFonts w:hint="eastAsia" w:ascii="宋体" w:hAnsi="宋体"/>
          <w:b/>
          <w:bCs/>
          <w:color w:val="000000" w:themeColor="text1"/>
          <w:sz w:val="36"/>
          <w:szCs w:val="36"/>
          <w:highlight w:val="none"/>
          <w:lang w:eastAsia="zh-CN"/>
          <w14:textFill>
            <w14:solidFill>
              <w14:schemeClr w14:val="tx1"/>
            </w14:solidFill>
          </w14:textFill>
        </w:rPr>
        <w:t>卢氏县文物保护管理委员会办公室文物库房升级改造项目</w:t>
      </w:r>
    </w:p>
    <w:p w14:paraId="64D6F694">
      <w:pPr>
        <w:jc w:val="center"/>
        <w:rPr>
          <w:rFonts w:ascii="宋体" w:hAnsi="宋体"/>
          <w:b/>
          <w:bCs/>
          <w:color w:val="000000" w:themeColor="text1"/>
          <w:sz w:val="36"/>
          <w:szCs w:val="36"/>
          <w:highlight w:val="none"/>
          <w:u w:val="single"/>
          <w14:textFill>
            <w14:solidFill>
              <w14:schemeClr w14:val="tx1"/>
            </w14:solidFill>
          </w14:textFill>
        </w:rPr>
      </w:pPr>
    </w:p>
    <w:bookmarkEnd w:id="116"/>
    <w:p w14:paraId="7AF22356">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bookmarkStart w:id="117" w:name="_Toc1593_WPSOffice_Level1"/>
      <w:bookmarkStart w:id="118" w:name="_Toc26968_WPSOffice_Level1"/>
    </w:p>
    <w:p w14:paraId="5355FE4D">
      <w:pPr>
        <w:spacing w:line="500" w:lineRule="exact"/>
        <w:ind w:firstLine="883" w:firstLineChars="200"/>
        <w:rPr>
          <w:rFonts w:ascii="宋体" w:hAnsi="宋体"/>
          <w:b/>
          <w:bCs/>
          <w:color w:val="000000" w:themeColor="text1"/>
          <w:kern w:val="0"/>
          <w:sz w:val="44"/>
          <w:szCs w:val="44"/>
          <w:highlight w:val="none"/>
          <w14:textFill>
            <w14:solidFill>
              <w14:schemeClr w14:val="tx1"/>
            </w14:solidFill>
          </w14:textFill>
        </w:rPr>
      </w:pPr>
    </w:p>
    <w:bookmarkEnd w:id="117"/>
    <w:bookmarkEnd w:id="118"/>
    <w:p w14:paraId="5C8ACBF9">
      <w:pPr>
        <w:jc w:val="center"/>
        <w:rPr>
          <w:rFonts w:ascii="宋体" w:hAnsi="宋体"/>
          <w:b/>
          <w:bCs/>
          <w:color w:val="000000" w:themeColor="text1"/>
          <w:sz w:val="40"/>
          <w:szCs w:val="40"/>
          <w:highlight w:val="none"/>
          <w14:textFill>
            <w14:solidFill>
              <w14:schemeClr w14:val="tx1"/>
            </w14:solidFill>
          </w14:textFill>
        </w:rPr>
      </w:pPr>
      <w:r>
        <w:rPr>
          <w:rFonts w:hint="eastAsia" w:ascii="宋体" w:hAnsi="宋体"/>
          <w:b/>
          <w:bCs/>
          <w:color w:val="000000" w:themeColor="text1"/>
          <w:sz w:val="40"/>
          <w:szCs w:val="40"/>
          <w:highlight w:val="none"/>
          <w14:textFill>
            <w14:solidFill>
              <w14:schemeClr w14:val="tx1"/>
            </w14:solidFill>
          </w14:textFill>
        </w:rPr>
        <w:t>响 应 性 文 件</w:t>
      </w:r>
    </w:p>
    <w:p w14:paraId="7E3F842A">
      <w:pPr>
        <w:jc w:val="center"/>
        <w:rPr>
          <w:rFonts w:ascii="宋体" w:hAnsi="宋体"/>
          <w:color w:val="000000" w:themeColor="text1"/>
          <w:highlight w:val="none"/>
          <w14:textFill>
            <w14:solidFill>
              <w14:schemeClr w14:val="tx1"/>
            </w14:solidFill>
          </w14:textFill>
        </w:rPr>
      </w:pPr>
    </w:p>
    <w:p w14:paraId="63005688">
      <w:pPr>
        <w:jc w:val="center"/>
        <w:rPr>
          <w:rFonts w:ascii="宋体" w:hAnsi="宋体"/>
          <w:color w:val="000000" w:themeColor="text1"/>
          <w:highlight w:val="none"/>
          <w14:textFill>
            <w14:solidFill>
              <w14:schemeClr w14:val="tx1"/>
            </w14:solidFill>
          </w14:textFill>
        </w:rPr>
      </w:pPr>
    </w:p>
    <w:p w14:paraId="28AE6BDD">
      <w:pPr>
        <w:jc w:val="center"/>
        <w:rPr>
          <w:rFonts w:ascii="宋体" w:hAnsi="宋体"/>
          <w:color w:val="000000" w:themeColor="text1"/>
          <w:sz w:val="28"/>
          <w:szCs w:val="36"/>
          <w:highlight w:val="none"/>
          <w14:textFill>
            <w14:solidFill>
              <w14:schemeClr w14:val="tx1"/>
            </w14:solidFill>
          </w14:textFill>
        </w:rPr>
      </w:pPr>
      <w:bookmarkStart w:id="119" w:name="_Toc19063"/>
      <w:r>
        <w:rPr>
          <w:rFonts w:hint="eastAsia" w:ascii="宋体" w:hAnsi="宋体"/>
          <w:color w:val="000000" w:themeColor="text1"/>
          <w:sz w:val="28"/>
          <w:szCs w:val="36"/>
          <w:highlight w:val="none"/>
          <w14:textFill>
            <w14:solidFill>
              <w14:schemeClr w14:val="tx1"/>
            </w14:solidFill>
          </w14:textFill>
        </w:rPr>
        <w:t>项目编号：</w:t>
      </w:r>
      <w:bookmarkEnd w:id="119"/>
    </w:p>
    <w:p w14:paraId="1BDD5CED">
      <w:pPr>
        <w:jc w:val="center"/>
        <w:rPr>
          <w:rFonts w:ascii="宋体" w:hAnsi="宋体"/>
          <w:color w:val="000000" w:themeColor="text1"/>
          <w:highlight w:val="none"/>
          <w14:textFill>
            <w14:solidFill>
              <w14:schemeClr w14:val="tx1"/>
            </w14:solidFill>
          </w14:textFill>
        </w:rPr>
      </w:pPr>
    </w:p>
    <w:p w14:paraId="755681A9">
      <w:pPr>
        <w:jc w:val="center"/>
        <w:rPr>
          <w:rFonts w:ascii="宋体" w:hAnsi="宋体"/>
          <w:color w:val="000000" w:themeColor="text1"/>
          <w:highlight w:val="none"/>
          <w14:textFill>
            <w14:solidFill>
              <w14:schemeClr w14:val="tx1"/>
            </w14:solidFill>
          </w14:textFill>
        </w:rPr>
      </w:pPr>
    </w:p>
    <w:p w14:paraId="019AD3C9">
      <w:pPr>
        <w:jc w:val="center"/>
        <w:rPr>
          <w:rFonts w:ascii="宋体" w:hAnsi="宋体"/>
          <w:color w:val="000000" w:themeColor="text1"/>
          <w:highlight w:val="none"/>
          <w14:textFill>
            <w14:solidFill>
              <w14:schemeClr w14:val="tx1"/>
            </w14:solidFill>
          </w14:textFill>
        </w:rPr>
      </w:pPr>
    </w:p>
    <w:p w14:paraId="654AA3C9">
      <w:pPr>
        <w:jc w:val="center"/>
        <w:rPr>
          <w:rFonts w:ascii="宋体" w:hAnsi="宋体"/>
          <w:color w:val="000000" w:themeColor="text1"/>
          <w:highlight w:val="none"/>
          <w14:textFill>
            <w14:solidFill>
              <w14:schemeClr w14:val="tx1"/>
            </w14:solidFill>
          </w14:textFill>
        </w:rPr>
      </w:pPr>
    </w:p>
    <w:p w14:paraId="67EEA8BA">
      <w:pPr>
        <w:rPr>
          <w:rFonts w:ascii="宋体" w:hAnsi="宋体"/>
          <w:color w:val="000000" w:themeColor="text1"/>
          <w:highlight w:val="none"/>
          <w14:textFill>
            <w14:solidFill>
              <w14:schemeClr w14:val="tx1"/>
            </w14:solidFill>
          </w14:textFill>
        </w:rPr>
      </w:pPr>
    </w:p>
    <w:p w14:paraId="51C5E02F">
      <w:pPr>
        <w:jc w:val="center"/>
        <w:rPr>
          <w:rFonts w:ascii="宋体" w:hAnsi="宋体"/>
          <w:color w:val="000000" w:themeColor="text1"/>
          <w:highlight w:val="none"/>
          <w14:textFill>
            <w14:solidFill>
              <w14:schemeClr w14:val="tx1"/>
            </w14:solidFill>
          </w14:textFill>
        </w:rPr>
      </w:pPr>
    </w:p>
    <w:p w14:paraId="20CEAF4E">
      <w:pPr>
        <w:jc w:val="center"/>
        <w:rPr>
          <w:rFonts w:ascii="宋体" w:hAnsi="宋体"/>
          <w:color w:val="000000" w:themeColor="text1"/>
          <w:highlight w:val="none"/>
          <w14:textFill>
            <w14:solidFill>
              <w14:schemeClr w14:val="tx1"/>
            </w14:solidFill>
          </w14:textFill>
        </w:rPr>
      </w:pPr>
    </w:p>
    <w:p w14:paraId="2D63A3C7">
      <w:pPr>
        <w:jc w:val="center"/>
        <w:rPr>
          <w:rFonts w:ascii="宋体" w:hAnsi="宋体"/>
          <w:color w:val="000000" w:themeColor="text1"/>
          <w:highlight w:val="none"/>
          <w14:textFill>
            <w14:solidFill>
              <w14:schemeClr w14:val="tx1"/>
            </w14:solidFill>
          </w14:textFill>
        </w:rPr>
      </w:pPr>
    </w:p>
    <w:p w14:paraId="5CA446A5">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0" w:name="_Toc17571_WPSOffice_Level1"/>
      <w:bookmarkStart w:id="121" w:name="_Toc19405_WPSOffice_Level1"/>
      <w:bookmarkStart w:id="122" w:name="_Toc26563"/>
      <w:r>
        <w:rPr>
          <w:rFonts w:hint="eastAsia" w:ascii="宋体" w:hAnsi="宋体"/>
          <w:b/>
          <w:bCs/>
          <w:color w:val="000000" w:themeColor="text1"/>
          <w:sz w:val="24"/>
          <w:szCs w:val="32"/>
          <w:highlight w:val="none"/>
          <w14:textFill>
            <w14:solidFill>
              <w14:schemeClr w14:val="tx1"/>
            </w14:solidFill>
          </w14:textFill>
        </w:rPr>
        <w:t>供应商：（</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0"/>
      <w:bookmarkEnd w:id="121"/>
      <w:bookmarkEnd w:id="122"/>
    </w:p>
    <w:p w14:paraId="6FF573C6">
      <w:pPr>
        <w:spacing w:line="360" w:lineRule="auto"/>
        <w:jc w:val="center"/>
        <w:rPr>
          <w:rFonts w:ascii="宋体" w:hAnsi="宋体"/>
          <w:b/>
          <w:bCs/>
          <w:color w:val="000000" w:themeColor="text1"/>
          <w:sz w:val="24"/>
          <w:szCs w:val="32"/>
          <w:highlight w:val="none"/>
          <w14:textFill>
            <w14:solidFill>
              <w14:schemeClr w14:val="tx1"/>
            </w14:solidFill>
          </w14:textFill>
        </w:rPr>
      </w:pPr>
    </w:p>
    <w:p w14:paraId="77924127">
      <w:pPr>
        <w:spacing w:line="360" w:lineRule="auto"/>
        <w:jc w:val="center"/>
        <w:rPr>
          <w:rFonts w:ascii="宋体" w:hAnsi="宋体"/>
          <w:b/>
          <w:bCs/>
          <w:color w:val="000000" w:themeColor="text1"/>
          <w:sz w:val="24"/>
          <w:szCs w:val="32"/>
          <w:highlight w:val="none"/>
          <w14:textFill>
            <w14:solidFill>
              <w14:schemeClr w14:val="tx1"/>
            </w14:solidFill>
          </w14:textFill>
        </w:rPr>
      </w:pPr>
      <w:bookmarkStart w:id="123" w:name="_Toc14380_WPSOffice_Level1"/>
      <w:bookmarkStart w:id="124" w:name="_Toc30056_WPSOffice_Level1"/>
      <w:bookmarkStart w:id="125" w:name="_Toc25492"/>
      <w:r>
        <w:rPr>
          <w:rFonts w:hint="eastAsia" w:ascii="宋体" w:hAnsi="宋体"/>
          <w:b/>
          <w:bCs/>
          <w:color w:val="000000" w:themeColor="text1"/>
          <w:sz w:val="24"/>
          <w:szCs w:val="32"/>
          <w:highlight w:val="none"/>
          <w14:textFill>
            <w14:solidFill>
              <w14:schemeClr w14:val="tx1"/>
            </w14:solidFill>
          </w14:textFill>
        </w:rPr>
        <w:t>法定代表人或其委托代理人：（</w:t>
      </w:r>
      <w:r>
        <w:rPr>
          <w:rFonts w:hint="eastAsia" w:ascii="宋体" w:hAnsi="宋体"/>
          <w:b/>
          <w:bCs/>
          <w:color w:val="000000" w:themeColor="text1"/>
          <w:sz w:val="24"/>
          <w:szCs w:val="32"/>
          <w:highlight w:val="none"/>
          <w:lang w:eastAsia="zh-CN"/>
          <w14:textFill>
            <w14:solidFill>
              <w14:schemeClr w14:val="tx1"/>
            </w14:solidFill>
          </w14:textFill>
        </w:rPr>
        <w:t>电子签章</w:t>
      </w:r>
      <w:r>
        <w:rPr>
          <w:rFonts w:hint="eastAsia" w:ascii="宋体" w:hAnsi="宋体"/>
          <w:b/>
          <w:bCs/>
          <w:color w:val="000000" w:themeColor="text1"/>
          <w:sz w:val="24"/>
          <w:szCs w:val="32"/>
          <w:highlight w:val="none"/>
          <w14:textFill>
            <w14:solidFill>
              <w14:schemeClr w14:val="tx1"/>
            </w14:solidFill>
          </w14:textFill>
        </w:rPr>
        <w:t>）</w:t>
      </w:r>
      <w:bookmarkEnd w:id="123"/>
      <w:bookmarkEnd w:id="124"/>
      <w:bookmarkEnd w:id="125"/>
    </w:p>
    <w:p w14:paraId="7459243B">
      <w:pPr>
        <w:jc w:val="center"/>
        <w:rPr>
          <w:rFonts w:ascii="宋体" w:hAnsi="宋体"/>
          <w:b/>
          <w:bCs/>
          <w:color w:val="000000" w:themeColor="text1"/>
          <w:highlight w:val="none"/>
          <w14:textFill>
            <w14:solidFill>
              <w14:schemeClr w14:val="tx1"/>
            </w14:solidFill>
          </w14:textFill>
        </w:rPr>
      </w:pPr>
    </w:p>
    <w:p w14:paraId="430E51A9">
      <w:pPr>
        <w:jc w:val="center"/>
        <w:rPr>
          <w:rFonts w:ascii="宋体" w:hAnsi="宋体"/>
          <w:b/>
          <w:bCs/>
          <w:color w:val="000000" w:themeColor="text1"/>
          <w:highlight w:val="none"/>
          <w14:textFill>
            <w14:solidFill>
              <w14:schemeClr w14:val="tx1"/>
            </w14:solidFill>
          </w14:textFill>
        </w:rPr>
      </w:pPr>
    </w:p>
    <w:p w14:paraId="34F8F8F8">
      <w:pPr>
        <w:jc w:val="center"/>
        <w:rPr>
          <w:rFonts w:ascii="宋体" w:hAnsi="宋体"/>
          <w:b/>
          <w:bCs/>
          <w:color w:val="000000" w:themeColor="text1"/>
          <w:highlight w:val="none"/>
          <w14:textFill>
            <w14:solidFill>
              <w14:schemeClr w14:val="tx1"/>
            </w14:solidFill>
          </w14:textFill>
        </w:rPr>
      </w:pPr>
      <w:bookmarkStart w:id="126" w:name="_Toc21318_WPSOffice_Level1"/>
      <w:bookmarkStart w:id="127" w:name="_Toc24324_WPSOffice_Level1"/>
      <w:r>
        <w:rPr>
          <w:rFonts w:hint="eastAsia" w:ascii="宋体" w:hAnsi="宋体"/>
          <w:b/>
          <w:bCs/>
          <w:color w:val="000000" w:themeColor="text1"/>
          <w:highlight w:val="none"/>
          <w14:textFill>
            <w14:solidFill>
              <w14:schemeClr w14:val="tx1"/>
            </w14:solidFill>
          </w14:textFill>
        </w:rPr>
        <w:t>年   月  日</w:t>
      </w:r>
      <w:bookmarkEnd w:id="126"/>
      <w:bookmarkEnd w:id="127"/>
    </w:p>
    <w:p w14:paraId="0FFAFCBF">
      <w:pPr>
        <w:rPr>
          <w:rFonts w:ascii="宋体" w:hAnsi="宋体"/>
          <w:b/>
          <w:bCs/>
          <w:color w:val="000000" w:themeColor="text1"/>
          <w:sz w:val="28"/>
          <w:szCs w:val="28"/>
          <w:highlight w:val="none"/>
          <w14:textFill>
            <w14:solidFill>
              <w14:schemeClr w14:val="tx1"/>
            </w14:solidFill>
          </w14:textFill>
        </w:rPr>
      </w:pPr>
      <w:bookmarkStart w:id="128" w:name="_Toc20232_WPSOffice_Level1"/>
      <w:bookmarkStart w:id="129" w:name="_Toc11929_WPSOffice_Level1"/>
      <w:r>
        <w:rPr>
          <w:rFonts w:hint="eastAsia" w:ascii="宋体" w:hAnsi="宋体"/>
          <w:b/>
          <w:bCs/>
          <w:color w:val="000000" w:themeColor="text1"/>
          <w:sz w:val="28"/>
          <w:szCs w:val="28"/>
          <w:highlight w:val="none"/>
          <w14:textFill>
            <w14:solidFill>
              <w14:schemeClr w14:val="tx1"/>
            </w14:solidFill>
          </w14:textFill>
        </w:rPr>
        <w:br w:type="page"/>
      </w:r>
    </w:p>
    <w:p w14:paraId="28492936">
      <w:pPr>
        <w:spacing w:before="317" w:beforeLines="100" w:after="317" w:afterLines="100"/>
        <w:jc w:val="center"/>
        <w:outlineLvl w:val="1"/>
        <w:rPr>
          <w:rFonts w:ascii="宋体" w:hAnsi="宋体"/>
          <w:b/>
          <w:bCs/>
          <w:color w:val="000000" w:themeColor="text1"/>
          <w:sz w:val="28"/>
          <w:szCs w:val="28"/>
          <w:highlight w:val="none"/>
          <w14:textFill>
            <w14:solidFill>
              <w14:schemeClr w14:val="tx1"/>
            </w14:solidFill>
          </w14:textFill>
        </w:rPr>
      </w:pPr>
      <w:r>
        <w:rPr>
          <w:rFonts w:hint="eastAsia" w:ascii="宋体" w:hAnsi="宋体"/>
          <w:b/>
          <w:bCs/>
          <w:color w:val="000000" w:themeColor="text1"/>
          <w:sz w:val="28"/>
          <w:szCs w:val="28"/>
          <w:highlight w:val="none"/>
          <w14:textFill>
            <w14:solidFill>
              <w14:schemeClr w14:val="tx1"/>
            </w14:solidFill>
          </w14:textFill>
        </w:rPr>
        <w:t>目    录</w:t>
      </w:r>
      <w:bookmarkEnd w:id="128"/>
      <w:bookmarkEnd w:id="129"/>
    </w:p>
    <w:p w14:paraId="1B479316">
      <w:pPr>
        <w:jc w:val="center"/>
        <w:rPr>
          <w:b/>
          <w:bCs/>
          <w:color w:val="000000" w:themeColor="text1"/>
          <w:sz w:val="24"/>
          <w:highlight w:val="none"/>
          <w14:textFill>
            <w14:solidFill>
              <w14:schemeClr w14:val="tx1"/>
            </w14:solidFill>
          </w14:textFill>
        </w:rPr>
      </w:pPr>
      <w:bookmarkStart w:id="130" w:name="_Toc375040687"/>
      <w:bookmarkEnd w:id="130"/>
      <w:bookmarkStart w:id="131" w:name="_Toc375041569"/>
      <w:bookmarkEnd w:id="131"/>
      <w:bookmarkStart w:id="132" w:name="_Toc384309419"/>
      <w:bookmarkEnd w:id="132"/>
      <w:bookmarkStart w:id="133" w:name="_Toc375041763"/>
      <w:bookmarkEnd w:id="133"/>
      <w:bookmarkStart w:id="134" w:name="_Toc374947247"/>
      <w:bookmarkEnd w:id="134"/>
      <w:bookmarkStart w:id="135" w:name="_Toc375040623"/>
      <w:bookmarkEnd w:id="135"/>
      <w:bookmarkStart w:id="136" w:name="_Toc375041320"/>
      <w:bookmarkStart w:id="137" w:name="_Toc23029"/>
      <w:r>
        <w:rPr>
          <w:rFonts w:hint="eastAsia" w:ascii="宋体" w:hAnsi="宋体"/>
          <w:b/>
          <w:bCs/>
          <w:color w:val="000000" w:themeColor="text1"/>
          <w:sz w:val="24"/>
          <w:highlight w:val="none"/>
          <w14:textFill>
            <w14:solidFill>
              <w14:schemeClr w14:val="tx1"/>
            </w14:solidFill>
          </w14:textFill>
        </w:rPr>
        <w:t>（自拟）</w:t>
      </w:r>
      <w:bookmarkEnd w:id="136"/>
      <w:bookmarkEnd w:id="137"/>
    </w:p>
    <w:p w14:paraId="6139CA69">
      <w:pPr>
        <w:rPr>
          <w:color w:val="000000" w:themeColor="text1"/>
          <w:highlight w:val="none"/>
          <w14:textFill>
            <w14:solidFill>
              <w14:schemeClr w14:val="tx1"/>
            </w14:solidFill>
          </w14:textFill>
        </w:rPr>
      </w:pPr>
    </w:p>
    <w:p w14:paraId="3E6F9C06">
      <w:pPr>
        <w:rPr>
          <w:rFonts w:ascii="宋体" w:hAnsi="宋体"/>
          <w:b/>
          <w:bCs/>
          <w:color w:val="000000" w:themeColor="text1"/>
          <w:sz w:val="24"/>
          <w:highlight w:val="none"/>
          <w14:textFill>
            <w14:solidFill>
              <w14:schemeClr w14:val="tx1"/>
            </w14:solidFill>
          </w14:textFill>
        </w:rPr>
      </w:pPr>
    </w:p>
    <w:p w14:paraId="15109050">
      <w:pPr>
        <w:jc w:val="center"/>
        <w:rPr>
          <w:rFonts w:ascii="宋体" w:hAnsi="宋体"/>
          <w:b/>
          <w:bCs/>
          <w:color w:val="000000" w:themeColor="text1"/>
          <w:sz w:val="24"/>
          <w:highlight w:val="none"/>
          <w14:textFill>
            <w14:solidFill>
              <w14:schemeClr w14:val="tx1"/>
            </w14:solidFill>
          </w14:textFill>
        </w:rPr>
      </w:pPr>
    </w:p>
    <w:p w14:paraId="16E38584">
      <w:pPr>
        <w:jc w:val="center"/>
        <w:rPr>
          <w:rFonts w:ascii="宋体" w:hAnsi="宋体"/>
          <w:b/>
          <w:bCs/>
          <w:color w:val="000000" w:themeColor="text1"/>
          <w:sz w:val="24"/>
          <w:highlight w:val="none"/>
          <w14:textFill>
            <w14:solidFill>
              <w14:schemeClr w14:val="tx1"/>
            </w14:solidFill>
          </w14:textFill>
        </w:rPr>
      </w:pPr>
    </w:p>
    <w:p w14:paraId="6770A9D2">
      <w:pPr>
        <w:jc w:val="center"/>
        <w:rPr>
          <w:rFonts w:ascii="宋体" w:hAnsi="宋体"/>
          <w:b/>
          <w:bCs/>
          <w:color w:val="000000" w:themeColor="text1"/>
          <w:sz w:val="24"/>
          <w:highlight w:val="none"/>
          <w14:textFill>
            <w14:solidFill>
              <w14:schemeClr w14:val="tx1"/>
            </w14:solidFill>
          </w14:textFill>
        </w:rPr>
      </w:pPr>
    </w:p>
    <w:p w14:paraId="6527C58E">
      <w:pPr>
        <w:jc w:val="center"/>
        <w:rPr>
          <w:rFonts w:ascii="宋体" w:hAnsi="宋体"/>
          <w:b/>
          <w:bCs/>
          <w:color w:val="000000" w:themeColor="text1"/>
          <w:sz w:val="24"/>
          <w:highlight w:val="none"/>
          <w14:textFill>
            <w14:solidFill>
              <w14:schemeClr w14:val="tx1"/>
            </w14:solidFill>
          </w14:textFill>
        </w:rPr>
      </w:pPr>
    </w:p>
    <w:p w14:paraId="623D6FA4">
      <w:pPr>
        <w:jc w:val="center"/>
        <w:rPr>
          <w:rFonts w:ascii="宋体" w:hAnsi="宋体"/>
          <w:b/>
          <w:bCs/>
          <w:color w:val="000000" w:themeColor="text1"/>
          <w:sz w:val="24"/>
          <w:highlight w:val="none"/>
          <w14:textFill>
            <w14:solidFill>
              <w14:schemeClr w14:val="tx1"/>
            </w14:solidFill>
          </w14:textFill>
        </w:rPr>
      </w:pPr>
    </w:p>
    <w:p w14:paraId="4AD5872D">
      <w:pPr>
        <w:rPr>
          <w:rFonts w:ascii="宋体" w:hAnsi="宋体"/>
          <w:b/>
          <w:bCs/>
          <w:color w:val="000000" w:themeColor="text1"/>
          <w:sz w:val="24"/>
          <w:highlight w:val="none"/>
          <w14:textFill>
            <w14:solidFill>
              <w14:schemeClr w14:val="tx1"/>
            </w14:solidFill>
          </w14:textFill>
        </w:rPr>
      </w:pPr>
    </w:p>
    <w:p w14:paraId="6DA3844A">
      <w:pPr>
        <w:keepNext/>
        <w:keepLines/>
        <w:rPr>
          <w:color w:val="000000" w:themeColor="text1"/>
          <w:highlight w:val="none"/>
          <w14:textFill>
            <w14:solidFill>
              <w14:schemeClr w14:val="tx1"/>
            </w14:solidFill>
          </w14:textFill>
        </w:rPr>
      </w:pPr>
    </w:p>
    <w:p w14:paraId="3983D866">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bookmarkStart w:id="138" w:name="_Toc7048_WPSOffice_Level1"/>
      <w:bookmarkStart w:id="139" w:name="_Toc10757_WPSOffice_Level1"/>
      <w:bookmarkStart w:id="140" w:name="_Toc19376"/>
      <w:bookmarkStart w:id="141" w:name="_Toc30927"/>
      <w:bookmarkStart w:id="142" w:name="_Toc6106"/>
      <w:bookmarkStart w:id="143" w:name="_Toc19081"/>
      <w:bookmarkStart w:id="144" w:name="_Toc18703"/>
      <w:r>
        <w:rPr>
          <w:rFonts w:hint="eastAsia" w:ascii="宋体" w:hAnsi="宋体"/>
          <w:b/>
          <w:bCs/>
          <w:color w:val="000000" w:themeColor="text1"/>
          <w:kern w:val="44"/>
          <w:sz w:val="28"/>
          <w:highlight w:val="none"/>
          <w14:textFill>
            <w14:solidFill>
              <w14:schemeClr w14:val="tx1"/>
            </w14:solidFill>
          </w14:textFill>
        </w:rPr>
        <w:t>一、磋商函</w:t>
      </w:r>
      <w:bookmarkEnd w:id="138"/>
      <w:bookmarkEnd w:id="139"/>
      <w:bookmarkEnd w:id="140"/>
      <w:bookmarkEnd w:id="141"/>
      <w:bookmarkEnd w:id="142"/>
      <w:bookmarkEnd w:id="143"/>
      <w:bookmarkEnd w:id="144"/>
      <w:bookmarkStart w:id="145" w:name="_Toc375041570"/>
      <w:bookmarkEnd w:id="145"/>
      <w:bookmarkStart w:id="146" w:name="_Toc375041321"/>
      <w:bookmarkEnd w:id="146"/>
    </w:p>
    <w:p w14:paraId="0CE14699">
      <w:pPr>
        <w:spacing w:line="44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致：（采购人名称）</w:t>
      </w:r>
    </w:p>
    <w:p w14:paraId="1FD1739D">
      <w:pPr>
        <w:spacing w:line="420" w:lineRule="exact"/>
        <w:ind w:firstLine="480" w:firstLineChars="200"/>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1.我方已仔细研究了</w:t>
      </w:r>
      <w:r>
        <w:rPr>
          <w:rFonts w:hint="eastAsia" w:ascii="宋体" w:hAnsi="宋体"/>
          <w:color w:val="000000" w:themeColor="text1"/>
          <w:sz w:val="24"/>
          <w:highlight w:val="none"/>
          <w:u w:val="single"/>
          <w14:textFill>
            <w14:solidFill>
              <w14:schemeClr w14:val="tx1"/>
            </w14:solidFill>
          </w14:textFill>
        </w:rPr>
        <w:t xml:space="preserve">   （项目名称）    </w:t>
      </w:r>
      <w:r>
        <w:rPr>
          <w:rFonts w:hint="eastAsia" w:ascii="宋体" w:hAnsi="宋体"/>
          <w:color w:val="000000" w:themeColor="text1"/>
          <w:sz w:val="24"/>
          <w:highlight w:val="none"/>
          <w14:textFill>
            <w14:solidFill>
              <w14:schemeClr w14:val="tx1"/>
            </w14:solidFill>
          </w14:textFill>
        </w:rPr>
        <w:t>竞争性磋商文件的全部内容，愿以人民币</w:t>
      </w:r>
      <w:r>
        <w:rPr>
          <w:rFonts w:hint="eastAsia" w:ascii="宋体" w:hAnsi="宋体"/>
          <w:color w:val="000000" w:themeColor="text1"/>
          <w:sz w:val="24"/>
          <w:highlight w:val="none"/>
          <w:u w:val="single"/>
          <w14:textFill>
            <w14:solidFill>
              <w14:schemeClr w14:val="tx1"/>
            </w14:solidFill>
          </w14:textFill>
        </w:rPr>
        <w:t xml:space="preserve">（大写）   （小写）    </w:t>
      </w:r>
      <w:r>
        <w:rPr>
          <w:rFonts w:hint="eastAsia" w:ascii="宋体" w:hAnsi="宋体"/>
          <w:color w:val="000000" w:themeColor="text1"/>
          <w:sz w:val="24"/>
          <w:highlight w:val="none"/>
          <w:u w:val="none"/>
          <w:lang w:eastAsia="zh-CN"/>
          <w14:textFill>
            <w14:solidFill>
              <w14:schemeClr w14:val="tx1"/>
            </w14:solidFill>
          </w14:textFill>
        </w:rPr>
        <w:t>元</w:t>
      </w:r>
      <w:r>
        <w:rPr>
          <w:rFonts w:hint="eastAsia" w:ascii="宋体" w:hAnsi="宋体"/>
          <w:color w:val="000000" w:themeColor="text1"/>
          <w:sz w:val="24"/>
          <w:highlight w:val="none"/>
          <w14:textFill>
            <w14:solidFill>
              <w14:schemeClr w14:val="tx1"/>
            </w14:solidFill>
          </w14:textFill>
        </w:rPr>
        <w:t>的投标报价。供货期</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按采购磋商文件的条件要求供货并修补任何缺陷</w:t>
      </w:r>
      <w:r>
        <w:rPr>
          <w:rFonts w:hint="eastAsia" w:ascii="宋体" w:hAnsi="宋体"/>
          <w:color w:val="000000" w:themeColor="text1"/>
          <w:sz w:val="24"/>
          <w:highlight w:val="none"/>
          <w14:textFill>
            <w14:solidFill>
              <w14:schemeClr w14:val="tx1"/>
            </w14:solidFill>
          </w14:textFill>
        </w:rPr>
        <w:t>，质量要求</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w:t>
      </w:r>
    </w:p>
    <w:p w14:paraId="68E4BF4C">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2．我方承诺在投标有效期</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日历天内不修改、撤销响应文件。</w:t>
      </w:r>
    </w:p>
    <w:p w14:paraId="33FBFA78">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3．如我方中标：</w:t>
      </w:r>
    </w:p>
    <w:p w14:paraId="415A2CD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（1）我方承诺</w:t>
      </w:r>
      <w:r>
        <w:rPr>
          <w:rFonts w:hint="eastAsia" w:ascii="宋体" w:hAnsi="宋体"/>
          <w:color w:val="000000" w:themeColor="text1"/>
          <w:sz w:val="24"/>
          <w:highlight w:val="none"/>
          <w:lang w:val="en-US" w:eastAsia="zh-CN"/>
          <w14:textFill>
            <w14:solidFill>
              <w14:schemeClr w14:val="tx1"/>
            </w14:solidFill>
          </w14:textFill>
        </w:rPr>
        <w:t>及时</w:t>
      </w:r>
      <w:r>
        <w:rPr>
          <w:rFonts w:hint="eastAsia" w:ascii="宋体" w:hAnsi="宋体"/>
          <w:color w:val="000000" w:themeColor="text1"/>
          <w:sz w:val="24"/>
          <w:highlight w:val="none"/>
          <w14:textFill>
            <w14:solidFill>
              <w14:schemeClr w14:val="tx1"/>
            </w14:solidFill>
          </w14:textFill>
        </w:rPr>
        <w:t>领取中标通知书，并在中标通知书规定的期限内与你方签订合同，逾期可视为放弃中标。</w:t>
      </w:r>
    </w:p>
    <w:p w14:paraId="1E7E1D8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（2）随同本投标函递交的投标函附录属于合同文件的组成部分。</w:t>
      </w:r>
    </w:p>
    <w:p w14:paraId="593CCA25">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（3）我方承诺在合同约定的期限内完成全部服务（采购）内容。</w:t>
      </w:r>
    </w:p>
    <w:p w14:paraId="1D0143E9">
      <w:pPr>
        <w:spacing w:line="440" w:lineRule="exact"/>
        <w:ind w:firstLine="54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（4）我方承诺并理解采购人不以最低投标价为中标价的唯一选择。</w:t>
      </w:r>
    </w:p>
    <w:p w14:paraId="4636AFEB">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4．我方在此声明，所递交的响应文件及有关资料内容完整、真实和准确。</w:t>
      </w:r>
    </w:p>
    <w:p w14:paraId="6021FB34">
      <w:pPr>
        <w:spacing w:line="42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u w:val="single"/>
          <w:lang w:val="en-US" w:eastAsia="zh-CN"/>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（其他补充说明）。</w:t>
      </w:r>
    </w:p>
    <w:p w14:paraId="54606CAD">
      <w:pPr>
        <w:wordWrap w:val="0"/>
        <w:spacing w:line="420" w:lineRule="exact"/>
        <w:jc w:val="both"/>
        <w:rPr>
          <w:rFonts w:hint="eastAsia" w:ascii="宋体" w:hAnsi="宋体"/>
          <w:color w:val="000000" w:themeColor="text1"/>
          <w:sz w:val="24"/>
          <w:highlight w:val="none"/>
          <w14:textFill>
            <w14:solidFill>
              <w14:schemeClr w14:val="tx1"/>
            </w14:solidFill>
          </w14:textFill>
        </w:rPr>
      </w:pPr>
    </w:p>
    <w:p w14:paraId="451D272D">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B0DC3F">
      <w:pPr>
        <w:spacing w:line="480" w:lineRule="exac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75AA4CF8">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地    址：</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65654333">
      <w:pPr>
        <w:spacing w:line="480" w:lineRule="exact"/>
        <w:rPr>
          <w:rFonts w:ascii="宋体" w:hAnsi="宋体" w:cs="宋体"/>
          <w:color w:val="000000" w:themeColor="text1"/>
          <w:sz w:val="24"/>
          <w:szCs w:val="20"/>
          <w:highlight w:val="none"/>
          <w:u w:val="single"/>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邮    编：</w:t>
      </w:r>
      <w:r>
        <w:rPr>
          <w:rFonts w:hint="eastAsia" w:ascii="宋体" w:hAnsi="宋体" w:cs="宋体"/>
          <w:color w:val="000000" w:themeColor="text1"/>
          <w:sz w:val="24"/>
          <w:szCs w:val="20"/>
          <w:highlight w:val="none"/>
          <w:u w:val="single"/>
          <w14:textFill>
            <w14:solidFill>
              <w14:schemeClr w14:val="tx1"/>
            </w14:solidFill>
          </w14:textFill>
        </w:rPr>
        <w:t xml:space="preserve">                                    </w:t>
      </w:r>
    </w:p>
    <w:p w14:paraId="18D2967F">
      <w:pPr>
        <w:wordWrap w:val="0"/>
        <w:spacing w:line="420" w:lineRule="exact"/>
        <w:jc w:val="both"/>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0"/>
          <w:highlight w:val="none"/>
          <w14:textFill>
            <w14:solidFill>
              <w14:schemeClr w14:val="tx1"/>
            </w14:solidFill>
          </w14:textFill>
        </w:rPr>
        <w:t>电    话：</w:t>
      </w:r>
      <w:r>
        <w:rPr>
          <w:rFonts w:hint="eastAsia" w:ascii="宋体" w:hAnsi="宋体" w:cs="宋体"/>
          <w:color w:val="000000" w:themeColor="text1"/>
          <w:sz w:val="24"/>
          <w:szCs w:val="20"/>
          <w:highlight w:val="none"/>
          <w:u w:val="single"/>
          <w14:textFill>
            <w14:solidFill>
              <w14:schemeClr w14:val="tx1"/>
            </w14:solidFill>
          </w14:textFill>
        </w:rPr>
        <w:t xml:space="preserve">              </w:t>
      </w:r>
      <w:r>
        <w:rPr>
          <w:rFonts w:hint="eastAsia" w:ascii="宋体" w:hAnsi="宋体" w:cs="宋体"/>
          <w:color w:val="000000" w:themeColor="text1"/>
          <w:sz w:val="24"/>
          <w:szCs w:val="20"/>
          <w:highlight w:val="none"/>
          <w14:textFill>
            <w14:solidFill>
              <w14:schemeClr w14:val="tx1"/>
            </w14:solidFill>
          </w14:textFill>
        </w:rPr>
        <w:t xml:space="preserve"> </w:t>
      </w:r>
      <w:r>
        <w:rPr>
          <w:rFonts w:hint="eastAsia" w:ascii="宋体" w:hAnsi="宋体" w:cs="宋体"/>
          <w:color w:val="000000" w:themeColor="text1"/>
          <w:sz w:val="24"/>
          <w:szCs w:val="20"/>
          <w:highlight w:val="none"/>
          <w:lang w:eastAsia="zh-CN"/>
          <w14:textFill>
            <w14:solidFill>
              <w14:schemeClr w14:val="tx1"/>
            </w14:solidFill>
          </w14:textFill>
        </w:rPr>
        <w:t>（填写可以联系到的电话，方便二次报价通知）</w:t>
      </w:r>
    </w:p>
    <w:p w14:paraId="37D859B8">
      <w:pPr>
        <w:wordWrap w:val="0"/>
        <w:spacing w:line="420" w:lineRule="exact"/>
        <w:jc w:val="both"/>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  年  月  日</w:t>
      </w:r>
    </w:p>
    <w:p w14:paraId="493CF21D">
      <w:pPr>
        <w:spacing w:line="420" w:lineRule="exact"/>
        <w:rPr>
          <w:color w:val="000000" w:themeColor="text1"/>
          <w:sz w:val="24"/>
          <w:highlight w:val="none"/>
          <w14:textFill>
            <w14:solidFill>
              <w14:schemeClr w14:val="tx1"/>
            </w14:solidFill>
          </w14:textFill>
        </w:rPr>
      </w:pPr>
    </w:p>
    <w:p w14:paraId="228AD6AC">
      <w:pPr>
        <w:keepNext/>
        <w:keepLines/>
        <w:spacing w:line="660" w:lineRule="exact"/>
        <w:jc w:val="center"/>
        <w:outlineLvl w:val="0"/>
        <w:rPr>
          <w:b/>
          <w:bCs/>
          <w:color w:val="000000" w:themeColor="text1"/>
          <w:kern w:val="44"/>
          <w:sz w:val="28"/>
          <w:highlight w:val="none"/>
          <w14:textFill>
            <w14:solidFill>
              <w14:schemeClr w14:val="tx1"/>
            </w14:solidFill>
          </w14:textFill>
        </w:rPr>
      </w:pPr>
      <w:bookmarkStart w:id="147" w:name="_Toc19955_WPSOffice_Level1"/>
      <w:r>
        <w:rPr>
          <w:rFonts w:hint="eastAsia" w:ascii="宋体" w:hAnsi="宋体"/>
          <w:b/>
          <w:bCs/>
          <w:color w:val="000000" w:themeColor="text1"/>
          <w:kern w:val="44"/>
          <w:sz w:val="28"/>
          <w:highlight w:val="none"/>
          <w14:textFill>
            <w14:solidFill>
              <w14:schemeClr w14:val="tx1"/>
            </w14:solidFill>
          </w14:textFill>
        </w:rPr>
        <w:br w:type="page"/>
      </w:r>
      <w:bookmarkStart w:id="148" w:name="_Toc5405"/>
      <w:bookmarkStart w:id="149" w:name="_Toc32484_WPSOffice_Level1"/>
      <w:bookmarkStart w:id="150" w:name="_Toc7842"/>
      <w:bookmarkStart w:id="151" w:name="_Toc15071"/>
      <w:bookmarkStart w:id="152" w:name="_Toc12006"/>
      <w:bookmarkStart w:id="153" w:name="_Toc2580"/>
      <w:r>
        <w:rPr>
          <w:rFonts w:hint="eastAsia" w:ascii="宋体" w:hAnsi="宋体"/>
          <w:b/>
          <w:bCs/>
          <w:color w:val="000000" w:themeColor="text1"/>
          <w:kern w:val="44"/>
          <w:sz w:val="28"/>
          <w:highlight w:val="none"/>
          <w14:textFill>
            <w14:solidFill>
              <w14:schemeClr w14:val="tx1"/>
            </w14:solidFill>
          </w14:textFill>
        </w:rPr>
        <w:t>二、磋商函附录</w:t>
      </w:r>
      <w:bookmarkEnd w:id="147"/>
      <w:bookmarkEnd w:id="148"/>
      <w:bookmarkEnd w:id="149"/>
      <w:bookmarkEnd w:id="150"/>
      <w:bookmarkEnd w:id="151"/>
      <w:bookmarkEnd w:id="152"/>
      <w:bookmarkEnd w:id="153"/>
    </w:p>
    <w:tbl>
      <w:tblPr>
        <w:tblStyle w:val="20"/>
        <w:tblW w:w="10439" w:type="dxa"/>
        <w:jc w:val="center"/>
        <w:tblLayout w:type="fixed"/>
        <w:tblCellMar>
          <w:top w:w="0" w:type="dxa"/>
          <w:left w:w="108" w:type="dxa"/>
          <w:bottom w:w="0" w:type="dxa"/>
          <w:right w:w="108" w:type="dxa"/>
        </w:tblCellMar>
      </w:tblPr>
      <w:tblGrid>
        <w:gridCol w:w="3163"/>
        <w:gridCol w:w="7276"/>
      </w:tblGrid>
      <w:tr w14:paraId="54E181B1">
        <w:tblPrEx>
          <w:tblCellMar>
            <w:top w:w="0" w:type="dxa"/>
            <w:left w:w="108" w:type="dxa"/>
            <w:bottom w:w="0" w:type="dxa"/>
            <w:right w:w="108" w:type="dxa"/>
          </w:tblCellMar>
        </w:tblPrEx>
        <w:trPr>
          <w:cantSplit/>
          <w:trHeight w:val="79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70CD2F">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w:t>
            </w:r>
          </w:p>
        </w:tc>
        <w:tc>
          <w:tcPr>
            <w:tcW w:w="7276" w:type="dxa"/>
            <w:tcBorders>
              <w:top w:val="single" w:color="auto" w:sz="4" w:space="0"/>
              <w:left w:val="nil"/>
              <w:bottom w:val="single" w:color="auto" w:sz="4" w:space="0"/>
              <w:right w:val="single" w:color="auto" w:sz="4" w:space="0"/>
            </w:tcBorders>
            <w:vAlign w:val="center"/>
          </w:tcPr>
          <w:p w14:paraId="5CDA46A1">
            <w:pPr>
              <w:spacing w:line="440" w:lineRule="exact"/>
              <w:jc w:val="center"/>
              <w:rPr>
                <w:rFonts w:ascii="宋体" w:hAnsi="宋体" w:cs="宋体"/>
                <w:color w:val="000000" w:themeColor="text1"/>
                <w:sz w:val="24"/>
                <w:highlight w:val="none"/>
                <w14:textFill>
                  <w14:solidFill>
                    <w14:schemeClr w14:val="tx1"/>
                  </w14:solidFill>
                </w14:textFill>
              </w:rPr>
            </w:pPr>
          </w:p>
        </w:tc>
      </w:tr>
      <w:tr w14:paraId="3F624572">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38BB56E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供应商</w:t>
            </w:r>
          </w:p>
        </w:tc>
        <w:tc>
          <w:tcPr>
            <w:tcW w:w="7276" w:type="dxa"/>
            <w:tcBorders>
              <w:top w:val="single" w:color="auto" w:sz="4" w:space="0"/>
              <w:left w:val="nil"/>
              <w:bottom w:val="single" w:color="auto" w:sz="4" w:space="0"/>
              <w:right w:val="single" w:color="auto" w:sz="4" w:space="0"/>
            </w:tcBorders>
          </w:tcPr>
          <w:p w14:paraId="5050D19B">
            <w:pPr>
              <w:spacing w:line="440" w:lineRule="exact"/>
              <w:jc w:val="left"/>
              <w:rPr>
                <w:rFonts w:ascii="宋体" w:hAnsi="宋体" w:cs="宋体"/>
                <w:color w:val="000000" w:themeColor="text1"/>
                <w:sz w:val="24"/>
                <w:highlight w:val="none"/>
                <w14:textFill>
                  <w14:solidFill>
                    <w14:schemeClr w14:val="tx1"/>
                  </w14:solidFill>
                </w14:textFill>
              </w:rPr>
            </w:pPr>
          </w:p>
        </w:tc>
      </w:tr>
      <w:tr w14:paraId="0AB00F4A">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11E2025">
            <w:pPr>
              <w:spacing w:line="440" w:lineRule="exact"/>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供应商地址</w:t>
            </w:r>
          </w:p>
        </w:tc>
        <w:tc>
          <w:tcPr>
            <w:tcW w:w="7276" w:type="dxa"/>
            <w:tcBorders>
              <w:top w:val="single" w:color="auto" w:sz="4" w:space="0"/>
              <w:left w:val="nil"/>
              <w:bottom w:val="single" w:color="auto" w:sz="4" w:space="0"/>
              <w:right w:val="single" w:color="auto" w:sz="4" w:space="0"/>
            </w:tcBorders>
          </w:tcPr>
          <w:p w14:paraId="678BCF58">
            <w:pPr>
              <w:spacing w:line="440" w:lineRule="exact"/>
              <w:jc w:val="left"/>
              <w:rPr>
                <w:rFonts w:ascii="宋体" w:hAnsi="宋体" w:cs="宋体"/>
                <w:color w:val="000000" w:themeColor="text1"/>
                <w:sz w:val="24"/>
                <w:highlight w:val="none"/>
                <w14:textFill>
                  <w14:solidFill>
                    <w14:schemeClr w14:val="tx1"/>
                  </w14:solidFill>
                </w14:textFill>
              </w:rPr>
            </w:pPr>
          </w:p>
        </w:tc>
      </w:tr>
      <w:tr w14:paraId="046BFC29">
        <w:tblPrEx>
          <w:tblCellMar>
            <w:top w:w="0" w:type="dxa"/>
            <w:left w:w="108" w:type="dxa"/>
            <w:bottom w:w="0" w:type="dxa"/>
            <w:right w:w="108" w:type="dxa"/>
          </w:tblCellMar>
        </w:tblPrEx>
        <w:trPr>
          <w:cantSplit/>
          <w:trHeight w:val="703"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275AA42">
            <w:pPr>
              <w:spacing w:line="440" w:lineRule="exact"/>
              <w:jc w:val="center"/>
              <w:rPr>
                <w:rFonts w:hint="eastAsia" w:ascii="宋体" w:hAnsi="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供应商统一社会信用代码</w:t>
            </w:r>
          </w:p>
        </w:tc>
        <w:tc>
          <w:tcPr>
            <w:tcW w:w="7276" w:type="dxa"/>
            <w:tcBorders>
              <w:top w:val="single" w:color="auto" w:sz="4" w:space="0"/>
              <w:left w:val="nil"/>
              <w:bottom w:val="single" w:color="auto" w:sz="4" w:space="0"/>
              <w:right w:val="single" w:color="auto" w:sz="4" w:space="0"/>
            </w:tcBorders>
          </w:tcPr>
          <w:p w14:paraId="17170A4B">
            <w:pPr>
              <w:spacing w:line="440" w:lineRule="exact"/>
              <w:jc w:val="left"/>
              <w:rPr>
                <w:rFonts w:ascii="宋体" w:hAnsi="宋体" w:cs="宋体"/>
                <w:color w:val="000000" w:themeColor="text1"/>
                <w:sz w:val="24"/>
                <w:highlight w:val="none"/>
                <w14:textFill>
                  <w14:solidFill>
                    <w14:schemeClr w14:val="tx1"/>
                  </w14:solidFill>
                </w14:textFill>
              </w:rPr>
            </w:pPr>
          </w:p>
        </w:tc>
      </w:tr>
      <w:tr w14:paraId="28F7CCDF">
        <w:tblPrEx>
          <w:tblCellMar>
            <w:top w:w="0" w:type="dxa"/>
            <w:left w:w="108" w:type="dxa"/>
            <w:bottom w:w="0" w:type="dxa"/>
            <w:right w:w="108" w:type="dxa"/>
          </w:tblCellMar>
        </w:tblPrEx>
        <w:trPr>
          <w:cantSplit/>
          <w:trHeight w:val="921" w:hRule="atLeast"/>
          <w:jc w:val="center"/>
        </w:trPr>
        <w:tc>
          <w:tcPr>
            <w:tcW w:w="3163" w:type="dxa"/>
            <w:vMerge w:val="restart"/>
            <w:tcBorders>
              <w:top w:val="nil"/>
              <w:left w:val="single" w:color="auto" w:sz="4" w:space="0"/>
              <w:bottom w:val="single" w:color="auto" w:sz="4" w:space="0"/>
              <w:right w:val="single" w:color="auto" w:sz="4" w:space="0"/>
            </w:tcBorders>
            <w:vAlign w:val="center"/>
          </w:tcPr>
          <w:p w14:paraId="0236CA8D">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磋商总报价（元）（供应商应在此填列第一次报价，但以供应商最后一次的投标报价为成交价）</w:t>
            </w:r>
          </w:p>
        </w:tc>
        <w:tc>
          <w:tcPr>
            <w:tcW w:w="7276" w:type="dxa"/>
            <w:tcBorders>
              <w:top w:val="single" w:color="auto" w:sz="4" w:space="0"/>
              <w:left w:val="nil"/>
              <w:bottom w:val="single" w:color="auto" w:sz="4" w:space="0"/>
              <w:right w:val="single" w:color="auto" w:sz="4" w:space="0"/>
            </w:tcBorders>
            <w:vAlign w:val="center"/>
          </w:tcPr>
          <w:p w14:paraId="01B881FD">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大写：</w:t>
            </w:r>
          </w:p>
        </w:tc>
      </w:tr>
      <w:tr w14:paraId="5513F97C">
        <w:tblPrEx>
          <w:tblCellMar>
            <w:top w:w="0" w:type="dxa"/>
            <w:left w:w="108" w:type="dxa"/>
            <w:bottom w:w="0" w:type="dxa"/>
            <w:right w:w="108" w:type="dxa"/>
          </w:tblCellMar>
        </w:tblPrEx>
        <w:trPr>
          <w:cantSplit/>
          <w:trHeight w:val="822" w:hRule="atLeast"/>
          <w:jc w:val="center"/>
        </w:trPr>
        <w:tc>
          <w:tcPr>
            <w:tcW w:w="3163" w:type="dxa"/>
            <w:vMerge w:val="continue"/>
            <w:tcBorders>
              <w:top w:val="nil"/>
              <w:left w:val="single" w:color="auto" w:sz="4" w:space="0"/>
              <w:bottom w:val="single" w:color="auto" w:sz="4" w:space="0"/>
              <w:right w:val="single" w:color="auto" w:sz="4" w:space="0"/>
            </w:tcBorders>
            <w:vAlign w:val="center"/>
          </w:tcPr>
          <w:p w14:paraId="774614EC">
            <w:pPr>
              <w:widowControl/>
              <w:spacing w:line="240" w:lineRule="auto"/>
              <w:jc w:val="left"/>
              <w:rPr>
                <w:rFonts w:ascii="宋体" w:hAnsi="宋体" w:cs="宋体"/>
                <w:color w:val="000000" w:themeColor="text1"/>
                <w:sz w:val="24"/>
                <w:highlight w:val="none"/>
                <w14:textFill>
                  <w14:solidFill>
                    <w14:schemeClr w14:val="tx1"/>
                  </w14:solidFill>
                </w14:textFill>
              </w:rPr>
            </w:pPr>
          </w:p>
        </w:tc>
        <w:tc>
          <w:tcPr>
            <w:tcW w:w="7276" w:type="dxa"/>
            <w:tcBorders>
              <w:top w:val="single" w:color="auto" w:sz="4" w:space="0"/>
              <w:left w:val="nil"/>
              <w:bottom w:val="single" w:color="auto" w:sz="4" w:space="0"/>
              <w:right w:val="single" w:color="auto" w:sz="4" w:space="0"/>
            </w:tcBorders>
            <w:vAlign w:val="center"/>
          </w:tcPr>
          <w:p w14:paraId="665B4903">
            <w:pPr>
              <w:spacing w:line="440" w:lineRule="exac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小写：        </w:t>
            </w:r>
          </w:p>
        </w:tc>
      </w:tr>
      <w:tr w14:paraId="2D989642">
        <w:tblPrEx>
          <w:tblCellMar>
            <w:top w:w="0" w:type="dxa"/>
            <w:left w:w="108" w:type="dxa"/>
            <w:bottom w:w="0" w:type="dxa"/>
            <w:right w:w="108" w:type="dxa"/>
          </w:tblCellMar>
        </w:tblPrEx>
        <w:trPr>
          <w:trHeight w:val="771"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D5A4D5F">
            <w:pPr>
              <w:spacing w:line="440" w:lineRule="exact"/>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质量</w:t>
            </w:r>
            <w:r>
              <w:rPr>
                <w:rFonts w:hint="eastAsia" w:ascii="宋体" w:hAnsi="宋体" w:cs="宋体"/>
                <w:color w:val="000000" w:themeColor="text1"/>
                <w:sz w:val="24"/>
                <w:highlight w:val="none"/>
                <w:lang w:val="en-US" w:eastAsia="zh-CN"/>
                <w14:textFill>
                  <w14:solidFill>
                    <w14:schemeClr w14:val="tx1"/>
                  </w14:solidFill>
                </w14:textFill>
              </w:rPr>
              <w:t>标准</w:t>
            </w:r>
          </w:p>
        </w:tc>
        <w:tc>
          <w:tcPr>
            <w:tcW w:w="7276" w:type="dxa"/>
            <w:tcBorders>
              <w:top w:val="single" w:color="auto" w:sz="4" w:space="0"/>
              <w:left w:val="nil"/>
              <w:bottom w:val="single" w:color="auto" w:sz="4" w:space="0"/>
              <w:right w:val="single" w:color="auto" w:sz="4" w:space="0"/>
            </w:tcBorders>
          </w:tcPr>
          <w:p w14:paraId="5F77D438">
            <w:pPr>
              <w:spacing w:line="440" w:lineRule="exact"/>
              <w:jc w:val="left"/>
              <w:rPr>
                <w:rFonts w:ascii="宋体" w:hAnsi="宋体" w:cs="宋体"/>
                <w:color w:val="000000" w:themeColor="text1"/>
                <w:sz w:val="24"/>
                <w:highlight w:val="none"/>
                <w14:textFill>
                  <w14:solidFill>
                    <w14:schemeClr w14:val="tx1"/>
                  </w14:solidFill>
                </w14:textFill>
              </w:rPr>
            </w:pPr>
          </w:p>
        </w:tc>
      </w:tr>
      <w:tr w14:paraId="696F0475">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402F0FD0">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供货期</w:t>
            </w:r>
          </w:p>
        </w:tc>
        <w:tc>
          <w:tcPr>
            <w:tcW w:w="7276" w:type="dxa"/>
            <w:tcBorders>
              <w:top w:val="single" w:color="auto" w:sz="4" w:space="0"/>
              <w:left w:val="nil"/>
              <w:bottom w:val="single" w:color="auto" w:sz="4" w:space="0"/>
              <w:right w:val="single" w:color="auto" w:sz="4" w:space="0"/>
            </w:tcBorders>
          </w:tcPr>
          <w:p w14:paraId="04995D26">
            <w:pPr>
              <w:spacing w:line="440" w:lineRule="exact"/>
              <w:jc w:val="left"/>
              <w:rPr>
                <w:rFonts w:ascii="宋体" w:hAnsi="宋体" w:cs="宋体"/>
                <w:color w:val="000000" w:themeColor="text1"/>
                <w:sz w:val="24"/>
                <w:highlight w:val="none"/>
                <w14:textFill>
                  <w14:solidFill>
                    <w14:schemeClr w14:val="tx1"/>
                  </w14:solidFill>
                </w14:textFill>
              </w:rPr>
            </w:pPr>
          </w:p>
        </w:tc>
      </w:tr>
      <w:tr w14:paraId="1E01DE2D">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6E642F99">
            <w:pPr>
              <w:spacing w:line="440" w:lineRule="exact"/>
              <w:ind w:left="79"/>
              <w:jc w:val="center"/>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质保期</w:t>
            </w:r>
          </w:p>
        </w:tc>
        <w:tc>
          <w:tcPr>
            <w:tcW w:w="7276" w:type="dxa"/>
            <w:tcBorders>
              <w:top w:val="single" w:color="auto" w:sz="4" w:space="0"/>
              <w:left w:val="nil"/>
              <w:bottom w:val="single" w:color="auto" w:sz="4" w:space="0"/>
              <w:right w:val="single" w:color="auto" w:sz="4" w:space="0"/>
            </w:tcBorders>
          </w:tcPr>
          <w:p w14:paraId="424BAD4C">
            <w:pPr>
              <w:spacing w:line="440" w:lineRule="exact"/>
              <w:jc w:val="left"/>
              <w:rPr>
                <w:rFonts w:ascii="宋体" w:hAnsi="宋体" w:cs="宋体"/>
                <w:color w:val="000000" w:themeColor="text1"/>
                <w:sz w:val="24"/>
                <w:highlight w:val="none"/>
                <w14:textFill>
                  <w14:solidFill>
                    <w14:schemeClr w14:val="tx1"/>
                  </w14:solidFill>
                </w14:textFill>
              </w:rPr>
            </w:pPr>
          </w:p>
        </w:tc>
      </w:tr>
      <w:tr w14:paraId="45BBF2DE">
        <w:tblPrEx>
          <w:tblCellMar>
            <w:top w:w="0" w:type="dxa"/>
            <w:left w:w="108" w:type="dxa"/>
            <w:bottom w:w="0" w:type="dxa"/>
            <w:right w:w="108" w:type="dxa"/>
          </w:tblCellMar>
        </w:tblPrEx>
        <w:trPr>
          <w:trHeight w:val="742"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0911ACB">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供货（服务）地点</w:t>
            </w:r>
          </w:p>
        </w:tc>
        <w:tc>
          <w:tcPr>
            <w:tcW w:w="7276" w:type="dxa"/>
            <w:tcBorders>
              <w:top w:val="single" w:color="auto" w:sz="4" w:space="0"/>
              <w:left w:val="nil"/>
              <w:bottom w:val="single" w:color="auto" w:sz="4" w:space="0"/>
              <w:right w:val="single" w:color="auto" w:sz="4" w:space="0"/>
            </w:tcBorders>
          </w:tcPr>
          <w:p w14:paraId="5AE5614F">
            <w:pPr>
              <w:spacing w:line="440" w:lineRule="exact"/>
              <w:jc w:val="left"/>
              <w:rPr>
                <w:rFonts w:ascii="宋体" w:hAnsi="宋体" w:cs="宋体"/>
                <w:color w:val="000000" w:themeColor="text1"/>
                <w:sz w:val="24"/>
                <w:highlight w:val="none"/>
                <w14:textFill>
                  <w14:solidFill>
                    <w14:schemeClr w14:val="tx1"/>
                  </w14:solidFill>
                </w14:textFill>
              </w:rPr>
            </w:pPr>
          </w:p>
        </w:tc>
      </w:tr>
      <w:tr w14:paraId="33225274">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F2C45A8">
            <w:pPr>
              <w:spacing w:line="440" w:lineRule="exact"/>
              <w:ind w:left="79"/>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eastAsia="zh-CN"/>
                <w14:textFill>
                  <w14:solidFill>
                    <w14:schemeClr w14:val="tx1"/>
                  </w14:solidFill>
                </w14:textFill>
              </w:rPr>
              <w:t>磋商</w:t>
            </w:r>
            <w:r>
              <w:rPr>
                <w:rFonts w:hint="eastAsia" w:ascii="宋体" w:hAnsi="宋体" w:cs="宋体"/>
                <w:color w:val="000000" w:themeColor="text1"/>
                <w:sz w:val="24"/>
                <w:highlight w:val="none"/>
                <w14:textFill>
                  <w14:solidFill>
                    <w14:schemeClr w14:val="tx1"/>
                  </w14:solidFill>
                </w14:textFill>
              </w:rPr>
              <w:t>有效期（日历天）</w:t>
            </w:r>
          </w:p>
        </w:tc>
        <w:tc>
          <w:tcPr>
            <w:tcW w:w="7276" w:type="dxa"/>
            <w:tcBorders>
              <w:top w:val="single" w:color="auto" w:sz="4" w:space="0"/>
              <w:left w:val="nil"/>
              <w:bottom w:val="single" w:color="auto" w:sz="4" w:space="0"/>
              <w:right w:val="single" w:color="auto" w:sz="4" w:space="0"/>
            </w:tcBorders>
            <w:vAlign w:val="center"/>
          </w:tcPr>
          <w:p w14:paraId="30E3B077">
            <w:pPr>
              <w:spacing w:line="440" w:lineRule="exact"/>
              <w:jc w:val="center"/>
              <w:rPr>
                <w:rFonts w:ascii="宋体" w:hAnsi="宋体" w:cs="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磋商</w:t>
            </w:r>
            <w:r>
              <w:rPr>
                <w:rFonts w:hint="eastAsia" w:ascii="宋体" w:hAnsi="宋体"/>
                <w:color w:val="000000" w:themeColor="text1"/>
                <w:sz w:val="24"/>
                <w:highlight w:val="none"/>
                <w14:textFill>
                  <w14:solidFill>
                    <w14:schemeClr w14:val="tx1"/>
                  </w14:solidFill>
                </w14:textFill>
              </w:rPr>
              <w:t>截止之日起60日历天</w:t>
            </w:r>
          </w:p>
        </w:tc>
      </w:tr>
      <w:tr w14:paraId="19FDFDC6">
        <w:tblPrEx>
          <w:tblCellMar>
            <w:top w:w="0" w:type="dxa"/>
            <w:left w:w="108" w:type="dxa"/>
            <w:bottom w:w="0" w:type="dxa"/>
            <w:right w:w="108" w:type="dxa"/>
          </w:tblCellMar>
        </w:tblPrEx>
        <w:trPr>
          <w:trHeight w:val="815"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568CE059">
            <w:pPr>
              <w:spacing w:line="440" w:lineRule="exact"/>
              <w:ind w:left="79"/>
              <w:jc w:val="center"/>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项目负责人及联系方式</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lang w:val="en-US" w:eastAsia="zh-CN"/>
                <w14:textFill>
                  <w14:solidFill>
                    <w14:schemeClr w14:val="tx1"/>
                  </w14:solidFill>
                </w14:textFill>
              </w:rPr>
              <w:t>手机号</w:t>
            </w:r>
            <w:r>
              <w:rPr>
                <w:rFonts w:hint="eastAsia" w:ascii="宋体" w:hAnsi="宋体" w:cs="宋体"/>
                <w:color w:val="000000" w:themeColor="text1"/>
                <w:sz w:val="24"/>
                <w:highlight w:val="none"/>
                <w:lang w:eastAsia="zh-CN"/>
                <w14:textFill>
                  <w14:solidFill>
                    <w14:schemeClr w14:val="tx1"/>
                  </w14:solidFill>
                </w14:textFill>
              </w:rPr>
              <w:t>）</w:t>
            </w:r>
          </w:p>
        </w:tc>
        <w:tc>
          <w:tcPr>
            <w:tcW w:w="7276" w:type="dxa"/>
            <w:tcBorders>
              <w:top w:val="single" w:color="auto" w:sz="4" w:space="0"/>
              <w:left w:val="nil"/>
              <w:bottom w:val="single" w:color="auto" w:sz="4" w:space="0"/>
              <w:right w:val="single" w:color="auto" w:sz="4" w:space="0"/>
            </w:tcBorders>
            <w:vAlign w:val="center"/>
          </w:tcPr>
          <w:p w14:paraId="275216C6">
            <w:pPr>
              <w:spacing w:line="440" w:lineRule="exact"/>
              <w:jc w:val="center"/>
              <w:rPr>
                <w:rFonts w:ascii="宋体" w:hAnsi="宋体" w:cs="宋体"/>
                <w:color w:val="000000" w:themeColor="text1"/>
                <w:sz w:val="24"/>
                <w:highlight w:val="none"/>
                <w14:textFill>
                  <w14:solidFill>
                    <w14:schemeClr w14:val="tx1"/>
                  </w14:solidFill>
                </w14:textFill>
              </w:rPr>
            </w:pPr>
          </w:p>
        </w:tc>
      </w:tr>
      <w:tr w14:paraId="1D5B1AE8">
        <w:tblPrEx>
          <w:tblCellMar>
            <w:top w:w="0" w:type="dxa"/>
            <w:left w:w="108" w:type="dxa"/>
            <w:bottom w:w="0" w:type="dxa"/>
            <w:right w:w="108" w:type="dxa"/>
          </w:tblCellMar>
        </w:tblPrEx>
        <w:trPr>
          <w:trHeight w:val="850" w:hRule="atLeast"/>
          <w:jc w:val="center"/>
        </w:trPr>
        <w:tc>
          <w:tcPr>
            <w:tcW w:w="3163" w:type="dxa"/>
            <w:tcBorders>
              <w:top w:val="single" w:color="auto" w:sz="4" w:space="0"/>
              <w:left w:val="single" w:color="auto" w:sz="4" w:space="0"/>
              <w:bottom w:val="single" w:color="auto" w:sz="4" w:space="0"/>
              <w:right w:val="single" w:color="auto" w:sz="4" w:space="0"/>
            </w:tcBorders>
            <w:vAlign w:val="center"/>
          </w:tcPr>
          <w:p w14:paraId="0A3D55BF">
            <w:pPr>
              <w:spacing w:line="440" w:lineRule="exact"/>
              <w:ind w:left="8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备注</w:t>
            </w:r>
          </w:p>
        </w:tc>
        <w:tc>
          <w:tcPr>
            <w:tcW w:w="7276" w:type="dxa"/>
            <w:tcBorders>
              <w:top w:val="single" w:color="auto" w:sz="4" w:space="0"/>
              <w:left w:val="nil"/>
              <w:bottom w:val="single" w:color="auto" w:sz="4" w:space="0"/>
              <w:right w:val="single" w:color="auto" w:sz="4" w:space="0"/>
            </w:tcBorders>
          </w:tcPr>
          <w:p w14:paraId="7DAA3487">
            <w:pPr>
              <w:spacing w:line="440" w:lineRule="exact"/>
              <w:jc w:val="left"/>
              <w:rPr>
                <w:rFonts w:ascii="宋体" w:hAnsi="宋体" w:cs="宋体"/>
                <w:color w:val="000000" w:themeColor="text1"/>
                <w:sz w:val="24"/>
                <w:highlight w:val="none"/>
                <w14:textFill>
                  <w14:solidFill>
                    <w14:schemeClr w14:val="tx1"/>
                  </w14:solidFill>
                </w14:textFill>
              </w:rPr>
            </w:pPr>
          </w:p>
        </w:tc>
      </w:tr>
    </w:tbl>
    <w:p w14:paraId="2D489A6D">
      <w:pPr>
        <w:rPr>
          <w:rFonts w:ascii="宋体" w:hAnsi="宋体"/>
          <w:color w:val="000000" w:themeColor="text1"/>
          <w:sz w:val="24"/>
          <w:highlight w:val="none"/>
          <w14:textFill>
            <w14:solidFill>
              <w14:schemeClr w14:val="tx1"/>
            </w14:solidFill>
          </w14:textFill>
        </w:rPr>
      </w:pPr>
    </w:p>
    <w:p w14:paraId="422B4976">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BEFFCC2">
      <w:pPr>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C323E14">
      <w:pPr>
        <w:jc w:val="center"/>
        <w:rPr>
          <w:rFonts w:ascii="宋体" w:hAnsi="宋体"/>
          <w:b/>
          <w:bCs/>
          <w:color w:val="000000" w:themeColor="text1"/>
          <w:kern w:val="44"/>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161B8053">
      <w:pPr>
        <w:spacing w:line="396" w:lineRule="auto"/>
        <w:jc w:val="center"/>
        <w:outlineLvl w:val="0"/>
        <w:rPr>
          <w:b/>
          <w:bCs/>
          <w:color w:val="000000" w:themeColor="text1"/>
          <w:kern w:val="44"/>
          <w:sz w:val="32"/>
          <w:szCs w:val="32"/>
          <w:highlight w:val="none"/>
          <w14:textFill>
            <w14:solidFill>
              <w14:schemeClr w14:val="tx1"/>
            </w14:solidFill>
          </w14:textFill>
        </w:rPr>
      </w:pPr>
      <w:bookmarkStart w:id="154" w:name="_Toc24265_WPSOffice_Level1"/>
      <w:bookmarkStart w:id="155" w:name="_Toc9326_WPSOffice_Level1"/>
      <w:r>
        <w:rPr>
          <w:rFonts w:hint="eastAsia" w:ascii="宋体" w:hAnsi="宋体"/>
          <w:b/>
          <w:bCs/>
          <w:color w:val="000000" w:themeColor="text1"/>
          <w:kern w:val="44"/>
          <w:sz w:val="32"/>
          <w:szCs w:val="32"/>
          <w:highlight w:val="none"/>
          <w14:textFill>
            <w14:solidFill>
              <w14:schemeClr w14:val="tx1"/>
            </w14:solidFill>
          </w14:textFill>
        </w:rPr>
        <w:br w:type="page"/>
      </w:r>
      <w:bookmarkStart w:id="156" w:name="_Toc12878"/>
      <w:bookmarkStart w:id="157" w:name="_Toc10318"/>
      <w:r>
        <w:rPr>
          <w:rFonts w:hint="eastAsia" w:ascii="宋体" w:hAnsi="宋体"/>
          <w:b/>
          <w:bCs/>
          <w:color w:val="000000" w:themeColor="text1"/>
          <w:kern w:val="44"/>
          <w:sz w:val="32"/>
          <w:szCs w:val="32"/>
          <w:highlight w:val="none"/>
          <w14:textFill>
            <w14:solidFill>
              <w14:schemeClr w14:val="tx1"/>
            </w14:solidFill>
          </w14:textFill>
        </w:rPr>
        <w:t>三、法定代表人身份证明</w:t>
      </w:r>
      <w:bookmarkEnd w:id="154"/>
      <w:bookmarkEnd w:id="155"/>
      <w:bookmarkEnd w:id="156"/>
      <w:bookmarkEnd w:id="157"/>
    </w:p>
    <w:p w14:paraId="24B7AB05">
      <w:pPr>
        <w:spacing w:line="500" w:lineRule="exact"/>
        <w:rPr>
          <w:rFonts w:ascii="宋体" w:hAnsi="宋体"/>
          <w:color w:val="000000" w:themeColor="text1"/>
          <w:highlight w:val="none"/>
          <w14:textFill>
            <w14:solidFill>
              <w14:schemeClr w14:val="tx1"/>
            </w14:solidFill>
          </w14:textFill>
        </w:rPr>
      </w:pPr>
    </w:p>
    <w:p w14:paraId="3AD958A4">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p>
    <w:p w14:paraId="31A3131B">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单位性质：</w:t>
      </w:r>
    </w:p>
    <w:p w14:paraId="5BB87F9F">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p>
    <w:p w14:paraId="5C83B2B2">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成立时间：</w:t>
      </w:r>
    </w:p>
    <w:p w14:paraId="054EC91E">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经营期限：</w:t>
      </w:r>
    </w:p>
    <w:p w14:paraId="68F9A3C8">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名：性        别：</w:t>
      </w:r>
    </w:p>
    <w:p w14:paraId="67FB5127">
      <w:pPr>
        <w:spacing w:line="500" w:lineRule="exact"/>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龄：职        务：</w:t>
      </w:r>
    </w:p>
    <w:p w14:paraId="48A94724">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w:t>
      </w:r>
    </w:p>
    <w:p w14:paraId="79E1FA49">
      <w:pPr>
        <w:spacing w:line="500" w:lineRule="exac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65818A75">
      <w:pPr>
        <w:spacing w:line="500" w:lineRule="exact"/>
        <w:rPr>
          <w:rFonts w:ascii="宋体" w:hAnsi="宋体"/>
          <w:color w:val="000000" w:themeColor="text1"/>
          <w:sz w:val="24"/>
          <w:highlight w:val="none"/>
          <w14:textFill>
            <w14:solidFill>
              <w14:schemeClr w14:val="tx1"/>
            </w14:solidFill>
          </w14:textFill>
        </w:rPr>
      </w:pPr>
    </w:p>
    <w:p w14:paraId="1760B245">
      <w:pPr>
        <w:spacing w:line="500" w:lineRule="exact"/>
        <w:rPr>
          <w:rFonts w:ascii="宋体" w:hAnsi="宋体"/>
          <w:color w:val="000000" w:themeColor="text1"/>
          <w:sz w:val="24"/>
          <w:highlight w:val="none"/>
          <w14:textFill>
            <w14:solidFill>
              <w14:schemeClr w14:val="tx1"/>
            </w14:solidFill>
          </w14:textFill>
        </w:rPr>
      </w:pPr>
    </w:p>
    <w:p w14:paraId="27F69507">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5B279825">
      <w:pPr>
        <w:wordWrap w:val="0"/>
        <w:spacing w:line="500" w:lineRule="exact"/>
        <w:jc w:val="right"/>
        <w:rPr>
          <w:rFonts w:ascii="宋体" w:hAnsi="宋体"/>
          <w:color w:val="000000" w:themeColor="text1"/>
          <w:sz w:val="24"/>
          <w:highlight w:val="none"/>
          <w14:textFill>
            <w14:solidFill>
              <w14:schemeClr w14:val="tx1"/>
            </w14:solidFill>
          </w14:textFill>
        </w:rPr>
      </w:pPr>
    </w:p>
    <w:p w14:paraId="0F0A5FD5">
      <w:pPr>
        <w:wordWrap w:val="0"/>
        <w:spacing w:line="500" w:lineRule="exact"/>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年    月   日          </w:t>
      </w:r>
    </w:p>
    <w:p w14:paraId="4159EDEB">
      <w:pPr>
        <w:rPr>
          <w:color w:val="000000" w:themeColor="text1"/>
          <w:sz w:val="24"/>
          <w:highlight w:val="none"/>
          <w14:textFill>
            <w14:solidFill>
              <w14:schemeClr w14:val="tx1"/>
            </w14:solidFill>
          </w14:textFill>
        </w:rPr>
      </w:pPr>
      <w:bookmarkStart w:id="158" w:name="_Toc466566719"/>
      <w:bookmarkEnd w:id="158"/>
      <w:bookmarkStart w:id="159" w:name="_Toc466566809"/>
      <w:bookmarkEnd w:id="159"/>
    </w:p>
    <w:p w14:paraId="2814B57E">
      <w:pPr>
        <w:rPr>
          <w:color w:val="000000" w:themeColor="text1"/>
          <w:highlight w:val="none"/>
          <w14:textFill>
            <w14:solidFill>
              <w14:schemeClr w14:val="tx1"/>
            </w14:solidFill>
          </w14:textFill>
        </w:rPr>
      </w:pPr>
    </w:p>
    <w:p w14:paraId="723AFD3C">
      <w:pPr>
        <w:rPr>
          <w:color w:val="000000" w:themeColor="text1"/>
          <w:highlight w:val="none"/>
          <w14:textFill>
            <w14:solidFill>
              <w14:schemeClr w14:val="tx1"/>
            </w14:solidFill>
          </w14:textFill>
        </w:rPr>
      </w:pPr>
    </w:p>
    <w:p w14:paraId="619E3B36">
      <w:pPr>
        <w:rPr>
          <w:color w:val="000000" w:themeColor="text1"/>
          <w:highlight w:val="none"/>
          <w14:textFill>
            <w14:solidFill>
              <w14:schemeClr w14:val="tx1"/>
            </w14:solidFill>
          </w14:textFill>
        </w:rPr>
      </w:pPr>
    </w:p>
    <w:p w14:paraId="3A9ADB62">
      <w:pPr>
        <w:rPr>
          <w:color w:val="000000" w:themeColor="text1"/>
          <w:highlight w:val="none"/>
          <w14:textFill>
            <w14:solidFill>
              <w14:schemeClr w14:val="tx1"/>
            </w14:solidFill>
          </w14:textFill>
        </w:rPr>
      </w:pPr>
    </w:p>
    <w:p w14:paraId="16DD68AD">
      <w:pPr>
        <w:rPr>
          <w:color w:val="000000" w:themeColor="text1"/>
          <w:highlight w:val="none"/>
          <w14:textFill>
            <w14:solidFill>
              <w14:schemeClr w14:val="tx1"/>
            </w14:solidFill>
          </w14:textFill>
        </w:rPr>
      </w:pPr>
    </w:p>
    <w:p w14:paraId="1A88594E">
      <w:pPr>
        <w:rPr>
          <w:color w:val="000000" w:themeColor="text1"/>
          <w:highlight w:val="none"/>
          <w14:textFill>
            <w14:solidFill>
              <w14:schemeClr w14:val="tx1"/>
            </w14:solidFill>
          </w14:textFill>
        </w:rPr>
      </w:pPr>
    </w:p>
    <w:p w14:paraId="05A27413">
      <w:pPr>
        <w:rPr>
          <w:color w:val="000000" w:themeColor="text1"/>
          <w:highlight w:val="none"/>
          <w14:textFill>
            <w14:solidFill>
              <w14:schemeClr w14:val="tx1"/>
            </w14:solidFill>
          </w14:textFill>
        </w:rPr>
      </w:pPr>
    </w:p>
    <w:p w14:paraId="3CBCDD53">
      <w:pPr>
        <w:rPr>
          <w:color w:val="000000" w:themeColor="text1"/>
          <w:highlight w:val="none"/>
          <w14:textFill>
            <w14:solidFill>
              <w14:schemeClr w14:val="tx1"/>
            </w14:solidFill>
          </w14:textFill>
        </w:rPr>
      </w:pPr>
    </w:p>
    <w:p w14:paraId="3339B2AA">
      <w:pPr>
        <w:rPr>
          <w:color w:val="000000" w:themeColor="text1"/>
          <w:highlight w:val="none"/>
          <w14:textFill>
            <w14:solidFill>
              <w14:schemeClr w14:val="tx1"/>
            </w14:solidFill>
          </w14:textFill>
        </w:rPr>
      </w:pPr>
    </w:p>
    <w:p w14:paraId="2090D389">
      <w:pPr>
        <w:rPr>
          <w:color w:val="000000" w:themeColor="text1"/>
          <w:highlight w:val="none"/>
          <w14:textFill>
            <w14:solidFill>
              <w14:schemeClr w14:val="tx1"/>
            </w14:solidFill>
          </w14:textFill>
        </w:rPr>
      </w:pPr>
    </w:p>
    <w:p w14:paraId="257090BD">
      <w:pPr>
        <w:rPr>
          <w:color w:val="000000" w:themeColor="text1"/>
          <w:highlight w:val="none"/>
          <w14:textFill>
            <w14:solidFill>
              <w14:schemeClr w14:val="tx1"/>
            </w14:solidFill>
          </w14:textFill>
        </w:rPr>
      </w:pPr>
    </w:p>
    <w:p w14:paraId="70ED88FD">
      <w:pPr>
        <w:rPr>
          <w:color w:val="000000" w:themeColor="text1"/>
          <w:highlight w:val="none"/>
          <w14:textFill>
            <w14:solidFill>
              <w14:schemeClr w14:val="tx1"/>
            </w14:solidFill>
          </w14:textFill>
        </w:rPr>
      </w:pPr>
    </w:p>
    <w:p w14:paraId="5E248315">
      <w:pPr>
        <w:keepNext/>
        <w:keepLines/>
        <w:spacing w:line="660" w:lineRule="exact"/>
        <w:jc w:val="center"/>
        <w:outlineLvl w:val="0"/>
        <w:rPr>
          <w:b/>
          <w:bCs/>
          <w:color w:val="000000" w:themeColor="text1"/>
          <w:kern w:val="44"/>
          <w:sz w:val="28"/>
          <w:highlight w:val="none"/>
          <w14:textFill>
            <w14:solidFill>
              <w14:schemeClr w14:val="tx1"/>
            </w14:solidFill>
          </w14:textFill>
        </w:rPr>
      </w:pPr>
      <w:r>
        <w:rPr>
          <w:rFonts w:hint="eastAsia"/>
          <w:b/>
          <w:bCs/>
          <w:color w:val="000000" w:themeColor="text1"/>
          <w:kern w:val="44"/>
          <w:sz w:val="28"/>
          <w:highlight w:val="none"/>
          <w14:textFill>
            <w14:solidFill>
              <w14:schemeClr w14:val="tx1"/>
            </w14:solidFill>
          </w14:textFill>
        </w:rPr>
        <w:br w:type="page"/>
      </w:r>
      <w:bookmarkStart w:id="160" w:name="_Toc27519"/>
      <w:bookmarkStart w:id="161" w:name="_Toc12151"/>
      <w:bookmarkStart w:id="162" w:name="_Toc29951"/>
      <w:bookmarkStart w:id="163" w:name="_Toc30554_WPSOffice_Level1"/>
      <w:bookmarkStart w:id="164" w:name="_Toc18398_WPSOffice_Level1"/>
      <w:bookmarkStart w:id="165" w:name="_Toc20977"/>
      <w:bookmarkStart w:id="166" w:name="_Toc15745"/>
      <w:r>
        <w:rPr>
          <w:rFonts w:hint="eastAsia" w:ascii="宋体" w:hAnsi="宋体"/>
          <w:b/>
          <w:bCs/>
          <w:color w:val="000000" w:themeColor="text1"/>
          <w:kern w:val="44"/>
          <w:sz w:val="28"/>
          <w:highlight w:val="none"/>
          <w14:textFill>
            <w14:solidFill>
              <w14:schemeClr w14:val="tx1"/>
            </w14:solidFill>
          </w14:textFill>
        </w:rPr>
        <w:t>四、授权委托书</w:t>
      </w:r>
      <w:bookmarkEnd w:id="160"/>
      <w:bookmarkEnd w:id="161"/>
      <w:bookmarkEnd w:id="162"/>
      <w:bookmarkEnd w:id="163"/>
      <w:bookmarkEnd w:id="164"/>
      <w:bookmarkEnd w:id="165"/>
      <w:bookmarkEnd w:id="166"/>
    </w:p>
    <w:p w14:paraId="6AAD75D4">
      <w:pPr>
        <w:spacing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本人（姓名）系（</w:t>
      </w:r>
      <w:r>
        <w:rPr>
          <w:rFonts w:hint="eastAsia" w:ascii="宋体" w:hAnsi="宋体" w:cs="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14:textFill>
            <w14:solidFill>
              <w14:schemeClr w14:val="tx1"/>
            </w14:solidFill>
          </w14:textFill>
        </w:rPr>
        <w:t>名称）的法定代表人，现委托（姓名）为我方代理人。代理人根据授权，以我方名义签署、澄清、说明、补正、递交、撤回、修改（项目名称）（所投标段）响应文件、签订合同和处理有关事宜，其法律后果由我方承担。</w:t>
      </w:r>
    </w:p>
    <w:p w14:paraId="677EB032">
      <w:pPr>
        <w:spacing w:before="317" w:beforeLines="100"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代理人无转委托权。</w:t>
      </w:r>
    </w:p>
    <w:p w14:paraId="1D3A1C12">
      <w:pPr>
        <w:spacing w:after="317" w:afterLines="100" w:line="500" w:lineRule="exact"/>
        <w:ind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附：法定代表人身份证复印件、被授权委托人身份证复印件</w:t>
      </w:r>
    </w:p>
    <w:p w14:paraId="345CEEEC">
      <w:pPr>
        <w:spacing w:line="500" w:lineRule="exact"/>
        <w:rPr>
          <w:rFonts w:ascii="宋体" w:hAnsi="宋体"/>
          <w:color w:val="000000" w:themeColor="text1"/>
          <w:sz w:val="24"/>
          <w:highlight w:val="none"/>
          <w14:textFill>
            <w14:solidFill>
              <w14:schemeClr w14:val="tx1"/>
            </w14:solidFill>
          </w14:textFill>
        </w:rPr>
      </w:pPr>
    </w:p>
    <w:p w14:paraId="7FC38DCC">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供应商：（</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4949978C">
      <w:pPr>
        <w:ind w:firstLine="2700" w:firstLineChars="1125"/>
        <w:rPr>
          <w:rFonts w:ascii="宋体" w:hAnsi="宋体"/>
          <w:color w:val="000000" w:themeColor="text1"/>
          <w:sz w:val="24"/>
          <w:highlight w:val="none"/>
          <w14:textFill>
            <w14:solidFill>
              <w14:schemeClr w14:val="tx1"/>
            </w14:solidFill>
          </w14:textFill>
        </w:rPr>
      </w:pPr>
    </w:p>
    <w:p w14:paraId="579E650A">
      <w:pPr>
        <w:ind w:firstLine="2700" w:firstLineChars="11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olor w:val="000000" w:themeColor="text1"/>
          <w:sz w:val="24"/>
          <w:highlight w:val="none"/>
          <w14:textFill>
            <w14:solidFill>
              <w14:schemeClr w14:val="tx1"/>
            </w14:solidFill>
          </w14:textFill>
        </w:rPr>
        <w:t>）</w:t>
      </w:r>
    </w:p>
    <w:p w14:paraId="6BC723A5">
      <w:pPr>
        <w:ind w:firstLine="2700" w:firstLineChars="1125"/>
        <w:rPr>
          <w:rFonts w:ascii="宋体" w:hAnsi="宋体"/>
          <w:color w:val="000000" w:themeColor="text1"/>
          <w:sz w:val="24"/>
          <w:highlight w:val="none"/>
          <w14:textFill>
            <w14:solidFill>
              <w14:schemeClr w14:val="tx1"/>
            </w14:solidFill>
          </w14:textFill>
        </w:rPr>
      </w:pPr>
    </w:p>
    <w:p w14:paraId="060BB47B">
      <w:pPr>
        <w:ind w:firstLine="2700" w:firstLineChars="1125"/>
        <w:rPr>
          <w:rFonts w:ascii="宋体" w:hAnsi="宋体"/>
          <w:color w:val="000000" w:themeColor="text1"/>
          <w:sz w:val="24"/>
          <w:highlight w:val="none"/>
          <w14:textFill>
            <w14:solidFill>
              <w14:schemeClr w14:val="tx1"/>
            </w14:solidFill>
          </w14:textFill>
        </w:rPr>
      </w:pPr>
    </w:p>
    <w:p w14:paraId="5C7EF061">
      <w:pPr>
        <w:ind w:firstLine="4380" w:firstLineChars="182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7224F422">
      <w:pPr>
        <w:widowControl/>
        <w:jc w:val="left"/>
        <w:rPr>
          <w:rFonts w:ascii="宋体" w:hAnsi="宋体"/>
          <w:color w:val="000000" w:themeColor="text1"/>
          <w:kern w:val="0"/>
          <w:sz w:val="24"/>
          <w:highlight w:val="none"/>
          <w14:textFill>
            <w14:solidFill>
              <w14:schemeClr w14:val="tx1"/>
            </w14:solidFill>
          </w14:textFill>
        </w:rPr>
      </w:pPr>
    </w:p>
    <w:p w14:paraId="101F37B4">
      <w:pPr>
        <w:widowControl/>
        <w:jc w:val="left"/>
        <w:rPr>
          <w:rFonts w:ascii="宋体" w:hAnsi="宋体"/>
          <w:color w:val="000000" w:themeColor="text1"/>
          <w:kern w:val="0"/>
          <w:sz w:val="24"/>
          <w:highlight w:val="none"/>
          <w14:textFill>
            <w14:solidFill>
              <w14:schemeClr w14:val="tx1"/>
            </w14:solidFill>
          </w14:textFill>
        </w:rPr>
      </w:pPr>
    </w:p>
    <w:p w14:paraId="426F56E4">
      <w:pPr>
        <w:widowControl/>
        <w:jc w:val="left"/>
        <w:rPr>
          <w:rFonts w:ascii="宋体" w:hAnsi="宋体"/>
          <w:color w:val="000000" w:themeColor="text1"/>
          <w:kern w:val="0"/>
          <w:sz w:val="24"/>
          <w:highlight w:val="none"/>
          <w14:textFill>
            <w14:solidFill>
              <w14:schemeClr w14:val="tx1"/>
            </w14:solidFill>
          </w14:textFill>
        </w:rPr>
      </w:pPr>
    </w:p>
    <w:p w14:paraId="4B7E3E82">
      <w:pPr>
        <w:rPr>
          <w:rFonts w:ascii="宋体" w:hAnsi="宋体"/>
          <w:color w:val="000000" w:themeColor="text1"/>
          <w:highlight w:val="none"/>
          <w14:textFill>
            <w14:solidFill>
              <w14:schemeClr w14:val="tx1"/>
            </w14:solidFill>
          </w14:textFill>
        </w:rPr>
        <w:sectPr>
          <w:pgSz w:w="11906" w:h="16838"/>
          <w:pgMar w:top="1440" w:right="1361" w:bottom="1440" w:left="1587" w:header="851" w:footer="992" w:gutter="0"/>
          <w:pgNumType w:fmt="decimal"/>
          <w:cols w:space="720" w:num="1"/>
          <w:docGrid w:type="lines" w:linePitch="317" w:charSpace="0"/>
        </w:sectPr>
      </w:pPr>
    </w:p>
    <w:p w14:paraId="17A55009">
      <w:pPr>
        <w:spacing w:line="540" w:lineRule="exact"/>
        <w:jc w:val="center"/>
        <w:rPr>
          <w:rFonts w:ascii="宋体" w:hAnsi="宋体" w:cs="宋体"/>
          <w:b/>
          <w:color w:val="000000" w:themeColor="text1"/>
          <w:sz w:val="32"/>
          <w:szCs w:val="32"/>
          <w:highlight w:val="none"/>
          <w14:textFill>
            <w14:solidFill>
              <w14:schemeClr w14:val="tx1"/>
            </w14:solidFill>
          </w14:textFill>
        </w:rPr>
      </w:pPr>
      <w:bookmarkStart w:id="167" w:name="_Toc466566721"/>
      <w:bookmarkStart w:id="168" w:name="_Toc23737"/>
      <w:bookmarkStart w:id="169" w:name="_Toc27393"/>
      <w:bookmarkStart w:id="170" w:name="_Toc8764_WPSOffice_Level1"/>
      <w:bookmarkStart w:id="171" w:name="_Toc27298"/>
      <w:bookmarkStart w:id="172" w:name="_Toc29941_WPSOffice_Level1"/>
      <w:bookmarkStart w:id="173" w:name="_Toc5638"/>
      <w:r>
        <w:rPr>
          <w:rFonts w:hint="eastAsia" w:ascii="宋体" w:hAnsi="宋体" w:cs="宋体"/>
          <w:b/>
          <w:bCs/>
          <w:color w:val="000000" w:themeColor="text1"/>
          <w:sz w:val="32"/>
          <w:szCs w:val="32"/>
          <w:highlight w:val="none"/>
          <w14:textFill>
            <w14:solidFill>
              <w14:schemeClr w14:val="tx1"/>
            </w14:solidFill>
          </w14:textFill>
        </w:rPr>
        <w:t>五、</w:t>
      </w:r>
      <w:r>
        <w:rPr>
          <w:rFonts w:hint="eastAsia" w:ascii="宋体" w:hAnsi="宋体" w:cs="宋体"/>
          <w:b/>
          <w:color w:val="000000" w:themeColor="text1"/>
          <w:sz w:val="32"/>
          <w:szCs w:val="32"/>
          <w:highlight w:val="none"/>
          <w14:textFill>
            <w14:solidFill>
              <w14:schemeClr w14:val="tx1"/>
            </w14:solidFill>
          </w14:textFill>
        </w:rPr>
        <w:t>磋商承诺函</w:t>
      </w:r>
    </w:p>
    <w:p w14:paraId="54DC2C20">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致（采购人）：</w:t>
      </w:r>
    </w:p>
    <w:p w14:paraId="19B88FA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我公司作为本次采购项目的供应商，根据招标文件要求，现郑重承诺如下：</w:t>
      </w:r>
    </w:p>
    <w:p w14:paraId="29FB1BF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一、具备《中华人民共和国政府采购法》第二十二条第一款和本项目规定的条件：</w:t>
      </w:r>
    </w:p>
    <w:p w14:paraId="055C2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（一）具有独立承担民事责任的能力；</w:t>
      </w:r>
    </w:p>
    <w:p w14:paraId="4AE029B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（二）具有良好的商业信誉和健全的财务会计制度；</w:t>
      </w:r>
    </w:p>
    <w:p w14:paraId="5A1BE3E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（三）具有履行合同所必需的设备和专业技术能力；</w:t>
      </w:r>
    </w:p>
    <w:p w14:paraId="470BDAE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（四）有依法缴纳税收和社会保障资金的良好记录；</w:t>
      </w:r>
    </w:p>
    <w:p w14:paraId="7AB6962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（五）参加政府采购活动前三年内，在经营活动中没有重大违法记录；</w:t>
      </w:r>
    </w:p>
    <w:p w14:paraId="496B25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（六）法律、行政法规规定的其他条件；</w:t>
      </w:r>
    </w:p>
    <w:p w14:paraId="2DBD0FB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（七）根据采购项目提出的特殊条件。</w:t>
      </w:r>
    </w:p>
    <w:p w14:paraId="2C94903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14:paraId="38F4D50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三、参加本次招标采购活动，不存在与单位负责人为同一人或者存在直接控股、管理关系的其他供应商参与同一合同项下的政府采购活动的行为。</w:t>
      </w:r>
    </w:p>
    <w:p w14:paraId="44C2105D">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四、参加本次招标采购活动，不存在和其他供应商在同一合同项下的采购项目中，同时委托同一个自然人、同一家庭的人员、同一单位的人员作为代理人的行为。</w:t>
      </w:r>
    </w:p>
    <w:p w14:paraId="3790679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五</w:t>
      </w:r>
      <w:r>
        <w:rPr>
          <w:rFonts w:hint="eastAsia" w:ascii="宋体" w:hAnsi="宋体" w:cs="宋体"/>
          <w:color w:val="000000" w:themeColor="text1"/>
          <w:sz w:val="24"/>
          <w:szCs w:val="32"/>
          <w:highlight w:val="none"/>
          <w14:textFill>
            <w14:solidFill>
              <w14:schemeClr w14:val="tx1"/>
            </w14:solidFill>
          </w14:textFill>
        </w:rPr>
        <w:t>、供应商参加本次政府采购活动要求在近三年内供应商和其法定代表人没有行贿犯罪行为。</w:t>
      </w:r>
    </w:p>
    <w:p w14:paraId="0FBF48E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六</w:t>
      </w:r>
      <w:r>
        <w:rPr>
          <w:rFonts w:hint="eastAsia" w:ascii="宋体" w:hAnsi="宋体" w:cs="宋体"/>
          <w:color w:val="000000" w:themeColor="text1"/>
          <w:sz w:val="24"/>
          <w:szCs w:val="32"/>
          <w:highlight w:val="none"/>
          <w14:textFill>
            <w14:solidFill>
              <w14:schemeClr w14:val="tx1"/>
            </w14:solidFill>
          </w14:textFill>
        </w:rPr>
        <w:t>、参加本次招标采购活动，不存在联合体投标。</w:t>
      </w:r>
    </w:p>
    <w:p w14:paraId="04BEFF2C">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七</w:t>
      </w:r>
      <w:r>
        <w:rPr>
          <w:rFonts w:hint="eastAsia" w:ascii="宋体" w:hAnsi="宋体" w:cs="宋体"/>
          <w:color w:val="000000" w:themeColor="text1"/>
          <w:sz w:val="24"/>
          <w:szCs w:val="32"/>
          <w:highlight w:val="none"/>
          <w14:textFill>
            <w14:solidFill>
              <w14:schemeClr w14:val="tx1"/>
            </w14:solidFill>
          </w14:textFill>
        </w:rPr>
        <w:t>、投标文件中提供的能够给予我公司带来优惠、好处的任何材料资料和技术、服务、商务等响应承诺情况都是真实的、有效的、合法的。</w:t>
      </w:r>
    </w:p>
    <w:p w14:paraId="4F3A0C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八</w:t>
      </w:r>
      <w:r>
        <w:rPr>
          <w:rFonts w:hint="eastAsia" w:ascii="宋体" w:hAnsi="宋体" w:cs="宋体"/>
          <w:color w:val="000000" w:themeColor="text1"/>
          <w:sz w:val="24"/>
          <w:szCs w:val="32"/>
          <w:highlight w:val="none"/>
          <w14:textFill>
            <w14:solidFill>
              <w14:schemeClr w14:val="tx1"/>
            </w14:solidFill>
          </w14:textFill>
        </w:rPr>
        <w:t>、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w:t>
      </w:r>
    </w:p>
    <w:p w14:paraId="24542C5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lang w:val="en-US" w:eastAsia="zh-CN"/>
          <w14:textFill>
            <w14:solidFill>
              <w14:schemeClr w14:val="tx1"/>
            </w14:solidFill>
          </w14:textFill>
        </w:rPr>
        <w:t>九</w:t>
      </w:r>
      <w:r>
        <w:rPr>
          <w:rFonts w:hint="eastAsia" w:ascii="宋体" w:hAnsi="宋体" w:cs="宋体"/>
          <w:color w:val="000000" w:themeColor="text1"/>
          <w:sz w:val="24"/>
          <w:szCs w:val="32"/>
          <w:highlight w:val="none"/>
          <w14:textFill>
            <w14:solidFill>
              <w14:schemeClr w14:val="tx1"/>
            </w14:solidFill>
          </w14:textFill>
        </w:rPr>
        <w:t>、存在以下行为之一的愿意接受相关部门的处理：</w:t>
      </w:r>
    </w:p>
    <w:p w14:paraId="4969C4DE">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（一）磋商有效期内撤销投标文件的；</w:t>
      </w:r>
    </w:p>
    <w:p w14:paraId="69458F47">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（二）在采购人确定中标人以前放弃中标候选资格的；</w:t>
      </w:r>
    </w:p>
    <w:p w14:paraId="6090C3E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（三）由于中标人的原因未能按照招标文件的规定与采购人签订合同；</w:t>
      </w:r>
    </w:p>
    <w:p w14:paraId="398EAFB6">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（四）在投标文件中提供虚假材料谋取中标；</w:t>
      </w:r>
    </w:p>
    <w:p w14:paraId="1E67393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（五）与采购人、其他供应商或者采购代理机构恶意串通的；</w:t>
      </w:r>
    </w:p>
    <w:p w14:paraId="70673FB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（六）磋商有效期内，供应商在政府采购活动中有违法、违规、违纪行为。</w:t>
      </w:r>
    </w:p>
    <w:p w14:paraId="6814EE4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由此产生的一切法律后果和责任由我公司承担。我公司声明放弃对此提出任何异议和追索的权利。</w:t>
      </w:r>
    </w:p>
    <w:p w14:paraId="0688ED1F">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本公司对上述承诺的内容事项真实性负责。如经查实上述承诺的内容事项存在虚假，我公司愿意接受以提供虚假材料谋取中标追究法律责任。</w:t>
      </w:r>
    </w:p>
    <w:p w14:paraId="3BBE6622">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975DF39">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p>
    <w:p w14:paraId="4FBB4378">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2DCADC04">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18478281">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4EC1156C">
      <w:pPr>
        <w:rPr>
          <w:rFonts w:ascii="宋体" w:hAnsi="宋体"/>
          <w:b/>
          <w:bCs/>
          <w:color w:val="000000" w:themeColor="text1"/>
          <w:kern w:val="44"/>
          <w:sz w:val="28"/>
          <w:highlight w:val="none"/>
          <w14:textFill>
            <w14:solidFill>
              <w14:schemeClr w14:val="tx1"/>
            </w14:solidFill>
          </w14:textFill>
        </w:rPr>
      </w:pPr>
    </w:p>
    <w:p w14:paraId="6C9600FD">
      <w:pP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7ACF11D0">
      <w:pPr>
        <w:jc w:val="center"/>
        <w:rPr>
          <w:rFonts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六、供应商资格审查资料</w:t>
      </w:r>
    </w:p>
    <w:p w14:paraId="7A81E0B8">
      <w:pPr>
        <w:spacing w:line="360" w:lineRule="auto"/>
        <w:jc w:val="center"/>
        <w:rPr>
          <w:color w:val="auto"/>
          <w:sz w:val="28"/>
          <w:szCs w:val="20"/>
          <w:highlight w:val="none"/>
        </w:rPr>
      </w:pPr>
      <w:bookmarkStart w:id="174" w:name="_Toc643"/>
      <w:r>
        <w:rPr>
          <w:rFonts w:hint="eastAsia"/>
          <w:color w:val="auto"/>
          <w:sz w:val="28"/>
          <w:szCs w:val="20"/>
          <w:highlight w:val="none"/>
          <w:lang w:val="en-US" w:eastAsia="zh-CN"/>
        </w:rPr>
        <w:t>(一)</w:t>
      </w:r>
      <w:r>
        <w:rPr>
          <w:rFonts w:hint="eastAsia"/>
          <w:color w:val="auto"/>
          <w:sz w:val="28"/>
          <w:szCs w:val="20"/>
          <w:highlight w:val="none"/>
        </w:rPr>
        <w:t>供应商基本情况表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1"/>
        <w:gridCol w:w="973"/>
        <w:gridCol w:w="1551"/>
        <w:gridCol w:w="1119"/>
        <w:gridCol w:w="1132"/>
        <w:gridCol w:w="235"/>
        <w:gridCol w:w="1679"/>
      </w:tblGrid>
      <w:tr w14:paraId="6E54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FE0B6B1">
            <w:pPr>
              <w:spacing w:line="360" w:lineRule="auto"/>
              <w:jc w:val="center"/>
              <w:rPr>
                <w:color w:val="auto"/>
                <w:sz w:val="24"/>
                <w:highlight w:val="none"/>
              </w:rPr>
            </w:pPr>
            <w:r>
              <w:rPr>
                <w:rFonts w:hint="eastAsia"/>
                <w:color w:val="auto"/>
                <w:sz w:val="24"/>
                <w:highlight w:val="none"/>
              </w:rPr>
              <w:t>供应商名称</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084D979E">
            <w:pPr>
              <w:spacing w:line="360" w:lineRule="auto"/>
              <w:rPr>
                <w:color w:val="auto"/>
                <w:sz w:val="24"/>
                <w:highlight w:val="none"/>
              </w:rPr>
            </w:pPr>
          </w:p>
        </w:tc>
      </w:tr>
      <w:tr w14:paraId="4C291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0937E67D">
            <w:pPr>
              <w:spacing w:line="360" w:lineRule="auto"/>
              <w:jc w:val="center"/>
              <w:rPr>
                <w:color w:val="auto"/>
                <w:sz w:val="24"/>
                <w:highlight w:val="none"/>
              </w:rPr>
            </w:pPr>
            <w:r>
              <w:rPr>
                <w:rFonts w:hint="eastAsia"/>
                <w:color w:val="auto"/>
                <w:sz w:val="24"/>
                <w:highlight w:val="none"/>
              </w:rPr>
              <w:t>注册地址</w:t>
            </w:r>
          </w:p>
        </w:tc>
        <w:tc>
          <w:tcPr>
            <w:tcW w:w="3643" w:type="dxa"/>
            <w:gridSpan w:val="3"/>
            <w:tcBorders>
              <w:top w:val="single" w:color="auto" w:sz="4" w:space="0"/>
              <w:left w:val="single" w:color="auto" w:sz="4" w:space="0"/>
              <w:bottom w:val="single" w:color="auto" w:sz="4" w:space="0"/>
              <w:right w:val="single" w:color="auto" w:sz="4" w:space="0"/>
            </w:tcBorders>
            <w:noWrap/>
            <w:vAlign w:val="center"/>
          </w:tcPr>
          <w:p w14:paraId="1B524B08">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AA65B1A">
            <w:pPr>
              <w:spacing w:line="360" w:lineRule="auto"/>
              <w:rPr>
                <w:color w:val="auto"/>
                <w:sz w:val="24"/>
                <w:highlight w:val="none"/>
              </w:rPr>
            </w:pPr>
            <w:r>
              <w:rPr>
                <w:rFonts w:hint="eastAsia"/>
                <w:color w:val="auto"/>
                <w:sz w:val="24"/>
                <w:highlight w:val="none"/>
              </w:rPr>
              <w:t>邮政编码</w:t>
            </w:r>
          </w:p>
        </w:tc>
        <w:tc>
          <w:tcPr>
            <w:tcW w:w="1679" w:type="dxa"/>
            <w:tcBorders>
              <w:top w:val="single" w:color="auto" w:sz="4" w:space="0"/>
              <w:left w:val="single" w:color="auto" w:sz="4" w:space="0"/>
              <w:bottom w:val="single" w:color="auto" w:sz="4" w:space="0"/>
              <w:right w:val="single" w:color="auto" w:sz="4" w:space="0"/>
            </w:tcBorders>
            <w:noWrap/>
            <w:vAlign w:val="center"/>
          </w:tcPr>
          <w:p w14:paraId="05DC940D">
            <w:pPr>
              <w:spacing w:line="360" w:lineRule="auto"/>
              <w:rPr>
                <w:color w:val="auto"/>
                <w:sz w:val="24"/>
                <w:highlight w:val="none"/>
              </w:rPr>
            </w:pPr>
          </w:p>
        </w:tc>
      </w:tr>
      <w:tr w14:paraId="4EAA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731" w:type="dxa"/>
            <w:vMerge w:val="restart"/>
            <w:tcBorders>
              <w:top w:val="single" w:color="auto" w:sz="4" w:space="0"/>
              <w:left w:val="single" w:color="auto" w:sz="4" w:space="0"/>
              <w:bottom w:val="single" w:color="auto" w:sz="4" w:space="0"/>
              <w:right w:val="single" w:color="auto" w:sz="4" w:space="0"/>
            </w:tcBorders>
            <w:noWrap/>
            <w:vAlign w:val="center"/>
          </w:tcPr>
          <w:p w14:paraId="73F72D4A">
            <w:pPr>
              <w:spacing w:line="360" w:lineRule="auto"/>
              <w:jc w:val="center"/>
              <w:rPr>
                <w:color w:val="auto"/>
                <w:sz w:val="24"/>
                <w:highlight w:val="none"/>
              </w:rPr>
            </w:pPr>
            <w:r>
              <w:rPr>
                <w:rFonts w:hint="eastAsia"/>
                <w:color w:val="auto"/>
                <w:sz w:val="24"/>
                <w:highlight w:val="none"/>
              </w:rPr>
              <w:t>联系方式</w:t>
            </w:r>
          </w:p>
        </w:tc>
        <w:tc>
          <w:tcPr>
            <w:tcW w:w="973" w:type="dxa"/>
            <w:tcBorders>
              <w:top w:val="single" w:color="auto" w:sz="4" w:space="0"/>
              <w:left w:val="single" w:color="auto" w:sz="4" w:space="0"/>
              <w:bottom w:val="single" w:color="auto" w:sz="4" w:space="0"/>
              <w:right w:val="single" w:color="auto" w:sz="4" w:space="0"/>
            </w:tcBorders>
            <w:noWrap/>
            <w:vAlign w:val="center"/>
          </w:tcPr>
          <w:p w14:paraId="7976FD16">
            <w:pPr>
              <w:spacing w:line="360" w:lineRule="auto"/>
              <w:rPr>
                <w:color w:val="auto"/>
                <w:sz w:val="24"/>
                <w:highlight w:val="none"/>
              </w:rPr>
            </w:pPr>
            <w:r>
              <w:rPr>
                <w:rFonts w:hint="eastAsia"/>
                <w:color w:val="auto"/>
                <w:sz w:val="24"/>
                <w:highlight w:val="none"/>
              </w:rPr>
              <w:t>联系人</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10992E9B">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393740F1">
            <w:pPr>
              <w:spacing w:line="360" w:lineRule="auto"/>
              <w:rPr>
                <w:color w:val="auto"/>
                <w:sz w:val="24"/>
                <w:highlight w:val="none"/>
              </w:rPr>
            </w:pPr>
            <w:r>
              <w:rPr>
                <w:rFonts w:hint="eastAsia"/>
                <w:color w:val="auto"/>
                <w:sz w:val="24"/>
                <w:highlight w:val="none"/>
              </w:rPr>
              <w:t>电话</w:t>
            </w:r>
          </w:p>
        </w:tc>
        <w:tc>
          <w:tcPr>
            <w:tcW w:w="1679" w:type="dxa"/>
            <w:tcBorders>
              <w:top w:val="single" w:color="auto" w:sz="4" w:space="0"/>
              <w:left w:val="single" w:color="auto" w:sz="4" w:space="0"/>
              <w:bottom w:val="single" w:color="auto" w:sz="4" w:space="0"/>
              <w:right w:val="single" w:color="auto" w:sz="4" w:space="0"/>
            </w:tcBorders>
            <w:noWrap/>
            <w:vAlign w:val="center"/>
          </w:tcPr>
          <w:p w14:paraId="4D78B9AD">
            <w:pPr>
              <w:spacing w:line="360" w:lineRule="auto"/>
              <w:rPr>
                <w:color w:val="auto"/>
                <w:sz w:val="24"/>
                <w:highlight w:val="none"/>
              </w:rPr>
            </w:pPr>
          </w:p>
        </w:tc>
      </w:tr>
      <w:tr w14:paraId="60B3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31" w:type="dxa"/>
            <w:vMerge w:val="continue"/>
            <w:tcBorders>
              <w:top w:val="single" w:color="auto" w:sz="4" w:space="0"/>
              <w:left w:val="single" w:color="auto" w:sz="4" w:space="0"/>
              <w:bottom w:val="single" w:color="auto" w:sz="4" w:space="0"/>
              <w:right w:val="single" w:color="auto" w:sz="4" w:space="0"/>
            </w:tcBorders>
            <w:noWrap/>
            <w:vAlign w:val="center"/>
          </w:tcPr>
          <w:p w14:paraId="39AD7FE6">
            <w:pPr>
              <w:jc w:val="center"/>
              <w:rPr>
                <w:color w:val="auto"/>
                <w:sz w:val="20"/>
                <w:szCs w:val="20"/>
                <w:highlight w:val="none"/>
              </w:rPr>
            </w:pPr>
          </w:p>
        </w:tc>
        <w:tc>
          <w:tcPr>
            <w:tcW w:w="973" w:type="dxa"/>
            <w:tcBorders>
              <w:top w:val="single" w:color="auto" w:sz="4" w:space="0"/>
              <w:left w:val="single" w:color="auto" w:sz="4" w:space="0"/>
              <w:bottom w:val="single" w:color="auto" w:sz="4" w:space="0"/>
              <w:right w:val="single" w:color="auto" w:sz="4" w:space="0"/>
            </w:tcBorders>
            <w:noWrap/>
            <w:vAlign w:val="center"/>
          </w:tcPr>
          <w:p w14:paraId="793BFDD1">
            <w:pPr>
              <w:spacing w:line="360" w:lineRule="auto"/>
              <w:rPr>
                <w:color w:val="auto"/>
                <w:sz w:val="24"/>
                <w:highlight w:val="none"/>
              </w:rPr>
            </w:pPr>
            <w:r>
              <w:rPr>
                <w:rFonts w:hint="eastAsia"/>
                <w:color w:val="auto"/>
                <w:sz w:val="24"/>
                <w:highlight w:val="none"/>
              </w:rPr>
              <w:t>传真</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2B97FE8F">
            <w:pPr>
              <w:spacing w:line="360" w:lineRule="auto"/>
              <w:rPr>
                <w:color w:val="auto"/>
                <w:sz w:val="24"/>
                <w:highlight w:val="none"/>
              </w:rPr>
            </w:pPr>
          </w:p>
        </w:tc>
        <w:tc>
          <w:tcPr>
            <w:tcW w:w="1367" w:type="dxa"/>
            <w:gridSpan w:val="2"/>
            <w:tcBorders>
              <w:top w:val="single" w:color="auto" w:sz="4" w:space="0"/>
              <w:left w:val="single" w:color="auto" w:sz="4" w:space="0"/>
              <w:bottom w:val="single" w:color="auto" w:sz="4" w:space="0"/>
              <w:right w:val="single" w:color="auto" w:sz="4" w:space="0"/>
            </w:tcBorders>
            <w:noWrap/>
            <w:vAlign w:val="center"/>
          </w:tcPr>
          <w:p w14:paraId="556099CE">
            <w:pPr>
              <w:spacing w:line="360" w:lineRule="auto"/>
              <w:rPr>
                <w:color w:val="auto"/>
                <w:sz w:val="24"/>
                <w:highlight w:val="none"/>
              </w:rPr>
            </w:pPr>
            <w:r>
              <w:rPr>
                <w:rFonts w:hint="eastAsia"/>
                <w:color w:val="auto"/>
                <w:sz w:val="24"/>
                <w:highlight w:val="none"/>
              </w:rPr>
              <w:t>网址</w:t>
            </w:r>
          </w:p>
        </w:tc>
        <w:tc>
          <w:tcPr>
            <w:tcW w:w="1679" w:type="dxa"/>
            <w:tcBorders>
              <w:top w:val="single" w:color="auto" w:sz="4" w:space="0"/>
              <w:left w:val="single" w:color="auto" w:sz="4" w:space="0"/>
              <w:bottom w:val="single" w:color="auto" w:sz="4" w:space="0"/>
              <w:right w:val="single" w:color="auto" w:sz="4" w:space="0"/>
            </w:tcBorders>
            <w:noWrap/>
            <w:vAlign w:val="center"/>
          </w:tcPr>
          <w:p w14:paraId="578464D7">
            <w:pPr>
              <w:spacing w:line="360" w:lineRule="auto"/>
              <w:rPr>
                <w:color w:val="auto"/>
                <w:sz w:val="24"/>
                <w:highlight w:val="none"/>
              </w:rPr>
            </w:pPr>
          </w:p>
        </w:tc>
      </w:tr>
      <w:tr w14:paraId="1F548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12EF2116">
            <w:pPr>
              <w:spacing w:line="360" w:lineRule="auto"/>
              <w:jc w:val="center"/>
              <w:rPr>
                <w:color w:val="auto"/>
                <w:sz w:val="24"/>
                <w:highlight w:val="none"/>
              </w:rPr>
            </w:pPr>
            <w:r>
              <w:rPr>
                <w:rFonts w:hint="eastAsia"/>
                <w:color w:val="auto"/>
                <w:sz w:val="24"/>
                <w:highlight w:val="none"/>
              </w:rPr>
              <w:t>组织结构</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E61D938">
            <w:pPr>
              <w:tabs>
                <w:tab w:val="left" w:pos="4776"/>
              </w:tabs>
              <w:spacing w:line="360" w:lineRule="auto"/>
              <w:rPr>
                <w:color w:val="auto"/>
                <w:sz w:val="24"/>
                <w:highlight w:val="none"/>
              </w:rPr>
            </w:pPr>
          </w:p>
        </w:tc>
      </w:tr>
      <w:tr w14:paraId="0C70C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66535D">
            <w:pPr>
              <w:spacing w:line="360" w:lineRule="auto"/>
              <w:jc w:val="center"/>
              <w:rPr>
                <w:color w:val="auto"/>
                <w:sz w:val="24"/>
                <w:highlight w:val="none"/>
              </w:rPr>
            </w:pPr>
            <w:r>
              <w:rPr>
                <w:rFonts w:hint="eastAsia"/>
                <w:color w:val="auto"/>
                <w:sz w:val="24"/>
                <w:highlight w:val="none"/>
              </w:rPr>
              <w:t>法定代表人</w:t>
            </w:r>
          </w:p>
        </w:tc>
        <w:tc>
          <w:tcPr>
            <w:tcW w:w="973" w:type="dxa"/>
            <w:tcBorders>
              <w:top w:val="single" w:color="auto" w:sz="4" w:space="0"/>
              <w:left w:val="single" w:color="auto" w:sz="4" w:space="0"/>
              <w:bottom w:val="single" w:color="auto" w:sz="4" w:space="0"/>
              <w:right w:val="single" w:color="auto" w:sz="4" w:space="0"/>
            </w:tcBorders>
            <w:noWrap/>
            <w:vAlign w:val="center"/>
          </w:tcPr>
          <w:p w14:paraId="777B30B5">
            <w:pPr>
              <w:spacing w:line="360" w:lineRule="auto"/>
              <w:rPr>
                <w:color w:val="auto"/>
                <w:sz w:val="24"/>
                <w:highlight w:val="none"/>
              </w:rPr>
            </w:pPr>
            <w:r>
              <w:rPr>
                <w:rFonts w:hint="eastAsia"/>
                <w:color w:val="auto"/>
                <w:sz w:val="24"/>
                <w:highlight w:val="none"/>
              </w:rPr>
              <w:t>姓名</w:t>
            </w:r>
          </w:p>
        </w:tc>
        <w:tc>
          <w:tcPr>
            <w:tcW w:w="2670" w:type="dxa"/>
            <w:gridSpan w:val="2"/>
            <w:tcBorders>
              <w:top w:val="single" w:color="auto" w:sz="4" w:space="0"/>
              <w:left w:val="single" w:color="auto" w:sz="4" w:space="0"/>
              <w:bottom w:val="single" w:color="auto" w:sz="4" w:space="0"/>
              <w:right w:val="single" w:color="auto" w:sz="4" w:space="0"/>
            </w:tcBorders>
            <w:noWrap/>
            <w:vAlign w:val="center"/>
          </w:tcPr>
          <w:p w14:paraId="51F79C14">
            <w:pPr>
              <w:spacing w:line="360" w:lineRule="auto"/>
              <w:rPr>
                <w:color w:val="auto"/>
                <w:sz w:val="24"/>
                <w:highlight w:val="none"/>
              </w:rPr>
            </w:pPr>
          </w:p>
        </w:tc>
        <w:tc>
          <w:tcPr>
            <w:tcW w:w="1132" w:type="dxa"/>
            <w:tcBorders>
              <w:top w:val="single" w:color="auto" w:sz="4" w:space="0"/>
              <w:left w:val="single" w:color="auto" w:sz="4" w:space="0"/>
              <w:bottom w:val="single" w:color="auto" w:sz="4" w:space="0"/>
              <w:right w:val="single" w:color="auto" w:sz="4" w:space="0"/>
            </w:tcBorders>
            <w:noWrap/>
            <w:vAlign w:val="center"/>
          </w:tcPr>
          <w:p w14:paraId="26AE489F">
            <w:pPr>
              <w:spacing w:line="360" w:lineRule="auto"/>
              <w:rPr>
                <w:color w:val="auto"/>
                <w:sz w:val="24"/>
                <w:highlight w:val="none"/>
              </w:rPr>
            </w:pPr>
            <w:r>
              <w:rPr>
                <w:rFonts w:hint="eastAsia"/>
                <w:color w:val="auto"/>
                <w:sz w:val="24"/>
                <w:highlight w:val="none"/>
              </w:rPr>
              <w:t>电话</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76322952">
            <w:pPr>
              <w:spacing w:line="360" w:lineRule="auto"/>
              <w:rPr>
                <w:color w:val="auto"/>
                <w:sz w:val="24"/>
                <w:highlight w:val="none"/>
              </w:rPr>
            </w:pPr>
          </w:p>
        </w:tc>
      </w:tr>
      <w:tr w14:paraId="0ADF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8D6C833">
            <w:pPr>
              <w:spacing w:line="360" w:lineRule="auto"/>
              <w:jc w:val="center"/>
              <w:rPr>
                <w:color w:val="auto"/>
                <w:sz w:val="24"/>
                <w:highlight w:val="none"/>
              </w:rPr>
            </w:pPr>
            <w:r>
              <w:rPr>
                <w:rFonts w:hint="eastAsia"/>
                <w:color w:val="auto"/>
                <w:sz w:val="24"/>
                <w:highlight w:val="none"/>
              </w:rPr>
              <w:t>成立时间</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476C7AF5">
            <w:pPr>
              <w:spacing w:line="360" w:lineRule="auto"/>
              <w:rPr>
                <w:color w:val="auto"/>
                <w:sz w:val="24"/>
                <w:highlight w:val="none"/>
              </w:rPr>
            </w:pPr>
          </w:p>
        </w:tc>
        <w:tc>
          <w:tcPr>
            <w:tcW w:w="4165" w:type="dxa"/>
            <w:gridSpan w:val="4"/>
            <w:tcBorders>
              <w:top w:val="single" w:color="auto" w:sz="4" w:space="0"/>
              <w:left w:val="single" w:color="auto" w:sz="4" w:space="0"/>
              <w:bottom w:val="single" w:color="auto" w:sz="4" w:space="0"/>
              <w:right w:val="single" w:color="auto" w:sz="4" w:space="0"/>
            </w:tcBorders>
            <w:noWrap/>
            <w:vAlign w:val="center"/>
          </w:tcPr>
          <w:p w14:paraId="035125D8">
            <w:pPr>
              <w:spacing w:line="360" w:lineRule="auto"/>
              <w:rPr>
                <w:color w:val="auto"/>
                <w:sz w:val="24"/>
                <w:highlight w:val="none"/>
              </w:rPr>
            </w:pPr>
            <w:r>
              <w:rPr>
                <w:rFonts w:hint="eastAsia"/>
                <w:color w:val="auto"/>
                <w:sz w:val="24"/>
                <w:highlight w:val="none"/>
              </w:rPr>
              <w:t>员工总人数：</w:t>
            </w:r>
          </w:p>
        </w:tc>
      </w:tr>
      <w:tr w14:paraId="0AFC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52764A8A">
            <w:pPr>
              <w:spacing w:line="360" w:lineRule="auto"/>
              <w:jc w:val="center"/>
              <w:rPr>
                <w:color w:val="auto"/>
                <w:sz w:val="24"/>
                <w:highlight w:val="none"/>
              </w:rPr>
            </w:pPr>
            <w:r>
              <w:rPr>
                <w:rFonts w:hint="eastAsia"/>
                <w:color w:val="auto"/>
                <w:sz w:val="24"/>
                <w:highlight w:val="none"/>
              </w:rPr>
              <w:t>营业执照号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28463F4D">
            <w:pPr>
              <w:spacing w:line="360" w:lineRule="auto"/>
              <w:rPr>
                <w:color w:val="auto"/>
                <w:sz w:val="24"/>
                <w:highlight w:val="none"/>
              </w:rPr>
            </w:pPr>
          </w:p>
        </w:tc>
      </w:tr>
      <w:tr w14:paraId="435F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3D510C52">
            <w:pPr>
              <w:spacing w:line="360" w:lineRule="auto"/>
              <w:jc w:val="center"/>
              <w:rPr>
                <w:color w:val="auto"/>
                <w:sz w:val="24"/>
                <w:highlight w:val="none"/>
              </w:rPr>
            </w:pPr>
            <w:r>
              <w:rPr>
                <w:rFonts w:hint="eastAsia"/>
                <w:color w:val="auto"/>
                <w:sz w:val="24"/>
                <w:highlight w:val="none"/>
              </w:rPr>
              <w:t>注册资金</w:t>
            </w:r>
          </w:p>
        </w:tc>
        <w:tc>
          <w:tcPr>
            <w:tcW w:w="2524" w:type="dxa"/>
            <w:gridSpan w:val="2"/>
            <w:tcBorders>
              <w:top w:val="single" w:color="auto" w:sz="4" w:space="0"/>
              <w:left w:val="single" w:color="auto" w:sz="4" w:space="0"/>
              <w:bottom w:val="single" w:color="auto" w:sz="4" w:space="0"/>
              <w:right w:val="single" w:color="auto" w:sz="4" w:space="0"/>
            </w:tcBorders>
            <w:noWrap/>
            <w:vAlign w:val="center"/>
          </w:tcPr>
          <w:p w14:paraId="62BE12FF">
            <w:pPr>
              <w:spacing w:line="360" w:lineRule="auto"/>
              <w:rPr>
                <w:color w:val="auto"/>
                <w:sz w:val="24"/>
                <w:highlight w:val="none"/>
              </w:rPr>
            </w:pPr>
          </w:p>
        </w:tc>
        <w:tc>
          <w:tcPr>
            <w:tcW w:w="2251" w:type="dxa"/>
            <w:gridSpan w:val="2"/>
            <w:tcBorders>
              <w:top w:val="single" w:color="auto" w:sz="4" w:space="0"/>
              <w:left w:val="single" w:color="auto" w:sz="4" w:space="0"/>
              <w:bottom w:val="single" w:color="auto" w:sz="4" w:space="0"/>
              <w:right w:val="single" w:color="auto" w:sz="4" w:space="0"/>
            </w:tcBorders>
            <w:noWrap/>
            <w:vAlign w:val="center"/>
          </w:tcPr>
          <w:p w14:paraId="67AC0411">
            <w:pPr>
              <w:spacing w:line="360" w:lineRule="auto"/>
              <w:rPr>
                <w:color w:val="auto"/>
                <w:sz w:val="24"/>
                <w:highlight w:val="none"/>
              </w:rPr>
            </w:pPr>
            <w:r>
              <w:rPr>
                <w:rFonts w:hint="eastAsia"/>
                <w:color w:val="auto"/>
                <w:sz w:val="24"/>
                <w:highlight w:val="none"/>
              </w:rPr>
              <w:t>开户银行</w:t>
            </w:r>
          </w:p>
        </w:tc>
        <w:tc>
          <w:tcPr>
            <w:tcW w:w="1914" w:type="dxa"/>
            <w:gridSpan w:val="2"/>
            <w:tcBorders>
              <w:top w:val="single" w:color="auto" w:sz="4" w:space="0"/>
              <w:left w:val="single" w:color="auto" w:sz="4" w:space="0"/>
              <w:bottom w:val="single" w:color="auto" w:sz="4" w:space="0"/>
              <w:right w:val="single" w:color="auto" w:sz="4" w:space="0"/>
            </w:tcBorders>
            <w:noWrap/>
            <w:vAlign w:val="center"/>
          </w:tcPr>
          <w:p w14:paraId="03C69530">
            <w:pPr>
              <w:spacing w:line="360" w:lineRule="auto"/>
              <w:rPr>
                <w:color w:val="auto"/>
                <w:sz w:val="24"/>
                <w:highlight w:val="none"/>
              </w:rPr>
            </w:pPr>
          </w:p>
        </w:tc>
      </w:tr>
      <w:tr w14:paraId="1D43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23EE59AA">
            <w:pPr>
              <w:spacing w:line="360" w:lineRule="auto"/>
              <w:jc w:val="center"/>
              <w:rPr>
                <w:color w:val="auto"/>
                <w:sz w:val="24"/>
                <w:highlight w:val="none"/>
              </w:rPr>
            </w:pPr>
            <w:r>
              <w:rPr>
                <w:rFonts w:hint="eastAsia"/>
                <w:color w:val="auto"/>
                <w:sz w:val="24"/>
                <w:highlight w:val="none"/>
              </w:rPr>
              <w:t>账号</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8061698">
            <w:pPr>
              <w:spacing w:line="360" w:lineRule="auto"/>
              <w:rPr>
                <w:color w:val="auto"/>
                <w:sz w:val="24"/>
                <w:highlight w:val="none"/>
              </w:rPr>
            </w:pPr>
          </w:p>
        </w:tc>
      </w:tr>
      <w:tr w14:paraId="28D5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1731" w:type="dxa"/>
            <w:tcBorders>
              <w:top w:val="single" w:color="auto" w:sz="4" w:space="0"/>
              <w:left w:val="single" w:color="auto" w:sz="4" w:space="0"/>
              <w:bottom w:val="single" w:color="auto" w:sz="4" w:space="0"/>
              <w:right w:val="single" w:color="auto" w:sz="4" w:space="0"/>
            </w:tcBorders>
            <w:noWrap/>
            <w:vAlign w:val="center"/>
          </w:tcPr>
          <w:p w14:paraId="4216B213">
            <w:pPr>
              <w:spacing w:line="360" w:lineRule="auto"/>
              <w:jc w:val="center"/>
              <w:rPr>
                <w:color w:val="auto"/>
                <w:sz w:val="24"/>
                <w:highlight w:val="none"/>
              </w:rPr>
            </w:pPr>
            <w:r>
              <w:rPr>
                <w:rFonts w:hint="eastAsia"/>
                <w:color w:val="auto"/>
                <w:sz w:val="24"/>
                <w:highlight w:val="none"/>
              </w:rPr>
              <w:t>经营范围备注</w:t>
            </w:r>
          </w:p>
        </w:tc>
        <w:tc>
          <w:tcPr>
            <w:tcW w:w="6689" w:type="dxa"/>
            <w:gridSpan w:val="6"/>
            <w:tcBorders>
              <w:top w:val="single" w:color="auto" w:sz="4" w:space="0"/>
              <w:left w:val="single" w:color="auto" w:sz="4" w:space="0"/>
              <w:bottom w:val="single" w:color="auto" w:sz="4" w:space="0"/>
              <w:right w:val="single" w:color="auto" w:sz="4" w:space="0"/>
            </w:tcBorders>
            <w:noWrap/>
            <w:vAlign w:val="center"/>
          </w:tcPr>
          <w:p w14:paraId="47915875">
            <w:pPr>
              <w:spacing w:line="360" w:lineRule="auto"/>
              <w:rPr>
                <w:color w:val="auto"/>
                <w:sz w:val="24"/>
                <w:highlight w:val="none"/>
              </w:rPr>
            </w:pPr>
          </w:p>
        </w:tc>
      </w:tr>
    </w:tbl>
    <w:p w14:paraId="429F7804">
      <w:pPr>
        <w:spacing w:line="360" w:lineRule="auto"/>
        <w:rPr>
          <w:color w:val="auto"/>
          <w:sz w:val="24"/>
          <w:highlight w:val="none"/>
        </w:rPr>
      </w:pPr>
      <w:r>
        <w:rPr>
          <w:rFonts w:hint="eastAsia"/>
          <w:color w:val="auto"/>
          <w:sz w:val="24"/>
          <w:highlight w:val="none"/>
        </w:rPr>
        <w:t>附：1、营业执照、税务登记证、组织机构代码证等相关证件的扫描件</w:t>
      </w:r>
    </w:p>
    <w:p w14:paraId="53701063">
      <w:pPr>
        <w:spacing w:line="480" w:lineRule="exact"/>
        <w:jc w:val="center"/>
        <w:outlineLvl w:val="0"/>
        <w:rPr>
          <w:rFonts w:ascii="宋体" w:hAnsi="宋体" w:eastAsia="宋体" w:cs="宋体"/>
          <w:b/>
          <w:color w:val="auto"/>
          <w:sz w:val="24"/>
          <w:highlight w:val="none"/>
        </w:rPr>
      </w:pPr>
    </w:p>
    <w:p w14:paraId="1A93765F">
      <w:pPr>
        <w:spacing w:line="360" w:lineRule="auto"/>
        <w:rPr>
          <w:color w:val="auto"/>
          <w:sz w:val="24"/>
          <w:highlight w:val="none"/>
        </w:rPr>
      </w:pPr>
      <w:r>
        <w:rPr>
          <w:rFonts w:hint="eastAsia" w:ascii="宋体" w:hAnsi="宋体"/>
          <w:b/>
          <w:bCs/>
          <w:color w:val="000000" w:themeColor="text1"/>
          <w:kern w:val="44"/>
          <w:sz w:val="28"/>
          <w:highlight w:val="none"/>
          <w14:textFill>
            <w14:solidFill>
              <w14:schemeClr w14:val="tx1"/>
            </w14:solidFill>
          </w14:textFill>
        </w:rPr>
        <w:br w:type="page"/>
      </w:r>
    </w:p>
    <w:p w14:paraId="6A445E1D">
      <w:pPr>
        <w:spacing w:line="480" w:lineRule="exact"/>
        <w:jc w:val="center"/>
        <w:outlineLvl w:val="0"/>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二</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供应商资格审查资料</w:t>
      </w:r>
    </w:p>
    <w:p w14:paraId="74875760">
      <w:pPr>
        <w:rPr>
          <w:rFonts w:hint="eastAsia" w:ascii="宋体" w:hAnsi="宋体"/>
          <w:b/>
          <w:bCs/>
          <w:color w:val="000000" w:themeColor="text1"/>
          <w:kern w:val="44"/>
          <w:sz w:val="28"/>
          <w:highlight w:val="none"/>
          <w14:textFill>
            <w14:solidFill>
              <w14:schemeClr w14:val="tx1"/>
            </w14:solidFill>
          </w14:textFill>
        </w:rPr>
      </w:pPr>
    </w:p>
    <w:p w14:paraId="158D3CE4">
      <w:pPr>
        <w:rPr>
          <w:rFonts w:hint="eastAsia" w:ascii="宋体" w:hAnsi="宋体"/>
          <w:b/>
          <w:bCs/>
          <w:color w:val="000000" w:themeColor="text1"/>
          <w:kern w:val="44"/>
          <w:sz w:val="28"/>
          <w:highlight w:val="none"/>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br w:type="page"/>
      </w:r>
    </w:p>
    <w:p w14:paraId="3AF1496F">
      <w:pPr>
        <w:keepNext/>
        <w:keepLines/>
        <w:spacing w:line="660" w:lineRule="exact"/>
        <w:jc w:val="center"/>
        <w:outlineLvl w:val="0"/>
        <w:rPr>
          <w:rFonts w:hint="eastAsia" w:ascii="宋体" w:hAnsi="宋体" w:eastAsia="宋体"/>
          <w:b/>
          <w:bCs/>
          <w:color w:val="000000" w:themeColor="text1"/>
          <w:kern w:val="44"/>
          <w:sz w:val="28"/>
          <w:highlight w:val="none"/>
          <w:lang w:eastAsia="zh-CN"/>
          <w14:textFill>
            <w14:solidFill>
              <w14:schemeClr w14:val="tx1"/>
            </w14:solidFill>
          </w14:textFill>
        </w:rPr>
      </w:pPr>
      <w:r>
        <w:rPr>
          <w:rFonts w:hint="eastAsia" w:ascii="宋体" w:hAnsi="宋体"/>
          <w:b/>
          <w:bCs/>
          <w:color w:val="000000" w:themeColor="text1"/>
          <w:kern w:val="44"/>
          <w:sz w:val="28"/>
          <w:highlight w:val="none"/>
          <w14:textFill>
            <w14:solidFill>
              <w14:schemeClr w14:val="tx1"/>
            </w14:solidFill>
          </w14:textFill>
        </w:rPr>
        <w:t>七、</w:t>
      </w:r>
      <w:bookmarkEnd w:id="167"/>
      <w:bookmarkEnd w:id="168"/>
      <w:bookmarkEnd w:id="169"/>
      <w:bookmarkEnd w:id="170"/>
      <w:bookmarkEnd w:id="171"/>
      <w:bookmarkEnd w:id="172"/>
      <w:bookmarkEnd w:id="173"/>
      <w:r>
        <w:rPr>
          <w:rFonts w:hint="eastAsia" w:ascii="宋体" w:hAnsi="宋体"/>
          <w:b/>
          <w:bCs/>
          <w:color w:val="000000" w:themeColor="text1"/>
          <w:kern w:val="44"/>
          <w:sz w:val="28"/>
          <w:highlight w:val="none"/>
          <w14:textFill>
            <w14:solidFill>
              <w14:schemeClr w14:val="tx1"/>
            </w14:solidFill>
          </w14:textFill>
        </w:rPr>
        <w:t>报价明细表</w:t>
      </w:r>
      <w:r>
        <w:rPr>
          <w:rFonts w:hint="eastAsia" w:ascii="宋体" w:hAnsi="宋体"/>
          <w:b/>
          <w:bCs/>
          <w:color w:val="000000" w:themeColor="text1"/>
          <w:kern w:val="44"/>
          <w:sz w:val="28"/>
          <w:highlight w:val="none"/>
          <w14:textFill>
            <w14:solidFill>
              <w14:schemeClr w14:val="tx1"/>
            </w14:solidFill>
          </w14:textFill>
        </w:rPr>
        <w:br w:type="textWrapping"/>
      </w:r>
      <w:r>
        <w:rPr>
          <w:rFonts w:hint="eastAsia" w:ascii="宋体" w:hAnsi="宋体"/>
          <w:b/>
          <w:bCs/>
          <w:color w:val="000000" w:themeColor="text1"/>
          <w:kern w:val="44"/>
          <w:sz w:val="28"/>
          <w:highlight w:val="none"/>
          <w:lang w:eastAsia="zh-CN"/>
          <w14:textFill>
            <w14:solidFill>
              <w14:schemeClr w14:val="tx1"/>
            </w14:solidFill>
          </w14:textFill>
        </w:rPr>
        <w:t>（一）分项报价表</w:t>
      </w:r>
      <w:bookmarkEnd w:id="174"/>
    </w:p>
    <w:tbl>
      <w:tblPr>
        <w:tblStyle w:val="34"/>
        <w:tblpPr w:leftFromText="180" w:rightFromText="180" w:vertAnchor="text" w:horzAnchor="page" w:tblpX="1607" w:tblpY="109"/>
        <w:tblOverlap w:val="never"/>
        <w:tblW w:w="86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858"/>
        <w:gridCol w:w="1217"/>
        <w:gridCol w:w="1301"/>
        <w:gridCol w:w="839"/>
        <w:gridCol w:w="825"/>
        <w:gridCol w:w="699"/>
        <w:gridCol w:w="1424"/>
        <w:gridCol w:w="675"/>
      </w:tblGrid>
      <w:tr w14:paraId="0663F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3" w:hRule="atLeast"/>
        </w:trPr>
        <w:tc>
          <w:tcPr>
            <w:tcW w:w="858" w:type="dxa"/>
            <w:vAlign w:val="center"/>
          </w:tcPr>
          <w:p w14:paraId="0913A5EB">
            <w:pPr>
              <w:pStyle w:val="33"/>
              <w:jc w:val="center"/>
              <w:rPr>
                <w:rFonts w:hint="eastAsia"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序号</w:t>
            </w:r>
          </w:p>
        </w:tc>
        <w:tc>
          <w:tcPr>
            <w:tcW w:w="858" w:type="dxa"/>
            <w:vAlign w:val="center"/>
          </w:tcPr>
          <w:p w14:paraId="5118A5EE">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货物名称</w:t>
            </w:r>
          </w:p>
        </w:tc>
        <w:tc>
          <w:tcPr>
            <w:tcW w:w="1217" w:type="dxa"/>
            <w:vAlign w:val="center"/>
          </w:tcPr>
          <w:p w14:paraId="33A3FD80">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品牌</w:t>
            </w:r>
          </w:p>
          <w:p w14:paraId="78C6DBE8">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1301" w:type="dxa"/>
            <w:vAlign w:val="center"/>
          </w:tcPr>
          <w:p w14:paraId="12FC7E09">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规格型号</w:t>
            </w:r>
          </w:p>
          <w:p w14:paraId="5D391C3D">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（请配中文）</w:t>
            </w:r>
          </w:p>
        </w:tc>
        <w:tc>
          <w:tcPr>
            <w:tcW w:w="839" w:type="dxa"/>
            <w:vAlign w:val="center"/>
          </w:tcPr>
          <w:p w14:paraId="7EE2E8C4">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数量</w:t>
            </w:r>
          </w:p>
        </w:tc>
        <w:tc>
          <w:tcPr>
            <w:tcW w:w="825" w:type="dxa"/>
            <w:vAlign w:val="center"/>
          </w:tcPr>
          <w:p w14:paraId="776D6832">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单价</w:t>
            </w:r>
          </w:p>
        </w:tc>
        <w:tc>
          <w:tcPr>
            <w:tcW w:w="699" w:type="dxa"/>
            <w:tcBorders>
              <w:right w:val="single" w:color="auto" w:sz="4" w:space="0"/>
            </w:tcBorders>
            <w:vAlign w:val="center"/>
          </w:tcPr>
          <w:p w14:paraId="4356FEF0">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生产</w:t>
            </w:r>
          </w:p>
          <w:p w14:paraId="6E4EEA0D">
            <w:pPr>
              <w:pStyle w:val="33"/>
              <w:jc w:val="center"/>
              <w:rPr>
                <w:color w:val="000000" w:themeColor="text1"/>
                <w:sz w:val="21"/>
                <w:highlight w:val="none"/>
                <w14:textFill>
                  <w14:solidFill>
                    <w14:schemeClr w14:val="tx1"/>
                  </w14:solidFill>
                </w14:textFill>
              </w:rPr>
            </w:pPr>
            <w:r>
              <w:rPr>
                <w:color w:val="000000" w:themeColor="text1"/>
                <w:sz w:val="21"/>
                <w:highlight w:val="none"/>
                <w14:textFill>
                  <w14:solidFill>
                    <w14:schemeClr w14:val="tx1"/>
                  </w14:solidFill>
                </w14:textFill>
              </w:rPr>
              <w:t>厂家</w:t>
            </w:r>
          </w:p>
        </w:tc>
        <w:tc>
          <w:tcPr>
            <w:tcW w:w="1424" w:type="dxa"/>
            <w:tcBorders>
              <w:left w:val="single" w:color="auto" w:sz="4" w:space="0"/>
            </w:tcBorders>
            <w:vAlign w:val="center"/>
          </w:tcPr>
          <w:p w14:paraId="012790AC">
            <w:pPr>
              <w:pStyle w:val="33"/>
              <w:jc w:val="center"/>
              <w:rPr>
                <w:rFonts w:hint="eastAsia"/>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企业类型（</w:t>
            </w:r>
          </w:p>
          <w:p w14:paraId="3D910A7B">
            <w:pPr>
              <w:pStyle w:val="33"/>
              <w:jc w:val="center"/>
              <w:rPr>
                <w:rFonts w:hint="default" w:eastAsia="宋体"/>
                <w:color w:val="000000" w:themeColor="text1"/>
                <w:sz w:val="21"/>
                <w:highlight w:val="none"/>
                <w:lang w:val="en-US" w:eastAsia="zh-CN"/>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中/小/微企业）</w:t>
            </w:r>
          </w:p>
        </w:tc>
        <w:tc>
          <w:tcPr>
            <w:tcW w:w="675" w:type="dxa"/>
            <w:vAlign w:val="center"/>
          </w:tcPr>
          <w:p w14:paraId="5A2A0A45">
            <w:pPr>
              <w:pStyle w:val="33"/>
              <w:jc w:val="center"/>
              <w:rPr>
                <w:color w:val="000000" w:themeColor="text1"/>
                <w:sz w:val="21"/>
                <w:highlight w:val="none"/>
                <w14:textFill>
                  <w14:solidFill>
                    <w14:schemeClr w14:val="tx1"/>
                  </w14:solidFill>
                </w14:textFill>
              </w:rPr>
            </w:pPr>
            <w:r>
              <w:rPr>
                <w:rFonts w:hint="eastAsia"/>
                <w:color w:val="000000" w:themeColor="text1"/>
                <w:sz w:val="21"/>
                <w:highlight w:val="none"/>
                <w:lang w:val="en-US" w:eastAsia="zh-CN"/>
                <w14:textFill>
                  <w14:solidFill>
                    <w14:schemeClr w14:val="tx1"/>
                  </w14:solidFill>
                </w14:textFill>
              </w:rPr>
              <w:t>合价</w:t>
            </w:r>
            <w:r>
              <w:rPr>
                <w:color w:val="000000" w:themeColor="text1"/>
                <w:sz w:val="21"/>
                <w:highlight w:val="none"/>
                <w14:textFill>
                  <w14:solidFill>
                    <w14:schemeClr w14:val="tx1"/>
                  </w14:solidFill>
                </w14:textFill>
              </w:rPr>
              <w:t>（元）</w:t>
            </w:r>
          </w:p>
        </w:tc>
      </w:tr>
      <w:tr w14:paraId="0202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05A2327D">
            <w:pPr>
              <w:pStyle w:val="33"/>
              <w:jc w:val="center"/>
              <w:rPr>
                <w:color w:val="000000" w:themeColor="text1"/>
                <w:sz w:val="21"/>
                <w:highlight w:val="none"/>
                <w14:textFill>
                  <w14:solidFill>
                    <w14:schemeClr w14:val="tx1"/>
                  </w14:solidFill>
                </w14:textFill>
              </w:rPr>
            </w:pPr>
          </w:p>
        </w:tc>
        <w:tc>
          <w:tcPr>
            <w:tcW w:w="858" w:type="dxa"/>
          </w:tcPr>
          <w:p w14:paraId="518F2935">
            <w:pPr>
              <w:pStyle w:val="33"/>
              <w:jc w:val="center"/>
              <w:rPr>
                <w:color w:val="000000" w:themeColor="text1"/>
                <w:sz w:val="21"/>
                <w:highlight w:val="none"/>
                <w14:textFill>
                  <w14:solidFill>
                    <w14:schemeClr w14:val="tx1"/>
                  </w14:solidFill>
                </w14:textFill>
              </w:rPr>
            </w:pPr>
          </w:p>
        </w:tc>
        <w:tc>
          <w:tcPr>
            <w:tcW w:w="1217" w:type="dxa"/>
          </w:tcPr>
          <w:p w14:paraId="47297DE9">
            <w:pPr>
              <w:pStyle w:val="33"/>
              <w:jc w:val="center"/>
              <w:rPr>
                <w:color w:val="000000" w:themeColor="text1"/>
                <w:sz w:val="21"/>
                <w:highlight w:val="none"/>
                <w14:textFill>
                  <w14:solidFill>
                    <w14:schemeClr w14:val="tx1"/>
                  </w14:solidFill>
                </w14:textFill>
              </w:rPr>
            </w:pPr>
          </w:p>
        </w:tc>
        <w:tc>
          <w:tcPr>
            <w:tcW w:w="1301" w:type="dxa"/>
          </w:tcPr>
          <w:p w14:paraId="7DB80468">
            <w:pPr>
              <w:pStyle w:val="33"/>
              <w:jc w:val="center"/>
              <w:rPr>
                <w:color w:val="000000" w:themeColor="text1"/>
                <w:sz w:val="21"/>
                <w:highlight w:val="none"/>
                <w14:textFill>
                  <w14:solidFill>
                    <w14:schemeClr w14:val="tx1"/>
                  </w14:solidFill>
                </w14:textFill>
              </w:rPr>
            </w:pPr>
          </w:p>
        </w:tc>
        <w:tc>
          <w:tcPr>
            <w:tcW w:w="839" w:type="dxa"/>
          </w:tcPr>
          <w:p w14:paraId="4793923D">
            <w:pPr>
              <w:pStyle w:val="33"/>
              <w:jc w:val="center"/>
              <w:rPr>
                <w:color w:val="000000" w:themeColor="text1"/>
                <w:sz w:val="21"/>
                <w:highlight w:val="none"/>
                <w14:textFill>
                  <w14:solidFill>
                    <w14:schemeClr w14:val="tx1"/>
                  </w14:solidFill>
                </w14:textFill>
              </w:rPr>
            </w:pPr>
          </w:p>
        </w:tc>
        <w:tc>
          <w:tcPr>
            <w:tcW w:w="825" w:type="dxa"/>
          </w:tcPr>
          <w:p w14:paraId="53D7FE69">
            <w:pPr>
              <w:pStyle w:val="33"/>
              <w:jc w:val="center"/>
              <w:rPr>
                <w:color w:val="000000" w:themeColor="text1"/>
                <w:sz w:val="21"/>
                <w:highlight w:val="none"/>
                <w14:textFill>
                  <w14:solidFill>
                    <w14:schemeClr w14:val="tx1"/>
                  </w14:solidFill>
                </w14:textFill>
              </w:rPr>
            </w:pPr>
          </w:p>
        </w:tc>
        <w:tc>
          <w:tcPr>
            <w:tcW w:w="699" w:type="dxa"/>
            <w:tcBorders>
              <w:right w:val="single" w:color="auto" w:sz="4" w:space="0"/>
            </w:tcBorders>
          </w:tcPr>
          <w:p w14:paraId="4B087565">
            <w:pPr>
              <w:pStyle w:val="33"/>
              <w:jc w:val="center"/>
              <w:rPr>
                <w:color w:val="000000" w:themeColor="text1"/>
                <w:sz w:val="21"/>
                <w:highlight w:val="none"/>
                <w14:textFill>
                  <w14:solidFill>
                    <w14:schemeClr w14:val="tx1"/>
                  </w14:solidFill>
                </w14:textFill>
              </w:rPr>
            </w:pPr>
          </w:p>
        </w:tc>
        <w:tc>
          <w:tcPr>
            <w:tcW w:w="1424" w:type="dxa"/>
            <w:tcBorders>
              <w:left w:val="single" w:color="auto" w:sz="4" w:space="0"/>
            </w:tcBorders>
          </w:tcPr>
          <w:p w14:paraId="0DEC2073">
            <w:pPr>
              <w:pStyle w:val="33"/>
              <w:jc w:val="center"/>
              <w:rPr>
                <w:color w:val="000000" w:themeColor="text1"/>
                <w:sz w:val="21"/>
                <w:highlight w:val="none"/>
                <w14:textFill>
                  <w14:solidFill>
                    <w14:schemeClr w14:val="tx1"/>
                  </w14:solidFill>
                </w14:textFill>
              </w:rPr>
            </w:pPr>
          </w:p>
        </w:tc>
        <w:tc>
          <w:tcPr>
            <w:tcW w:w="675" w:type="dxa"/>
          </w:tcPr>
          <w:p w14:paraId="2C510318">
            <w:pPr>
              <w:pStyle w:val="33"/>
              <w:jc w:val="center"/>
              <w:rPr>
                <w:rFonts w:hint="eastAsia"/>
                <w:color w:val="000000" w:themeColor="text1"/>
                <w:sz w:val="21"/>
                <w:highlight w:val="none"/>
                <w:lang w:val="en-US" w:eastAsia="zh-CN"/>
                <w14:textFill>
                  <w14:solidFill>
                    <w14:schemeClr w14:val="tx1"/>
                  </w14:solidFill>
                </w14:textFill>
              </w:rPr>
            </w:pPr>
          </w:p>
        </w:tc>
      </w:tr>
      <w:tr w14:paraId="1531E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3939853B">
            <w:pPr>
              <w:pStyle w:val="33"/>
              <w:rPr>
                <w:color w:val="000000" w:themeColor="text1"/>
                <w:sz w:val="20"/>
                <w:highlight w:val="none"/>
                <w14:textFill>
                  <w14:solidFill>
                    <w14:schemeClr w14:val="tx1"/>
                  </w14:solidFill>
                </w14:textFill>
              </w:rPr>
            </w:pPr>
          </w:p>
        </w:tc>
        <w:tc>
          <w:tcPr>
            <w:tcW w:w="858" w:type="dxa"/>
          </w:tcPr>
          <w:p w14:paraId="2F38D38C">
            <w:pPr>
              <w:pStyle w:val="33"/>
              <w:rPr>
                <w:color w:val="000000" w:themeColor="text1"/>
                <w:sz w:val="20"/>
                <w:highlight w:val="none"/>
                <w14:textFill>
                  <w14:solidFill>
                    <w14:schemeClr w14:val="tx1"/>
                  </w14:solidFill>
                </w14:textFill>
              </w:rPr>
            </w:pPr>
          </w:p>
        </w:tc>
        <w:tc>
          <w:tcPr>
            <w:tcW w:w="1217" w:type="dxa"/>
          </w:tcPr>
          <w:p w14:paraId="009ED463">
            <w:pPr>
              <w:pStyle w:val="33"/>
              <w:rPr>
                <w:color w:val="000000" w:themeColor="text1"/>
                <w:sz w:val="20"/>
                <w:highlight w:val="none"/>
                <w14:textFill>
                  <w14:solidFill>
                    <w14:schemeClr w14:val="tx1"/>
                  </w14:solidFill>
                </w14:textFill>
              </w:rPr>
            </w:pPr>
          </w:p>
        </w:tc>
        <w:tc>
          <w:tcPr>
            <w:tcW w:w="1301" w:type="dxa"/>
          </w:tcPr>
          <w:p w14:paraId="02490995">
            <w:pPr>
              <w:pStyle w:val="33"/>
              <w:rPr>
                <w:color w:val="000000" w:themeColor="text1"/>
                <w:sz w:val="20"/>
                <w:highlight w:val="none"/>
                <w14:textFill>
                  <w14:solidFill>
                    <w14:schemeClr w14:val="tx1"/>
                  </w14:solidFill>
                </w14:textFill>
              </w:rPr>
            </w:pPr>
          </w:p>
        </w:tc>
        <w:tc>
          <w:tcPr>
            <w:tcW w:w="839" w:type="dxa"/>
          </w:tcPr>
          <w:p w14:paraId="00F79E22">
            <w:pPr>
              <w:pStyle w:val="33"/>
              <w:rPr>
                <w:color w:val="000000" w:themeColor="text1"/>
                <w:sz w:val="20"/>
                <w:highlight w:val="none"/>
                <w14:textFill>
                  <w14:solidFill>
                    <w14:schemeClr w14:val="tx1"/>
                  </w14:solidFill>
                </w14:textFill>
              </w:rPr>
            </w:pPr>
          </w:p>
        </w:tc>
        <w:tc>
          <w:tcPr>
            <w:tcW w:w="825" w:type="dxa"/>
          </w:tcPr>
          <w:p w14:paraId="3829814D">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387D34F1">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7012DEF8">
            <w:pPr>
              <w:pStyle w:val="33"/>
              <w:rPr>
                <w:color w:val="000000" w:themeColor="text1"/>
                <w:sz w:val="20"/>
                <w:highlight w:val="none"/>
                <w14:textFill>
                  <w14:solidFill>
                    <w14:schemeClr w14:val="tx1"/>
                  </w14:solidFill>
                </w14:textFill>
              </w:rPr>
            </w:pPr>
          </w:p>
        </w:tc>
        <w:tc>
          <w:tcPr>
            <w:tcW w:w="675" w:type="dxa"/>
          </w:tcPr>
          <w:p w14:paraId="2E30CB88">
            <w:pPr>
              <w:pStyle w:val="33"/>
              <w:rPr>
                <w:color w:val="000000" w:themeColor="text1"/>
                <w:sz w:val="20"/>
                <w:highlight w:val="none"/>
                <w14:textFill>
                  <w14:solidFill>
                    <w14:schemeClr w14:val="tx1"/>
                  </w14:solidFill>
                </w14:textFill>
              </w:rPr>
            </w:pPr>
          </w:p>
        </w:tc>
      </w:tr>
      <w:tr w14:paraId="5B14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2296C9DB">
            <w:pPr>
              <w:pStyle w:val="33"/>
              <w:rPr>
                <w:color w:val="000000" w:themeColor="text1"/>
                <w:sz w:val="20"/>
                <w:highlight w:val="none"/>
                <w14:textFill>
                  <w14:solidFill>
                    <w14:schemeClr w14:val="tx1"/>
                  </w14:solidFill>
                </w14:textFill>
              </w:rPr>
            </w:pPr>
          </w:p>
        </w:tc>
        <w:tc>
          <w:tcPr>
            <w:tcW w:w="858" w:type="dxa"/>
          </w:tcPr>
          <w:p w14:paraId="7DAB46E1">
            <w:pPr>
              <w:pStyle w:val="33"/>
              <w:rPr>
                <w:color w:val="000000" w:themeColor="text1"/>
                <w:sz w:val="20"/>
                <w:highlight w:val="none"/>
                <w14:textFill>
                  <w14:solidFill>
                    <w14:schemeClr w14:val="tx1"/>
                  </w14:solidFill>
                </w14:textFill>
              </w:rPr>
            </w:pPr>
          </w:p>
        </w:tc>
        <w:tc>
          <w:tcPr>
            <w:tcW w:w="1217" w:type="dxa"/>
          </w:tcPr>
          <w:p w14:paraId="52FC413D">
            <w:pPr>
              <w:pStyle w:val="33"/>
              <w:rPr>
                <w:color w:val="000000" w:themeColor="text1"/>
                <w:sz w:val="20"/>
                <w:highlight w:val="none"/>
                <w14:textFill>
                  <w14:solidFill>
                    <w14:schemeClr w14:val="tx1"/>
                  </w14:solidFill>
                </w14:textFill>
              </w:rPr>
            </w:pPr>
          </w:p>
        </w:tc>
        <w:tc>
          <w:tcPr>
            <w:tcW w:w="1301" w:type="dxa"/>
          </w:tcPr>
          <w:p w14:paraId="2FD525E6">
            <w:pPr>
              <w:pStyle w:val="33"/>
              <w:rPr>
                <w:color w:val="000000" w:themeColor="text1"/>
                <w:sz w:val="20"/>
                <w:highlight w:val="none"/>
                <w14:textFill>
                  <w14:solidFill>
                    <w14:schemeClr w14:val="tx1"/>
                  </w14:solidFill>
                </w14:textFill>
              </w:rPr>
            </w:pPr>
          </w:p>
        </w:tc>
        <w:tc>
          <w:tcPr>
            <w:tcW w:w="839" w:type="dxa"/>
          </w:tcPr>
          <w:p w14:paraId="5F7730CD">
            <w:pPr>
              <w:pStyle w:val="33"/>
              <w:rPr>
                <w:color w:val="000000" w:themeColor="text1"/>
                <w:sz w:val="20"/>
                <w:highlight w:val="none"/>
                <w14:textFill>
                  <w14:solidFill>
                    <w14:schemeClr w14:val="tx1"/>
                  </w14:solidFill>
                </w14:textFill>
              </w:rPr>
            </w:pPr>
          </w:p>
        </w:tc>
        <w:tc>
          <w:tcPr>
            <w:tcW w:w="825" w:type="dxa"/>
          </w:tcPr>
          <w:p w14:paraId="44D6E306">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74EA3011">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5F4050C4">
            <w:pPr>
              <w:pStyle w:val="33"/>
              <w:rPr>
                <w:color w:val="000000" w:themeColor="text1"/>
                <w:sz w:val="20"/>
                <w:highlight w:val="none"/>
                <w14:textFill>
                  <w14:solidFill>
                    <w14:schemeClr w14:val="tx1"/>
                  </w14:solidFill>
                </w14:textFill>
              </w:rPr>
            </w:pPr>
          </w:p>
        </w:tc>
        <w:tc>
          <w:tcPr>
            <w:tcW w:w="675" w:type="dxa"/>
          </w:tcPr>
          <w:p w14:paraId="7D50A561">
            <w:pPr>
              <w:pStyle w:val="33"/>
              <w:rPr>
                <w:color w:val="000000" w:themeColor="text1"/>
                <w:sz w:val="20"/>
                <w:highlight w:val="none"/>
                <w14:textFill>
                  <w14:solidFill>
                    <w14:schemeClr w14:val="tx1"/>
                  </w14:solidFill>
                </w14:textFill>
              </w:rPr>
            </w:pPr>
          </w:p>
        </w:tc>
      </w:tr>
      <w:tr w14:paraId="2EECA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tcPr>
          <w:p w14:paraId="5C4DB8C1">
            <w:pPr>
              <w:pStyle w:val="33"/>
              <w:rPr>
                <w:color w:val="000000" w:themeColor="text1"/>
                <w:sz w:val="20"/>
                <w:highlight w:val="none"/>
                <w14:textFill>
                  <w14:solidFill>
                    <w14:schemeClr w14:val="tx1"/>
                  </w14:solidFill>
                </w14:textFill>
              </w:rPr>
            </w:pPr>
          </w:p>
        </w:tc>
        <w:tc>
          <w:tcPr>
            <w:tcW w:w="858" w:type="dxa"/>
          </w:tcPr>
          <w:p w14:paraId="6F603997">
            <w:pPr>
              <w:pStyle w:val="33"/>
              <w:rPr>
                <w:rFonts w:hint="default" w:eastAsia="宋体"/>
                <w:color w:val="000000" w:themeColor="text1"/>
                <w:sz w:val="20"/>
                <w:highlight w:val="none"/>
                <w:lang w:val="en-US" w:eastAsia="zh-CN"/>
                <w14:textFill>
                  <w14:solidFill>
                    <w14:schemeClr w14:val="tx1"/>
                  </w14:solidFill>
                </w14:textFill>
              </w:rPr>
            </w:pPr>
          </w:p>
        </w:tc>
        <w:tc>
          <w:tcPr>
            <w:tcW w:w="1217" w:type="dxa"/>
          </w:tcPr>
          <w:p w14:paraId="4B306F54">
            <w:pPr>
              <w:pStyle w:val="33"/>
              <w:rPr>
                <w:color w:val="000000" w:themeColor="text1"/>
                <w:sz w:val="20"/>
                <w:highlight w:val="none"/>
                <w14:textFill>
                  <w14:solidFill>
                    <w14:schemeClr w14:val="tx1"/>
                  </w14:solidFill>
                </w14:textFill>
              </w:rPr>
            </w:pPr>
          </w:p>
        </w:tc>
        <w:tc>
          <w:tcPr>
            <w:tcW w:w="1301" w:type="dxa"/>
          </w:tcPr>
          <w:p w14:paraId="63625662">
            <w:pPr>
              <w:pStyle w:val="33"/>
              <w:rPr>
                <w:color w:val="000000" w:themeColor="text1"/>
                <w:sz w:val="20"/>
                <w:highlight w:val="none"/>
                <w14:textFill>
                  <w14:solidFill>
                    <w14:schemeClr w14:val="tx1"/>
                  </w14:solidFill>
                </w14:textFill>
              </w:rPr>
            </w:pPr>
          </w:p>
        </w:tc>
        <w:tc>
          <w:tcPr>
            <w:tcW w:w="839" w:type="dxa"/>
          </w:tcPr>
          <w:p w14:paraId="4D2E3665">
            <w:pPr>
              <w:pStyle w:val="33"/>
              <w:rPr>
                <w:color w:val="000000" w:themeColor="text1"/>
                <w:sz w:val="20"/>
                <w:highlight w:val="none"/>
                <w14:textFill>
                  <w14:solidFill>
                    <w14:schemeClr w14:val="tx1"/>
                  </w14:solidFill>
                </w14:textFill>
              </w:rPr>
            </w:pPr>
          </w:p>
        </w:tc>
        <w:tc>
          <w:tcPr>
            <w:tcW w:w="825" w:type="dxa"/>
          </w:tcPr>
          <w:p w14:paraId="397410DC">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1B36612C">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4EF862C6">
            <w:pPr>
              <w:pStyle w:val="33"/>
              <w:rPr>
                <w:color w:val="000000" w:themeColor="text1"/>
                <w:sz w:val="20"/>
                <w:highlight w:val="none"/>
                <w14:textFill>
                  <w14:solidFill>
                    <w14:schemeClr w14:val="tx1"/>
                  </w14:solidFill>
                </w14:textFill>
              </w:rPr>
            </w:pPr>
          </w:p>
        </w:tc>
        <w:tc>
          <w:tcPr>
            <w:tcW w:w="675" w:type="dxa"/>
          </w:tcPr>
          <w:p w14:paraId="26CCD44C">
            <w:pPr>
              <w:pStyle w:val="33"/>
              <w:rPr>
                <w:color w:val="000000" w:themeColor="text1"/>
                <w:sz w:val="20"/>
                <w:highlight w:val="none"/>
                <w14:textFill>
                  <w14:solidFill>
                    <w14:schemeClr w14:val="tx1"/>
                  </w14:solidFill>
                </w14:textFill>
              </w:rPr>
            </w:pPr>
          </w:p>
        </w:tc>
      </w:tr>
      <w:tr w14:paraId="4AB33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620E3EF7">
            <w:pPr>
              <w:pStyle w:val="33"/>
              <w:jc w:val="center"/>
              <w:rPr>
                <w:color w:val="000000" w:themeColor="text1"/>
                <w:sz w:val="20"/>
                <w:highlight w:val="none"/>
                <w14:textFill>
                  <w14:solidFill>
                    <w14:schemeClr w14:val="tx1"/>
                  </w14:solidFill>
                </w14:textFill>
              </w:rPr>
            </w:pPr>
          </w:p>
        </w:tc>
        <w:tc>
          <w:tcPr>
            <w:tcW w:w="858" w:type="dxa"/>
            <w:vAlign w:val="center"/>
          </w:tcPr>
          <w:p w14:paraId="7CF81B59">
            <w:pPr>
              <w:pStyle w:val="33"/>
              <w:jc w:val="center"/>
              <w:rPr>
                <w:rFonts w:hint="default" w:eastAsia="宋体"/>
                <w:color w:val="000000" w:themeColor="text1"/>
                <w:sz w:val="20"/>
                <w:highlight w:val="none"/>
                <w:lang w:val="en-US" w:eastAsia="zh-CN"/>
                <w14:textFill>
                  <w14:solidFill>
                    <w14:schemeClr w14:val="tx1"/>
                  </w14:solidFill>
                </w14:textFill>
              </w:rPr>
            </w:pPr>
          </w:p>
        </w:tc>
        <w:tc>
          <w:tcPr>
            <w:tcW w:w="1217" w:type="dxa"/>
            <w:vAlign w:val="center"/>
          </w:tcPr>
          <w:p w14:paraId="34A6576D">
            <w:pPr>
              <w:pStyle w:val="33"/>
              <w:jc w:val="center"/>
              <w:rPr>
                <w:color w:val="000000" w:themeColor="text1"/>
                <w:sz w:val="20"/>
                <w:highlight w:val="none"/>
                <w14:textFill>
                  <w14:solidFill>
                    <w14:schemeClr w14:val="tx1"/>
                  </w14:solidFill>
                </w14:textFill>
              </w:rPr>
            </w:pPr>
          </w:p>
        </w:tc>
        <w:tc>
          <w:tcPr>
            <w:tcW w:w="1301" w:type="dxa"/>
          </w:tcPr>
          <w:p w14:paraId="796A22BF">
            <w:pPr>
              <w:pStyle w:val="33"/>
              <w:rPr>
                <w:color w:val="000000" w:themeColor="text1"/>
                <w:sz w:val="20"/>
                <w:highlight w:val="none"/>
                <w14:textFill>
                  <w14:solidFill>
                    <w14:schemeClr w14:val="tx1"/>
                  </w14:solidFill>
                </w14:textFill>
              </w:rPr>
            </w:pPr>
          </w:p>
        </w:tc>
        <w:tc>
          <w:tcPr>
            <w:tcW w:w="839" w:type="dxa"/>
          </w:tcPr>
          <w:p w14:paraId="26FAF3AF">
            <w:pPr>
              <w:pStyle w:val="33"/>
              <w:rPr>
                <w:color w:val="000000" w:themeColor="text1"/>
                <w:sz w:val="20"/>
                <w:highlight w:val="none"/>
                <w14:textFill>
                  <w14:solidFill>
                    <w14:schemeClr w14:val="tx1"/>
                  </w14:solidFill>
                </w14:textFill>
              </w:rPr>
            </w:pPr>
          </w:p>
        </w:tc>
        <w:tc>
          <w:tcPr>
            <w:tcW w:w="825" w:type="dxa"/>
          </w:tcPr>
          <w:p w14:paraId="08B125C0">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1463DDE7">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0921F85C">
            <w:pPr>
              <w:pStyle w:val="33"/>
              <w:rPr>
                <w:color w:val="000000" w:themeColor="text1"/>
                <w:sz w:val="20"/>
                <w:highlight w:val="none"/>
                <w14:textFill>
                  <w14:solidFill>
                    <w14:schemeClr w14:val="tx1"/>
                  </w14:solidFill>
                </w14:textFill>
              </w:rPr>
            </w:pPr>
          </w:p>
        </w:tc>
        <w:tc>
          <w:tcPr>
            <w:tcW w:w="675" w:type="dxa"/>
          </w:tcPr>
          <w:p w14:paraId="06818ECA">
            <w:pPr>
              <w:pStyle w:val="33"/>
              <w:rPr>
                <w:color w:val="000000" w:themeColor="text1"/>
                <w:sz w:val="20"/>
                <w:highlight w:val="none"/>
                <w14:textFill>
                  <w14:solidFill>
                    <w14:schemeClr w14:val="tx1"/>
                  </w14:solidFill>
                </w14:textFill>
              </w:rPr>
            </w:pPr>
          </w:p>
        </w:tc>
      </w:tr>
      <w:tr w14:paraId="395DC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712C361">
            <w:pPr>
              <w:pStyle w:val="33"/>
              <w:jc w:val="center"/>
              <w:rPr>
                <w:color w:val="000000" w:themeColor="text1"/>
                <w:sz w:val="20"/>
                <w:highlight w:val="none"/>
                <w14:textFill>
                  <w14:solidFill>
                    <w14:schemeClr w14:val="tx1"/>
                  </w14:solidFill>
                </w14:textFill>
              </w:rPr>
            </w:pPr>
          </w:p>
        </w:tc>
        <w:tc>
          <w:tcPr>
            <w:tcW w:w="858" w:type="dxa"/>
            <w:vAlign w:val="center"/>
          </w:tcPr>
          <w:p w14:paraId="2AAABECA">
            <w:pPr>
              <w:pStyle w:val="33"/>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2030122D">
            <w:pPr>
              <w:pStyle w:val="33"/>
              <w:jc w:val="center"/>
              <w:rPr>
                <w:color w:val="000000" w:themeColor="text1"/>
                <w:sz w:val="20"/>
                <w:highlight w:val="none"/>
                <w14:textFill>
                  <w14:solidFill>
                    <w14:schemeClr w14:val="tx1"/>
                  </w14:solidFill>
                </w14:textFill>
              </w:rPr>
            </w:pPr>
          </w:p>
        </w:tc>
        <w:tc>
          <w:tcPr>
            <w:tcW w:w="1301" w:type="dxa"/>
          </w:tcPr>
          <w:p w14:paraId="2333994B">
            <w:pPr>
              <w:pStyle w:val="33"/>
              <w:rPr>
                <w:color w:val="000000" w:themeColor="text1"/>
                <w:sz w:val="20"/>
                <w:highlight w:val="none"/>
                <w14:textFill>
                  <w14:solidFill>
                    <w14:schemeClr w14:val="tx1"/>
                  </w14:solidFill>
                </w14:textFill>
              </w:rPr>
            </w:pPr>
          </w:p>
        </w:tc>
        <w:tc>
          <w:tcPr>
            <w:tcW w:w="839" w:type="dxa"/>
          </w:tcPr>
          <w:p w14:paraId="5A7805D4">
            <w:pPr>
              <w:pStyle w:val="33"/>
              <w:rPr>
                <w:color w:val="000000" w:themeColor="text1"/>
                <w:sz w:val="20"/>
                <w:highlight w:val="none"/>
                <w14:textFill>
                  <w14:solidFill>
                    <w14:schemeClr w14:val="tx1"/>
                  </w14:solidFill>
                </w14:textFill>
              </w:rPr>
            </w:pPr>
          </w:p>
        </w:tc>
        <w:tc>
          <w:tcPr>
            <w:tcW w:w="825" w:type="dxa"/>
          </w:tcPr>
          <w:p w14:paraId="45573674">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0C3FC428">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09B1B20E">
            <w:pPr>
              <w:pStyle w:val="33"/>
              <w:rPr>
                <w:color w:val="000000" w:themeColor="text1"/>
                <w:sz w:val="20"/>
                <w:highlight w:val="none"/>
                <w14:textFill>
                  <w14:solidFill>
                    <w14:schemeClr w14:val="tx1"/>
                  </w14:solidFill>
                </w14:textFill>
              </w:rPr>
            </w:pPr>
          </w:p>
        </w:tc>
        <w:tc>
          <w:tcPr>
            <w:tcW w:w="675" w:type="dxa"/>
          </w:tcPr>
          <w:p w14:paraId="3157C4A6">
            <w:pPr>
              <w:pStyle w:val="33"/>
              <w:rPr>
                <w:color w:val="000000" w:themeColor="text1"/>
                <w:sz w:val="20"/>
                <w:highlight w:val="none"/>
                <w14:textFill>
                  <w14:solidFill>
                    <w14:schemeClr w14:val="tx1"/>
                  </w14:solidFill>
                </w14:textFill>
              </w:rPr>
            </w:pPr>
          </w:p>
        </w:tc>
      </w:tr>
      <w:tr w14:paraId="2839B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0D59F85">
            <w:pPr>
              <w:pStyle w:val="33"/>
              <w:jc w:val="center"/>
              <w:rPr>
                <w:color w:val="000000" w:themeColor="text1"/>
                <w:sz w:val="20"/>
                <w:highlight w:val="none"/>
                <w14:textFill>
                  <w14:solidFill>
                    <w14:schemeClr w14:val="tx1"/>
                  </w14:solidFill>
                </w14:textFill>
              </w:rPr>
            </w:pPr>
          </w:p>
        </w:tc>
        <w:tc>
          <w:tcPr>
            <w:tcW w:w="858" w:type="dxa"/>
            <w:vAlign w:val="center"/>
          </w:tcPr>
          <w:p w14:paraId="26BB751F">
            <w:pPr>
              <w:pStyle w:val="33"/>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14923735">
            <w:pPr>
              <w:pStyle w:val="33"/>
              <w:jc w:val="center"/>
              <w:rPr>
                <w:color w:val="000000" w:themeColor="text1"/>
                <w:sz w:val="20"/>
                <w:highlight w:val="none"/>
                <w14:textFill>
                  <w14:solidFill>
                    <w14:schemeClr w14:val="tx1"/>
                  </w14:solidFill>
                </w14:textFill>
              </w:rPr>
            </w:pPr>
          </w:p>
        </w:tc>
        <w:tc>
          <w:tcPr>
            <w:tcW w:w="1301" w:type="dxa"/>
          </w:tcPr>
          <w:p w14:paraId="7287B1DF">
            <w:pPr>
              <w:pStyle w:val="33"/>
              <w:rPr>
                <w:color w:val="000000" w:themeColor="text1"/>
                <w:sz w:val="20"/>
                <w:highlight w:val="none"/>
                <w14:textFill>
                  <w14:solidFill>
                    <w14:schemeClr w14:val="tx1"/>
                  </w14:solidFill>
                </w14:textFill>
              </w:rPr>
            </w:pPr>
          </w:p>
        </w:tc>
        <w:tc>
          <w:tcPr>
            <w:tcW w:w="839" w:type="dxa"/>
          </w:tcPr>
          <w:p w14:paraId="2F56ED29">
            <w:pPr>
              <w:pStyle w:val="33"/>
              <w:rPr>
                <w:color w:val="000000" w:themeColor="text1"/>
                <w:sz w:val="20"/>
                <w:highlight w:val="none"/>
                <w14:textFill>
                  <w14:solidFill>
                    <w14:schemeClr w14:val="tx1"/>
                  </w14:solidFill>
                </w14:textFill>
              </w:rPr>
            </w:pPr>
          </w:p>
        </w:tc>
        <w:tc>
          <w:tcPr>
            <w:tcW w:w="825" w:type="dxa"/>
          </w:tcPr>
          <w:p w14:paraId="765AFAA6">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63C0F22C">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1AA223AC">
            <w:pPr>
              <w:pStyle w:val="33"/>
              <w:rPr>
                <w:color w:val="000000" w:themeColor="text1"/>
                <w:sz w:val="20"/>
                <w:highlight w:val="none"/>
                <w14:textFill>
                  <w14:solidFill>
                    <w14:schemeClr w14:val="tx1"/>
                  </w14:solidFill>
                </w14:textFill>
              </w:rPr>
            </w:pPr>
          </w:p>
        </w:tc>
        <w:tc>
          <w:tcPr>
            <w:tcW w:w="675" w:type="dxa"/>
          </w:tcPr>
          <w:p w14:paraId="3EE6496F">
            <w:pPr>
              <w:pStyle w:val="33"/>
              <w:rPr>
                <w:color w:val="000000" w:themeColor="text1"/>
                <w:sz w:val="20"/>
                <w:highlight w:val="none"/>
                <w14:textFill>
                  <w14:solidFill>
                    <w14:schemeClr w14:val="tx1"/>
                  </w14:solidFill>
                </w14:textFill>
              </w:rPr>
            </w:pPr>
          </w:p>
        </w:tc>
      </w:tr>
      <w:tr w14:paraId="2E562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858" w:type="dxa"/>
            <w:vAlign w:val="center"/>
          </w:tcPr>
          <w:p w14:paraId="5B1D44F0">
            <w:pPr>
              <w:pStyle w:val="33"/>
              <w:jc w:val="center"/>
              <w:rPr>
                <w:color w:val="000000" w:themeColor="text1"/>
                <w:sz w:val="20"/>
                <w:highlight w:val="none"/>
                <w14:textFill>
                  <w14:solidFill>
                    <w14:schemeClr w14:val="tx1"/>
                  </w14:solidFill>
                </w14:textFill>
              </w:rPr>
            </w:pPr>
          </w:p>
        </w:tc>
        <w:tc>
          <w:tcPr>
            <w:tcW w:w="858" w:type="dxa"/>
            <w:vAlign w:val="center"/>
          </w:tcPr>
          <w:p w14:paraId="642731AD">
            <w:pPr>
              <w:pStyle w:val="33"/>
              <w:jc w:val="center"/>
              <w:rPr>
                <w:rFonts w:hint="default"/>
                <w:color w:val="000000" w:themeColor="text1"/>
                <w:sz w:val="20"/>
                <w:highlight w:val="none"/>
                <w:lang w:val="en-US" w:eastAsia="zh-CN"/>
                <w14:textFill>
                  <w14:solidFill>
                    <w14:schemeClr w14:val="tx1"/>
                  </w14:solidFill>
                </w14:textFill>
              </w:rPr>
            </w:pPr>
          </w:p>
        </w:tc>
        <w:tc>
          <w:tcPr>
            <w:tcW w:w="1217" w:type="dxa"/>
            <w:vAlign w:val="center"/>
          </w:tcPr>
          <w:p w14:paraId="798129E2">
            <w:pPr>
              <w:pStyle w:val="33"/>
              <w:jc w:val="center"/>
              <w:rPr>
                <w:color w:val="000000" w:themeColor="text1"/>
                <w:sz w:val="20"/>
                <w:highlight w:val="none"/>
                <w14:textFill>
                  <w14:solidFill>
                    <w14:schemeClr w14:val="tx1"/>
                  </w14:solidFill>
                </w14:textFill>
              </w:rPr>
            </w:pPr>
          </w:p>
        </w:tc>
        <w:tc>
          <w:tcPr>
            <w:tcW w:w="1301" w:type="dxa"/>
          </w:tcPr>
          <w:p w14:paraId="1092C54B">
            <w:pPr>
              <w:pStyle w:val="33"/>
              <w:rPr>
                <w:color w:val="000000" w:themeColor="text1"/>
                <w:sz w:val="20"/>
                <w:highlight w:val="none"/>
                <w14:textFill>
                  <w14:solidFill>
                    <w14:schemeClr w14:val="tx1"/>
                  </w14:solidFill>
                </w14:textFill>
              </w:rPr>
            </w:pPr>
          </w:p>
        </w:tc>
        <w:tc>
          <w:tcPr>
            <w:tcW w:w="839" w:type="dxa"/>
          </w:tcPr>
          <w:p w14:paraId="741DA617">
            <w:pPr>
              <w:pStyle w:val="33"/>
              <w:rPr>
                <w:color w:val="000000" w:themeColor="text1"/>
                <w:sz w:val="20"/>
                <w:highlight w:val="none"/>
                <w14:textFill>
                  <w14:solidFill>
                    <w14:schemeClr w14:val="tx1"/>
                  </w14:solidFill>
                </w14:textFill>
              </w:rPr>
            </w:pPr>
          </w:p>
        </w:tc>
        <w:tc>
          <w:tcPr>
            <w:tcW w:w="825" w:type="dxa"/>
          </w:tcPr>
          <w:p w14:paraId="1EEECAB6">
            <w:pPr>
              <w:pStyle w:val="33"/>
              <w:rPr>
                <w:color w:val="000000" w:themeColor="text1"/>
                <w:sz w:val="20"/>
                <w:highlight w:val="none"/>
                <w14:textFill>
                  <w14:solidFill>
                    <w14:schemeClr w14:val="tx1"/>
                  </w14:solidFill>
                </w14:textFill>
              </w:rPr>
            </w:pPr>
          </w:p>
        </w:tc>
        <w:tc>
          <w:tcPr>
            <w:tcW w:w="699" w:type="dxa"/>
            <w:tcBorders>
              <w:right w:val="single" w:color="auto" w:sz="4" w:space="0"/>
            </w:tcBorders>
          </w:tcPr>
          <w:p w14:paraId="27110CCC">
            <w:pPr>
              <w:pStyle w:val="33"/>
              <w:rPr>
                <w:color w:val="000000" w:themeColor="text1"/>
                <w:sz w:val="20"/>
                <w:highlight w:val="none"/>
                <w14:textFill>
                  <w14:solidFill>
                    <w14:schemeClr w14:val="tx1"/>
                  </w14:solidFill>
                </w14:textFill>
              </w:rPr>
            </w:pPr>
          </w:p>
        </w:tc>
        <w:tc>
          <w:tcPr>
            <w:tcW w:w="1424" w:type="dxa"/>
            <w:tcBorders>
              <w:left w:val="single" w:color="auto" w:sz="4" w:space="0"/>
            </w:tcBorders>
          </w:tcPr>
          <w:p w14:paraId="25B5AE40">
            <w:pPr>
              <w:pStyle w:val="33"/>
              <w:rPr>
                <w:color w:val="000000" w:themeColor="text1"/>
                <w:sz w:val="20"/>
                <w:highlight w:val="none"/>
                <w14:textFill>
                  <w14:solidFill>
                    <w14:schemeClr w14:val="tx1"/>
                  </w14:solidFill>
                </w14:textFill>
              </w:rPr>
            </w:pPr>
          </w:p>
        </w:tc>
        <w:tc>
          <w:tcPr>
            <w:tcW w:w="675" w:type="dxa"/>
          </w:tcPr>
          <w:p w14:paraId="1011937C">
            <w:pPr>
              <w:pStyle w:val="33"/>
              <w:rPr>
                <w:color w:val="000000" w:themeColor="text1"/>
                <w:sz w:val="20"/>
                <w:highlight w:val="none"/>
                <w14:textFill>
                  <w14:solidFill>
                    <w14:schemeClr w14:val="tx1"/>
                  </w14:solidFill>
                </w14:textFill>
              </w:rPr>
            </w:pPr>
          </w:p>
        </w:tc>
      </w:tr>
      <w:tr w14:paraId="7B534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858" w:type="dxa"/>
            <w:vAlign w:val="center"/>
          </w:tcPr>
          <w:p w14:paraId="5E12F586">
            <w:pPr>
              <w:pStyle w:val="33"/>
              <w:jc w:val="center"/>
              <w:rPr>
                <w:rFonts w:hint="eastAsia"/>
                <w:color w:val="000000" w:themeColor="text1"/>
                <w:sz w:val="20"/>
                <w:highlight w:val="none"/>
                <w:lang w:val="en-US" w:eastAsia="zh-CN"/>
                <w14:textFill>
                  <w14:solidFill>
                    <w14:schemeClr w14:val="tx1"/>
                  </w14:solidFill>
                </w14:textFill>
              </w:rPr>
            </w:pPr>
          </w:p>
        </w:tc>
        <w:tc>
          <w:tcPr>
            <w:tcW w:w="2075" w:type="dxa"/>
            <w:gridSpan w:val="2"/>
            <w:vAlign w:val="center"/>
          </w:tcPr>
          <w:p w14:paraId="4E573832">
            <w:pPr>
              <w:pStyle w:val="33"/>
              <w:jc w:val="center"/>
              <w:rPr>
                <w:color w:val="000000" w:themeColor="text1"/>
                <w:sz w:val="20"/>
                <w:highlight w:val="none"/>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总计</w:t>
            </w:r>
          </w:p>
        </w:tc>
        <w:tc>
          <w:tcPr>
            <w:tcW w:w="5763" w:type="dxa"/>
            <w:gridSpan w:val="6"/>
          </w:tcPr>
          <w:p w14:paraId="7032D554">
            <w:pPr>
              <w:pStyle w:val="33"/>
              <w:rPr>
                <w:rFonts w:hint="eastAsia"/>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大写：</w:t>
            </w:r>
          </w:p>
          <w:p w14:paraId="1B425A9D">
            <w:pPr>
              <w:pStyle w:val="33"/>
              <w:rPr>
                <w:rFonts w:hint="default"/>
                <w:color w:val="000000" w:themeColor="text1"/>
                <w:sz w:val="20"/>
                <w:highlight w:val="none"/>
                <w:lang w:val="en-US" w:eastAsia="zh-CN"/>
                <w14:textFill>
                  <w14:solidFill>
                    <w14:schemeClr w14:val="tx1"/>
                  </w14:solidFill>
                </w14:textFill>
              </w:rPr>
            </w:pPr>
            <w:r>
              <w:rPr>
                <w:rFonts w:hint="eastAsia"/>
                <w:color w:val="000000" w:themeColor="text1"/>
                <w:sz w:val="20"/>
                <w:highlight w:val="none"/>
                <w:lang w:val="en-US" w:eastAsia="zh-CN"/>
                <w14:textFill>
                  <w14:solidFill>
                    <w14:schemeClr w14:val="tx1"/>
                  </w14:solidFill>
                </w14:textFill>
              </w:rPr>
              <w:t>小写：</w:t>
            </w:r>
          </w:p>
        </w:tc>
      </w:tr>
    </w:tbl>
    <w:p w14:paraId="126D9390">
      <w:pPr>
        <w:adjustRightInd w:val="0"/>
        <w:spacing w:line="560" w:lineRule="exact"/>
        <w:rPr>
          <w:rFonts w:ascii="宋体" w:hAnsi="宋体"/>
          <w:bCs/>
          <w:color w:val="000000" w:themeColor="text1"/>
          <w:sz w:val="24"/>
          <w:szCs w:val="24"/>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说明：1.</w:t>
      </w:r>
      <w:r>
        <w:rPr>
          <w:rFonts w:hint="eastAsia" w:ascii="宋体" w:hAnsi="宋体"/>
          <w:bCs/>
          <w:color w:val="000000" w:themeColor="text1"/>
          <w:sz w:val="24"/>
          <w:szCs w:val="24"/>
          <w:highlight w:val="none"/>
          <w14:textFill>
            <w14:solidFill>
              <w14:schemeClr w14:val="tx1"/>
            </w14:solidFill>
          </w14:textFill>
        </w:rPr>
        <w:t xml:space="preserve"> 分项报价合计金额应与投标报价表一致。</w:t>
      </w:r>
    </w:p>
    <w:p w14:paraId="63F7FEAC">
      <w:pPr>
        <w:adjustRightInd w:val="0"/>
        <w:spacing w:line="560" w:lineRule="exact"/>
        <w:ind w:firstLine="720" w:firstLineChars="300"/>
        <w:rPr>
          <w:rFonts w:ascii="宋体" w:hAnsi="宋体" w:cs="宋体"/>
          <w:color w:val="000000" w:themeColor="text1"/>
          <w:kern w:val="0"/>
          <w:sz w:val="24"/>
          <w:szCs w:val="20"/>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 xml:space="preserve">2. </w:t>
      </w:r>
      <w:r>
        <w:rPr>
          <w:rFonts w:hint="eastAsia" w:ascii="宋体" w:hAnsi="宋体"/>
          <w:bCs/>
          <w:color w:val="000000" w:themeColor="text1"/>
          <w:sz w:val="24"/>
          <w:szCs w:val="24"/>
          <w:highlight w:val="none"/>
          <w:lang w:eastAsia="zh-CN"/>
          <w14:textFill>
            <w14:solidFill>
              <w14:schemeClr w14:val="tx1"/>
            </w14:solidFill>
          </w14:textFill>
        </w:rPr>
        <w:t>供应商</w:t>
      </w:r>
      <w:r>
        <w:rPr>
          <w:rFonts w:hint="eastAsia" w:ascii="宋体" w:hAnsi="宋体"/>
          <w:bCs/>
          <w:color w:val="000000" w:themeColor="text1"/>
          <w:sz w:val="24"/>
          <w:szCs w:val="24"/>
          <w:highlight w:val="none"/>
          <w14:textFill>
            <w14:solidFill>
              <w14:schemeClr w14:val="tx1"/>
            </w14:solidFill>
          </w14:textFill>
        </w:rPr>
        <w:t>可根据实际情况增减行。</w:t>
      </w:r>
    </w:p>
    <w:p w14:paraId="153DB9B3">
      <w:pPr>
        <w:spacing w:line="440" w:lineRule="atLeast"/>
        <w:jc w:val="both"/>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kern w:val="0"/>
          <w:sz w:val="24"/>
          <w:szCs w:val="20"/>
          <w:highlight w:val="none"/>
          <w14:textFill>
            <w14:solidFill>
              <w14:schemeClr w14:val="tx1"/>
            </w14:solidFill>
          </w14:textFill>
        </w:rPr>
        <w:t xml:space="preserve">      3.</w:t>
      </w:r>
      <w:r>
        <w:rPr>
          <w:rFonts w:hint="eastAsia" w:ascii="宋体" w:hAnsi="宋体" w:cs="宋体"/>
          <w:color w:val="000000" w:themeColor="text1"/>
          <w:sz w:val="24"/>
          <w:szCs w:val="24"/>
          <w:highlight w:val="none"/>
          <w14:textFill>
            <w14:solidFill>
              <w14:schemeClr w14:val="tx1"/>
            </w14:solidFill>
          </w14:textFill>
        </w:rPr>
        <w:t xml:space="preserve"> 投标报价中包含此项目相关的所有费用。</w:t>
      </w:r>
    </w:p>
    <w:p w14:paraId="7D1CD19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4B248BE5">
      <w:pPr>
        <w:spacing w:line="440" w:lineRule="atLeast"/>
        <w:ind w:firstLine="420" w:firstLineChars="200"/>
        <w:jc w:val="center"/>
        <w:rPr>
          <w:rFonts w:ascii="宋体" w:hAnsi="宋体"/>
          <w:color w:val="000000" w:themeColor="text1"/>
          <w:highlight w:val="none"/>
          <w14:textFill>
            <w14:solidFill>
              <w14:schemeClr w14:val="tx1"/>
            </w14:solidFill>
          </w14:textFill>
        </w:rPr>
      </w:pPr>
    </w:p>
    <w:p w14:paraId="01AB20A5">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供应商名称：（</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CE1FFB">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法定代表人或其委托代理人</w:t>
      </w:r>
      <w:r>
        <w:rPr>
          <w:rFonts w:hint="eastAsia" w:ascii="宋体" w:hAnsi="宋体" w:cs="宋体"/>
          <w:color w:val="000000" w:themeColor="text1"/>
          <w:sz w:val="24"/>
          <w:szCs w:val="32"/>
          <w:highlight w:val="none"/>
          <w14:textFill>
            <w14:solidFill>
              <w14:schemeClr w14:val="tx1"/>
            </w14:solidFill>
          </w14:textFill>
        </w:rPr>
        <w:t>：（</w:t>
      </w:r>
      <w:r>
        <w:rPr>
          <w:rFonts w:hint="eastAsia" w:ascii="宋体" w:hAnsi="宋体"/>
          <w:color w:val="000000" w:themeColor="text1"/>
          <w:sz w:val="24"/>
          <w:highlight w:val="none"/>
          <w:lang w:eastAsia="zh-CN"/>
          <w14:textFill>
            <w14:solidFill>
              <w14:schemeClr w14:val="tx1"/>
            </w14:solidFill>
          </w14:textFill>
        </w:rPr>
        <w:t>电子签章</w:t>
      </w:r>
      <w:r>
        <w:rPr>
          <w:rFonts w:hint="eastAsia" w:ascii="宋体" w:hAnsi="宋体" w:cs="宋体"/>
          <w:color w:val="000000" w:themeColor="text1"/>
          <w:sz w:val="24"/>
          <w:szCs w:val="32"/>
          <w:highlight w:val="none"/>
          <w14:textFill>
            <w14:solidFill>
              <w14:schemeClr w14:val="tx1"/>
            </w14:solidFill>
          </w14:textFill>
        </w:rPr>
        <w:t>）</w:t>
      </w:r>
    </w:p>
    <w:p w14:paraId="6B5EBF1A">
      <w:pPr>
        <w:spacing w:line="360" w:lineRule="auto"/>
        <w:ind w:firstLine="480" w:firstLineChars="200"/>
        <w:rPr>
          <w:rFonts w:ascii="宋体" w:hAnsi="宋体" w:cs="宋体"/>
          <w:color w:val="000000" w:themeColor="text1"/>
          <w:sz w:val="24"/>
          <w:szCs w:val="32"/>
          <w:highlight w:val="none"/>
          <w14:textFill>
            <w14:solidFill>
              <w14:schemeClr w14:val="tx1"/>
            </w14:solidFill>
          </w14:textFill>
        </w:rPr>
      </w:pPr>
      <w:r>
        <w:rPr>
          <w:rFonts w:hint="eastAsia" w:ascii="宋体" w:hAnsi="宋体" w:cs="宋体"/>
          <w:color w:val="000000" w:themeColor="text1"/>
          <w:sz w:val="24"/>
          <w:szCs w:val="32"/>
          <w:highlight w:val="none"/>
          <w14:textFill>
            <w14:solidFill>
              <w14:schemeClr w14:val="tx1"/>
            </w14:solidFill>
          </w14:textFill>
        </w:rPr>
        <w:t>日期：</w:t>
      </w:r>
    </w:p>
    <w:p w14:paraId="145137D3">
      <w:pPr>
        <w:pStyle w:val="35"/>
        <w:numPr>
          <w:ilvl w:val="0"/>
          <w:numId w:val="0"/>
        </w:numPr>
        <w:jc w:val="cente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pPr>
    </w:p>
    <w:p w14:paraId="267D99A3">
      <w:pPr>
        <w:pStyle w:val="35"/>
        <w:numPr>
          <w:ilvl w:val="0"/>
          <w:numId w:val="0"/>
        </w:numPr>
        <w:jc w:val="cente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pPr>
      <w:r>
        <w:rPr>
          <w:rFonts w:hint="eastAsia" w:ascii="宋体" w:hAnsi="宋体" w:eastAsia="宋体" w:cs="Times New Roman"/>
          <w:b/>
          <w:bCs/>
          <w:color w:val="000000" w:themeColor="text1"/>
          <w:kern w:val="44"/>
          <w:sz w:val="28"/>
          <w:szCs w:val="24"/>
          <w:highlight w:val="none"/>
          <w:lang w:val="en-US" w:eastAsia="zh-CN" w:bidi="ar-SA"/>
          <w14:textFill>
            <w14:solidFill>
              <w14:schemeClr w14:val="tx1"/>
            </w14:solidFill>
          </w14:textFill>
        </w:rPr>
        <w:t>（二）</w:t>
      </w:r>
      <w:bookmarkStart w:id="175" w:name="_Toc358213385"/>
      <w:bookmarkStart w:id="176" w:name="_Toc464814119"/>
      <w:bookmarkStart w:id="177" w:name="_Toc9538"/>
      <w:bookmarkStart w:id="178" w:name="_Toc30992"/>
      <w:bookmarkStart w:id="179" w:name="_Toc17292_WPSOffice_Level2"/>
      <w:r>
        <w:rPr>
          <w:rFonts w:hint="eastAsia" w:ascii="宋体" w:hAnsi="宋体" w:eastAsia="宋体" w:cs="Times New Roman"/>
          <w:b/>
          <w:bCs/>
          <w:color w:val="000000" w:themeColor="text1"/>
          <w:kern w:val="44"/>
          <w:sz w:val="28"/>
          <w:szCs w:val="24"/>
          <w:highlight w:val="none"/>
          <w:lang w:val="zh-CN" w:eastAsia="zh-CN" w:bidi="ar-SA"/>
          <w14:textFill>
            <w14:solidFill>
              <w14:schemeClr w14:val="tx1"/>
            </w14:solidFill>
          </w14:textFill>
        </w:rPr>
        <w:t>货物规格、技术参数偏离表</w:t>
      </w:r>
      <w:bookmarkEnd w:id="175"/>
      <w:bookmarkEnd w:id="176"/>
      <w:bookmarkEnd w:id="177"/>
      <w:bookmarkEnd w:id="178"/>
      <w:bookmarkEnd w:id="179"/>
    </w:p>
    <w:p w14:paraId="29780A71">
      <w:pPr>
        <w:pStyle w:val="35"/>
        <w:numPr>
          <w:ilvl w:val="0"/>
          <w:numId w:val="0"/>
        </w:numPr>
        <w:jc w:val="both"/>
        <w:rPr>
          <w:rFonts w:hint="eastAsia" w:ascii="宋体" w:hAnsi="宋体" w:eastAsia="宋体" w:cs="宋体"/>
          <w:b w:val="0"/>
          <w:bCs w:val="0"/>
          <w:kern w:val="0"/>
          <w:sz w:val="28"/>
          <w:szCs w:val="28"/>
          <w:lang w:val="zh-CN" w:eastAsia="zh-CN" w:bidi="zh-CN"/>
        </w:rPr>
      </w:pPr>
    </w:p>
    <w:tbl>
      <w:tblPr>
        <w:tblStyle w:val="20"/>
        <w:tblW w:w="9888" w:type="dxa"/>
        <w:tblInd w:w="-7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356"/>
        <w:gridCol w:w="1488"/>
        <w:gridCol w:w="1956"/>
        <w:gridCol w:w="1860"/>
        <w:gridCol w:w="1452"/>
        <w:gridCol w:w="912"/>
      </w:tblGrid>
      <w:tr w14:paraId="0138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8359E6D">
            <w:pPr>
              <w:spacing w:line="480" w:lineRule="exact"/>
              <w:jc w:val="center"/>
              <w:rPr>
                <w:bCs/>
                <w:sz w:val="24"/>
                <w:szCs w:val="24"/>
              </w:rPr>
            </w:pPr>
            <w:r>
              <w:rPr>
                <w:rFonts w:hint="eastAsia"/>
                <w:bCs/>
                <w:sz w:val="24"/>
                <w:szCs w:val="24"/>
              </w:rPr>
              <w:t>序号</w:t>
            </w:r>
          </w:p>
        </w:tc>
        <w:tc>
          <w:tcPr>
            <w:tcW w:w="1356" w:type="dxa"/>
            <w:noWrap/>
            <w:vAlign w:val="top"/>
          </w:tcPr>
          <w:p w14:paraId="272BF234">
            <w:pPr>
              <w:spacing w:line="480" w:lineRule="exact"/>
              <w:jc w:val="center"/>
              <w:rPr>
                <w:bCs/>
                <w:sz w:val="24"/>
                <w:szCs w:val="24"/>
              </w:rPr>
            </w:pPr>
            <w:r>
              <w:rPr>
                <w:rFonts w:hint="eastAsia"/>
                <w:bCs/>
                <w:sz w:val="24"/>
                <w:szCs w:val="24"/>
              </w:rPr>
              <w:t>货物名称</w:t>
            </w:r>
          </w:p>
        </w:tc>
        <w:tc>
          <w:tcPr>
            <w:tcW w:w="1488" w:type="dxa"/>
            <w:noWrap/>
            <w:vAlign w:val="top"/>
          </w:tcPr>
          <w:p w14:paraId="7EF4D979">
            <w:pPr>
              <w:spacing w:line="480" w:lineRule="exact"/>
              <w:jc w:val="center"/>
              <w:rPr>
                <w:bCs/>
                <w:sz w:val="24"/>
                <w:szCs w:val="24"/>
              </w:rPr>
            </w:pPr>
            <w:r>
              <w:rPr>
                <w:rFonts w:hint="eastAsia"/>
                <w:bCs/>
                <w:sz w:val="24"/>
                <w:szCs w:val="24"/>
              </w:rPr>
              <w:t>招标功能参数</w:t>
            </w:r>
          </w:p>
        </w:tc>
        <w:tc>
          <w:tcPr>
            <w:tcW w:w="1956" w:type="dxa"/>
            <w:noWrap/>
            <w:vAlign w:val="top"/>
          </w:tcPr>
          <w:p w14:paraId="7206BEE4">
            <w:pPr>
              <w:spacing w:line="480" w:lineRule="exact"/>
              <w:jc w:val="center"/>
              <w:rPr>
                <w:rFonts w:hint="eastAsia"/>
                <w:bCs/>
                <w:sz w:val="24"/>
                <w:szCs w:val="24"/>
              </w:rPr>
            </w:pPr>
            <w:r>
              <w:rPr>
                <w:rFonts w:hint="eastAsia"/>
                <w:bCs/>
                <w:sz w:val="24"/>
                <w:szCs w:val="24"/>
              </w:rPr>
              <w:t>投标品牌</w:t>
            </w:r>
          </w:p>
          <w:p w14:paraId="6F478B0D">
            <w:pPr>
              <w:spacing w:line="480" w:lineRule="exact"/>
              <w:jc w:val="center"/>
              <w:rPr>
                <w:bCs/>
                <w:sz w:val="24"/>
                <w:szCs w:val="24"/>
              </w:rPr>
            </w:pPr>
            <w:r>
              <w:rPr>
                <w:rFonts w:hint="eastAsia"/>
                <w:bCs/>
                <w:sz w:val="24"/>
                <w:szCs w:val="24"/>
              </w:rPr>
              <w:t>和版本</w:t>
            </w:r>
          </w:p>
        </w:tc>
        <w:tc>
          <w:tcPr>
            <w:tcW w:w="1860" w:type="dxa"/>
            <w:noWrap/>
            <w:vAlign w:val="top"/>
          </w:tcPr>
          <w:p w14:paraId="0649D752">
            <w:pPr>
              <w:spacing w:line="480" w:lineRule="exact"/>
              <w:jc w:val="center"/>
              <w:rPr>
                <w:rFonts w:hint="eastAsia"/>
                <w:bCs/>
                <w:sz w:val="24"/>
                <w:szCs w:val="24"/>
              </w:rPr>
            </w:pPr>
            <w:r>
              <w:rPr>
                <w:rFonts w:hint="eastAsia"/>
                <w:bCs/>
                <w:sz w:val="24"/>
                <w:szCs w:val="24"/>
              </w:rPr>
              <w:t>投标功能</w:t>
            </w:r>
          </w:p>
          <w:p w14:paraId="0815021E">
            <w:pPr>
              <w:spacing w:line="480" w:lineRule="exact"/>
              <w:jc w:val="center"/>
              <w:rPr>
                <w:bCs/>
                <w:sz w:val="24"/>
                <w:szCs w:val="24"/>
              </w:rPr>
            </w:pPr>
            <w:r>
              <w:rPr>
                <w:rFonts w:hint="eastAsia"/>
                <w:bCs/>
                <w:sz w:val="24"/>
                <w:szCs w:val="24"/>
              </w:rPr>
              <w:t>参数</w:t>
            </w:r>
          </w:p>
        </w:tc>
        <w:tc>
          <w:tcPr>
            <w:tcW w:w="1452" w:type="dxa"/>
            <w:noWrap/>
            <w:vAlign w:val="top"/>
          </w:tcPr>
          <w:p w14:paraId="52842D21">
            <w:pPr>
              <w:spacing w:line="480" w:lineRule="exact"/>
              <w:jc w:val="center"/>
              <w:rPr>
                <w:bCs/>
                <w:sz w:val="24"/>
                <w:szCs w:val="24"/>
              </w:rPr>
            </w:pPr>
            <w:r>
              <w:rPr>
                <w:rFonts w:hint="eastAsia"/>
                <w:bCs/>
                <w:sz w:val="24"/>
                <w:szCs w:val="24"/>
              </w:rPr>
              <w:t>偏离说明</w:t>
            </w:r>
          </w:p>
        </w:tc>
        <w:tc>
          <w:tcPr>
            <w:tcW w:w="912" w:type="dxa"/>
            <w:noWrap/>
            <w:vAlign w:val="top"/>
          </w:tcPr>
          <w:p w14:paraId="28E8841F">
            <w:pPr>
              <w:spacing w:line="480" w:lineRule="exact"/>
              <w:jc w:val="center"/>
              <w:rPr>
                <w:rFonts w:hint="eastAsia" w:eastAsia="宋体"/>
                <w:bCs/>
                <w:sz w:val="24"/>
                <w:szCs w:val="24"/>
                <w:lang w:val="en-US" w:eastAsia="zh-CN"/>
              </w:rPr>
            </w:pPr>
            <w:r>
              <w:rPr>
                <w:rFonts w:hint="eastAsia" w:ascii="宋体" w:hAnsi="宋体" w:eastAsia="宋体" w:cs="宋体"/>
                <w:sz w:val="24"/>
                <w:szCs w:val="24"/>
                <w:lang w:val="en-US" w:eastAsia="zh-CN"/>
              </w:rPr>
              <w:t>备注</w:t>
            </w:r>
          </w:p>
        </w:tc>
      </w:tr>
      <w:tr w14:paraId="2D84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0E4A8F6">
            <w:pPr>
              <w:spacing w:line="480" w:lineRule="exact"/>
              <w:rPr>
                <w:bCs/>
                <w:sz w:val="24"/>
                <w:szCs w:val="24"/>
              </w:rPr>
            </w:pPr>
          </w:p>
        </w:tc>
        <w:tc>
          <w:tcPr>
            <w:tcW w:w="1356" w:type="dxa"/>
            <w:noWrap/>
            <w:vAlign w:val="top"/>
          </w:tcPr>
          <w:p w14:paraId="35F6BBD4">
            <w:pPr>
              <w:spacing w:line="480" w:lineRule="exact"/>
              <w:rPr>
                <w:bCs/>
                <w:sz w:val="24"/>
                <w:szCs w:val="24"/>
              </w:rPr>
            </w:pPr>
          </w:p>
        </w:tc>
        <w:tc>
          <w:tcPr>
            <w:tcW w:w="1488" w:type="dxa"/>
            <w:noWrap/>
            <w:vAlign w:val="top"/>
          </w:tcPr>
          <w:p w14:paraId="3530FCC0">
            <w:pPr>
              <w:spacing w:line="480" w:lineRule="exact"/>
              <w:rPr>
                <w:bCs/>
                <w:sz w:val="24"/>
                <w:szCs w:val="24"/>
              </w:rPr>
            </w:pPr>
          </w:p>
        </w:tc>
        <w:tc>
          <w:tcPr>
            <w:tcW w:w="1956" w:type="dxa"/>
            <w:noWrap/>
            <w:vAlign w:val="top"/>
          </w:tcPr>
          <w:p w14:paraId="07C1498E">
            <w:pPr>
              <w:spacing w:line="480" w:lineRule="exact"/>
              <w:rPr>
                <w:bCs/>
                <w:sz w:val="24"/>
                <w:szCs w:val="24"/>
              </w:rPr>
            </w:pPr>
          </w:p>
        </w:tc>
        <w:tc>
          <w:tcPr>
            <w:tcW w:w="1860" w:type="dxa"/>
            <w:noWrap/>
            <w:vAlign w:val="top"/>
          </w:tcPr>
          <w:p w14:paraId="693C3E76">
            <w:pPr>
              <w:spacing w:line="480" w:lineRule="exact"/>
              <w:rPr>
                <w:bCs/>
                <w:sz w:val="24"/>
                <w:szCs w:val="24"/>
              </w:rPr>
            </w:pPr>
          </w:p>
        </w:tc>
        <w:tc>
          <w:tcPr>
            <w:tcW w:w="1452" w:type="dxa"/>
            <w:noWrap/>
            <w:vAlign w:val="top"/>
          </w:tcPr>
          <w:p w14:paraId="329EFAE4">
            <w:pPr>
              <w:spacing w:line="480" w:lineRule="exact"/>
              <w:rPr>
                <w:bCs/>
                <w:sz w:val="24"/>
                <w:szCs w:val="24"/>
              </w:rPr>
            </w:pPr>
          </w:p>
        </w:tc>
        <w:tc>
          <w:tcPr>
            <w:tcW w:w="912" w:type="dxa"/>
            <w:noWrap/>
            <w:vAlign w:val="top"/>
          </w:tcPr>
          <w:p w14:paraId="72D353CD">
            <w:pPr>
              <w:spacing w:line="480" w:lineRule="exact"/>
              <w:rPr>
                <w:bCs/>
                <w:sz w:val="24"/>
                <w:szCs w:val="24"/>
              </w:rPr>
            </w:pPr>
          </w:p>
        </w:tc>
      </w:tr>
      <w:tr w14:paraId="6BF0B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594DFFFB">
            <w:pPr>
              <w:spacing w:line="480" w:lineRule="exact"/>
              <w:rPr>
                <w:bCs/>
                <w:sz w:val="24"/>
                <w:szCs w:val="24"/>
              </w:rPr>
            </w:pPr>
          </w:p>
        </w:tc>
        <w:tc>
          <w:tcPr>
            <w:tcW w:w="1356" w:type="dxa"/>
            <w:noWrap/>
            <w:vAlign w:val="top"/>
          </w:tcPr>
          <w:p w14:paraId="349E9579">
            <w:pPr>
              <w:spacing w:line="480" w:lineRule="exact"/>
              <w:rPr>
                <w:bCs/>
                <w:sz w:val="24"/>
                <w:szCs w:val="24"/>
              </w:rPr>
            </w:pPr>
          </w:p>
        </w:tc>
        <w:tc>
          <w:tcPr>
            <w:tcW w:w="1488" w:type="dxa"/>
            <w:noWrap/>
            <w:vAlign w:val="top"/>
          </w:tcPr>
          <w:p w14:paraId="795DE3A8">
            <w:pPr>
              <w:spacing w:line="480" w:lineRule="exact"/>
              <w:rPr>
                <w:bCs/>
                <w:sz w:val="24"/>
                <w:szCs w:val="24"/>
              </w:rPr>
            </w:pPr>
          </w:p>
        </w:tc>
        <w:tc>
          <w:tcPr>
            <w:tcW w:w="1956" w:type="dxa"/>
            <w:noWrap/>
            <w:vAlign w:val="top"/>
          </w:tcPr>
          <w:p w14:paraId="4ED76285">
            <w:pPr>
              <w:spacing w:line="480" w:lineRule="exact"/>
              <w:rPr>
                <w:bCs/>
                <w:sz w:val="24"/>
                <w:szCs w:val="24"/>
              </w:rPr>
            </w:pPr>
          </w:p>
        </w:tc>
        <w:tc>
          <w:tcPr>
            <w:tcW w:w="1860" w:type="dxa"/>
            <w:noWrap/>
            <w:vAlign w:val="top"/>
          </w:tcPr>
          <w:p w14:paraId="0A7D7507">
            <w:pPr>
              <w:spacing w:line="480" w:lineRule="exact"/>
              <w:rPr>
                <w:bCs/>
                <w:sz w:val="24"/>
                <w:szCs w:val="24"/>
              </w:rPr>
            </w:pPr>
          </w:p>
        </w:tc>
        <w:tc>
          <w:tcPr>
            <w:tcW w:w="1452" w:type="dxa"/>
            <w:noWrap/>
            <w:vAlign w:val="top"/>
          </w:tcPr>
          <w:p w14:paraId="4B07ED2F">
            <w:pPr>
              <w:spacing w:line="480" w:lineRule="exact"/>
              <w:rPr>
                <w:bCs/>
                <w:sz w:val="24"/>
                <w:szCs w:val="24"/>
              </w:rPr>
            </w:pPr>
          </w:p>
        </w:tc>
        <w:tc>
          <w:tcPr>
            <w:tcW w:w="912" w:type="dxa"/>
            <w:noWrap/>
            <w:vAlign w:val="top"/>
          </w:tcPr>
          <w:p w14:paraId="3F8FB88B">
            <w:pPr>
              <w:spacing w:line="480" w:lineRule="exact"/>
              <w:rPr>
                <w:bCs/>
                <w:sz w:val="24"/>
                <w:szCs w:val="24"/>
              </w:rPr>
            </w:pPr>
          </w:p>
        </w:tc>
      </w:tr>
      <w:tr w14:paraId="1038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E395F40">
            <w:pPr>
              <w:spacing w:line="480" w:lineRule="exact"/>
              <w:rPr>
                <w:bCs/>
                <w:sz w:val="24"/>
                <w:szCs w:val="24"/>
              </w:rPr>
            </w:pPr>
          </w:p>
        </w:tc>
        <w:tc>
          <w:tcPr>
            <w:tcW w:w="1356" w:type="dxa"/>
            <w:noWrap/>
            <w:vAlign w:val="top"/>
          </w:tcPr>
          <w:p w14:paraId="6EBF05FD">
            <w:pPr>
              <w:spacing w:line="480" w:lineRule="exact"/>
              <w:rPr>
                <w:bCs/>
                <w:sz w:val="24"/>
                <w:szCs w:val="24"/>
              </w:rPr>
            </w:pPr>
          </w:p>
        </w:tc>
        <w:tc>
          <w:tcPr>
            <w:tcW w:w="1488" w:type="dxa"/>
            <w:noWrap/>
            <w:vAlign w:val="top"/>
          </w:tcPr>
          <w:p w14:paraId="6E6E7B8C">
            <w:pPr>
              <w:spacing w:line="480" w:lineRule="exact"/>
              <w:rPr>
                <w:bCs/>
                <w:sz w:val="24"/>
                <w:szCs w:val="24"/>
              </w:rPr>
            </w:pPr>
          </w:p>
        </w:tc>
        <w:tc>
          <w:tcPr>
            <w:tcW w:w="1956" w:type="dxa"/>
            <w:noWrap/>
            <w:vAlign w:val="top"/>
          </w:tcPr>
          <w:p w14:paraId="21CF6D15">
            <w:pPr>
              <w:spacing w:line="480" w:lineRule="exact"/>
              <w:rPr>
                <w:bCs/>
                <w:sz w:val="24"/>
                <w:szCs w:val="24"/>
              </w:rPr>
            </w:pPr>
          </w:p>
        </w:tc>
        <w:tc>
          <w:tcPr>
            <w:tcW w:w="1860" w:type="dxa"/>
            <w:noWrap/>
            <w:vAlign w:val="top"/>
          </w:tcPr>
          <w:p w14:paraId="7FD59765">
            <w:pPr>
              <w:spacing w:line="480" w:lineRule="exact"/>
              <w:rPr>
                <w:bCs/>
                <w:sz w:val="24"/>
                <w:szCs w:val="24"/>
              </w:rPr>
            </w:pPr>
          </w:p>
        </w:tc>
        <w:tc>
          <w:tcPr>
            <w:tcW w:w="1452" w:type="dxa"/>
            <w:noWrap/>
            <w:vAlign w:val="top"/>
          </w:tcPr>
          <w:p w14:paraId="34E04DD8">
            <w:pPr>
              <w:spacing w:line="480" w:lineRule="exact"/>
              <w:rPr>
                <w:bCs/>
                <w:sz w:val="24"/>
                <w:szCs w:val="24"/>
              </w:rPr>
            </w:pPr>
          </w:p>
        </w:tc>
        <w:tc>
          <w:tcPr>
            <w:tcW w:w="912" w:type="dxa"/>
            <w:noWrap/>
            <w:vAlign w:val="top"/>
          </w:tcPr>
          <w:p w14:paraId="0C47B594">
            <w:pPr>
              <w:spacing w:line="480" w:lineRule="exact"/>
              <w:rPr>
                <w:bCs/>
                <w:sz w:val="24"/>
                <w:szCs w:val="24"/>
              </w:rPr>
            </w:pPr>
          </w:p>
        </w:tc>
      </w:tr>
      <w:tr w14:paraId="4E083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1505BC52">
            <w:pPr>
              <w:spacing w:line="480" w:lineRule="exact"/>
              <w:rPr>
                <w:bCs/>
                <w:sz w:val="24"/>
                <w:szCs w:val="24"/>
              </w:rPr>
            </w:pPr>
          </w:p>
        </w:tc>
        <w:tc>
          <w:tcPr>
            <w:tcW w:w="1356" w:type="dxa"/>
            <w:noWrap/>
            <w:vAlign w:val="top"/>
          </w:tcPr>
          <w:p w14:paraId="451B5259">
            <w:pPr>
              <w:spacing w:line="480" w:lineRule="exact"/>
              <w:rPr>
                <w:bCs/>
                <w:sz w:val="24"/>
                <w:szCs w:val="24"/>
              </w:rPr>
            </w:pPr>
          </w:p>
        </w:tc>
        <w:tc>
          <w:tcPr>
            <w:tcW w:w="1488" w:type="dxa"/>
            <w:noWrap/>
            <w:vAlign w:val="top"/>
          </w:tcPr>
          <w:p w14:paraId="5A9273CA">
            <w:pPr>
              <w:spacing w:line="480" w:lineRule="exact"/>
              <w:rPr>
                <w:bCs/>
                <w:sz w:val="24"/>
                <w:szCs w:val="24"/>
              </w:rPr>
            </w:pPr>
          </w:p>
        </w:tc>
        <w:tc>
          <w:tcPr>
            <w:tcW w:w="1956" w:type="dxa"/>
            <w:noWrap/>
            <w:vAlign w:val="top"/>
          </w:tcPr>
          <w:p w14:paraId="49351019">
            <w:pPr>
              <w:spacing w:line="480" w:lineRule="exact"/>
              <w:rPr>
                <w:bCs/>
                <w:sz w:val="24"/>
                <w:szCs w:val="24"/>
              </w:rPr>
            </w:pPr>
          </w:p>
        </w:tc>
        <w:tc>
          <w:tcPr>
            <w:tcW w:w="1860" w:type="dxa"/>
            <w:noWrap/>
            <w:vAlign w:val="top"/>
          </w:tcPr>
          <w:p w14:paraId="48ECEEE6">
            <w:pPr>
              <w:spacing w:line="480" w:lineRule="exact"/>
              <w:rPr>
                <w:bCs/>
                <w:sz w:val="24"/>
                <w:szCs w:val="24"/>
              </w:rPr>
            </w:pPr>
          </w:p>
        </w:tc>
        <w:tc>
          <w:tcPr>
            <w:tcW w:w="1452" w:type="dxa"/>
            <w:noWrap/>
            <w:vAlign w:val="top"/>
          </w:tcPr>
          <w:p w14:paraId="106A1A24">
            <w:pPr>
              <w:spacing w:line="480" w:lineRule="exact"/>
              <w:rPr>
                <w:bCs/>
                <w:sz w:val="24"/>
                <w:szCs w:val="24"/>
              </w:rPr>
            </w:pPr>
          </w:p>
        </w:tc>
        <w:tc>
          <w:tcPr>
            <w:tcW w:w="912" w:type="dxa"/>
            <w:noWrap/>
            <w:vAlign w:val="top"/>
          </w:tcPr>
          <w:p w14:paraId="5B1E4762">
            <w:pPr>
              <w:spacing w:line="480" w:lineRule="exact"/>
              <w:rPr>
                <w:bCs/>
                <w:sz w:val="24"/>
                <w:szCs w:val="24"/>
              </w:rPr>
            </w:pPr>
          </w:p>
        </w:tc>
      </w:tr>
      <w:tr w14:paraId="3037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43513EBF">
            <w:pPr>
              <w:spacing w:line="480" w:lineRule="exact"/>
              <w:rPr>
                <w:bCs/>
                <w:sz w:val="24"/>
                <w:szCs w:val="24"/>
              </w:rPr>
            </w:pPr>
          </w:p>
        </w:tc>
        <w:tc>
          <w:tcPr>
            <w:tcW w:w="1356" w:type="dxa"/>
            <w:noWrap/>
            <w:vAlign w:val="top"/>
          </w:tcPr>
          <w:p w14:paraId="4403AAF4">
            <w:pPr>
              <w:spacing w:line="480" w:lineRule="exact"/>
              <w:rPr>
                <w:bCs/>
                <w:sz w:val="24"/>
                <w:szCs w:val="24"/>
              </w:rPr>
            </w:pPr>
          </w:p>
        </w:tc>
        <w:tc>
          <w:tcPr>
            <w:tcW w:w="1488" w:type="dxa"/>
            <w:noWrap/>
            <w:vAlign w:val="top"/>
          </w:tcPr>
          <w:p w14:paraId="0289825F">
            <w:pPr>
              <w:spacing w:line="480" w:lineRule="exact"/>
              <w:rPr>
                <w:bCs/>
                <w:sz w:val="24"/>
                <w:szCs w:val="24"/>
              </w:rPr>
            </w:pPr>
          </w:p>
        </w:tc>
        <w:tc>
          <w:tcPr>
            <w:tcW w:w="1956" w:type="dxa"/>
            <w:noWrap/>
            <w:vAlign w:val="top"/>
          </w:tcPr>
          <w:p w14:paraId="34824028">
            <w:pPr>
              <w:spacing w:line="480" w:lineRule="exact"/>
              <w:rPr>
                <w:bCs/>
                <w:sz w:val="24"/>
                <w:szCs w:val="24"/>
              </w:rPr>
            </w:pPr>
          </w:p>
        </w:tc>
        <w:tc>
          <w:tcPr>
            <w:tcW w:w="1860" w:type="dxa"/>
            <w:noWrap/>
            <w:vAlign w:val="top"/>
          </w:tcPr>
          <w:p w14:paraId="2A3E86B3">
            <w:pPr>
              <w:spacing w:line="480" w:lineRule="exact"/>
              <w:rPr>
                <w:bCs/>
                <w:sz w:val="24"/>
                <w:szCs w:val="24"/>
              </w:rPr>
            </w:pPr>
          </w:p>
        </w:tc>
        <w:tc>
          <w:tcPr>
            <w:tcW w:w="1452" w:type="dxa"/>
            <w:noWrap/>
            <w:vAlign w:val="top"/>
          </w:tcPr>
          <w:p w14:paraId="2357E9E6">
            <w:pPr>
              <w:spacing w:line="480" w:lineRule="exact"/>
              <w:rPr>
                <w:bCs/>
                <w:sz w:val="24"/>
                <w:szCs w:val="24"/>
              </w:rPr>
            </w:pPr>
          </w:p>
        </w:tc>
        <w:tc>
          <w:tcPr>
            <w:tcW w:w="912" w:type="dxa"/>
            <w:noWrap/>
            <w:vAlign w:val="top"/>
          </w:tcPr>
          <w:p w14:paraId="4F65AD5F">
            <w:pPr>
              <w:spacing w:line="480" w:lineRule="exact"/>
              <w:rPr>
                <w:bCs/>
                <w:sz w:val="24"/>
                <w:szCs w:val="24"/>
              </w:rPr>
            </w:pPr>
          </w:p>
        </w:tc>
      </w:tr>
      <w:tr w14:paraId="72127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69B2AFA1">
            <w:pPr>
              <w:spacing w:line="480" w:lineRule="exact"/>
              <w:rPr>
                <w:bCs/>
                <w:sz w:val="24"/>
                <w:szCs w:val="24"/>
              </w:rPr>
            </w:pPr>
          </w:p>
        </w:tc>
        <w:tc>
          <w:tcPr>
            <w:tcW w:w="1356" w:type="dxa"/>
            <w:noWrap/>
            <w:vAlign w:val="top"/>
          </w:tcPr>
          <w:p w14:paraId="69FDABF5">
            <w:pPr>
              <w:spacing w:line="480" w:lineRule="exact"/>
              <w:rPr>
                <w:bCs/>
                <w:sz w:val="24"/>
                <w:szCs w:val="24"/>
              </w:rPr>
            </w:pPr>
          </w:p>
        </w:tc>
        <w:tc>
          <w:tcPr>
            <w:tcW w:w="1488" w:type="dxa"/>
            <w:noWrap/>
            <w:vAlign w:val="top"/>
          </w:tcPr>
          <w:p w14:paraId="6D3C51CE">
            <w:pPr>
              <w:spacing w:line="480" w:lineRule="exact"/>
              <w:rPr>
                <w:bCs/>
                <w:sz w:val="24"/>
                <w:szCs w:val="24"/>
              </w:rPr>
            </w:pPr>
          </w:p>
        </w:tc>
        <w:tc>
          <w:tcPr>
            <w:tcW w:w="1956" w:type="dxa"/>
            <w:noWrap/>
            <w:vAlign w:val="top"/>
          </w:tcPr>
          <w:p w14:paraId="31A22838">
            <w:pPr>
              <w:spacing w:line="480" w:lineRule="exact"/>
              <w:rPr>
                <w:bCs/>
                <w:sz w:val="24"/>
                <w:szCs w:val="24"/>
              </w:rPr>
            </w:pPr>
          </w:p>
        </w:tc>
        <w:tc>
          <w:tcPr>
            <w:tcW w:w="1860" w:type="dxa"/>
            <w:noWrap/>
            <w:vAlign w:val="top"/>
          </w:tcPr>
          <w:p w14:paraId="3675EAB3">
            <w:pPr>
              <w:spacing w:line="480" w:lineRule="exact"/>
              <w:rPr>
                <w:bCs/>
                <w:sz w:val="24"/>
                <w:szCs w:val="24"/>
              </w:rPr>
            </w:pPr>
          </w:p>
        </w:tc>
        <w:tc>
          <w:tcPr>
            <w:tcW w:w="1452" w:type="dxa"/>
            <w:noWrap/>
            <w:vAlign w:val="top"/>
          </w:tcPr>
          <w:p w14:paraId="69C1EBEC">
            <w:pPr>
              <w:spacing w:line="480" w:lineRule="exact"/>
              <w:rPr>
                <w:bCs/>
                <w:sz w:val="24"/>
                <w:szCs w:val="24"/>
              </w:rPr>
            </w:pPr>
          </w:p>
        </w:tc>
        <w:tc>
          <w:tcPr>
            <w:tcW w:w="912" w:type="dxa"/>
            <w:noWrap/>
            <w:vAlign w:val="top"/>
          </w:tcPr>
          <w:p w14:paraId="28569406">
            <w:pPr>
              <w:spacing w:line="480" w:lineRule="exact"/>
              <w:rPr>
                <w:bCs/>
                <w:sz w:val="24"/>
                <w:szCs w:val="24"/>
              </w:rPr>
            </w:pPr>
          </w:p>
        </w:tc>
      </w:tr>
      <w:tr w14:paraId="46909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noWrap/>
            <w:vAlign w:val="top"/>
          </w:tcPr>
          <w:p w14:paraId="3F16F56B">
            <w:pPr>
              <w:spacing w:line="480" w:lineRule="exact"/>
              <w:rPr>
                <w:bCs/>
                <w:sz w:val="24"/>
                <w:szCs w:val="24"/>
              </w:rPr>
            </w:pPr>
          </w:p>
        </w:tc>
        <w:tc>
          <w:tcPr>
            <w:tcW w:w="1356" w:type="dxa"/>
            <w:noWrap/>
            <w:vAlign w:val="top"/>
          </w:tcPr>
          <w:p w14:paraId="53CDE493">
            <w:pPr>
              <w:spacing w:line="480" w:lineRule="exact"/>
              <w:rPr>
                <w:bCs/>
                <w:sz w:val="24"/>
                <w:szCs w:val="24"/>
              </w:rPr>
            </w:pPr>
          </w:p>
        </w:tc>
        <w:tc>
          <w:tcPr>
            <w:tcW w:w="1488" w:type="dxa"/>
            <w:noWrap/>
            <w:vAlign w:val="top"/>
          </w:tcPr>
          <w:p w14:paraId="1BB6FAAB">
            <w:pPr>
              <w:spacing w:line="480" w:lineRule="exact"/>
              <w:rPr>
                <w:bCs/>
                <w:sz w:val="24"/>
                <w:szCs w:val="24"/>
              </w:rPr>
            </w:pPr>
          </w:p>
        </w:tc>
        <w:tc>
          <w:tcPr>
            <w:tcW w:w="1956" w:type="dxa"/>
            <w:noWrap/>
            <w:vAlign w:val="top"/>
          </w:tcPr>
          <w:p w14:paraId="3766478E">
            <w:pPr>
              <w:spacing w:line="480" w:lineRule="exact"/>
              <w:rPr>
                <w:bCs/>
                <w:sz w:val="24"/>
                <w:szCs w:val="24"/>
              </w:rPr>
            </w:pPr>
          </w:p>
        </w:tc>
        <w:tc>
          <w:tcPr>
            <w:tcW w:w="1860" w:type="dxa"/>
            <w:noWrap/>
            <w:vAlign w:val="top"/>
          </w:tcPr>
          <w:p w14:paraId="3568FF02">
            <w:pPr>
              <w:spacing w:line="480" w:lineRule="exact"/>
              <w:rPr>
                <w:bCs/>
                <w:sz w:val="24"/>
                <w:szCs w:val="24"/>
              </w:rPr>
            </w:pPr>
          </w:p>
        </w:tc>
        <w:tc>
          <w:tcPr>
            <w:tcW w:w="1452" w:type="dxa"/>
            <w:noWrap/>
            <w:vAlign w:val="top"/>
          </w:tcPr>
          <w:p w14:paraId="5041A8B4">
            <w:pPr>
              <w:spacing w:line="480" w:lineRule="exact"/>
              <w:rPr>
                <w:bCs/>
                <w:sz w:val="24"/>
                <w:szCs w:val="24"/>
              </w:rPr>
            </w:pPr>
          </w:p>
        </w:tc>
        <w:tc>
          <w:tcPr>
            <w:tcW w:w="912" w:type="dxa"/>
            <w:noWrap/>
            <w:vAlign w:val="top"/>
          </w:tcPr>
          <w:p w14:paraId="48559600">
            <w:pPr>
              <w:spacing w:line="480" w:lineRule="exact"/>
              <w:rPr>
                <w:bCs/>
                <w:sz w:val="24"/>
                <w:szCs w:val="24"/>
              </w:rPr>
            </w:pPr>
          </w:p>
        </w:tc>
      </w:tr>
    </w:tbl>
    <w:p w14:paraId="3BF4A332">
      <w:pPr>
        <w:pStyle w:val="6"/>
        <w:rPr>
          <w:bCs/>
          <w:sz w:val="24"/>
          <w:szCs w:val="24"/>
        </w:rPr>
      </w:pPr>
    </w:p>
    <w:p w14:paraId="2F42E639">
      <w:pPr>
        <w:pStyle w:val="6"/>
        <w:rPr>
          <w:bCs/>
          <w:sz w:val="24"/>
          <w:szCs w:val="24"/>
        </w:rPr>
      </w:pPr>
    </w:p>
    <w:p w14:paraId="10E0E60A">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供应商名称：（</w:t>
      </w:r>
      <w:r>
        <w:rPr>
          <w:rFonts w:hint="eastAsia"/>
          <w:bCs/>
          <w:sz w:val="24"/>
          <w:szCs w:val="24"/>
          <w:lang w:eastAsia="zh-CN"/>
        </w:rPr>
        <w:t>电子</w:t>
      </w:r>
      <w:r>
        <w:rPr>
          <w:rFonts w:hint="eastAsia"/>
          <w:bCs/>
          <w:sz w:val="24"/>
          <w:szCs w:val="24"/>
        </w:rPr>
        <w:t>签章）</w:t>
      </w:r>
    </w:p>
    <w:p w14:paraId="1C269EB8">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法定代表人：（</w:t>
      </w:r>
      <w:r>
        <w:rPr>
          <w:rFonts w:hint="eastAsia"/>
          <w:bCs/>
          <w:sz w:val="24"/>
          <w:szCs w:val="24"/>
          <w:lang w:eastAsia="zh-CN"/>
        </w:rPr>
        <w:t>电子</w:t>
      </w:r>
      <w:r>
        <w:rPr>
          <w:rFonts w:hint="eastAsia"/>
          <w:bCs/>
          <w:sz w:val="24"/>
          <w:szCs w:val="24"/>
        </w:rPr>
        <w:t xml:space="preserve">签章）                                                                     </w:t>
      </w:r>
    </w:p>
    <w:p w14:paraId="6907AFAE">
      <w:pPr>
        <w:spacing w:line="480" w:lineRule="exact"/>
        <w:jc w:val="center"/>
        <w:rPr>
          <w:bCs/>
          <w:sz w:val="24"/>
          <w:szCs w:val="24"/>
        </w:rPr>
      </w:pPr>
      <w:r>
        <w:rPr>
          <w:rFonts w:hint="eastAsia"/>
          <w:bCs/>
          <w:sz w:val="24"/>
          <w:szCs w:val="24"/>
          <w:lang w:val="en-US" w:eastAsia="zh-CN"/>
        </w:rPr>
        <w:t xml:space="preserve">                               </w:t>
      </w:r>
      <w:r>
        <w:rPr>
          <w:rFonts w:hint="eastAsia"/>
          <w:bCs/>
          <w:sz w:val="24"/>
          <w:szCs w:val="24"/>
        </w:rPr>
        <w:t>日期：   年    月    日</w:t>
      </w:r>
    </w:p>
    <w:p w14:paraId="67556CB9">
      <w:pPr>
        <w:spacing w:line="480" w:lineRule="exact"/>
        <w:rPr>
          <w:bCs/>
          <w:sz w:val="24"/>
          <w:szCs w:val="24"/>
        </w:rPr>
      </w:pPr>
    </w:p>
    <w:p w14:paraId="05813517">
      <w:pPr>
        <w:spacing w:line="480" w:lineRule="exact"/>
        <w:ind w:firstLine="120" w:firstLineChars="50"/>
        <w:rPr>
          <w:b/>
          <w:bCs w:val="0"/>
          <w:sz w:val="24"/>
          <w:szCs w:val="24"/>
        </w:rPr>
      </w:pPr>
      <w:r>
        <w:rPr>
          <w:rFonts w:hint="eastAsia"/>
          <w:b/>
          <w:bCs w:val="0"/>
          <w:sz w:val="24"/>
          <w:szCs w:val="24"/>
        </w:rPr>
        <w:t>注：此表格若不够用可根据实际自行扩展表格。</w:t>
      </w:r>
    </w:p>
    <w:p w14:paraId="4FAB6340">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33DD779E">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151E1222">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723007B8">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26D68DFF">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023EAFE8">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303AA603">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32F17148">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320B98E1">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4575013C">
      <w:pPr>
        <w:spacing w:line="480" w:lineRule="exact"/>
        <w:jc w:val="center"/>
        <w:outlineLvl w:val="0"/>
        <w:rPr>
          <w:rFonts w:hint="eastAsia" w:ascii="宋体" w:hAnsi="宋体"/>
          <w:b/>
          <w:bCs/>
          <w:color w:val="000000" w:themeColor="text1"/>
          <w:kern w:val="44"/>
          <w:sz w:val="28"/>
          <w:szCs w:val="28"/>
          <w:highlight w:val="none"/>
          <w14:textFill>
            <w14:solidFill>
              <w14:schemeClr w14:val="tx1"/>
            </w14:solidFill>
          </w14:textFill>
        </w:rPr>
      </w:pPr>
    </w:p>
    <w:p w14:paraId="2F4B1B90">
      <w:pPr>
        <w:spacing w:line="480" w:lineRule="exact"/>
        <w:jc w:val="center"/>
        <w:outlineLvl w:val="0"/>
        <w:rPr>
          <w:rFonts w:ascii="宋体" w:hAnsi="宋体"/>
          <w:b/>
          <w:bCs/>
          <w:color w:val="000000"/>
          <w:sz w:val="24"/>
          <w:szCs w:val="24"/>
          <w:highlight w:val="none"/>
        </w:rPr>
      </w:pPr>
      <w:r>
        <w:rPr>
          <w:rFonts w:hint="eastAsia" w:ascii="宋体" w:hAnsi="宋体"/>
          <w:b/>
          <w:bCs/>
          <w:color w:val="000000" w:themeColor="text1"/>
          <w:kern w:val="44"/>
          <w:sz w:val="28"/>
          <w:szCs w:val="28"/>
          <w:highlight w:val="none"/>
          <w14:textFill>
            <w14:solidFill>
              <w14:schemeClr w14:val="tx1"/>
            </w14:solidFill>
          </w14:textFill>
        </w:rPr>
        <w:t>八</w:t>
      </w:r>
      <w:r>
        <w:rPr>
          <w:rFonts w:hint="eastAsia" w:ascii="宋体" w:hAnsi="宋体"/>
          <w:b/>
          <w:bCs/>
          <w:color w:val="000000" w:themeColor="text1"/>
          <w:kern w:val="44"/>
          <w:sz w:val="28"/>
          <w:szCs w:val="28"/>
          <w:highlight w:val="none"/>
          <w:lang w:eastAsia="zh-CN"/>
          <w14:textFill>
            <w14:solidFill>
              <w14:schemeClr w14:val="tx1"/>
            </w14:solidFill>
          </w14:textFill>
        </w:rPr>
        <w:t>、</w:t>
      </w:r>
      <w:r>
        <w:rPr>
          <w:rFonts w:hint="eastAsia" w:ascii="宋体" w:hAnsi="宋体" w:cs="宋体"/>
          <w:b/>
          <w:sz w:val="28"/>
          <w:szCs w:val="28"/>
          <w:lang w:val="en-US" w:eastAsia="zh-CN"/>
        </w:rPr>
        <w:t>技术标、商务标部分</w:t>
      </w:r>
    </w:p>
    <w:p w14:paraId="178FDAC0">
      <w:pPr>
        <w:widowControl/>
        <w:spacing w:line="520" w:lineRule="atLeast"/>
        <w:ind w:firstLine="480"/>
        <w:rPr>
          <w:rFonts w:ascii="宋体" w:hAnsi="宋体"/>
          <w:color w:val="000000"/>
          <w:sz w:val="24"/>
          <w:szCs w:val="24"/>
          <w:highlight w:val="none"/>
        </w:rPr>
      </w:pPr>
      <w:r>
        <w:rPr>
          <w:rFonts w:hint="eastAsia" w:ascii="宋体" w:hAnsi="宋体"/>
          <w:color w:val="000000"/>
          <w:kern w:val="2"/>
          <w:sz w:val="24"/>
          <w:szCs w:val="24"/>
          <w:highlight w:val="none"/>
        </w:rPr>
        <w:t>此项格式自理，内容应包括但不限制于评分办法提到的内容。</w:t>
      </w:r>
    </w:p>
    <w:p w14:paraId="7C7B6E95">
      <w:pPr>
        <w:spacing w:line="480" w:lineRule="auto"/>
        <w:rPr>
          <w:rFonts w:hint="eastAsia" w:ascii="宋体" w:hAnsi="宋体" w:eastAsia="宋体" w:cs="宋体"/>
          <w:bCs/>
          <w:color w:val="000000"/>
          <w:sz w:val="22"/>
          <w:highlight w:val="none"/>
        </w:rPr>
      </w:pPr>
    </w:p>
    <w:p w14:paraId="1797F39E">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br w:type="page"/>
      </w:r>
    </w:p>
    <w:p w14:paraId="0A2DB220">
      <w:pPr>
        <w:jc w:val="center"/>
        <w:rPr>
          <w:rFonts w:ascii="宋体" w:hAnsi="宋体"/>
          <w:b/>
          <w:bCs/>
          <w:color w:val="000000" w:themeColor="text1"/>
          <w:kern w:val="44"/>
          <w:sz w:val="28"/>
          <w:szCs w:val="28"/>
          <w:highlight w:val="none"/>
          <w14:textFill>
            <w14:solidFill>
              <w14:schemeClr w14:val="tx1"/>
            </w14:solidFill>
          </w14:textFill>
        </w:rPr>
      </w:pPr>
      <w:r>
        <w:rPr>
          <w:rFonts w:hint="eastAsia" w:ascii="宋体" w:hAnsi="宋体"/>
          <w:b/>
          <w:bCs/>
          <w:color w:val="000000" w:themeColor="text1"/>
          <w:kern w:val="44"/>
          <w:sz w:val="28"/>
          <w:szCs w:val="28"/>
          <w:highlight w:val="none"/>
          <w14:textFill>
            <w14:solidFill>
              <w14:schemeClr w14:val="tx1"/>
            </w14:solidFill>
          </w14:textFill>
        </w:rPr>
        <w:t>九、</w:t>
      </w:r>
      <w:bookmarkStart w:id="180" w:name="_Toc16770593"/>
      <w:r>
        <w:rPr>
          <w:rFonts w:hint="eastAsia" w:ascii="宋体" w:hAnsi="宋体"/>
          <w:b/>
          <w:bCs/>
          <w:color w:val="000000" w:themeColor="text1"/>
          <w:kern w:val="44"/>
          <w:sz w:val="28"/>
          <w:szCs w:val="28"/>
          <w:highlight w:val="none"/>
          <w14:textFill>
            <w14:solidFill>
              <w14:schemeClr w14:val="tx1"/>
            </w14:solidFill>
          </w14:textFill>
        </w:rPr>
        <w:t>供应商认为有必要提供的其他资料</w:t>
      </w:r>
      <w:bookmarkEnd w:id="180"/>
    </w:p>
    <w:p w14:paraId="5A0DE2D8">
      <w:pPr>
        <w:pStyle w:val="5"/>
        <w:ind w:firstLine="2640" w:firstLineChars="11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w:t>
      </w:r>
      <w:r>
        <w:rPr>
          <w:rFonts w:hint="eastAsia" w:ascii="宋体" w:hAnsi="宋体" w:cs="宋体"/>
          <w:color w:val="000000" w:themeColor="text1"/>
          <w:sz w:val="24"/>
          <w:szCs w:val="24"/>
          <w:highlight w:val="none"/>
          <w:lang w:eastAsia="zh-CN"/>
          <w14:textFill>
            <w14:solidFill>
              <w14:schemeClr w14:val="tx1"/>
            </w14:solidFill>
          </w14:textFill>
        </w:rPr>
        <w:t>竞争性磋商文件</w:t>
      </w:r>
      <w:r>
        <w:rPr>
          <w:rFonts w:hint="eastAsia" w:ascii="宋体" w:hAnsi="宋体" w:cs="宋体"/>
          <w:color w:val="000000" w:themeColor="text1"/>
          <w:sz w:val="24"/>
          <w:szCs w:val="24"/>
          <w:highlight w:val="none"/>
          <w14:textFill>
            <w14:solidFill>
              <w14:schemeClr w14:val="tx1"/>
            </w14:solidFill>
          </w14:textFill>
        </w:rPr>
        <w:t>要求提供的其他材料</w:t>
      </w:r>
    </w:p>
    <w:p w14:paraId="2B027770">
      <w:pPr>
        <w:rPr>
          <w:rFonts w:hint="eastAsia" w:ascii="宋体" w:hAnsi="宋体" w:cs="宋体"/>
          <w:color w:val="000000" w:themeColor="text1"/>
          <w:sz w:val="22"/>
          <w:szCs w:val="22"/>
          <w:highlight w:val="none"/>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br w:type="page"/>
      </w:r>
    </w:p>
    <w:p w14:paraId="41DD017E">
      <w:pPr>
        <w:spacing w:line="360" w:lineRule="auto"/>
        <w:jc w:val="center"/>
        <w:outlineLvl w:val="1"/>
        <w:rPr>
          <w:rFonts w:ascii="宋体" w:hAnsi="宋体"/>
          <w:b/>
          <w:color w:val="000000" w:themeColor="text1"/>
          <w:sz w:val="28"/>
          <w:szCs w:val="28"/>
          <w14:textFill>
            <w14:solidFill>
              <w14:schemeClr w14:val="tx1"/>
            </w14:solidFill>
          </w14:textFill>
        </w:rPr>
      </w:pPr>
      <w:r>
        <w:rPr>
          <w:rFonts w:hint="eastAsia" w:ascii="宋体" w:hAnsi="宋体" w:cs="宋体"/>
          <w:color w:val="000000" w:themeColor="text1"/>
          <w:sz w:val="22"/>
          <w:szCs w:val="22"/>
          <w:highlight w:val="none"/>
          <w14:textFill>
            <w14:solidFill>
              <w14:schemeClr w14:val="tx1"/>
            </w14:solidFill>
          </w14:textFill>
        </w:rPr>
        <w:t>（二）</w:t>
      </w:r>
      <w:r>
        <w:rPr>
          <w:rFonts w:hint="eastAsia" w:ascii="宋体" w:hAnsi="宋体"/>
          <w:b/>
          <w:color w:val="000000" w:themeColor="text1"/>
          <w:sz w:val="28"/>
          <w:szCs w:val="28"/>
          <w14:textFill>
            <w14:solidFill>
              <w14:schemeClr w14:val="tx1"/>
            </w14:solidFill>
          </w14:textFill>
        </w:rPr>
        <w:t>中小企业声明函（</w:t>
      </w:r>
      <w:r>
        <w:rPr>
          <w:rFonts w:hint="eastAsia" w:ascii="宋体" w:hAnsi="宋体"/>
          <w:b/>
          <w:color w:val="000000" w:themeColor="text1"/>
          <w:sz w:val="28"/>
          <w:szCs w:val="28"/>
          <w:lang w:val="en-US" w:eastAsia="zh-CN"/>
          <w14:textFill>
            <w14:solidFill>
              <w14:schemeClr w14:val="tx1"/>
            </w14:solidFill>
          </w14:textFill>
        </w:rPr>
        <w:t>货物</w:t>
      </w:r>
      <w:r>
        <w:rPr>
          <w:rFonts w:hint="eastAsia" w:ascii="宋体" w:hAnsi="宋体"/>
          <w:b/>
          <w:color w:val="000000" w:themeColor="text1"/>
          <w:sz w:val="28"/>
          <w:szCs w:val="28"/>
          <w14:textFill>
            <w14:solidFill>
              <w14:schemeClr w14:val="tx1"/>
            </w14:solidFill>
          </w14:textFill>
        </w:rPr>
        <w:t>）</w:t>
      </w:r>
    </w:p>
    <w:p w14:paraId="19A3ADE8">
      <w:pPr>
        <w:widowControl/>
        <w:spacing w:line="360" w:lineRule="auto"/>
        <w:ind w:firstLine="420" w:firstLineChars="200"/>
        <w:jc w:val="left"/>
        <w:rPr>
          <w:rFonts w:ascii="宋体" w:hAnsi="宋体"/>
          <w:color w:val="000000" w:themeColor="text1"/>
          <w14:textFill>
            <w14:solidFill>
              <w14:schemeClr w14:val="tx1"/>
            </w14:solidFill>
          </w14:textFill>
        </w:rPr>
      </w:pPr>
    </w:p>
    <w:p w14:paraId="38E98E29">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kern w:val="0"/>
          <w:sz w:val="24"/>
          <w:szCs w:val="24"/>
          <w:u w:val="single"/>
          <w:lang w:bidi="ar"/>
          <w14:textFill>
            <w14:solidFill>
              <w14:schemeClr w14:val="tx1"/>
            </w14:solidFill>
          </w14:textFill>
        </w:rPr>
        <w:t xml:space="preserve">     （单位名称）</w:t>
      </w:r>
      <w:r>
        <w:rPr>
          <w:rFonts w:hint="eastAsia" w:ascii="宋体" w:hAnsi="宋体" w:cs="宋体"/>
          <w:color w:val="000000" w:themeColor="text1"/>
          <w:kern w:val="0"/>
          <w:sz w:val="24"/>
          <w:szCs w:val="24"/>
          <w:lang w:bidi="ar"/>
          <w14:textFill>
            <w14:solidFill>
              <w14:schemeClr w14:val="tx1"/>
            </w14:solidFill>
          </w14:textFill>
        </w:rPr>
        <w:t>的</w:t>
      </w:r>
      <w:r>
        <w:rPr>
          <w:rFonts w:hint="eastAsia" w:ascii="宋体" w:hAnsi="宋体" w:cs="宋体"/>
          <w:color w:val="000000" w:themeColor="text1"/>
          <w:kern w:val="0"/>
          <w:sz w:val="24"/>
          <w:szCs w:val="24"/>
          <w:u w:val="single"/>
          <w:lang w:bidi="ar"/>
          <w14:textFill>
            <w14:solidFill>
              <w14:schemeClr w14:val="tx1"/>
            </w14:solidFill>
          </w14:textFill>
        </w:rPr>
        <w:t xml:space="preserve">      （项目名称）</w:t>
      </w:r>
      <w:r>
        <w:rPr>
          <w:rFonts w:hint="eastAsia" w:ascii="宋体" w:hAnsi="宋体" w:cs="宋体"/>
          <w:color w:val="000000" w:themeColor="text1"/>
          <w:kern w:val="0"/>
          <w:sz w:val="24"/>
          <w:szCs w:val="24"/>
          <w:lang w:bidi="ar"/>
          <w14:textFill>
            <w14:solidFill>
              <w14:schemeClr w14:val="tx1"/>
            </w14:solidFill>
          </w14:textFill>
        </w:rPr>
        <w:t>采购活动，提供的货物全部由符合政策要求的中小企业制造。相关企业（含联合体中的中小企业、签订分包意向协议的中小企业）的具体情况如下：</w:t>
      </w:r>
    </w:p>
    <w:p w14:paraId="1F352796">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1.</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 xml:space="preserve">文件中明确的所属行业） </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52FBF71A">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2.</w:t>
      </w:r>
      <w:r>
        <w:rPr>
          <w:rFonts w:hint="eastAsia" w:ascii="宋体" w:hAnsi="宋体" w:cs="宋体"/>
          <w:color w:val="000000" w:themeColor="text1"/>
          <w:kern w:val="0"/>
          <w:sz w:val="24"/>
          <w:szCs w:val="24"/>
          <w:u w:val="single"/>
          <w:lang w:bidi="ar"/>
          <w14:textFill>
            <w14:solidFill>
              <w14:schemeClr w14:val="tx1"/>
            </w14:solidFill>
          </w14:textFill>
        </w:rPr>
        <w:t>（标的名称）</w:t>
      </w:r>
      <w:r>
        <w:rPr>
          <w:rFonts w:hint="eastAsia" w:ascii="宋体" w:hAnsi="宋体" w:cs="宋体"/>
          <w:color w:val="000000" w:themeColor="text1"/>
          <w:kern w:val="0"/>
          <w:sz w:val="24"/>
          <w:szCs w:val="24"/>
          <w:lang w:bidi="ar"/>
          <w14:textFill>
            <w14:solidFill>
              <w14:schemeClr w14:val="tx1"/>
            </w14:solidFill>
          </w14:textFill>
        </w:rPr>
        <w:t>，属于</w:t>
      </w:r>
      <w:r>
        <w:rPr>
          <w:rFonts w:hint="eastAsia" w:ascii="宋体" w:hAnsi="宋体" w:cs="宋体"/>
          <w:color w:val="000000" w:themeColor="text1"/>
          <w:kern w:val="0"/>
          <w:sz w:val="24"/>
          <w:szCs w:val="24"/>
          <w:u w:val="single"/>
          <w:lang w:bidi="ar"/>
          <w14:textFill>
            <w14:solidFill>
              <w14:schemeClr w14:val="tx1"/>
            </w14:solidFill>
          </w14:textFill>
        </w:rPr>
        <w:t>（</w:t>
      </w:r>
      <w:r>
        <w:rPr>
          <w:rFonts w:hint="eastAsia" w:ascii="宋体" w:hAnsi="宋体" w:cs="宋体"/>
          <w:color w:val="000000" w:themeColor="text1"/>
          <w:kern w:val="0"/>
          <w:sz w:val="24"/>
          <w:szCs w:val="24"/>
          <w:u w:val="single"/>
          <w:lang w:val="en-US" w:eastAsia="zh-CN" w:bidi="ar"/>
          <w14:textFill>
            <w14:solidFill>
              <w14:schemeClr w14:val="tx1"/>
            </w14:solidFill>
          </w14:textFill>
        </w:rPr>
        <w:t>磋商</w:t>
      </w:r>
      <w:r>
        <w:rPr>
          <w:rFonts w:hint="eastAsia" w:ascii="宋体" w:hAnsi="宋体" w:cs="宋体"/>
          <w:color w:val="000000" w:themeColor="text1"/>
          <w:kern w:val="0"/>
          <w:sz w:val="24"/>
          <w:szCs w:val="24"/>
          <w:u w:val="single"/>
          <w:lang w:bidi="ar"/>
          <w14:textFill>
            <w14:solidFill>
              <w14:schemeClr w14:val="tx1"/>
            </w14:solidFill>
          </w14:textFill>
        </w:rPr>
        <w:t>文件中明确的所属行业）</w:t>
      </w:r>
      <w:r>
        <w:rPr>
          <w:rFonts w:hint="eastAsia" w:ascii="宋体" w:hAnsi="宋体" w:cs="宋体"/>
          <w:color w:val="000000" w:themeColor="text1"/>
          <w:kern w:val="0"/>
          <w:sz w:val="24"/>
          <w:szCs w:val="24"/>
          <w:lang w:bidi="ar"/>
          <w14:textFill>
            <w14:solidFill>
              <w14:schemeClr w14:val="tx1"/>
            </w14:solidFill>
          </w14:textFill>
        </w:rPr>
        <w:t>行业；制造商为</w:t>
      </w:r>
      <w:r>
        <w:rPr>
          <w:rFonts w:hint="eastAsia" w:ascii="宋体" w:hAnsi="宋体" w:cs="宋体"/>
          <w:color w:val="000000" w:themeColor="text1"/>
          <w:kern w:val="0"/>
          <w:sz w:val="24"/>
          <w:szCs w:val="24"/>
          <w:u w:val="single"/>
          <w:lang w:bidi="ar"/>
          <w14:textFill>
            <w14:solidFill>
              <w14:schemeClr w14:val="tx1"/>
            </w14:solidFill>
          </w14:textFill>
        </w:rPr>
        <w:t>（企业名称）</w:t>
      </w:r>
      <w:r>
        <w:rPr>
          <w:rFonts w:hint="eastAsia" w:ascii="宋体" w:hAnsi="宋体" w:cs="宋体"/>
          <w:color w:val="000000" w:themeColor="text1"/>
          <w:kern w:val="0"/>
          <w:sz w:val="24"/>
          <w:szCs w:val="24"/>
          <w:lang w:bidi="ar"/>
          <w14:textFill>
            <w14:solidFill>
              <w14:schemeClr w14:val="tx1"/>
            </w14:solidFill>
          </w14:textFill>
        </w:rPr>
        <w:t>，从业人员</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人，营业收入为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u w:val="single"/>
          <w:lang w:val="en-US" w:eastAsia="zh-CN" w:bidi="ar"/>
          <w14:textFill>
            <w14:solidFill>
              <w14:schemeClr w14:val="tx1"/>
            </w14:solidFill>
          </w14:textFill>
        </w:rPr>
        <w:t xml:space="preserve">   </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万元，资产总额为</w:t>
      </w:r>
      <w:r>
        <w:rPr>
          <w:rFonts w:hint="eastAsia" w:ascii="宋体" w:hAnsi="宋体" w:cs="宋体"/>
          <w:color w:val="000000" w:themeColor="text1"/>
          <w:kern w:val="0"/>
          <w:sz w:val="24"/>
          <w:szCs w:val="24"/>
          <w:u w:val="single"/>
          <w:lang w:bidi="ar"/>
          <w14:textFill>
            <w14:solidFill>
              <w14:schemeClr w14:val="tx1"/>
            </w14:solidFill>
          </w14:textFill>
        </w:rPr>
        <w:t xml:space="preserve">   </w:t>
      </w:r>
      <w:r>
        <w:rPr>
          <w:rFonts w:hint="eastAsia" w:ascii="宋体" w:hAnsi="宋体" w:cs="宋体"/>
          <w:color w:val="000000" w:themeColor="text1"/>
          <w:kern w:val="0"/>
          <w:sz w:val="24"/>
          <w:szCs w:val="24"/>
          <w:lang w:bidi="ar"/>
          <w14:textFill>
            <w14:solidFill>
              <w14:schemeClr w14:val="tx1"/>
            </w14:solidFill>
          </w14:textFill>
        </w:rPr>
        <w:t>万元，属于</w:t>
      </w:r>
      <w:r>
        <w:rPr>
          <w:rFonts w:hint="eastAsia" w:ascii="宋体" w:hAnsi="宋体" w:cs="宋体"/>
          <w:color w:val="000000" w:themeColor="text1"/>
          <w:kern w:val="0"/>
          <w:sz w:val="24"/>
          <w:szCs w:val="24"/>
          <w:u w:val="single"/>
          <w:lang w:bidi="ar"/>
          <w14:textFill>
            <w14:solidFill>
              <w14:schemeClr w14:val="tx1"/>
            </w14:solidFill>
          </w14:textFill>
        </w:rPr>
        <w:t>（中型企业、小型企业、微型企业）；</w:t>
      </w:r>
      <w:r>
        <w:rPr>
          <w:rFonts w:hint="eastAsia" w:ascii="宋体" w:hAnsi="宋体" w:cs="宋体"/>
          <w:color w:val="000000" w:themeColor="text1"/>
          <w:kern w:val="0"/>
          <w:sz w:val="24"/>
          <w:szCs w:val="24"/>
          <w:lang w:bidi="ar"/>
          <w14:textFill>
            <w14:solidFill>
              <w14:schemeClr w14:val="tx1"/>
            </w14:solidFill>
          </w14:textFill>
        </w:rPr>
        <w:t xml:space="preserve"> </w:t>
      </w:r>
    </w:p>
    <w:p w14:paraId="4318E449">
      <w:pPr>
        <w:autoSpaceDE w:val="0"/>
        <w:autoSpaceDN w:val="0"/>
        <w:spacing w:beforeLines="0" w:afterLines="0" w:line="360" w:lineRule="auto"/>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w:t>
      </w:r>
    </w:p>
    <w:p w14:paraId="1443C35C">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以上企业，不属于大企业的分支机构，不存在控股股东 为大企业的情形，也不存在与大企业的负责人为同一人的情形。</w:t>
      </w:r>
    </w:p>
    <w:p w14:paraId="15A0613D">
      <w:pPr>
        <w:autoSpaceDE w:val="0"/>
        <w:autoSpaceDN w:val="0"/>
        <w:spacing w:beforeLines="0" w:afterLines="0" w:line="360" w:lineRule="auto"/>
        <w:ind w:firstLine="480" w:firstLineChars="200"/>
        <w:jc w:val="lef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本企业对上述声明内容的真实性负责。如有虚假，将依 法承担相应责任。</w:t>
      </w:r>
    </w:p>
    <w:p w14:paraId="065F7609">
      <w:pPr>
        <w:autoSpaceDE w:val="0"/>
        <w:autoSpaceDN w:val="0"/>
        <w:spacing w:beforeLines="0" w:afterLines="0" w:line="360" w:lineRule="auto"/>
        <w:ind w:firstLine="3840" w:firstLineChars="1600"/>
        <w:jc w:val="left"/>
        <w:rPr>
          <w:rFonts w:hint="eastAsia" w:ascii="宋体" w:hAnsi="宋体" w:cs="宋体"/>
          <w:color w:val="000000" w:themeColor="text1"/>
          <w:kern w:val="0"/>
          <w:sz w:val="24"/>
          <w:szCs w:val="24"/>
          <w:lang w:bidi="ar"/>
          <w14:textFill>
            <w14:solidFill>
              <w14:schemeClr w14:val="tx1"/>
            </w14:solidFill>
          </w14:textFill>
        </w:rPr>
      </w:pPr>
    </w:p>
    <w:p w14:paraId="5FDFFD17">
      <w:pPr>
        <w:autoSpaceDE w:val="0"/>
        <w:autoSpaceDN w:val="0"/>
        <w:spacing w:beforeLines="0" w:afterLines="0" w:line="360" w:lineRule="auto"/>
        <w:jc w:val="right"/>
        <w:rPr>
          <w:rFonts w:hint="default"/>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企业名称（</w:t>
      </w:r>
      <w:r>
        <w:rPr>
          <w:rFonts w:hint="eastAsia" w:ascii="宋体" w:hAnsi="宋体" w:cs="宋体"/>
          <w:color w:val="000000" w:themeColor="text1"/>
          <w:kern w:val="0"/>
          <w:sz w:val="24"/>
          <w:szCs w:val="24"/>
          <w:lang w:val="en-US" w:eastAsia="zh-CN" w:bidi="ar"/>
          <w14:textFill>
            <w14:solidFill>
              <w14:schemeClr w14:val="tx1"/>
            </w14:solidFill>
          </w14:textFill>
        </w:rPr>
        <w:t>电子签章</w:t>
      </w:r>
      <w:r>
        <w:rPr>
          <w:rFonts w:hint="eastAsia" w:ascii="宋体" w:hAnsi="宋体" w:cs="宋体"/>
          <w:color w:val="000000" w:themeColor="text1"/>
          <w:kern w:val="0"/>
          <w:sz w:val="24"/>
          <w:szCs w:val="24"/>
          <w:lang w:bidi="ar"/>
          <w14:textFill>
            <w14:solidFill>
              <w14:schemeClr w14:val="tx1"/>
            </w14:solidFill>
          </w14:textFill>
        </w:rPr>
        <w:t xml:space="preserve">）： </w:t>
      </w:r>
    </w:p>
    <w:p w14:paraId="6D38316B">
      <w:pPr>
        <w:widowControl/>
        <w:spacing w:line="360" w:lineRule="auto"/>
        <w:jc w:val="righ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lang w:bidi="ar"/>
          <w14:textFill>
            <w14:solidFill>
              <w14:schemeClr w14:val="tx1"/>
            </w14:solidFill>
          </w14:textFill>
        </w:rPr>
        <w:t xml:space="preserve">日 期： </w:t>
      </w:r>
    </w:p>
    <w:p w14:paraId="48026AE8">
      <w:pPr>
        <w:widowControl/>
        <w:spacing w:beforeLines="0" w:afterLines="0" w:line="360" w:lineRule="auto"/>
        <w:ind w:firstLine="567"/>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1B086DA6">
      <w:pPr>
        <w:widowControl/>
        <w:spacing w:beforeLines="0" w:afterLines="0" w:line="360" w:lineRule="auto"/>
        <w:ind w:firstLine="420"/>
        <w:jc w:val="left"/>
        <w:rPr>
          <w:rFonts w:hint="eastAsia" w:ascii="宋体" w:hAnsi="宋体" w:cs="宋体"/>
          <w:i w:val="0"/>
          <w:iCs w:val="0"/>
          <w:color w:val="000000" w:themeColor="text1"/>
          <w:kern w:val="0"/>
          <w:sz w:val="24"/>
          <w:szCs w:val="24"/>
          <w:lang w:bidi="ar"/>
          <w14:textFill>
            <w14:solidFill>
              <w14:schemeClr w14:val="tx1"/>
            </w14:solidFill>
          </w14:textFill>
        </w:rPr>
      </w:pPr>
    </w:p>
    <w:p w14:paraId="6489138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以上企业，不属于大企业的分支机构，不存在控股股东为大企业的情形，也不存在与大企业的负责人为同一人的情形。</w:t>
      </w:r>
    </w:p>
    <w:p w14:paraId="1FE2790A">
      <w:pPr>
        <w:widowControl/>
        <w:spacing w:beforeLines="0" w:afterLines="0" w:line="360" w:lineRule="auto"/>
        <w:ind w:firstLine="567"/>
        <w:jc w:val="left"/>
        <w:rPr>
          <w:rFonts w:hint="eastAsia" w:ascii="宋体" w:hAnsi="宋体" w:cs="宋体"/>
          <w:i w:val="0"/>
          <w:iCs w:val="0"/>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lang w:bidi="ar"/>
          <w14:textFill>
            <w14:solidFill>
              <w14:schemeClr w14:val="tx1"/>
            </w14:solidFill>
          </w14:textFill>
        </w:rPr>
        <w:t xml:space="preserve">本企业对上述声明内容的真实性负责。如有虚假，将依法承担相应责任。 </w:t>
      </w:r>
    </w:p>
    <w:p w14:paraId="51A201B0">
      <w:pPr>
        <w:widowControl/>
        <w:spacing w:line="360" w:lineRule="auto"/>
        <w:ind w:firstLine="422" w:firstLineChars="200"/>
        <w:jc w:val="left"/>
        <w:rPr>
          <w:rFonts w:hAnsi="宋体" w:cs="宋体"/>
          <w:b/>
          <w:bCs/>
          <w:color w:val="000000" w:themeColor="text1"/>
          <w14:textFill>
            <w14:solidFill>
              <w14:schemeClr w14:val="tx1"/>
            </w14:solidFill>
          </w14:textFill>
        </w:rPr>
      </w:pPr>
      <w:r>
        <w:rPr>
          <w:rFonts w:hint="eastAsia" w:hAnsi="宋体" w:cs="宋体"/>
          <w:b/>
          <w:bCs/>
          <w:color w:val="000000" w:themeColor="text1"/>
          <w14:textFill>
            <w14:solidFill>
              <w14:schemeClr w14:val="tx1"/>
            </w14:solidFill>
          </w14:textFill>
        </w:rPr>
        <w:t>注：1、</w:t>
      </w:r>
      <w:r>
        <w:rPr>
          <w:rFonts w:hAnsi="宋体" w:cs="宋体"/>
          <w:b/>
          <w:bCs/>
          <w:color w:val="000000" w:themeColor="text1"/>
          <w14:textFill>
            <w14:solidFill>
              <w14:schemeClr w14:val="tx1"/>
            </w14:solidFill>
          </w14:textFill>
        </w:rPr>
        <w:t>从业人员、营业收入、资产总额填报上一年度数据，无上一年度数据的新成立企业可不填报。</w:t>
      </w:r>
    </w:p>
    <w:p w14:paraId="047288BA">
      <w:pPr>
        <w:pStyle w:val="5"/>
        <w:rPr>
          <w:rFonts w:hint="eastAsia" w:ascii="宋体" w:hAnsi="宋体" w:cs="宋体"/>
          <w:color w:val="000000" w:themeColor="text1"/>
          <w:sz w:val="24"/>
          <w:szCs w:val="24"/>
          <w:highlight w:val="none"/>
          <w14:textFill>
            <w14:solidFill>
              <w14:schemeClr w14:val="tx1"/>
            </w14:solidFill>
          </w14:textFill>
        </w:rPr>
      </w:pPr>
    </w:p>
    <w:p w14:paraId="7A2DBB18"/>
    <w:sectPr>
      <w:headerReference r:id="rId7" w:type="default"/>
      <w:footerReference r:id="rId8" w:type="default"/>
      <w:pgSz w:w="11906" w:h="16838"/>
      <w:pgMar w:top="1440" w:right="1361" w:bottom="1440" w:left="1587" w:header="851" w:footer="454" w:gutter="0"/>
      <w:pgNumType w:fmt="decimal"/>
      <w:cols w:space="720" w:num="1"/>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96F5B">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0F1A84">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0F1A84">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3F789">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C70D69">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FC70D69">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EC63">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FE539">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EFE539">
                    <w:pPr>
                      <w:pStyle w:val="14"/>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D9E69">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65D8C"/>
    <w:multiLevelType w:val="singleLevel"/>
    <w:tmpl w:val="C1665D8C"/>
    <w:lvl w:ilvl="0" w:tentative="0">
      <w:start w:val="3"/>
      <w:numFmt w:val="chineseCounting"/>
      <w:suff w:val="space"/>
      <w:lvlText w:val="第%1章"/>
      <w:lvlJc w:val="left"/>
      <w:rPr>
        <w:rFonts w:hint="eastAsia"/>
      </w:rPr>
    </w:lvl>
  </w:abstractNum>
  <w:abstractNum w:abstractNumId="1">
    <w:nsid w:val="C4C3FAF5"/>
    <w:multiLevelType w:val="singleLevel"/>
    <w:tmpl w:val="C4C3FAF5"/>
    <w:lvl w:ilvl="0" w:tentative="0">
      <w:start w:val="3"/>
      <w:numFmt w:val="decimal"/>
      <w:suff w:val="nothing"/>
      <w:lvlText w:val="（%1）"/>
      <w:lvlJc w:val="left"/>
    </w:lvl>
  </w:abstractNum>
  <w:abstractNum w:abstractNumId="2">
    <w:nsid w:val="5788F7C4"/>
    <w:multiLevelType w:val="singleLevel"/>
    <w:tmpl w:val="5788F7C4"/>
    <w:lvl w:ilvl="0" w:tentative="0">
      <w:start w:val="2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fTYJ9xaIFxKnUj2W0aDJYg3A5cU=" w:salt="WE9zHHYOJjzjh2ig2VkUBg=="/>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01D8C"/>
    <w:rsid w:val="0EC73670"/>
    <w:rsid w:val="0FC85600"/>
    <w:rsid w:val="282A17FB"/>
    <w:rsid w:val="2902369C"/>
    <w:rsid w:val="3A10210A"/>
    <w:rsid w:val="3C0065CC"/>
    <w:rsid w:val="3C3B728B"/>
    <w:rsid w:val="47F2390C"/>
    <w:rsid w:val="48954891"/>
    <w:rsid w:val="4EEA6065"/>
    <w:rsid w:val="6117377F"/>
    <w:rsid w:val="698529B4"/>
    <w:rsid w:val="718646B5"/>
    <w:rsid w:val="77111835"/>
    <w:rsid w:val="779B04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1"/>
    <w:pPr>
      <w:spacing w:before="1"/>
      <w:ind w:left="1600"/>
      <w:outlineLvl w:val="1"/>
    </w:pPr>
    <w:rPr>
      <w:sz w:val="30"/>
      <w:szCs w:val="30"/>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rFonts w:ascii="Calibri" w:hAnsi="Calibri" w:eastAsia="宋体" w:cs="Times New Roman"/>
      <w:sz w:val="28"/>
      <w:szCs w:val="28"/>
    </w:rPr>
  </w:style>
  <w:style w:type="paragraph" w:styleId="5">
    <w:name w:val="Body Text 3"/>
    <w:basedOn w:val="1"/>
    <w:qFormat/>
    <w:uiPriority w:val="0"/>
    <w:pPr>
      <w:spacing w:after="120"/>
    </w:pPr>
    <w:rPr>
      <w:rFonts w:ascii="Times New Roman" w:hAnsi="Times New Roman" w:eastAsia="宋体" w:cs="Times New Roman"/>
      <w:sz w:val="16"/>
      <w:szCs w:val="16"/>
    </w:rPr>
  </w:style>
  <w:style w:type="paragraph" w:styleId="6">
    <w:name w:val="Body Text"/>
    <w:basedOn w:val="1"/>
    <w:next w:val="7"/>
    <w:unhideWhenUsed/>
    <w:qFormat/>
    <w:uiPriority w:val="99"/>
    <w:pPr>
      <w:spacing w:after="120"/>
    </w:pPr>
  </w:style>
  <w:style w:type="paragraph" w:customStyle="1" w:styleId="7">
    <w:name w:val="style4"/>
    <w:basedOn w:val="1"/>
    <w:next w:val="8"/>
    <w:qFormat/>
    <w:uiPriority w:val="0"/>
    <w:pPr>
      <w:widowControl/>
      <w:autoSpaceDE/>
      <w:autoSpaceDN/>
      <w:spacing w:before="280" w:after="280" w:line="240" w:lineRule="auto"/>
      <w:ind w:left="0" w:firstLine="0"/>
      <w:jc w:val="both"/>
    </w:pPr>
    <w:rPr>
      <w:rFonts w:ascii="宋体" w:eastAsia="宋体"/>
      <w:sz w:val="18"/>
    </w:rPr>
  </w:style>
  <w:style w:type="paragraph" w:customStyle="1" w:styleId="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9">
    <w:name w:val="Body Text Indent"/>
    <w:basedOn w:val="1"/>
    <w:next w:val="10"/>
    <w:unhideWhenUsed/>
    <w:qFormat/>
    <w:uiPriority w:val="0"/>
    <w:pPr>
      <w:spacing w:after="120"/>
      <w:ind w:left="420" w:leftChars="200"/>
    </w:pPr>
    <w:rPr>
      <w:rFonts w:ascii="Times New Roman" w:hAnsi="Times New Roman" w:eastAsia="宋体" w:cs="Times New Roman"/>
    </w:rPr>
  </w:style>
  <w:style w:type="paragraph" w:styleId="10">
    <w:name w:val="envelope return"/>
    <w:basedOn w:val="1"/>
    <w:unhideWhenUsed/>
    <w:qFormat/>
    <w:uiPriority w:val="99"/>
    <w:pPr>
      <w:snapToGrid w:val="0"/>
    </w:pPr>
    <w:rPr>
      <w:rFonts w:ascii="Arial" w:hAnsi="Arial" w:cs="Arial"/>
    </w:rPr>
  </w:style>
  <w:style w:type="paragraph" w:styleId="11">
    <w:name w:val="Plain Text"/>
    <w:basedOn w:val="1"/>
    <w:next w:val="12"/>
    <w:unhideWhenUsed/>
    <w:qFormat/>
    <w:uiPriority w:val="0"/>
    <w:rPr>
      <w:rFonts w:ascii="宋体" w:hAnsi="Courier New" w:eastAsia="仿宋"/>
      <w:sz w:val="20"/>
    </w:rPr>
  </w:style>
  <w:style w:type="paragraph" w:styleId="12">
    <w:name w:val="index 7"/>
    <w:basedOn w:val="1"/>
    <w:next w:val="1"/>
    <w:unhideWhenUsed/>
    <w:qFormat/>
    <w:uiPriority w:val="99"/>
    <w:pPr>
      <w:ind w:left="1200" w:leftChars="1200"/>
    </w:pPr>
  </w:style>
  <w:style w:type="paragraph" w:styleId="13">
    <w:name w:val="Body Text Indent 2"/>
    <w:basedOn w:val="1"/>
    <w:qFormat/>
    <w:uiPriority w:val="0"/>
    <w:pPr>
      <w:spacing w:line="360" w:lineRule="auto"/>
      <w:ind w:left="1140"/>
    </w:pPr>
    <w:rPr>
      <w:rFonts w:ascii="宋体"/>
      <w:sz w:val="24"/>
      <w:szCs w:val="20"/>
    </w:rPr>
  </w:style>
  <w:style w:type="paragraph" w:styleId="14">
    <w:name w:val="footer"/>
    <w:basedOn w:val="1"/>
    <w:unhideWhenUsed/>
    <w:qFormat/>
    <w:uiPriority w:val="99"/>
    <w:pPr>
      <w:snapToGrid w:val="0"/>
      <w:jc w:val="left"/>
    </w:pPr>
    <w:rPr>
      <w:sz w:val="18"/>
      <w:szCs w:val="18"/>
    </w:rPr>
  </w:style>
  <w:style w:type="paragraph" w:styleId="15">
    <w:name w:val="header"/>
    <w:basedOn w:val="1"/>
    <w:unhideWhenUsed/>
    <w:qFormat/>
    <w:uiPriority w:val="0"/>
    <w:pPr>
      <w:pBdr>
        <w:bottom w:val="single" w:color="auto" w:sz="6" w:space="1"/>
      </w:pBdr>
      <w:snapToGrid w:val="0"/>
      <w:jc w:val="center"/>
    </w:pPr>
    <w:rPr>
      <w:sz w:val="18"/>
      <w:szCs w:val="18"/>
    </w:rPr>
  </w:style>
  <w:style w:type="paragraph" w:styleId="16">
    <w:name w:val="toc 1"/>
    <w:basedOn w:val="1"/>
    <w:next w:val="1"/>
    <w:qFormat/>
    <w:uiPriority w:val="0"/>
  </w:style>
  <w:style w:type="paragraph" w:styleId="17">
    <w:name w:val="Body Text 2"/>
    <w:basedOn w:val="1"/>
    <w:next w:val="11"/>
    <w:qFormat/>
    <w:uiPriority w:val="0"/>
    <w:pPr>
      <w:widowControl/>
      <w:spacing w:before="100" w:beforeAutospacing="1" w:after="100" w:afterAutospacing="1"/>
    </w:pPr>
    <w:rPr>
      <w:kern w:val="0"/>
    </w:rPr>
  </w:style>
  <w:style w:type="paragraph" w:styleId="18">
    <w:name w:val="Body Text First Indent"/>
    <w:basedOn w:val="6"/>
    <w:next w:val="19"/>
    <w:unhideWhenUsed/>
    <w:qFormat/>
    <w:uiPriority w:val="99"/>
    <w:pPr>
      <w:ind w:firstLine="420" w:firstLineChars="100"/>
    </w:pPr>
    <w:rPr>
      <w:szCs w:val="20"/>
    </w:rPr>
  </w:style>
  <w:style w:type="paragraph" w:styleId="19">
    <w:name w:val="Body Text First Indent 2"/>
    <w:basedOn w:val="9"/>
    <w:qFormat/>
    <w:uiPriority w:val="0"/>
    <w:pPr>
      <w:ind w:firstLine="420" w:firstLineChars="200"/>
    </w:pPr>
    <w:rPr>
      <w:rFonts w:ascii="Calibri" w:hAnsi="Calibri"/>
      <w:kern w:val="0"/>
      <w:sz w:val="20"/>
      <w:szCs w:val="20"/>
    </w:rPr>
  </w:style>
  <w:style w:type="table" w:styleId="21">
    <w:name w:val="Table Grid"/>
    <w:basedOn w:val="2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qFormat/>
    <w:uiPriority w:val="0"/>
    <w:rPr>
      <w:color w:val="800080"/>
      <w:u w:val="none"/>
    </w:rPr>
  </w:style>
  <w:style w:type="character" w:styleId="24">
    <w:name w:val="HTML Definition"/>
    <w:basedOn w:val="22"/>
    <w:qFormat/>
    <w:uiPriority w:val="0"/>
  </w:style>
  <w:style w:type="character" w:styleId="25">
    <w:name w:val="HTML Typewriter"/>
    <w:basedOn w:val="22"/>
    <w:qFormat/>
    <w:uiPriority w:val="0"/>
    <w:rPr>
      <w:rFonts w:hint="default" w:ascii="monospace" w:hAnsi="monospace" w:eastAsia="monospace" w:cs="monospace"/>
      <w:sz w:val="20"/>
    </w:rPr>
  </w:style>
  <w:style w:type="character" w:styleId="26">
    <w:name w:val="HTML Acronym"/>
    <w:basedOn w:val="22"/>
    <w:qFormat/>
    <w:uiPriority w:val="0"/>
  </w:style>
  <w:style w:type="character" w:styleId="27">
    <w:name w:val="HTML Variable"/>
    <w:basedOn w:val="22"/>
    <w:qFormat/>
    <w:uiPriority w:val="0"/>
  </w:style>
  <w:style w:type="character" w:styleId="28">
    <w:name w:val="Hyperlink"/>
    <w:basedOn w:val="22"/>
    <w:qFormat/>
    <w:uiPriority w:val="0"/>
    <w:rPr>
      <w:color w:val="0000FF"/>
      <w:u w:val="none"/>
    </w:rPr>
  </w:style>
  <w:style w:type="character" w:styleId="29">
    <w:name w:val="HTML Code"/>
    <w:basedOn w:val="22"/>
    <w:qFormat/>
    <w:uiPriority w:val="0"/>
    <w:rPr>
      <w:rFonts w:hint="default" w:ascii="monospace" w:hAnsi="monospace" w:eastAsia="monospace" w:cs="monospace"/>
      <w:sz w:val="20"/>
    </w:rPr>
  </w:style>
  <w:style w:type="character" w:styleId="30">
    <w:name w:val="HTML Cite"/>
    <w:basedOn w:val="22"/>
    <w:qFormat/>
    <w:uiPriority w:val="0"/>
  </w:style>
  <w:style w:type="character" w:styleId="31">
    <w:name w:val="HTML Keyboard"/>
    <w:basedOn w:val="22"/>
    <w:qFormat/>
    <w:uiPriority w:val="0"/>
    <w:rPr>
      <w:rFonts w:ascii="monospace" w:hAnsi="monospace" w:eastAsia="monospace" w:cs="monospace"/>
      <w:sz w:val="20"/>
    </w:rPr>
  </w:style>
  <w:style w:type="character" w:styleId="32">
    <w:name w:val="HTML Sample"/>
    <w:basedOn w:val="22"/>
    <w:qFormat/>
    <w:uiPriority w:val="0"/>
    <w:rPr>
      <w:rFonts w:hint="default" w:ascii="monospace" w:hAnsi="monospace" w:eastAsia="monospace" w:cs="monospace"/>
    </w:rPr>
  </w:style>
  <w:style w:type="paragraph" w:customStyle="1" w:styleId="33">
    <w:name w:val="Table Paragraph"/>
    <w:basedOn w:val="1"/>
    <w:qFormat/>
    <w:uiPriority w:val="1"/>
  </w:style>
  <w:style w:type="table" w:customStyle="1" w:styleId="34">
    <w:name w:val="Table Normal"/>
    <w:semiHidden/>
    <w:unhideWhenUsed/>
    <w:qFormat/>
    <w:uiPriority w:val="2"/>
    <w:tblPr>
      <w:tblCellMar>
        <w:top w:w="0" w:type="dxa"/>
        <w:left w:w="0" w:type="dxa"/>
        <w:bottom w:w="0" w:type="dxa"/>
        <w:right w:w="0" w:type="dxa"/>
      </w:tblCellMar>
    </w:tblPr>
  </w:style>
  <w:style w:type="paragraph" w:customStyle="1" w:styleId="35">
    <w:name w:val="样式 标题 2 + Times New Roman 四号 非加粗 段前: 5 磅 段后: 0 磅 行距: 固定值 20..."/>
    <w:basedOn w:val="3"/>
    <w:qFormat/>
    <w:uiPriority w:val="0"/>
    <w:pPr>
      <w:spacing w:before="100" w:line="400" w:lineRule="exact"/>
    </w:pPr>
    <w:rPr>
      <w:rFonts w:ascii="Times New Roman" w:hAnsi="Times New Roman"/>
      <w:sz w:val="28"/>
      <w:szCs w:val="20"/>
    </w:rPr>
  </w:style>
  <w:style w:type="character" w:customStyle="1" w:styleId="36">
    <w:name w:val="layui-layer-tabnow"/>
    <w:basedOn w:val="22"/>
    <w:qFormat/>
    <w:uiPriority w:val="0"/>
    <w:rPr>
      <w:bdr w:val="single" w:color="CCCCCC" w:sz="4" w:space="0"/>
      <w:shd w:val="clear" w:fill="FFFFFF"/>
    </w:rPr>
  </w:style>
  <w:style w:type="character" w:customStyle="1" w:styleId="37">
    <w:name w:val="first-child"/>
    <w:basedOn w:val="22"/>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24336</Words>
  <Characters>26693</Characters>
  <Lines>0</Lines>
  <Paragraphs>0</Paragraphs>
  <TotalTime>23</TotalTime>
  <ScaleCrop>false</ScaleCrop>
  <LinksUpToDate>false</LinksUpToDate>
  <CharactersWithSpaces>26759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Administrator.PC-20220126NNBE</dc:creator>
  <cp:lastModifiedBy>Administrator</cp:lastModifiedBy>
  <cp:lastPrinted>2025-10-11T01:14:00Z</cp:lastPrinted>
  <dcterms:modified xsi:type="dcterms:W3CDTF">2025-10-11T09:17:18Z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eyJoZGlkIjoiNjc4N2IzMjhjMmQ0YWMzNmM1ZDU2OTdhY2FkZDQzYTciLCJ1c2VySWQiOiIyNjMyNTU4ODUifQ==</vt:lpwstr>
  </property>
  <property fmtid="{D5CDD505-2E9C-101B-9397-08002B2CF9AE}" pid="4" name="ICV">
    <vt:lpwstr>7C0A2AB43F994DE48C621DE052714394_13</vt:lpwstr>
  </property>
</Properties>
</file>