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000000" w:themeColor="text1"/>
          <w:sz w:val="52"/>
          <w:szCs w:val="52"/>
          <w:lang w:val="en-US" w:eastAsia="zh-CN"/>
          <w14:textFill>
            <w14:solidFill>
              <w14:schemeClr w14:val="tx1"/>
            </w14:solidFill>
          </w14:textFill>
        </w:rPr>
      </w:pPr>
      <w:r>
        <w:rPr>
          <w:rFonts w:hint="eastAsia" w:ascii="宋体" w:hAnsi="宋体" w:eastAsia="宋体" w:cs="宋体"/>
          <w:b/>
          <w:bCs w:val="0"/>
          <w:color w:val="000000" w:themeColor="text1"/>
          <w:sz w:val="52"/>
          <w:szCs w:val="52"/>
          <w:lang w:val="en-US" w:eastAsia="zh-CN"/>
          <w14:textFill>
            <w14:solidFill>
              <w14:schemeClr w14:val="tx1"/>
            </w14:solidFill>
          </w14:textFill>
        </w:rPr>
        <w:t>三门峡市陕州区农业特色产业发展规划(2026-2035年)编制项目</w:t>
      </w:r>
    </w:p>
    <w:p>
      <w:pPr>
        <w:jc w:val="center"/>
        <w:rPr>
          <w:rFonts w:hint="eastAsia" w:ascii="宋体" w:hAnsi="宋体" w:eastAsia="宋体" w:cs="宋体"/>
          <w:b/>
          <w:bCs w:val="0"/>
          <w:color w:val="000000" w:themeColor="text1"/>
          <w:sz w:val="52"/>
          <w:szCs w:val="52"/>
          <w14:textFill>
            <w14:solidFill>
              <w14:schemeClr w14:val="tx1"/>
            </w14:solidFill>
          </w14:textFill>
        </w:rPr>
      </w:pPr>
    </w:p>
    <w:p>
      <w:pPr>
        <w:jc w:val="center"/>
        <w:rPr>
          <w:rFonts w:hint="eastAsia" w:ascii="宋体" w:hAnsi="宋体" w:eastAsia="宋体" w:cs="宋体"/>
          <w:b/>
          <w:bCs w:val="0"/>
          <w:color w:val="000000" w:themeColor="text1"/>
          <w:sz w:val="32"/>
          <w:szCs w:val="32"/>
          <w:lang w:val="en-US" w:eastAsia="zh-CN"/>
          <w14:textFill>
            <w14:solidFill>
              <w14:schemeClr w14:val="tx1"/>
            </w14:solidFill>
          </w14:textFill>
        </w:rPr>
      </w:pPr>
      <w:r>
        <w:rPr>
          <w:rFonts w:hint="eastAsia" w:ascii="宋体" w:hAnsi="宋体" w:eastAsia="宋体" w:cs="宋体"/>
          <w:b/>
          <w:bCs w:val="0"/>
          <w:color w:val="000000" w:themeColor="text1"/>
          <w:sz w:val="52"/>
          <w:szCs w:val="52"/>
          <w14:textFill>
            <w14:solidFill>
              <w14:schemeClr w14:val="tx1"/>
            </w14:solidFill>
          </w14:textFill>
        </w:rPr>
        <w:t>竞争性磋商文件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Cs/>
          <w:color w:val="000000" w:themeColor="text1"/>
          <w:sz w:val="32"/>
          <w:szCs w:val="32"/>
          <w:lang w:val="en-US" w:eastAsia="zh-CN"/>
          <w14:textFill>
            <w14:solidFill>
              <w14:schemeClr w14:val="tx1"/>
            </w14:solidFill>
          </w14:textFill>
        </w:rPr>
      </w:pPr>
      <w:r>
        <w:rPr>
          <w:rFonts w:hint="eastAsia" w:ascii="宋体" w:hAnsi="宋体" w:eastAsia="宋体" w:cs="宋体"/>
          <w:bCs/>
          <w:color w:val="000000" w:themeColor="text1"/>
          <w:sz w:val="32"/>
          <w:szCs w:val="32"/>
          <w:lang w:val="en-US" w:eastAsia="zh-CN"/>
          <w14:textFill>
            <w14:solidFill>
              <w14:schemeClr w14:val="tx1"/>
            </w14:solidFill>
          </w14:textFill>
        </w:rPr>
        <w:t>项目编号：陕州竞磋采购-2025-127</w:t>
      </w:r>
    </w:p>
    <w:p>
      <w:pPr>
        <w:pStyle w:val="2"/>
        <w:jc w:val="center"/>
        <w:rPr>
          <w:rFonts w:hint="eastAsia" w:ascii="宋体" w:hAnsi="宋体" w:eastAsia="宋体" w:cs="宋体"/>
          <w:b w:val="0"/>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bCs/>
          <w:color w:val="000000" w:themeColor="text1"/>
          <w:kern w:val="2"/>
          <w:sz w:val="32"/>
          <w:szCs w:val="32"/>
          <w:lang w:val="en-US" w:eastAsia="zh-CN" w:bidi="ar-SA"/>
          <w14:textFill>
            <w14:solidFill>
              <w14:schemeClr w14:val="tx1"/>
            </w14:solidFill>
          </w14:textFill>
        </w:rPr>
        <w:t xml:space="preserve">        </w:t>
      </w:r>
      <w:bookmarkStart w:id="0" w:name="OLE_LINK2"/>
      <w:r>
        <w:rPr>
          <w:rFonts w:hint="eastAsia" w:ascii="宋体" w:hAnsi="宋体" w:eastAsia="宋体" w:cs="宋体"/>
          <w:b w:val="0"/>
          <w:bCs/>
          <w:color w:val="000000" w:themeColor="text1"/>
          <w:kern w:val="2"/>
          <w:sz w:val="32"/>
          <w:szCs w:val="32"/>
          <w:lang w:val="en-US" w:eastAsia="zh-CN" w:bidi="ar-SA"/>
          <w14:textFill>
            <w14:solidFill>
              <w14:schemeClr w14:val="tx1"/>
            </w14:solidFill>
          </w14:textFill>
        </w:rPr>
        <w:t>SZGZ[2025]215-ZC147</w:t>
      </w:r>
      <w:bookmarkEnd w:id="0"/>
    </w:p>
    <w:p>
      <w:pPr>
        <w:jc w:val="both"/>
        <w:rPr>
          <w:rFonts w:hint="eastAsia" w:ascii="宋体" w:hAnsi="宋体" w:eastAsia="宋体" w:cs="宋体"/>
          <w:szCs w:val="28"/>
        </w:rPr>
      </w:pPr>
    </w:p>
    <w:p>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sz w:val="24"/>
          <w:szCs w:val="24"/>
          <w:lang w:eastAsia="zh-CN"/>
        </w:rPr>
        <w:drawing>
          <wp:anchor distT="0" distB="0" distL="114300" distR="114300" simplePos="0" relativeHeight="251661312" behindDoc="0" locked="0" layoutInCell="1" allowOverlap="1">
            <wp:simplePos x="0" y="0"/>
            <wp:positionH relativeFrom="column">
              <wp:posOffset>1362075</wp:posOffset>
            </wp:positionH>
            <wp:positionV relativeFrom="paragraph">
              <wp:posOffset>222885</wp:posOffset>
            </wp:positionV>
            <wp:extent cx="3150870" cy="2905760"/>
            <wp:effectExtent l="0" t="0" r="11430"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150870" cy="2905760"/>
                    </a:xfrm>
                    <a:prstGeom prst="rect">
                      <a:avLst/>
                    </a:prstGeom>
                    <a:noFill/>
                    <a:ln>
                      <a:noFill/>
                    </a:ln>
                  </pic:spPr>
                </pic:pic>
              </a:graphicData>
            </a:graphic>
          </wp:anchor>
        </w:drawing>
      </w:r>
    </w:p>
    <w:p>
      <w:pPr>
        <w:pStyle w:val="2"/>
        <w:rPr>
          <w:rFonts w:hint="eastAsia"/>
        </w:rPr>
      </w:pPr>
    </w:p>
    <w:p>
      <w:pPr>
        <w:widowControl/>
        <w:shd w:val="clear" w:color="auto" w:fill="FFFFFF"/>
        <w:spacing w:line="390" w:lineRule="atLeast"/>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11"/>
        <w:ind w:left="0" w:leftChars="0" w:firstLine="0" w:firstLineChars="0"/>
        <w:rPr>
          <w:rFonts w:hint="eastAsia" w:ascii="宋体" w:hAnsi="宋体" w:eastAsia="宋体" w:cs="宋体"/>
        </w:rPr>
      </w:pPr>
    </w:p>
    <w:p>
      <w:pPr>
        <w:ind w:firstLine="1260" w:firstLineChars="450"/>
        <w:rPr>
          <w:rFonts w:hint="eastAsia" w:ascii="宋体" w:hAnsi="宋体" w:eastAsia="宋体" w:cs="宋体"/>
          <w:color w:val="000000" w:themeColor="text1"/>
          <w:sz w:val="28"/>
          <w:szCs w:val="28"/>
          <w14:textFill>
            <w14:solidFill>
              <w14:schemeClr w14:val="tx1"/>
            </w14:solidFill>
          </w14:textFill>
        </w:rPr>
      </w:pPr>
    </w:p>
    <w:p>
      <w:pPr>
        <w:pStyle w:val="18"/>
        <w:rPr>
          <w:rFonts w:hint="eastAsia" w:ascii="宋体" w:hAnsi="宋体" w:eastAsia="宋体" w:cs="宋体"/>
          <w:color w:val="000000" w:themeColor="text1"/>
          <w:sz w:val="28"/>
          <w:szCs w:val="28"/>
          <w14:textFill>
            <w14:solidFill>
              <w14:schemeClr w14:val="tx1"/>
            </w14:solidFill>
          </w14:textFill>
        </w:rPr>
      </w:pPr>
    </w:p>
    <w:p>
      <w:pPr>
        <w:pStyle w:val="19"/>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pStyle w:val="18"/>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  购  人：</w:t>
      </w:r>
      <w:r>
        <w:rPr>
          <w:rFonts w:hint="eastAsia" w:ascii="宋体" w:hAnsi="宋体" w:eastAsia="宋体" w:cs="宋体"/>
          <w:b/>
          <w:bCs/>
          <w:color w:val="000000" w:themeColor="text1"/>
          <w:sz w:val="28"/>
          <w:szCs w:val="28"/>
          <w:lang w:val="en-US" w:eastAsia="zh-CN"/>
          <w14:textFill>
            <w14:solidFill>
              <w14:schemeClr w14:val="tx1"/>
            </w14:solidFill>
          </w14:textFill>
        </w:rPr>
        <w:t>三门峡市陕州区农业农村局</w:t>
      </w:r>
    </w:p>
    <w:p>
      <w:pPr>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河南建晔工程管理有限公司</w:t>
      </w: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日       期：二〇二</w:t>
      </w:r>
      <w:r>
        <w:rPr>
          <w:rFonts w:hint="eastAsia" w:ascii="宋体" w:hAnsi="宋体" w:eastAsia="宋体" w:cs="宋体"/>
          <w:b/>
          <w:bCs/>
          <w:color w:val="000000" w:themeColor="text1"/>
          <w:sz w:val="28"/>
          <w:szCs w:val="28"/>
          <w:lang w:val="en-US" w:eastAsia="zh-CN"/>
          <w14:textFill>
            <w14:solidFill>
              <w14:schemeClr w14:val="tx1"/>
            </w14:solidFill>
          </w14:textFill>
        </w:rPr>
        <w:t>五</w:t>
      </w:r>
      <w:r>
        <w:rPr>
          <w:rFonts w:hint="eastAsia" w:ascii="宋体" w:hAnsi="宋体" w:eastAsia="宋体" w:cs="宋体"/>
          <w:b/>
          <w:bCs/>
          <w:color w:val="000000" w:themeColor="text1"/>
          <w:sz w:val="28"/>
          <w:szCs w:val="28"/>
          <w14:textFill>
            <w14:solidFill>
              <w14:schemeClr w14:val="tx1"/>
            </w14:solidFill>
          </w14:textFill>
        </w:rPr>
        <w:t>年</w:t>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b/>
          <w:bCs/>
          <w:color w:val="000000" w:themeColor="text1"/>
          <w:sz w:val="28"/>
          <w:szCs w:val="28"/>
          <w14:textFill>
            <w14:solidFill>
              <w14:schemeClr w14:val="tx1"/>
            </w14:solidFill>
          </w14:textFill>
        </w:rPr>
        <w:t>月</w:t>
      </w:r>
    </w:p>
    <w:p>
      <w:pPr>
        <w:jc w:val="center"/>
        <w:rPr>
          <w:rFonts w:hint="eastAsia" w:ascii="宋体" w:hAnsi="宋体" w:eastAsia="宋体" w:cs="宋体"/>
          <w:b/>
          <w:bCs/>
          <w:color w:val="000000" w:themeColor="text1"/>
          <w:sz w:val="28"/>
          <w:szCs w:val="28"/>
          <w14:textFill>
            <w14:solidFill>
              <w14:schemeClr w14:val="tx1"/>
            </w14:solidFill>
          </w14:textFill>
        </w:rPr>
        <w:sectPr>
          <w:footerReference r:id="rId3" w:type="default"/>
          <w:pgSz w:w="11906" w:h="16838"/>
          <w:pgMar w:top="1440" w:right="1689" w:bottom="1440" w:left="1689" w:header="851" w:footer="992" w:gutter="0"/>
          <w:pgNumType w:fmt="decimal"/>
          <w:cols w:space="0" w:num="1"/>
          <w:docGrid w:type="lines" w:linePitch="312" w:charSpace="0"/>
        </w:sectPr>
      </w:pPr>
    </w:p>
    <w:p>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  录</w:t>
      </w:r>
    </w:p>
    <w:p>
      <w:pPr>
        <w:pStyle w:val="14"/>
        <w:tabs>
          <w:tab w:val="right" w:leader="dot" w:pos="8528"/>
        </w:tabs>
        <w:rPr>
          <w:rFonts w:hint="eastAsia" w:ascii="宋体" w:hAnsi="宋体" w:eastAsia="宋体" w:cs="宋体"/>
          <w:sz w:val="28"/>
          <w:szCs w:val="28"/>
        </w:rPr>
      </w:pPr>
      <w:r>
        <w:rPr>
          <w:rFonts w:hint="eastAsia" w:ascii="宋体" w:hAnsi="宋体" w:eastAsia="宋体" w:cs="宋体"/>
          <w:bCs/>
          <w:color w:val="000000" w:themeColor="text1"/>
          <w:kern w:val="0"/>
          <w:sz w:val="28"/>
          <w:szCs w:val="28"/>
          <w14:textFill>
            <w14:solidFill>
              <w14:schemeClr w14:val="tx1"/>
            </w14:solidFill>
          </w14:textFill>
        </w:rPr>
        <w:fldChar w:fldCharType="begin"/>
      </w:r>
      <w:r>
        <w:rPr>
          <w:rFonts w:hint="eastAsia" w:ascii="宋体" w:hAnsi="宋体" w:eastAsia="宋体" w:cs="宋体"/>
          <w:bCs/>
          <w:color w:val="000000" w:themeColor="text1"/>
          <w:kern w:val="0"/>
          <w:sz w:val="28"/>
          <w:szCs w:val="28"/>
          <w14:textFill>
            <w14:solidFill>
              <w14:schemeClr w14:val="tx1"/>
            </w14:solidFill>
          </w14:textFill>
        </w:rPr>
        <w:instrText xml:space="preserve"> TOC \o "1-2" \h \z \u </w:instrText>
      </w:r>
      <w:r>
        <w:rPr>
          <w:rFonts w:hint="eastAsia" w:ascii="宋体" w:hAnsi="宋体" w:eastAsia="宋体" w:cs="宋体"/>
          <w:bCs/>
          <w:color w:val="000000" w:themeColor="text1"/>
          <w:kern w:val="0"/>
          <w:sz w:val="28"/>
          <w:szCs w:val="28"/>
          <w14:textFill>
            <w14:solidFill>
              <w14:schemeClr w14:val="tx1"/>
            </w14:solidFill>
          </w14:textFill>
        </w:rPr>
        <w:fldChar w:fldCharType="separate"/>
      </w:r>
      <w:r>
        <w:rPr>
          <w:rFonts w:hint="eastAsia" w:ascii="宋体" w:hAnsi="宋体" w:eastAsia="宋体" w:cs="宋体"/>
          <w:bCs/>
          <w:color w:val="000000" w:themeColor="text1"/>
          <w:kern w:val="0"/>
          <w:sz w:val="28"/>
          <w:szCs w:val="28"/>
          <w14:textFill>
            <w14:solidFill>
              <w14:schemeClr w14:val="tx1"/>
            </w14:solidFill>
          </w14:textFill>
        </w:rPr>
        <w:fldChar w:fldCharType="begin"/>
      </w:r>
      <w:r>
        <w:rPr>
          <w:rFonts w:hint="eastAsia" w:ascii="宋体" w:hAnsi="宋体" w:eastAsia="宋体" w:cs="宋体"/>
          <w:bCs/>
          <w:kern w:val="0"/>
          <w:sz w:val="28"/>
          <w:szCs w:val="28"/>
        </w:rPr>
        <w:instrText xml:space="preserve"> HYPERLINK \l _Toc14233 </w:instrText>
      </w:r>
      <w:r>
        <w:rPr>
          <w:rFonts w:hint="eastAsia" w:ascii="宋体" w:hAnsi="宋体" w:eastAsia="宋体" w:cs="宋体"/>
          <w:bCs/>
          <w:kern w:val="0"/>
          <w:sz w:val="28"/>
          <w:szCs w:val="28"/>
        </w:rPr>
        <w:fldChar w:fldCharType="separate"/>
      </w:r>
      <w:r>
        <w:rPr>
          <w:rFonts w:hint="eastAsia" w:ascii="宋体" w:hAnsi="宋体" w:eastAsia="宋体" w:cs="宋体"/>
          <w:bCs/>
          <w:kern w:val="0"/>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_Toc14233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color w:val="000000" w:themeColor="text1"/>
          <w:kern w:val="0"/>
          <w:sz w:val="28"/>
          <w:szCs w:val="28"/>
          <w14:textFill>
            <w14:solidFill>
              <w14:schemeClr w14:val="tx1"/>
            </w14:solidFill>
          </w14:textFill>
        </w:rPr>
        <w:fldChar w:fldCharType="end"/>
      </w:r>
    </w:p>
    <w:p>
      <w:pPr>
        <w:pStyle w:val="14"/>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_Toc30833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color w:val="000000" w:themeColor="text1"/>
          <w:kern w:val="0"/>
          <w:sz w:val="28"/>
          <w:szCs w:val="28"/>
          <w14:textFill>
            <w14:solidFill>
              <w14:schemeClr w14:val="tx1"/>
            </w14:solidFill>
          </w14:textFill>
        </w:rPr>
        <w:fldChar w:fldCharType="end"/>
      </w:r>
    </w:p>
    <w:p>
      <w:pPr>
        <w:pStyle w:val="14"/>
        <w:tabs>
          <w:tab w:val="right" w:leader="dot" w:pos="8528"/>
        </w:tabs>
        <w:rPr>
          <w:rFonts w:hint="eastAsia" w:ascii="宋体" w:hAnsi="宋体" w:eastAsia="宋体" w:cs="宋体"/>
          <w:sz w:val="28"/>
          <w:szCs w:val="28"/>
          <w:lang w:val="en-US" w:eastAsia="zh-CN"/>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_Toc15637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000000" w:themeColor="text1"/>
          <w:kern w:val="0"/>
          <w:sz w:val="28"/>
          <w:szCs w:val="28"/>
          <w14:textFill>
            <w14:solidFill>
              <w14:schemeClr w14:val="tx1"/>
            </w14:solidFill>
          </w14:textFill>
        </w:rPr>
        <w:fldChar w:fldCharType="end"/>
      </w:r>
      <w:r>
        <w:rPr>
          <w:rFonts w:hint="eastAsia" w:ascii="宋体" w:hAnsi="宋体" w:eastAsia="宋体" w:cs="宋体"/>
          <w:color w:val="000000" w:themeColor="text1"/>
          <w:kern w:val="0"/>
          <w:sz w:val="28"/>
          <w:szCs w:val="28"/>
          <w:lang w:val="en-US" w:eastAsia="zh-CN"/>
          <w14:textFill>
            <w14:solidFill>
              <w14:schemeClr w14:val="tx1"/>
            </w14:solidFill>
          </w14:textFill>
        </w:rPr>
        <w:t>6</w:t>
      </w:r>
    </w:p>
    <w:p>
      <w:pPr>
        <w:pStyle w:val="14"/>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_Toc28561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第四章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_Toc28561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pPr>
        <w:pStyle w:val="14"/>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_Toc21776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第五章 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_Toc21776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pPr>
        <w:pStyle w:val="14"/>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_Toc29484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eastAsia="zh-CN"/>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_Toc29484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pPr>
        <w:pStyle w:val="15"/>
        <w:tabs>
          <w:tab w:val="right" w:leader="dot" w:pos="8528"/>
        </w:tabs>
        <w:rPr>
          <w:rFonts w:hint="eastAsia" w:ascii="宋体" w:hAnsi="宋体" w:eastAsia="宋体" w:cs="宋体"/>
          <w:sz w:val="28"/>
          <w:szCs w:val="28"/>
        </w:rPr>
      </w:pPr>
    </w:p>
    <w:p>
      <w:pPr>
        <w:spacing w:line="52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fldChar w:fldCharType="end"/>
      </w:r>
    </w:p>
    <w:p>
      <w:pPr>
        <w:spacing w:line="520" w:lineRule="exact"/>
        <w:rPr>
          <w:rFonts w:hint="eastAsia" w:ascii="宋体" w:hAnsi="宋体" w:eastAsia="宋体" w:cs="宋体"/>
          <w:color w:val="000000" w:themeColor="text1"/>
          <w:kern w:val="0"/>
          <w:sz w:val="28"/>
          <w:szCs w:val="28"/>
          <w14:textFill>
            <w14:solidFill>
              <w14:schemeClr w14:val="tx1"/>
            </w14:solidFill>
          </w14:textFill>
        </w:rPr>
      </w:pPr>
    </w:p>
    <w:p>
      <w:pPr>
        <w:spacing w:line="520" w:lineRule="exact"/>
        <w:rPr>
          <w:rFonts w:hint="eastAsia" w:ascii="宋体" w:hAnsi="宋体" w:eastAsia="宋体" w:cs="宋体"/>
          <w:color w:val="000000" w:themeColor="text1"/>
          <w:kern w:val="0"/>
          <w:sz w:val="28"/>
          <w:szCs w:val="28"/>
          <w14:textFill>
            <w14:solidFill>
              <w14:schemeClr w14:val="tx1"/>
            </w14:solidFill>
          </w14:textFill>
        </w:rPr>
      </w:pPr>
    </w:p>
    <w:p>
      <w:pPr>
        <w:spacing w:line="520" w:lineRule="exact"/>
        <w:rPr>
          <w:rFonts w:hint="eastAsia" w:ascii="宋体" w:hAnsi="宋体" w:eastAsia="宋体" w:cs="宋体"/>
          <w:color w:val="000000" w:themeColor="text1"/>
          <w:kern w:val="0"/>
          <w:sz w:val="24"/>
          <w:szCs w:val="24"/>
          <w14:textFill>
            <w14:solidFill>
              <w14:schemeClr w14:val="tx1"/>
            </w14:solidFill>
          </w14:textFill>
        </w:rPr>
      </w:pPr>
    </w:p>
    <w:p>
      <w:pPr>
        <w:spacing w:line="520" w:lineRule="exact"/>
        <w:rPr>
          <w:rFonts w:hint="eastAsia" w:ascii="宋体" w:hAnsi="宋体" w:eastAsia="宋体" w:cs="宋体"/>
          <w:color w:val="000000" w:themeColor="text1"/>
          <w:kern w:val="0"/>
          <w:sz w:val="28"/>
          <w:szCs w:val="24"/>
          <w14:textFill>
            <w14:solidFill>
              <w14:schemeClr w14:val="tx1"/>
            </w14:solidFill>
          </w14:textFill>
        </w:rPr>
      </w:pPr>
    </w:p>
    <w:p>
      <w:pPr>
        <w:spacing w:line="520" w:lineRule="exact"/>
        <w:rPr>
          <w:rFonts w:hint="eastAsia" w:ascii="宋体" w:hAnsi="宋体" w:eastAsia="宋体" w:cs="宋体"/>
          <w:color w:val="000000" w:themeColor="text1"/>
          <w:kern w:val="0"/>
          <w:sz w:val="28"/>
          <w:szCs w:val="24"/>
          <w14:textFill>
            <w14:solidFill>
              <w14:schemeClr w14:val="tx1"/>
            </w14:solidFill>
          </w14:textFill>
        </w:rPr>
      </w:pPr>
    </w:p>
    <w:p>
      <w:pPr>
        <w:spacing w:line="520" w:lineRule="exact"/>
        <w:rPr>
          <w:rFonts w:hint="eastAsia" w:ascii="宋体" w:hAnsi="宋体" w:eastAsia="宋体" w:cs="宋体"/>
          <w:color w:val="000000" w:themeColor="text1"/>
          <w:kern w:val="0"/>
          <w:sz w:val="28"/>
          <w:szCs w:val="24"/>
          <w14:textFill>
            <w14:solidFill>
              <w14:schemeClr w14:val="tx1"/>
            </w14:solidFill>
          </w14:textFill>
        </w:rPr>
      </w:pPr>
    </w:p>
    <w:p>
      <w:pPr>
        <w:spacing w:line="520" w:lineRule="exact"/>
        <w:rPr>
          <w:rFonts w:hint="eastAsia" w:ascii="宋体" w:hAnsi="宋体" w:eastAsia="宋体" w:cs="宋体"/>
          <w:color w:val="000000" w:themeColor="text1"/>
          <w:kern w:val="0"/>
          <w:sz w:val="28"/>
          <w:szCs w:val="24"/>
          <w14:textFill>
            <w14:solidFill>
              <w14:schemeClr w14:val="tx1"/>
            </w14:solidFill>
          </w14:textFill>
        </w:rPr>
      </w:pPr>
    </w:p>
    <w:p>
      <w:pPr>
        <w:rPr>
          <w:rFonts w:hint="eastAsia" w:ascii="宋体" w:hAnsi="宋体" w:eastAsia="宋体" w:cs="宋体"/>
          <w:color w:val="000000" w:themeColor="text1"/>
          <w:kern w:val="0"/>
          <w:sz w:val="28"/>
          <w:szCs w:val="24"/>
          <w14:textFill>
            <w14:solidFill>
              <w14:schemeClr w14:val="tx1"/>
            </w14:solidFill>
          </w14:textFill>
        </w:rPr>
      </w:pPr>
      <w:r>
        <w:rPr>
          <w:rFonts w:hint="eastAsia" w:ascii="宋体" w:hAnsi="宋体" w:eastAsia="宋体" w:cs="宋体"/>
          <w:color w:val="000000" w:themeColor="text1"/>
          <w:kern w:val="0"/>
          <w:sz w:val="28"/>
          <w:szCs w:val="24"/>
          <w14:textFill>
            <w14:solidFill>
              <w14:schemeClr w14:val="tx1"/>
            </w14:solidFill>
          </w14:textFill>
        </w:rPr>
        <w:br w:type="page"/>
      </w:r>
    </w:p>
    <w:p>
      <w:pPr>
        <w:pStyle w:val="34"/>
        <w:ind w:firstLine="420"/>
        <w:rPr>
          <w:rFonts w:hint="eastAsia" w:ascii="宋体" w:hAnsi="宋体" w:eastAsia="宋体" w:cs="宋体"/>
        </w:rPr>
      </w:pPr>
    </w:p>
    <w:p>
      <w:pPr>
        <w:widowControl/>
        <w:numPr>
          <w:ilvl w:val="0"/>
          <w:numId w:val="2"/>
        </w:numPr>
        <w:shd w:val="clear" w:color="auto" w:fill="FFFFFF"/>
        <w:spacing w:line="420" w:lineRule="atLeast"/>
        <w:jc w:val="center"/>
        <w:outlineLvl w:val="0"/>
        <w:rPr>
          <w:rFonts w:hint="eastAsia" w:ascii="宋体" w:hAnsi="宋体" w:eastAsia="宋体" w:cs="宋体"/>
          <w:b/>
          <w:bCs/>
          <w:color w:val="000000" w:themeColor="text1"/>
          <w:kern w:val="0"/>
          <w:sz w:val="36"/>
          <w:szCs w:val="36"/>
          <w14:textFill>
            <w14:solidFill>
              <w14:schemeClr w14:val="tx1"/>
            </w14:solidFill>
          </w14:textFill>
        </w:rPr>
      </w:pPr>
      <w:bookmarkStart w:id="1" w:name="_Toc14233"/>
      <w:bookmarkStart w:id="2"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1"/>
      <w:bookmarkEnd w:id="2"/>
    </w:p>
    <w:p>
      <w:pPr>
        <w:bidi w:val="0"/>
        <w:rPr>
          <w:rFonts w:hint="eastAsia" w:ascii="宋体" w:hAnsi="宋体" w:eastAsia="宋体" w:cs="宋体"/>
          <w:sz w:val="28"/>
          <w:szCs w:val="28"/>
        </w:rPr>
      </w:pPr>
      <w:r>
        <w:rPr>
          <w:rFonts w:hint="eastAsia" w:ascii="宋体" w:hAnsi="宋体" w:eastAsia="宋体" w:cs="宋体"/>
          <w:sz w:val="28"/>
          <w:szCs w:val="28"/>
        </w:rPr>
        <w:t>项目概况</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三门峡市陕州区农业特色产业发展规划(2026-2035年)编制项目</w:t>
      </w:r>
      <w:r>
        <w:rPr>
          <w:rFonts w:hint="eastAsia" w:ascii="宋体" w:hAnsi="宋体" w:eastAsia="宋体" w:cs="宋体"/>
          <w:sz w:val="28"/>
          <w:szCs w:val="28"/>
        </w:rPr>
        <w:t>的潜在投标人应在三门峡市公共资源交易中心网获取磋商文件，并于</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14</w:t>
      </w:r>
      <w:r>
        <w:rPr>
          <w:rFonts w:hint="eastAsia" w:ascii="宋体" w:hAnsi="宋体" w:eastAsia="宋体" w:cs="宋体"/>
          <w:sz w:val="28"/>
          <w:szCs w:val="28"/>
          <w:highlight w:val="none"/>
        </w:rPr>
        <w:t>日08时30分（</w:t>
      </w:r>
      <w:r>
        <w:rPr>
          <w:rFonts w:hint="eastAsia" w:ascii="宋体" w:hAnsi="宋体" w:eastAsia="宋体" w:cs="宋体"/>
          <w:sz w:val="28"/>
          <w:szCs w:val="28"/>
        </w:rPr>
        <w:t>北京时间）前递交响应文件。</w:t>
      </w:r>
    </w:p>
    <w:p>
      <w:pPr>
        <w:bidi w:val="0"/>
        <w:rPr>
          <w:rFonts w:hint="eastAsia" w:ascii="宋体" w:hAnsi="宋体" w:eastAsia="宋体" w:cs="宋体"/>
          <w:sz w:val="28"/>
          <w:szCs w:val="28"/>
        </w:rPr>
      </w:pPr>
      <w:r>
        <w:rPr>
          <w:rFonts w:hint="eastAsia" w:ascii="宋体" w:hAnsi="宋体" w:eastAsia="宋体" w:cs="宋体"/>
          <w:sz w:val="28"/>
          <w:szCs w:val="28"/>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eastAsia="宋体" w:cs="宋体"/>
          <w:sz w:val="28"/>
          <w:szCs w:val="28"/>
          <w:lang w:val="en-US" w:eastAsia="zh-CN"/>
        </w:rPr>
      </w:pPr>
      <w:r>
        <w:rPr>
          <w:rFonts w:hint="eastAsia" w:ascii="宋体" w:hAnsi="宋体" w:eastAsia="宋体" w:cs="宋体"/>
          <w:sz w:val="28"/>
          <w:szCs w:val="28"/>
        </w:rPr>
        <w:t>1.项目编</w:t>
      </w:r>
      <w:r>
        <w:rPr>
          <w:rFonts w:hint="eastAsia" w:ascii="宋体" w:hAnsi="宋体" w:eastAsia="宋体" w:cs="宋体"/>
          <w:sz w:val="28"/>
          <w:szCs w:val="28"/>
          <w:lang w:eastAsia="zh-CN"/>
        </w:rPr>
        <w:t>号:陕州竞磋采购-2025-127</w:t>
      </w:r>
      <w:r>
        <w:rPr>
          <w:rFonts w:hint="eastAsia" w:ascii="宋体" w:hAnsi="宋体" w:eastAsia="宋体" w:cs="宋体"/>
          <w:sz w:val="28"/>
          <w:szCs w:val="28"/>
          <w:lang w:val="en-US" w:eastAsia="zh-CN"/>
        </w:rPr>
        <w:t xml:space="preserve">    SZGZ[2025]215-ZC147</w:t>
      </w:r>
    </w:p>
    <w:p>
      <w:pPr>
        <w:bidi w:val="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项目名称：</w:t>
      </w:r>
      <w:bookmarkStart w:id="3" w:name="OLE_LINK1"/>
      <w:r>
        <w:rPr>
          <w:rFonts w:hint="eastAsia" w:ascii="宋体" w:hAnsi="宋体" w:eastAsia="宋体" w:cs="宋体"/>
          <w:sz w:val="28"/>
          <w:szCs w:val="28"/>
          <w:lang w:eastAsia="zh-CN"/>
        </w:rPr>
        <w:t>三门峡市陕州区农业特色产业发展规划(2026-2035年)编制项目</w:t>
      </w:r>
      <w:bookmarkEnd w:id="3"/>
    </w:p>
    <w:p>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3.采购方式：竞争性磋商</w:t>
      </w:r>
    </w:p>
    <w:p>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4.预算金额：</w:t>
      </w:r>
      <w:r>
        <w:rPr>
          <w:rFonts w:hint="eastAsia" w:ascii="宋体" w:hAnsi="宋体" w:eastAsia="宋体" w:cs="宋体"/>
          <w:sz w:val="28"/>
          <w:szCs w:val="28"/>
          <w:lang w:val="en-US" w:eastAsia="zh-CN"/>
        </w:rPr>
        <w:t>600000.00</w:t>
      </w:r>
      <w:r>
        <w:rPr>
          <w:rFonts w:hint="eastAsia" w:ascii="宋体" w:hAnsi="宋体" w:eastAsia="宋体" w:cs="宋体"/>
          <w:sz w:val="28"/>
          <w:szCs w:val="28"/>
          <w:lang w:eastAsia="zh-CN"/>
        </w:rPr>
        <w:t>元</w:t>
      </w:r>
    </w:p>
    <w:p>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最高限价：</w:t>
      </w:r>
      <w:r>
        <w:rPr>
          <w:rFonts w:hint="eastAsia" w:ascii="宋体" w:hAnsi="宋体" w:eastAsia="宋体" w:cs="宋体"/>
          <w:sz w:val="28"/>
          <w:szCs w:val="28"/>
          <w:lang w:val="en-US" w:eastAsia="zh-CN"/>
        </w:rPr>
        <w:t>600000.00</w:t>
      </w:r>
      <w:r>
        <w:rPr>
          <w:rFonts w:hint="eastAsia" w:ascii="宋体" w:hAnsi="宋体" w:eastAsia="宋体" w:cs="宋体"/>
          <w:sz w:val="28"/>
          <w:szCs w:val="28"/>
          <w:lang w:eastAsia="zh-CN"/>
        </w:rPr>
        <w:t>元</w:t>
      </w:r>
    </w:p>
    <w:tbl>
      <w:tblPr>
        <w:tblStyle w:val="20"/>
        <w:tblpPr w:leftFromText="180" w:rightFromText="180" w:vertAnchor="text" w:horzAnchor="page" w:tblpX="1478" w:tblpY="300"/>
        <w:tblOverlap w:val="never"/>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738"/>
        <w:gridCol w:w="2887"/>
        <w:gridCol w:w="144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69"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38"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包号</w:t>
            </w:r>
          </w:p>
        </w:tc>
        <w:tc>
          <w:tcPr>
            <w:tcW w:w="2887"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1444"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172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69"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738"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SZGZ[2025]215-ZC147-1</w:t>
            </w:r>
          </w:p>
        </w:tc>
        <w:tc>
          <w:tcPr>
            <w:tcW w:w="2887"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三门峡市陕州区农业特色产业发展规划(2026-2035年)编制项目</w:t>
            </w:r>
          </w:p>
        </w:tc>
        <w:tc>
          <w:tcPr>
            <w:tcW w:w="1444"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600000.00</w:t>
            </w:r>
          </w:p>
        </w:tc>
        <w:tc>
          <w:tcPr>
            <w:tcW w:w="1725" w:type="dxa"/>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600000.00</w:t>
            </w:r>
          </w:p>
        </w:tc>
      </w:tr>
    </w:tbl>
    <w:p>
      <w:pPr>
        <w:bidi w:val="0"/>
        <w:rPr>
          <w:rFonts w:hint="eastAsia" w:ascii="宋体" w:hAnsi="宋体" w:eastAsia="宋体" w:cs="宋体"/>
          <w:sz w:val="28"/>
          <w:szCs w:val="28"/>
        </w:rPr>
      </w:pPr>
      <w:r>
        <w:rPr>
          <w:rFonts w:hint="eastAsia" w:ascii="宋体" w:hAnsi="宋体" w:eastAsia="宋体" w:cs="宋体"/>
          <w:sz w:val="28"/>
          <w:szCs w:val="28"/>
        </w:rPr>
        <w:t>5、采购需求（包括但不限于标的的名称、数量、简要技术需求或服务要求等）</w:t>
      </w:r>
    </w:p>
    <w:p>
      <w:pPr>
        <w:bidi w:val="0"/>
        <w:rPr>
          <w:rFonts w:hint="eastAsia" w:ascii="宋体" w:hAnsi="宋体" w:eastAsia="宋体" w:cs="宋体"/>
          <w:sz w:val="28"/>
          <w:szCs w:val="28"/>
        </w:rPr>
      </w:pPr>
      <w:r>
        <w:rPr>
          <w:rFonts w:hint="eastAsia" w:ascii="宋体" w:hAnsi="宋体" w:eastAsia="宋体" w:cs="宋体"/>
          <w:sz w:val="28"/>
          <w:szCs w:val="28"/>
        </w:rPr>
        <w:t>5.1采购内容：三门峡市陕州区农业特色产业发展规划(2026-2035年)编制项目</w:t>
      </w:r>
      <w:r>
        <w:rPr>
          <w:rFonts w:hint="eastAsia" w:ascii="宋体" w:hAnsi="宋体" w:eastAsia="宋体" w:cs="宋体"/>
          <w:sz w:val="28"/>
          <w:szCs w:val="28"/>
          <w:lang w:val="en-US" w:eastAsia="zh-CN"/>
        </w:rPr>
        <w:t>，主要采购内容为：完成全区“果牧菜菌药”农业特色产业2026年-2035年发展规划的编制等内容</w:t>
      </w:r>
      <w:r>
        <w:rPr>
          <w:rFonts w:hint="eastAsia" w:ascii="宋体" w:hAnsi="宋体" w:eastAsia="宋体" w:cs="宋体"/>
          <w:sz w:val="28"/>
          <w:szCs w:val="28"/>
        </w:rPr>
        <w:t>。</w:t>
      </w:r>
    </w:p>
    <w:p>
      <w:pPr>
        <w:bidi w:val="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2</w:t>
      </w:r>
      <w:r>
        <w:rPr>
          <w:rFonts w:hint="eastAsia" w:ascii="宋体" w:hAnsi="宋体" w:eastAsia="宋体" w:cs="宋体"/>
          <w:sz w:val="28"/>
          <w:szCs w:val="28"/>
        </w:rPr>
        <w:t>资金来源：财政资金，已落实。</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3编制周期：</w:t>
      </w:r>
      <w:r>
        <w:rPr>
          <w:rFonts w:hint="eastAsia" w:ascii="宋体" w:hAnsi="宋体" w:eastAsia="宋体" w:cs="宋体"/>
          <w:kern w:val="0"/>
          <w:sz w:val="28"/>
          <w:szCs w:val="28"/>
          <w:highlight w:val="none"/>
          <w:lang w:eastAsia="zh-CN"/>
        </w:rPr>
        <w:t>自签订合同起120日历天内</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4质量要求：符合国家现行规范、规定、标准并通过相关部门审批；</w:t>
      </w:r>
    </w:p>
    <w:p>
      <w:pPr>
        <w:bidi w:val="0"/>
        <w:rPr>
          <w:rFonts w:hint="eastAsia" w:ascii="宋体" w:hAnsi="宋体" w:eastAsia="宋体" w:cs="宋体"/>
          <w:sz w:val="28"/>
          <w:szCs w:val="28"/>
        </w:rPr>
      </w:pPr>
      <w:r>
        <w:rPr>
          <w:rFonts w:hint="eastAsia" w:ascii="宋体" w:hAnsi="宋体" w:eastAsia="宋体" w:cs="宋体"/>
          <w:sz w:val="28"/>
          <w:szCs w:val="28"/>
        </w:rPr>
        <w:t>6、合同履行期限：按合同约定执行。</w:t>
      </w:r>
    </w:p>
    <w:p>
      <w:pPr>
        <w:bidi w:val="0"/>
        <w:rPr>
          <w:rFonts w:hint="eastAsia" w:ascii="宋体" w:hAnsi="宋体" w:eastAsia="宋体" w:cs="宋体"/>
          <w:sz w:val="28"/>
          <w:szCs w:val="28"/>
        </w:rPr>
      </w:pPr>
      <w:r>
        <w:rPr>
          <w:rFonts w:hint="eastAsia" w:ascii="宋体" w:hAnsi="宋体" w:eastAsia="宋体" w:cs="宋体"/>
          <w:sz w:val="28"/>
          <w:szCs w:val="28"/>
        </w:rPr>
        <w:t>7、本项目是否接受联合体投标：否</w:t>
      </w:r>
    </w:p>
    <w:p>
      <w:pPr>
        <w:bidi w:val="0"/>
        <w:rPr>
          <w:rFonts w:hint="eastAsia" w:ascii="宋体" w:hAnsi="宋体" w:eastAsia="宋体" w:cs="宋体"/>
          <w:sz w:val="28"/>
          <w:szCs w:val="28"/>
        </w:rPr>
      </w:pPr>
      <w:r>
        <w:rPr>
          <w:rFonts w:hint="eastAsia" w:ascii="宋体" w:hAnsi="宋体" w:eastAsia="宋体" w:cs="宋体"/>
          <w:sz w:val="28"/>
          <w:szCs w:val="28"/>
        </w:rPr>
        <w:t>8、是否接受进口产品：否</w:t>
      </w:r>
    </w:p>
    <w:p>
      <w:pPr>
        <w:bidi w:val="0"/>
        <w:rPr>
          <w:rFonts w:hint="eastAsia" w:ascii="宋体" w:hAnsi="宋体" w:eastAsia="宋体" w:cs="宋体"/>
          <w:sz w:val="28"/>
          <w:szCs w:val="28"/>
          <w:highlight w:val="none"/>
          <w:lang w:eastAsia="zh-CN"/>
        </w:rPr>
      </w:pPr>
      <w:r>
        <w:rPr>
          <w:rFonts w:hint="eastAsia" w:ascii="宋体" w:hAnsi="宋体" w:eastAsia="宋体" w:cs="宋体"/>
          <w:sz w:val="28"/>
          <w:szCs w:val="28"/>
        </w:rPr>
        <w:t>9</w:t>
      </w:r>
      <w:r>
        <w:rPr>
          <w:rFonts w:hint="eastAsia" w:ascii="宋体" w:hAnsi="宋体" w:eastAsia="宋体" w:cs="宋体"/>
          <w:sz w:val="28"/>
          <w:szCs w:val="28"/>
          <w:highlight w:val="none"/>
        </w:rPr>
        <w:t>、是否为只面向中小企业采购：</w:t>
      </w:r>
      <w:r>
        <w:rPr>
          <w:rFonts w:hint="eastAsia" w:ascii="宋体" w:hAnsi="宋体" w:eastAsia="宋体" w:cs="宋体"/>
          <w:sz w:val="28"/>
          <w:szCs w:val="28"/>
          <w:highlight w:val="none"/>
          <w:lang w:eastAsia="zh-CN"/>
        </w:rPr>
        <w:t>否</w:t>
      </w:r>
    </w:p>
    <w:p>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二、申请人资格要求</w:t>
      </w:r>
    </w:p>
    <w:p>
      <w:pPr>
        <w:bidi w:val="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1、满足《中华人民共和国政府采购法》第二十二条的规定：</w:t>
      </w:r>
    </w:p>
    <w:p>
      <w:pPr>
        <w:bidi w:val="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2、落实政府采购政策满足的资格要求：</w:t>
      </w:r>
    </w:p>
    <w:p>
      <w:pPr>
        <w:bidi w:val="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本项目非专门面向中小微企业采购项目，执行促进中小型企业（残疾人福利性企业、监狱企业）发展政策、优先采购节能环保产品等政府采购政策。</w:t>
      </w:r>
    </w:p>
    <w:p>
      <w:pPr>
        <w:bidi w:val="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3、本项目的特定资格要求：</w:t>
      </w:r>
    </w:p>
    <w:p>
      <w:pPr>
        <w:bidi w:val="0"/>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lang w:eastAsia="zh-CN"/>
        </w:rPr>
        <w:t>供应商具备有效的营业执照</w:t>
      </w:r>
      <w:r>
        <w:rPr>
          <w:rFonts w:hint="eastAsia" w:ascii="宋体" w:hAnsi="宋体" w:eastAsia="宋体" w:cs="宋体"/>
          <w:sz w:val="28"/>
          <w:szCs w:val="28"/>
        </w:rPr>
        <w:t>；</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rPr>
        <w:t>3.2</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供应商须具备城乡规划编制乙级及以上资质或工程咨询单位资信证书（农业）乙级及以上资质；</w:t>
      </w:r>
    </w:p>
    <w:p>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3.3、拟派项目负责人须具有相关专业中级及以上职称（需提供项目负责人相关证书及社保缴纳证明）；</w:t>
      </w:r>
    </w:p>
    <w:p>
      <w:pPr>
        <w:bidi w:val="0"/>
        <w:rPr>
          <w:rFonts w:hint="eastAsia" w:ascii="宋体" w:hAnsi="宋体" w:eastAsia="宋体" w:cs="宋体"/>
          <w:sz w:val="28"/>
          <w:szCs w:val="28"/>
        </w:rPr>
      </w:pPr>
      <w:r>
        <w:rPr>
          <w:rFonts w:hint="eastAsia" w:ascii="宋体" w:hAnsi="宋体" w:eastAsia="宋体" w:cs="宋体"/>
          <w:sz w:val="28"/>
          <w:szCs w:val="28"/>
        </w:rPr>
        <w:t>3.4、供应商须承诺本企业无商业贿赂和无不正当竞争行为（提供承诺书，格式自拟）；</w:t>
      </w:r>
    </w:p>
    <w:p>
      <w:pPr>
        <w:bidi w:val="0"/>
        <w:rPr>
          <w:rFonts w:hint="eastAsia" w:ascii="宋体" w:hAnsi="宋体" w:eastAsia="宋体" w:cs="宋体"/>
          <w:sz w:val="28"/>
          <w:szCs w:val="28"/>
        </w:rPr>
      </w:pPr>
      <w:r>
        <w:rPr>
          <w:rFonts w:hint="eastAsia" w:ascii="宋体" w:hAnsi="宋体" w:eastAsia="宋体" w:cs="宋体"/>
          <w:sz w:val="28"/>
          <w:szCs w:val="28"/>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“中国执行信息公开网”网站（http://zxgk.court.gov.cn/shixin）“信用中国”网站（www.creditchina.gov.cn）、中国政府采购网（www.ccgp.gov.cn），查询时间自本公告发布之日起；</w:t>
      </w:r>
    </w:p>
    <w:p>
      <w:pPr>
        <w:bidi w:val="0"/>
        <w:rPr>
          <w:rFonts w:hint="eastAsia" w:ascii="宋体" w:hAnsi="宋体" w:eastAsia="宋体" w:cs="宋体"/>
          <w:sz w:val="28"/>
          <w:szCs w:val="28"/>
        </w:rPr>
      </w:pPr>
      <w:r>
        <w:rPr>
          <w:rFonts w:hint="eastAsia" w:ascii="宋体" w:hAnsi="宋体" w:eastAsia="宋体" w:cs="宋体"/>
          <w:sz w:val="28"/>
          <w:szCs w:val="28"/>
        </w:rPr>
        <w:t>3.6、本项目不接受联合体投标；</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注：</w:t>
      </w:r>
      <w:r>
        <w:rPr>
          <w:rFonts w:hint="eastAsia" w:ascii="宋体" w:hAnsi="宋体" w:eastAsia="宋体" w:cs="宋体"/>
          <w:sz w:val="28"/>
          <w:szCs w:val="28"/>
        </w:rPr>
        <w:t>本次磋商实行资格后审，资格审查的具体要求详见竞争性磋商文件。</w:t>
      </w:r>
    </w:p>
    <w:p>
      <w:pPr>
        <w:bidi w:val="0"/>
        <w:rPr>
          <w:rFonts w:hint="eastAsia" w:ascii="宋体" w:hAnsi="宋体" w:eastAsia="宋体" w:cs="宋体"/>
          <w:sz w:val="28"/>
          <w:szCs w:val="28"/>
        </w:rPr>
      </w:pPr>
      <w:r>
        <w:rPr>
          <w:rFonts w:hint="eastAsia" w:ascii="宋体" w:hAnsi="宋体" w:eastAsia="宋体" w:cs="宋体"/>
          <w:sz w:val="28"/>
          <w:szCs w:val="28"/>
        </w:rPr>
        <w:t>三、获取采购文件</w:t>
      </w:r>
    </w:p>
    <w:p>
      <w:pPr>
        <w:bidi w:val="0"/>
        <w:rPr>
          <w:rFonts w:hint="eastAsia" w:ascii="宋体" w:hAnsi="宋体" w:eastAsia="宋体" w:cs="宋体"/>
          <w:sz w:val="28"/>
          <w:szCs w:val="28"/>
        </w:rPr>
      </w:pPr>
      <w:r>
        <w:rPr>
          <w:rFonts w:hint="eastAsia" w:ascii="宋体" w:hAnsi="宋体" w:eastAsia="宋体" w:cs="宋体"/>
          <w:sz w:val="28"/>
          <w:szCs w:val="28"/>
        </w:rPr>
        <w:t>1.时间</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日至202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13</w:t>
      </w:r>
      <w:r>
        <w:rPr>
          <w:rFonts w:hint="eastAsia" w:ascii="宋体" w:hAnsi="宋体" w:eastAsia="宋体" w:cs="宋体"/>
          <w:sz w:val="28"/>
          <w:szCs w:val="28"/>
          <w:highlight w:val="none"/>
        </w:rPr>
        <w:t>日，</w:t>
      </w:r>
      <w:r>
        <w:rPr>
          <w:rFonts w:hint="eastAsia" w:ascii="宋体" w:hAnsi="宋体" w:eastAsia="宋体" w:cs="宋体"/>
          <w:sz w:val="28"/>
          <w:szCs w:val="28"/>
        </w:rPr>
        <w:t>每天上午00:00至12:00，下午12:00至23:59（北京时间）</w:t>
      </w:r>
    </w:p>
    <w:p>
      <w:pPr>
        <w:bidi w:val="0"/>
        <w:rPr>
          <w:rFonts w:hint="eastAsia" w:ascii="宋体" w:hAnsi="宋体" w:eastAsia="宋体" w:cs="宋体"/>
          <w:sz w:val="28"/>
          <w:szCs w:val="28"/>
        </w:rPr>
      </w:pPr>
      <w:r>
        <w:rPr>
          <w:rFonts w:hint="eastAsia" w:ascii="宋体" w:hAnsi="宋体" w:eastAsia="宋体" w:cs="宋体"/>
          <w:sz w:val="28"/>
          <w:szCs w:val="28"/>
        </w:rPr>
        <w:t>2.地点：三门峡市公共资源交易中心网</w:t>
      </w:r>
    </w:p>
    <w:p>
      <w:pPr>
        <w:bidi w:val="0"/>
        <w:rPr>
          <w:rFonts w:hint="eastAsia" w:ascii="宋体" w:hAnsi="宋体" w:eastAsia="宋体" w:cs="宋体"/>
          <w:sz w:val="28"/>
          <w:szCs w:val="28"/>
        </w:rPr>
      </w:pPr>
      <w:r>
        <w:rPr>
          <w:rFonts w:hint="eastAsia" w:ascii="宋体" w:hAnsi="宋体" w:eastAsia="宋体" w:cs="宋体"/>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pPr>
        <w:bidi w:val="0"/>
        <w:rPr>
          <w:rFonts w:hint="eastAsia" w:ascii="宋体" w:hAnsi="宋体" w:eastAsia="宋体" w:cs="宋体"/>
          <w:sz w:val="28"/>
          <w:szCs w:val="28"/>
        </w:rPr>
      </w:pPr>
      <w:r>
        <w:rPr>
          <w:rFonts w:hint="eastAsia" w:ascii="宋体" w:hAnsi="宋体" w:eastAsia="宋体" w:cs="宋体"/>
          <w:sz w:val="28"/>
          <w:szCs w:val="28"/>
        </w:rPr>
        <w:t>办理CA证书链接：http://gzjy.smx.gov.cn/fwzn/004003/20201019/a8fae6a0-baed-499b-bb50-8ecc8828a2ca.html</w:t>
      </w:r>
    </w:p>
    <w:p>
      <w:pPr>
        <w:bidi w:val="0"/>
        <w:rPr>
          <w:rFonts w:hint="eastAsia" w:ascii="宋体" w:hAnsi="宋体" w:eastAsia="宋体" w:cs="宋体"/>
          <w:sz w:val="28"/>
          <w:szCs w:val="28"/>
        </w:rPr>
      </w:pPr>
      <w:r>
        <w:rPr>
          <w:rFonts w:hint="eastAsia" w:ascii="宋体" w:hAnsi="宋体" w:eastAsia="宋体" w:cs="宋体"/>
          <w:sz w:val="28"/>
          <w:szCs w:val="28"/>
        </w:rPr>
        <w:t>4.售价：0元</w:t>
      </w:r>
    </w:p>
    <w:p>
      <w:pPr>
        <w:bidi w:val="0"/>
        <w:rPr>
          <w:rFonts w:hint="eastAsia" w:ascii="宋体" w:hAnsi="宋体" w:eastAsia="宋体" w:cs="宋体"/>
          <w:sz w:val="28"/>
          <w:szCs w:val="28"/>
          <w:highlight w:val="yellow"/>
        </w:rPr>
      </w:pPr>
      <w:r>
        <w:rPr>
          <w:rFonts w:hint="eastAsia" w:ascii="宋体" w:hAnsi="宋体" w:eastAsia="宋体" w:cs="宋体"/>
          <w:sz w:val="28"/>
          <w:szCs w:val="28"/>
        </w:rPr>
        <w:t>四、响应文件提交</w:t>
      </w:r>
    </w:p>
    <w:p>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1.时间：202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14</w:t>
      </w:r>
      <w:r>
        <w:rPr>
          <w:rFonts w:hint="eastAsia" w:ascii="宋体" w:hAnsi="宋体" w:eastAsia="宋体" w:cs="宋体"/>
          <w:sz w:val="28"/>
          <w:szCs w:val="28"/>
          <w:highlight w:val="none"/>
        </w:rPr>
        <w:t>日08时30分（北京时间）</w:t>
      </w:r>
    </w:p>
    <w:p>
      <w:pPr>
        <w:bidi w:val="0"/>
        <w:rPr>
          <w:rFonts w:hint="eastAsia" w:ascii="宋体" w:hAnsi="宋体" w:eastAsia="宋体" w:cs="宋体"/>
          <w:sz w:val="28"/>
          <w:szCs w:val="28"/>
        </w:rPr>
      </w:pPr>
      <w:r>
        <w:rPr>
          <w:rFonts w:hint="eastAsia" w:ascii="宋体" w:hAnsi="宋体" w:eastAsia="宋体" w:cs="宋体"/>
          <w:sz w:val="28"/>
          <w:szCs w:val="28"/>
        </w:rPr>
        <w:t>2.地点：加密电子竞争性磋商响应文件须在磋商截止时间前通过三门峡市公共资源交易中心电子交易平台加密上传。</w:t>
      </w:r>
    </w:p>
    <w:p>
      <w:pPr>
        <w:bidi w:val="0"/>
        <w:rPr>
          <w:rFonts w:hint="eastAsia" w:ascii="宋体" w:hAnsi="宋体" w:eastAsia="宋体" w:cs="宋体"/>
          <w:sz w:val="28"/>
          <w:szCs w:val="28"/>
        </w:rPr>
      </w:pPr>
      <w:r>
        <w:rPr>
          <w:rFonts w:hint="eastAsia" w:ascii="宋体" w:hAnsi="宋体" w:eastAsia="宋体" w:cs="宋体"/>
          <w:sz w:val="28"/>
          <w:szCs w:val="28"/>
        </w:rPr>
        <w:t>五、响应文件开启</w:t>
      </w:r>
    </w:p>
    <w:p>
      <w:pPr>
        <w:bidi w:val="0"/>
        <w:rPr>
          <w:rFonts w:hint="eastAsia" w:ascii="宋体" w:hAnsi="宋体" w:eastAsia="宋体" w:cs="宋体"/>
          <w:sz w:val="28"/>
          <w:szCs w:val="28"/>
          <w:highlight w:val="yellow"/>
        </w:rPr>
      </w:pPr>
      <w:r>
        <w:rPr>
          <w:rFonts w:hint="eastAsia" w:ascii="宋体" w:hAnsi="宋体" w:eastAsia="宋体" w:cs="宋体"/>
          <w:sz w:val="28"/>
          <w:szCs w:val="28"/>
        </w:rPr>
        <w:t>1.时间：</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14</w:t>
      </w:r>
      <w:r>
        <w:rPr>
          <w:rFonts w:hint="eastAsia" w:ascii="宋体" w:hAnsi="宋体" w:eastAsia="宋体" w:cs="宋体"/>
          <w:sz w:val="28"/>
          <w:szCs w:val="28"/>
          <w:highlight w:val="none"/>
        </w:rPr>
        <w:t>日08时30分（北京时间）</w:t>
      </w:r>
    </w:p>
    <w:p>
      <w:pPr>
        <w:bidi w:val="0"/>
        <w:rPr>
          <w:rFonts w:hint="eastAsia" w:ascii="宋体" w:hAnsi="宋体" w:eastAsia="宋体" w:cs="宋体"/>
          <w:sz w:val="28"/>
          <w:szCs w:val="28"/>
        </w:rPr>
      </w:pPr>
      <w:r>
        <w:rPr>
          <w:rFonts w:hint="eastAsia" w:ascii="宋体" w:hAnsi="宋体" w:eastAsia="宋体" w:cs="宋体"/>
          <w:sz w:val="28"/>
          <w:szCs w:val="28"/>
        </w:rPr>
        <w:t>2.地点：三门峡市陕州区公共资源交易中心开标室</w:t>
      </w:r>
    </w:p>
    <w:p>
      <w:pPr>
        <w:bidi w:val="0"/>
        <w:rPr>
          <w:rFonts w:hint="eastAsia" w:ascii="宋体" w:hAnsi="宋体" w:eastAsia="宋体" w:cs="宋体"/>
          <w:sz w:val="28"/>
          <w:szCs w:val="28"/>
        </w:rPr>
      </w:pPr>
      <w:r>
        <w:rPr>
          <w:rFonts w:hint="eastAsia" w:ascii="宋体" w:hAnsi="宋体" w:eastAsia="宋体" w:cs="宋体"/>
          <w:sz w:val="28"/>
          <w:szCs w:val="28"/>
        </w:rPr>
        <w:t>六、发布公告的媒介及公告期限</w:t>
      </w:r>
    </w:p>
    <w:p>
      <w:pPr>
        <w:bidi w:val="0"/>
        <w:rPr>
          <w:rFonts w:hint="eastAsia" w:ascii="宋体" w:hAnsi="宋体" w:eastAsia="宋体" w:cs="宋体"/>
          <w:sz w:val="28"/>
          <w:szCs w:val="28"/>
        </w:rPr>
      </w:pPr>
      <w:r>
        <w:rPr>
          <w:rFonts w:hint="eastAsia" w:ascii="宋体" w:hAnsi="宋体" w:eastAsia="宋体" w:cs="宋体"/>
          <w:sz w:val="28"/>
          <w:szCs w:val="28"/>
        </w:rPr>
        <w:t>本次公告在《河南省政府采购网》、《中国采购与招标网》、《三门峡市公共资源交易中心网》、《中国招标投标公共服务平台》上发布。</w:t>
      </w:r>
    </w:p>
    <w:p>
      <w:pPr>
        <w:bidi w:val="0"/>
        <w:rPr>
          <w:rFonts w:hint="eastAsia" w:ascii="宋体" w:hAnsi="宋体" w:eastAsia="宋体" w:cs="宋体"/>
          <w:sz w:val="28"/>
          <w:szCs w:val="28"/>
        </w:rPr>
      </w:pPr>
      <w:r>
        <w:rPr>
          <w:rFonts w:hint="eastAsia" w:ascii="宋体" w:hAnsi="宋体" w:eastAsia="宋体" w:cs="宋体"/>
          <w:sz w:val="28"/>
          <w:szCs w:val="28"/>
        </w:rPr>
        <w:t>七、其他补充事宜</w:t>
      </w:r>
    </w:p>
    <w:p>
      <w:pPr>
        <w:bidi w:val="0"/>
        <w:rPr>
          <w:rFonts w:hint="eastAsia" w:ascii="宋体" w:hAnsi="宋体" w:eastAsia="宋体" w:cs="宋体"/>
          <w:sz w:val="28"/>
          <w:szCs w:val="28"/>
        </w:rPr>
      </w:pPr>
      <w:r>
        <w:rPr>
          <w:rFonts w:hint="eastAsia" w:ascii="宋体" w:hAnsi="宋体" w:eastAsia="宋体" w:cs="宋体"/>
          <w:sz w:val="28"/>
          <w:szCs w:val="28"/>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pPr>
        <w:bidi w:val="0"/>
        <w:rPr>
          <w:rFonts w:hint="eastAsia" w:ascii="宋体" w:hAnsi="宋体" w:eastAsia="宋体" w:cs="宋体"/>
          <w:sz w:val="28"/>
          <w:szCs w:val="28"/>
        </w:rPr>
      </w:pPr>
      <w:r>
        <w:rPr>
          <w:rFonts w:hint="eastAsia" w:ascii="宋体" w:hAnsi="宋体" w:eastAsia="宋体" w:cs="宋体"/>
          <w:sz w:val="28"/>
          <w:szCs w:val="28"/>
        </w:rPr>
        <w:t>2.本项目为电子化、无纸化交易项目，开标时不再接受任何纸质资料，为保证您能投标成功，请需仔细阅读竞争性磋商文件和三门峡市公共资源交易中心官网业务办理指南。</w:t>
      </w:r>
    </w:p>
    <w:p>
      <w:pPr>
        <w:bidi w:val="0"/>
        <w:rPr>
          <w:rFonts w:hint="eastAsia" w:ascii="宋体" w:hAnsi="宋体" w:eastAsia="宋体" w:cs="宋体"/>
          <w:sz w:val="28"/>
          <w:szCs w:val="28"/>
        </w:rPr>
      </w:pPr>
      <w:r>
        <w:rPr>
          <w:rFonts w:hint="eastAsia" w:ascii="宋体" w:hAnsi="宋体" w:eastAsia="宋体" w:cs="宋体"/>
          <w:sz w:val="28"/>
          <w:szCs w:val="28"/>
        </w:rPr>
        <w:t>3.根据《河南省财政厅关于优化政府采购营商环境有关问题的通知》（豫财购【2019】4号）第6条的规定，磋商保证金不再收取。</w:t>
      </w:r>
    </w:p>
    <w:p>
      <w:pPr>
        <w:bidi w:val="0"/>
        <w:rPr>
          <w:rFonts w:hint="eastAsia" w:ascii="宋体" w:hAnsi="宋体" w:eastAsia="宋体" w:cs="宋体"/>
          <w:sz w:val="28"/>
          <w:szCs w:val="28"/>
        </w:rPr>
      </w:pPr>
      <w:r>
        <w:rPr>
          <w:rFonts w:hint="eastAsia" w:ascii="宋体" w:hAnsi="宋体" w:eastAsia="宋体" w:cs="宋体"/>
          <w:sz w:val="28"/>
          <w:szCs w:val="28"/>
        </w:rPr>
        <w:t>4.本项目实行资格后审，审查内容以竞争性磋商响应文件为准，其上传资料真实性由供应商自行承担，同时，供应商请完善主体库。</w:t>
      </w:r>
    </w:p>
    <w:p>
      <w:pPr>
        <w:bidi w:val="0"/>
        <w:rPr>
          <w:rFonts w:hint="eastAsia" w:ascii="宋体" w:hAnsi="宋体" w:eastAsia="宋体" w:cs="宋体"/>
          <w:sz w:val="28"/>
          <w:szCs w:val="28"/>
        </w:rPr>
      </w:pPr>
      <w:r>
        <w:rPr>
          <w:rFonts w:hint="eastAsia" w:ascii="宋体" w:hAnsi="宋体" w:eastAsia="宋体" w:cs="宋体"/>
          <w:sz w:val="28"/>
          <w:szCs w:val="28"/>
        </w:rPr>
        <w:t>5.评标打分部分：评标打分部分仍按照100分制原则进行，涉及到资格审查、企业荣誉、企业业绩等计分部分时，以</w:t>
      </w:r>
      <w:r>
        <w:rPr>
          <w:rFonts w:hint="eastAsia" w:ascii="宋体" w:hAnsi="宋体" w:eastAsia="宋体" w:cs="宋体"/>
          <w:sz w:val="28"/>
          <w:szCs w:val="28"/>
          <w:lang w:eastAsia="zh-CN"/>
        </w:rPr>
        <w:t>投标供应商</w:t>
      </w:r>
      <w:r>
        <w:rPr>
          <w:rFonts w:hint="eastAsia" w:ascii="宋体" w:hAnsi="宋体" w:eastAsia="宋体" w:cs="宋体"/>
          <w:sz w:val="28"/>
          <w:szCs w:val="28"/>
        </w:rPr>
        <w:t>自行上传到磋商响应文件中的相应内容为准。</w:t>
      </w:r>
    </w:p>
    <w:p>
      <w:pPr>
        <w:bidi w:val="0"/>
        <w:rPr>
          <w:rFonts w:hint="eastAsia" w:ascii="宋体" w:hAnsi="宋体" w:eastAsia="宋体" w:cs="宋体"/>
          <w:sz w:val="28"/>
          <w:szCs w:val="28"/>
        </w:rPr>
      </w:pPr>
      <w:r>
        <w:rPr>
          <w:rFonts w:hint="eastAsia" w:ascii="宋体" w:hAnsi="宋体" w:eastAsia="宋体" w:cs="宋体"/>
          <w:sz w:val="28"/>
          <w:szCs w:val="28"/>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pPr>
        <w:bidi w:val="0"/>
        <w:rPr>
          <w:rFonts w:hint="eastAsia" w:ascii="宋体" w:hAnsi="宋体" w:eastAsia="宋体" w:cs="宋体"/>
          <w:sz w:val="28"/>
          <w:szCs w:val="28"/>
        </w:rPr>
      </w:pPr>
      <w:r>
        <w:rPr>
          <w:rFonts w:hint="eastAsia" w:ascii="宋体" w:hAnsi="宋体" w:eastAsia="宋体" w:cs="宋体"/>
          <w:sz w:val="28"/>
          <w:szCs w:val="28"/>
        </w:rPr>
        <w:t>八、凡对本次招标提出询问，请按照以下方式联系</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1.监督部门：三门峡市陕州区财政局政府采购监督管理科</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联系电话：0398-3839210</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2.采购人：三门峡市陕州区农业农村局</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地址：三门峡市陕州区大营镇温塘神泉路中段</w:t>
      </w:r>
    </w:p>
    <w:p>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联系人：王先生 </w:t>
      </w:r>
    </w:p>
    <w:p>
      <w:pPr>
        <w:bidi w:val="0"/>
        <w:rPr>
          <w:rFonts w:hint="default"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电话：</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13839848290</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3.代理机构：河南建晔工程管理有限公司</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地址：三门峡市湖滨区大岭南路吉祥大厦905室</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联系人：邢女士</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电话：15039820114</w:t>
      </w:r>
    </w:p>
    <w:p>
      <w:pPr>
        <w:bidi w:val="0"/>
        <w:rPr>
          <w:rFonts w:hint="eastAsia" w:ascii="宋体" w:hAnsi="宋体" w:eastAsia="宋体" w:cs="宋体"/>
          <w:sz w:val="28"/>
          <w:szCs w:val="28"/>
        </w:rPr>
      </w:pPr>
    </w:p>
    <w:p>
      <w:pPr>
        <w:bidi w:val="0"/>
        <w:rPr>
          <w:rFonts w:hint="eastAsia" w:ascii="宋体" w:hAnsi="宋体" w:eastAsia="宋体" w:cs="宋体"/>
          <w:sz w:val="28"/>
          <w:szCs w:val="28"/>
        </w:rPr>
      </w:pPr>
      <w:r>
        <w:rPr>
          <w:rFonts w:hint="eastAsia" w:ascii="宋体" w:hAnsi="宋体" w:eastAsia="宋体" w:cs="宋体"/>
          <w:sz w:val="28"/>
          <w:szCs w:val="28"/>
        </w:rPr>
        <w:br w:type="page"/>
      </w:r>
    </w:p>
    <w:p>
      <w:pPr>
        <w:ind w:firstLine="2530" w:firstLineChars="700"/>
        <w:outlineLvl w:val="0"/>
        <w:rPr>
          <w:rFonts w:hint="eastAsia" w:ascii="宋体" w:hAnsi="宋体" w:eastAsia="宋体" w:cs="宋体"/>
          <w:b/>
          <w:bCs/>
          <w:color w:val="000000" w:themeColor="text1"/>
          <w:sz w:val="36"/>
          <w:szCs w:val="36"/>
          <w14:textFill>
            <w14:solidFill>
              <w14:schemeClr w14:val="tx1"/>
            </w14:solidFill>
          </w14:textFill>
        </w:rPr>
      </w:pPr>
      <w:bookmarkStart w:id="4" w:name="_Toc30833"/>
      <w:r>
        <w:rPr>
          <w:rFonts w:hint="eastAsia" w:ascii="宋体" w:hAnsi="宋体" w:eastAsia="宋体" w:cs="宋体"/>
          <w:b/>
          <w:bCs/>
          <w:color w:val="000000" w:themeColor="text1"/>
          <w:sz w:val="36"/>
          <w:szCs w:val="36"/>
          <w14:textFill>
            <w14:solidFill>
              <w14:schemeClr w14:val="tx1"/>
            </w14:solidFill>
          </w14:textFill>
        </w:rPr>
        <w:t>第二章 供应商须知</w:t>
      </w:r>
      <w:bookmarkEnd w:id="4"/>
    </w:p>
    <w:p>
      <w:pPr>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5" w:name="_Toc109675033"/>
      <w:bookmarkStart w:id="6" w:name="_Toc518571702"/>
      <w:r>
        <w:rPr>
          <w:rFonts w:hint="eastAsia" w:ascii="宋体" w:hAnsi="宋体" w:eastAsia="宋体" w:cs="宋体"/>
          <w:bCs/>
          <w:color w:val="000000" w:themeColor="text1"/>
          <w:sz w:val="28"/>
          <w:szCs w:val="28"/>
          <w14:textFill>
            <w14:solidFill>
              <w14:schemeClr w14:val="tx1"/>
            </w14:solidFill>
          </w14:textFill>
        </w:rPr>
        <w:t>须知前附表</w:t>
      </w:r>
      <w:bookmarkEnd w:id="5"/>
      <w:bookmarkEnd w:id="6"/>
    </w:p>
    <w:tbl>
      <w:tblPr>
        <w:tblStyle w:val="20"/>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综合说明与要求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c>
        <w:tc>
          <w:tcPr>
            <w:tcW w:w="652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三门峡市陕州区农业特色产业发展规划(2026-2035年)编制项目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采购单位</w:t>
            </w:r>
          </w:p>
        </w:tc>
        <w:tc>
          <w:tcPr>
            <w:tcW w:w="6520"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采购人：三门峡市陕州区农业农村局</w:t>
            </w:r>
          </w:p>
          <w:p>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地址：三门峡市陕州区大营镇温塘神泉路中段</w:t>
            </w:r>
          </w:p>
          <w:p>
            <w:pPr>
              <w:keepNext w:val="0"/>
              <w:keepLines w:val="0"/>
              <w:suppressLineNumbers w:val="0"/>
              <w:bidi w:val="0"/>
              <w:spacing w:before="0" w:beforeAutospacing="0" w:after="0" w:afterAutospacing="0"/>
              <w:ind w:left="0" w:right="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联系人：王先生</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highlight w:val="none"/>
                <w:lang w:val="en-US" w:eastAsia="zh-CN"/>
              </w:rPr>
              <w:t>电话：</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13839848290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代理机构</w:t>
            </w:r>
          </w:p>
        </w:tc>
        <w:tc>
          <w:tcPr>
            <w:tcW w:w="6520"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代理机构：河南建晔工程管理有限公司</w:t>
            </w:r>
          </w:p>
          <w:p>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地址：三门峡市湖滨区大岭南路吉祥大厦905室</w:t>
            </w:r>
          </w:p>
          <w:p>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联系人：邢女士</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val="en-US" w:eastAsia="zh-CN"/>
              </w:rPr>
              <w:t>电话：15039820114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4</w:t>
            </w:r>
          </w:p>
        </w:tc>
        <w:tc>
          <w:tcPr>
            <w:tcW w:w="170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采购内容</w:t>
            </w:r>
          </w:p>
        </w:tc>
        <w:tc>
          <w:tcPr>
            <w:tcW w:w="652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三门峡市陕州区农业特色产业发展规划(2026-2035年)编制项目，主要采购内容为：完成全区“果牧菜菌药”农业特色产业2026年-2035年发展规划的编制等内容。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5</w:t>
            </w:r>
          </w:p>
        </w:tc>
        <w:tc>
          <w:tcPr>
            <w:tcW w:w="170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52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符合国家现行规范、规定、标准并通过相关部门审批；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6</w:t>
            </w:r>
          </w:p>
        </w:tc>
        <w:tc>
          <w:tcPr>
            <w:tcW w:w="170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编制周期</w:t>
            </w:r>
          </w:p>
        </w:tc>
        <w:tc>
          <w:tcPr>
            <w:tcW w:w="652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kern w:val="0"/>
                <w:sz w:val="28"/>
                <w:szCs w:val="28"/>
                <w:highlight w:val="none"/>
                <w:lang w:eastAsia="zh-CN"/>
              </w:rPr>
              <w:t>自签订合同起120日历天内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7</w:t>
            </w:r>
          </w:p>
        </w:tc>
        <w:tc>
          <w:tcPr>
            <w:tcW w:w="170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资金来源</w:t>
            </w:r>
          </w:p>
        </w:tc>
        <w:tc>
          <w:tcPr>
            <w:tcW w:w="652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8</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40"/>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磋商供应商资格要求</w:t>
            </w:r>
          </w:p>
        </w:tc>
        <w:tc>
          <w:tcPr>
            <w:tcW w:w="6520"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1、满足《中华人民共和国政府采购法》第二十二条的规定：</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2、落实政府采购政策满足的资格要求：</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本项目非专门面向中小微企业采购项目，执行促进中小型企业（残疾人福利性企业、监狱企业）发展政策、优先采购节能环保产品等政府采购政策。</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3、本项目的特定资格要求：</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3.1、供应商具备有效的营业执照；</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3.2、</w:t>
            </w:r>
            <w:r>
              <w:rPr>
                <w:rFonts w:hint="eastAsia" w:ascii="宋体" w:hAnsi="宋体" w:eastAsia="宋体" w:cs="宋体"/>
                <w:color w:val="000000" w:themeColor="text1"/>
                <w:spacing w:val="6"/>
                <w:sz w:val="28"/>
                <w:szCs w:val="28"/>
                <w:highlight w:val="none"/>
                <w:lang w:eastAsia="zh-CN"/>
                <w14:textFill>
                  <w14:solidFill>
                    <w14:schemeClr w14:val="tx1"/>
                  </w14:solidFill>
                </w14:textFill>
              </w:rPr>
              <w:t>供应商须具备城乡规划编制乙级及以上资质或工程咨询单位资信证书（农业）乙级及以上资质。</w:t>
            </w:r>
            <w:r>
              <w:rPr>
                <w:rFonts w:hint="eastAsia" w:ascii="宋体" w:hAnsi="宋体" w:eastAsia="宋体" w:cs="宋体"/>
                <w:color w:val="000000" w:themeColor="text1"/>
                <w:spacing w:val="6"/>
                <w:sz w:val="28"/>
                <w:szCs w:val="28"/>
                <w:highlight w:val="none"/>
                <w14:textFill>
                  <w14:solidFill>
                    <w14:schemeClr w14:val="tx1"/>
                  </w14:solidFill>
                </w14:textFill>
              </w:rPr>
              <w:t>；</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3.3、拟派项目负责</w:t>
            </w:r>
            <w:r>
              <w:rPr>
                <w:rFonts w:hint="eastAsia" w:ascii="宋体" w:hAnsi="宋体" w:eastAsia="宋体" w:cs="宋体"/>
                <w:color w:val="000000" w:themeColor="text1"/>
                <w:spacing w:val="6"/>
                <w:sz w:val="28"/>
                <w:szCs w:val="28"/>
                <w14:textFill>
                  <w14:solidFill>
                    <w14:schemeClr w14:val="tx1"/>
                  </w14:solidFill>
                </w14:textFill>
              </w:rPr>
              <w:t>人须具有相关专业中级及以上职称（需提供项目负责人相关证书及社保缴纳证明）；</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3.4、供应商须承诺本企业无商业贿赂和无不正当竞争行为（提供承诺书，格式自拟）；</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“中国执行信息公开网”网站（http://zxgk.court.gov.cn/shixin）“信用中国”网站（www.creditchina.gov.cn）、中国政府采购网（www.ccgp.gov.cn），查询时间自本公告发布之日起；</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3.6、本项目不接受联合体投标；</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注：本次磋商实行资格后审，资格审查的具体要求详见竞争性磋商文件。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9</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竞争性磋商有效</w:t>
            </w:r>
            <w:r>
              <w:rPr>
                <w:rFonts w:hint="eastAsia" w:ascii="宋体" w:hAnsi="宋体" w:eastAsia="宋体" w:cs="宋体"/>
                <w:color w:val="000000" w:themeColor="text1"/>
                <w:sz w:val="28"/>
                <w:szCs w:val="28"/>
                <w14:textFill>
                  <w14:solidFill>
                    <w14:schemeClr w14:val="tx1"/>
                  </w14:solidFill>
                </w14:textFill>
              </w:rPr>
              <w:t>期</w:t>
            </w:r>
          </w:p>
        </w:tc>
        <w:tc>
          <w:tcPr>
            <w:tcW w:w="6520"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lang w:val="en-US" w:eastAsia="zh-CN"/>
                <w14:textFill>
                  <w14:solidFill>
                    <w14:schemeClr w14:val="tx1"/>
                  </w14:solidFill>
                </w14:textFill>
              </w:rPr>
              <w:t>90</w:t>
            </w:r>
            <w:r>
              <w:rPr>
                <w:rFonts w:hint="eastAsia" w:ascii="宋体" w:hAnsi="宋体" w:eastAsia="宋体" w:cs="宋体"/>
                <w:color w:val="000000" w:themeColor="text1"/>
                <w:spacing w:val="6"/>
                <w:sz w:val="28"/>
                <w:szCs w:val="28"/>
                <w14:textFill>
                  <w14:solidFill>
                    <w14:schemeClr w14:val="tx1"/>
                  </w14:solidFill>
                </w14:textFill>
              </w:rPr>
              <w:t>日历天(从磋商截止之日算起)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10</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竞争性磋商保证金</w:t>
            </w:r>
          </w:p>
        </w:tc>
        <w:tc>
          <w:tcPr>
            <w:tcW w:w="6520"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11</w:t>
            </w:r>
          </w:p>
        </w:tc>
        <w:tc>
          <w:tcPr>
            <w:tcW w:w="1701"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付款方式</w:t>
            </w:r>
          </w:p>
        </w:tc>
        <w:tc>
          <w:tcPr>
            <w:tcW w:w="6520"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双方协商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12</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竞争性磋商响应文件份数</w:t>
            </w:r>
          </w:p>
        </w:tc>
        <w:tc>
          <w:tcPr>
            <w:tcW w:w="6520"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13</w:t>
            </w:r>
          </w:p>
        </w:tc>
        <w:tc>
          <w:tcPr>
            <w:tcW w:w="1701" w:type="dxa"/>
            <w:vAlign w:val="center"/>
          </w:tcPr>
          <w:p>
            <w:pPr>
              <w:keepNext w:val="0"/>
              <w:keepLines w:val="0"/>
              <w:suppressLineNumbers w:val="0"/>
              <w:adjustRightInd w:val="0"/>
              <w:spacing w:before="0" w:beforeAutospacing="0" w:after="0" w:afterAutospacing="0" w:line="324" w:lineRule="auto"/>
              <w:ind w:left="0" w:right="0"/>
              <w:jc w:val="left"/>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磋商响应文件递交截止时间</w:t>
            </w:r>
          </w:p>
        </w:tc>
        <w:tc>
          <w:tcPr>
            <w:tcW w:w="6520"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bCs/>
                <w:color w:val="000000" w:themeColor="text1"/>
                <w:kern w:val="0"/>
                <w:sz w:val="28"/>
                <w:szCs w:val="28"/>
                <w:highlight w:val="none"/>
                <w14:textFill>
                  <w14:solidFill>
                    <w14:schemeClr w14:val="tx1"/>
                  </w14:solidFill>
                </w14:textFill>
              </w:rPr>
              <w:t>202</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8"/>
                <w:szCs w:val="28"/>
                <w:highlight w:val="none"/>
                <w14:textFill>
                  <w14:solidFill>
                    <w14:schemeClr w14:val="tx1"/>
                  </w14:solidFill>
                </w14:textFill>
              </w:rPr>
              <w:t>年</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11</w:t>
            </w:r>
            <w:r>
              <w:rPr>
                <w:rFonts w:hint="eastAsia" w:ascii="宋体" w:hAnsi="宋体" w:eastAsia="宋体" w:cs="宋体"/>
                <w:bCs/>
                <w:color w:val="000000" w:themeColor="text1"/>
                <w:kern w:val="0"/>
                <w:sz w:val="28"/>
                <w:szCs w:val="28"/>
                <w:highlight w:val="none"/>
                <w14:textFill>
                  <w14:solidFill>
                    <w14:schemeClr w14:val="tx1"/>
                  </w14:solidFill>
                </w14:textFill>
              </w:rPr>
              <w:t>月</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14</w:t>
            </w:r>
            <w:r>
              <w:rPr>
                <w:rFonts w:hint="eastAsia" w:ascii="宋体" w:hAnsi="宋体" w:eastAsia="宋体" w:cs="宋体"/>
                <w:bCs/>
                <w:color w:val="000000" w:themeColor="text1"/>
                <w:kern w:val="0"/>
                <w:sz w:val="28"/>
                <w:szCs w:val="28"/>
                <w:highlight w:val="none"/>
                <w14:textFill>
                  <w14:solidFill>
                    <w14:schemeClr w14:val="tx1"/>
                  </w14:solidFill>
                </w14:textFill>
              </w:rPr>
              <w:t>日08时30分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14</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磋商响应文件递交</w:t>
            </w:r>
          </w:p>
        </w:tc>
        <w:tc>
          <w:tcPr>
            <w:tcW w:w="6520"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15</w:t>
            </w:r>
          </w:p>
        </w:tc>
        <w:tc>
          <w:tcPr>
            <w:tcW w:w="1701"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磋商时间及地点</w:t>
            </w:r>
          </w:p>
        </w:tc>
        <w:tc>
          <w:tcPr>
            <w:tcW w:w="6520"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highlight w:val="yellow"/>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时间：2025年11月14日08时30分</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地点：三门峡市陕州区公共资源交易中心开标室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16</w:t>
            </w:r>
          </w:p>
        </w:tc>
        <w:tc>
          <w:tcPr>
            <w:tcW w:w="1701"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磋商小组的组建</w:t>
            </w:r>
          </w:p>
        </w:tc>
        <w:tc>
          <w:tcPr>
            <w:tcW w:w="6520" w:type="dxa"/>
            <w:vAlign w:val="center"/>
          </w:tcPr>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磋商小组构成：采购人代表及有关经济、技术等方面的专家共3人组成，其中采购人代表1人，经济、技术等方面的专家各1人。</w:t>
            </w:r>
          </w:p>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专家确定方式：开标后从相关评标专家库中随机抽取。</w:t>
            </w:r>
          </w:p>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b/>
                <w:bCs/>
                <w:color w:val="000000" w:themeColor="text1"/>
                <w:spacing w:val="6"/>
                <w:sz w:val="28"/>
                <w:szCs w:val="28"/>
                <w14:textFill>
                  <w14:solidFill>
                    <w14:schemeClr w14:val="tx1"/>
                  </w14:solidFill>
                </w14:textFill>
              </w:rPr>
              <w:t>注：采购人代表评委无评标劳务费用</w:t>
            </w:r>
            <w:r>
              <w:rPr>
                <w:rFonts w:hint="eastAsia" w:ascii="宋体" w:hAnsi="宋体" w:eastAsia="宋体" w:cs="宋体"/>
                <w:b/>
                <w:bCs/>
                <w:color w:val="000000" w:themeColor="text1"/>
                <w:spacing w:val="6"/>
                <w:sz w:val="28"/>
                <w:szCs w:val="28"/>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17</w:t>
            </w:r>
          </w:p>
        </w:tc>
        <w:tc>
          <w:tcPr>
            <w:tcW w:w="1701" w:type="dxa"/>
            <w:vAlign w:val="center"/>
          </w:tcPr>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磋商标准及方法</w:t>
            </w:r>
          </w:p>
        </w:tc>
        <w:tc>
          <w:tcPr>
            <w:tcW w:w="6520" w:type="dxa"/>
            <w:vAlign w:val="center"/>
          </w:tcPr>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18</w:t>
            </w:r>
          </w:p>
        </w:tc>
        <w:tc>
          <w:tcPr>
            <w:tcW w:w="1701" w:type="dxa"/>
            <w:vAlign w:val="center"/>
          </w:tcPr>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履约保证金</w:t>
            </w:r>
          </w:p>
        </w:tc>
        <w:tc>
          <w:tcPr>
            <w:tcW w:w="6520" w:type="dxa"/>
            <w:vAlign w:val="center"/>
          </w:tcPr>
          <w:p>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19</w:t>
            </w:r>
          </w:p>
        </w:tc>
        <w:tc>
          <w:tcPr>
            <w:tcW w:w="1701"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预算价</w:t>
            </w:r>
          </w:p>
        </w:tc>
        <w:tc>
          <w:tcPr>
            <w:tcW w:w="6520"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本项目预算价：</w:t>
            </w:r>
            <w:r>
              <w:rPr>
                <w:rFonts w:hint="eastAsia" w:ascii="宋体" w:hAnsi="宋体" w:eastAsia="宋体" w:cs="宋体"/>
                <w:sz w:val="28"/>
                <w:szCs w:val="28"/>
                <w:lang w:val="en-US" w:eastAsia="zh-CN"/>
              </w:rPr>
              <w:t>600000.00</w:t>
            </w:r>
            <w:r>
              <w:rPr>
                <w:rFonts w:hint="eastAsia" w:ascii="宋体" w:hAnsi="宋体" w:eastAsia="宋体" w:cs="宋体"/>
                <w:color w:val="000000" w:themeColor="text1"/>
                <w:spacing w:val="6"/>
                <w:sz w:val="28"/>
                <w:szCs w:val="28"/>
                <w14:textFill>
                  <w14:solidFill>
                    <w14:schemeClr w14:val="tx1"/>
                  </w14:solidFill>
                </w14:textFill>
              </w:rPr>
              <w:t>元</w:t>
            </w:r>
          </w:p>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磋商供应商磋商报价超出“预算价”的，该磋商供应商按无效处理。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20</w:t>
            </w:r>
          </w:p>
        </w:tc>
        <w:tc>
          <w:tcPr>
            <w:tcW w:w="1701"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报价</w:t>
            </w:r>
          </w:p>
        </w:tc>
        <w:tc>
          <w:tcPr>
            <w:tcW w:w="6520" w:type="dxa"/>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本次磋商应以人民币报价，分两次进行报价。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21</w:t>
            </w:r>
          </w:p>
        </w:tc>
        <w:tc>
          <w:tcPr>
            <w:tcW w:w="1701"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电子化注意事项</w:t>
            </w:r>
          </w:p>
        </w:tc>
        <w:tc>
          <w:tcPr>
            <w:tcW w:w="6520" w:type="dxa"/>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温馨提示：本项目为电子化、无纸化交易项目，为保证您能投标成功，请需仔细阅读以下条款。</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（一）电子化响应文件的签章</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（二）电子化响应文件的格式及上传投标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注：响应人投报多个标段的，需要每个标段单独制作电子响应文件。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技术联系电话：0398-3117095   3117080</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新点客服电话:4009980000</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（三）电子化项目开标、解密、评标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3、电子化响应文件解密异常的处理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（1）首先由技术人员进行问题排查。</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二、资格审查资料</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lang w:val="en-US" w:eastAsia="zh-CN"/>
                <w14:textFill>
                  <w14:solidFill>
                    <w14:schemeClr w14:val="tx1"/>
                  </w14:solidFill>
                </w14:textFill>
              </w:rPr>
            </w:pPr>
            <w:r>
              <w:rPr>
                <w:rFonts w:hint="eastAsia" w:ascii="宋体" w:hAnsi="宋体" w:eastAsia="宋体" w:cs="宋体"/>
                <w:color w:val="000000" w:themeColor="text1"/>
                <w:spacing w:val="6"/>
                <w:sz w:val="28"/>
                <w:szCs w:val="28"/>
                <w:lang w:val="en-US" w:eastAsia="zh-CN"/>
                <w14:textFill>
                  <w14:solidFill>
                    <w14:schemeClr w14:val="tx1"/>
                  </w14:solidFill>
                </w14:textFill>
              </w:rPr>
              <w:t>22</w:t>
            </w:r>
          </w:p>
        </w:tc>
        <w:tc>
          <w:tcPr>
            <w:tcW w:w="1701"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lang w:eastAsia="zh-CN"/>
              </w:rPr>
              <w:t>代理</w:t>
            </w:r>
            <w:r>
              <w:rPr>
                <w:rFonts w:hint="eastAsia" w:ascii="宋体" w:hAnsi="宋体" w:eastAsia="宋体" w:cs="宋体"/>
                <w:sz w:val="28"/>
                <w:szCs w:val="28"/>
              </w:rPr>
              <w:t>服务费</w:t>
            </w:r>
          </w:p>
        </w:tc>
        <w:tc>
          <w:tcPr>
            <w:tcW w:w="6520" w:type="dxa"/>
            <w:vAlign w:val="center"/>
          </w:tcPr>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代理费用收取方式：转账</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本项目代理服务费为：中标金额的1.</w:t>
            </w:r>
            <w:r>
              <w:rPr>
                <w:rFonts w:hint="eastAsia" w:ascii="宋体" w:hAnsi="宋体" w:eastAsia="宋体" w:cs="宋体"/>
                <w:color w:val="000000" w:themeColor="text1"/>
                <w:spacing w:val="6"/>
                <w:sz w:val="28"/>
                <w:szCs w:val="28"/>
                <w:lang w:val="en-US" w:eastAsia="zh-CN"/>
                <w14:textFill>
                  <w14:solidFill>
                    <w14:schemeClr w14:val="tx1"/>
                  </w14:solidFill>
                </w14:textFill>
              </w:rPr>
              <w:t>7</w:t>
            </w:r>
            <w:r>
              <w:rPr>
                <w:rFonts w:hint="eastAsia" w:ascii="宋体" w:hAnsi="宋体" w:eastAsia="宋体" w:cs="宋体"/>
                <w:color w:val="000000" w:themeColor="text1"/>
                <w:spacing w:val="6"/>
                <w:sz w:val="28"/>
                <w:szCs w:val="28"/>
                <w14:textFill>
                  <w14:solidFill>
                    <w14:schemeClr w14:val="tx1"/>
                  </w14:solidFill>
                </w14:textFill>
              </w:rPr>
              <w:t>%。</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收款单位：河南建晔工程管理有限公司</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开户行：中国邮政储蓄银行股份有限公司三门峡市分行中心支行</w:t>
            </w:r>
          </w:p>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账号：941008010063208899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lang w:val="en-US" w:eastAsia="zh-CN"/>
                <w14:textFill>
                  <w14:solidFill>
                    <w14:schemeClr w14:val="tx1"/>
                  </w14:solidFill>
                </w14:textFill>
              </w:rPr>
            </w:pPr>
            <w:r>
              <w:rPr>
                <w:rFonts w:hint="eastAsia" w:ascii="宋体" w:hAnsi="宋体" w:eastAsia="宋体" w:cs="宋体"/>
                <w:color w:val="000000" w:themeColor="text1"/>
                <w:spacing w:val="6"/>
                <w:sz w:val="28"/>
                <w:szCs w:val="28"/>
                <w:lang w:val="en-US" w:eastAsia="zh-CN"/>
                <w14:textFill>
                  <w14:solidFill>
                    <w14:schemeClr w14:val="tx1"/>
                  </w14:solidFill>
                </w14:textFill>
              </w:rPr>
              <w:t>23</w:t>
            </w:r>
          </w:p>
        </w:tc>
        <w:tc>
          <w:tcPr>
            <w:tcW w:w="1701" w:type="dxa"/>
            <w:vAlign w:val="center"/>
          </w:tcPr>
          <w:p>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rPr>
              <w:t>采购标的对应的中小微企业划分标准及所属行业</w:t>
            </w:r>
          </w:p>
        </w:tc>
        <w:tc>
          <w:tcPr>
            <w:tcW w:w="6520" w:type="dxa"/>
            <w:vAlign w:val="center"/>
          </w:tcPr>
          <w:p>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sz w:val="28"/>
                <w:szCs w:val="28"/>
              </w:rPr>
              <w:t>所属行业为</w:t>
            </w:r>
            <w:r>
              <w:rPr>
                <w:rFonts w:hint="eastAsia" w:ascii="宋体" w:hAnsi="宋体" w:eastAsia="宋体" w:cs="宋体"/>
                <w:color w:val="000000" w:themeColor="text1"/>
                <w:spacing w:val="6"/>
                <w:sz w:val="28"/>
                <w:szCs w:val="28"/>
                <w14:textFill>
                  <w14:solidFill>
                    <w14:schemeClr w14:val="tx1"/>
                  </w14:solidFill>
                </w14:textFill>
              </w:rPr>
              <w:t>:</w:t>
            </w:r>
            <w:bookmarkStart w:id="7" w:name="OLE_LINK3"/>
            <w:r>
              <w:rPr>
                <w:rFonts w:hint="eastAsia" w:ascii="宋体" w:hAnsi="宋体" w:eastAsia="宋体" w:cs="宋体"/>
                <w:color w:val="000000" w:themeColor="text1"/>
                <w:spacing w:val="6"/>
                <w:sz w:val="28"/>
                <w:szCs w:val="28"/>
                <w14:textFill>
                  <w14:solidFill>
                    <w14:schemeClr w14:val="tx1"/>
                  </w14:solidFill>
                </w14:textFill>
              </w:rPr>
              <w:t>其他未列明行业</w:t>
            </w:r>
            <w:bookmarkEnd w:id="7"/>
            <w:r>
              <w:rPr>
                <w:rFonts w:hint="eastAsia" w:ascii="宋体" w:hAnsi="宋体" w:eastAsia="宋体" w:cs="宋体"/>
                <w:color w:val="000000" w:themeColor="text1"/>
                <w:spacing w:val="6"/>
                <w:sz w:val="28"/>
                <w:szCs w:val="28"/>
                <w:lang w:eastAsia="zh-CN"/>
                <w14:textFill>
                  <w14:solidFill>
                    <w14:schemeClr w14:val="tx1"/>
                  </w14:solidFill>
                </w14:textFill>
              </w:rPr>
              <w:t>；</w:t>
            </w:r>
          </w:p>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rPr>
              <w:t>划定标准为:中小微企业划分按照《工业和信息化部、国家统计局、国家发展和改革委员会、财政部关于印发的通知》(工信部联企业[2011]300号)规定的划分标准为依据。</w:t>
            </w:r>
          </w:p>
        </w:tc>
      </w:tr>
    </w:tbl>
    <w:p>
      <w:pPr>
        <w:widowControl/>
        <w:spacing w:line="600" w:lineRule="exact"/>
        <w:jc w:val="center"/>
        <w:rPr>
          <w:rFonts w:hint="eastAsia" w:ascii="宋体" w:hAnsi="宋体" w:eastAsia="宋体" w:cs="宋体"/>
          <w:color w:val="000000" w:themeColor="text1"/>
          <w:w w:val="97"/>
          <w:kern w:val="0"/>
          <w:sz w:val="28"/>
          <w:szCs w:val="28"/>
          <w14:textFill>
            <w14:solidFill>
              <w14:schemeClr w14:val="tx1"/>
            </w14:solidFill>
          </w14:textFill>
        </w:rPr>
      </w:pPr>
      <w:r>
        <w:rPr>
          <w:rFonts w:hint="eastAsia" w:ascii="宋体" w:hAnsi="宋体" w:eastAsia="宋体" w:cs="宋体"/>
          <w:color w:val="000000" w:themeColor="text1"/>
          <w:w w:val="97"/>
          <w:kern w:val="0"/>
          <w:sz w:val="28"/>
          <w:szCs w:val="28"/>
          <w14:textFill>
            <w14:solidFill>
              <w14:schemeClr w14:val="tx1"/>
            </w14:solidFill>
          </w14:textFill>
        </w:rPr>
        <w:t>一、说明</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1.适用范围</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2.定义</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2.1 “采购人”系指本次采购项目的采购单位。</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2.2 “采购代理机构”系指本次采购项目活动组织方。</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2.3 “供应商”系指购买了本次竞争性磋商文件，且已经提交本次响应性文件。</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2.4 “供应商代表”系指代表供应商参加本次磋商活动的磋商供应商的法定代表人或其委托代理人。</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2.5 “货物”系指供应商按竞争性磋商文件规定的采购人所要求的一切项目内容。</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2.6 “相关服务”系指竞争性磋商文件规定磋商供应商须承担的与本次采购项目相关的服务、协调工作以及其他类似的义务。</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2.7 “竞争性磋商文件有效期”系指本次采购项目递交响应性文件截止之日起至合同签订之日止的期限。成交供应商的竞争性磋商文件有效期至合同完全履行止。</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3.磋商预算价</w:t>
      </w:r>
    </w:p>
    <w:p>
      <w:pPr>
        <w:spacing w:line="600" w:lineRule="exact"/>
        <w:ind w:firstLine="548"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sz w:val="28"/>
          <w:szCs w:val="28"/>
          <w:lang w:val="en-US" w:eastAsia="zh-CN"/>
        </w:rPr>
        <w:t>600000.00</w:t>
      </w:r>
      <w:r>
        <w:rPr>
          <w:rFonts w:hint="eastAsia" w:ascii="宋体" w:hAnsi="宋体" w:eastAsia="宋体" w:cs="宋体"/>
          <w:color w:val="000000" w:themeColor="text1"/>
          <w:sz w:val="28"/>
          <w:szCs w:val="28"/>
          <w14:textFill>
            <w14:solidFill>
              <w14:schemeClr w14:val="tx1"/>
            </w14:solidFill>
          </w14:textFill>
        </w:rPr>
        <w:t>元</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4.供应商应提交的资格证明文件</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5.联合体参加磋商</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5.1 本项目不接受联合体参加磋商。</w:t>
      </w:r>
    </w:p>
    <w:p>
      <w:pPr>
        <w:spacing w:line="600" w:lineRule="exact"/>
        <w:ind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6.费用承担</w:t>
      </w:r>
    </w:p>
    <w:p>
      <w:pPr>
        <w:spacing w:line="600" w:lineRule="exact"/>
        <w:ind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lang w:eastAsia="zh-CN"/>
          <w14:textFill>
            <w14:solidFill>
              <w14:schemeClr w14:val="tx1"/>
            </w14:solidFill>
          </w14:textFill>
        </w:rPr>
        <w:t>投标供应商</w:t>
      </w:r>
      <w:r>
        <w:rPr>
          <w:rFonts w:hint="eastAsia" w:ascii="宋体" w:hAnsi="宋体" w:eastAsia="宋体" w:cs="宋体"/>
          <w:color w:val="000000" w:themeColor="text1"/>
          <w:spacing w:val="-3"/>
          <w:kern w:val="0"/>
          <w:sz w:val="28"/>
          <w:szCs w:val="28"/>
          <w14:textFill>
            <w14:solidFill>
              <w14:schemeClr w14:val="tx1"/>
            </w14:solidFill>
          </w14:textFill>
        </w:rPr>
        <w:t>参加磋商活动发生的一切费用自理。</w:t>
      </w:r>
      <w:r>
        <w:rPr>
          <w:rFonts w:hint="eastAsia" w:ascii="宋体" w:hAnsi="宋体" w:eastAsia="宋体" w:cs="宋体"/>
          <w:color w:val="000000" w:themeColor="text1"/>
          <w:spacing w:val="-3"/>
          <w:kern w:val="0"/>
          <w:sz w:val="28"/>
          <w:szCs w:val="28"/>
          <w:lang w:eastAsia="zh-CN"/>
          <w14:textFill>
            <w14:solidFill>
              <w14:schemeClr w14:val="tx1"/>
            </w14:solidFill>
          </w14:textFill>
        </w:rPr>
        <w:t>采购人</w:t>
      </w:r>
      <w:r>
        <w:rPr>
          <w:rFonts w:hint="eastAsia" w:ascii="宋体" w:hAnsi="宋体" w:eastAsia="宋体" w:cs="宋体"/>
          <w:color w:val="000000" w:themeColor="text1"/>
          <w:spacing w:val="-3"/>
          <w:kern w:val="0"/>
          <w:sz w:val="28"/>
          <w:szCs w:val="28"/>
          <w14:textFill>
            <w14:solidFill>
              <w14:schemeClr w14:val="tx1"/>
            </w14:solidFill>
          </w14:textFill>
        </w:rPr>
        <w:t>和代理机构对上述费用均不承担任何责任。</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7.特别说明：</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7.1供应商参加磋商所使用的资格、信誉、荣誉、业绩与企业认证必须为本法人所拥有。</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7.2供应商代表只能接受一个供应商的委托参加磋商。</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7.3 供应商在磋商活动中提供虚假材料或从事其他违法活动的,其响应无效，由相关部门查处。</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8.质疑和投诉</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9.供应商的风险</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pPr>
        <w:autoSpaceDE w:val="0"/>
        <w:autoSpaceDN w:val="0"/>
        <w:adjustRightInd w:val="0"/>
        <w:spacing w:before="32" w:line="360" w:lineRule="auto"/>
        <w:ind w:right="-58" w:firstLine="548" w:firstLineChars="200"/>
        <w:jc w:val="center"/>
        <w:rPr>
          <w:rFonts w:hint="eastAsia" w:ascii="宋体" w:hAnsi="宋体" w:eastAsia="宋体" w:cs="宋体"/>
          <w:color w:val="000000" w:themeColor="text1"/>
          <w:spacing w:val="-3"/>
          <w:kern w:val="0"/>
          <w:sz w:val="28"/>
          <w:szCs w:val="28"/>
          <w14:textFill>
            <w14:solidFill>
              <w14:schemeClr w14:val="tx1"/>
            </w14:solidFill>
          </w14:textFill>
        </w:rPr>
      </w:pPr>
      <w:bookmarkStart w:id="8" w:name="_Toc109675034"/>
      <w:bookmarkStart w:id="9"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8"/>
      <w:bookmarkEnd w:id="9"/>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10.竞争性磋商文件的构成。本竞争性磋商文件由以下部分组成：</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10.1 竞争性磋商公告</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10.2 供应商须知</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10.3 采购需求</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10.4 合同条款</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lang w:eastAsia="zh-CN"/>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10.6</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lang w:eastAsia="zh-CN"/>
          <w14:textFill>
            <w14:solidFill>
              <w14:schemeClr w14:val="tx1"/>
            </w14:solidFill>
          </w14:textFill>
        </w:rPr>
        <w:t>响应文件格式</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11.竞争性磋商文件的澄清与修改</w:t>
      </w:r>
    </w:p>
    <w:p>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11.1 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截止时间不足5日，则需延长磋商开始时间）前，在《河南省政府采购网》、《中国采购与招标网》、《三门峡市公共资源交易中心网》、《中国招标投标公共服务平台》等相关媒体上发布更正公告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pPr>
        <w:autoSpaceDE w:val="0"/>
        <w:autoSpaceDN w:val="0"/>
        <w:adjustRightInd w:val="0"/>
        <w:spacing w:before="163" w:line="600" w:lineRule="exact"/>
        <w:ind w:firstLine="548" w:firstLineChars="200"/>
        <w:jc w:val="left"/>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11.2 竞争性磋商文件澄清、修改或补充的内容为竞争性磋商文件的组成部分。</w:t>
      </w:r>
    </w:p>
    <w:p>
      <w:pPr>
        <w:autoSpaceDE w:val="0"/>
        <w:autoSpaceDN w:val="0"/>
        <w:adjustRightInd w:val="0"/>
        <w:spacing w:line="600" w:lineRule="exact"/>
        <w:ind w:right="-58" w:firstLine="548"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将在《河南省政府采购网》、《中国采购与招标网》、《三门峡市公共资源交易中心网》、《中国招标投标公共服务平台》等相关媒体上发布更正公告。</w:t>
      </w:r>
    </w:p>
    <w:p>
      <w:pPr>
        <w:autoSpaceDE w:val="0"/>
        <w:autoSpaceDN w:val="0"/>
        <w:adjustRightInd w:val="0"/>
        <w:spacing w:before="32" w:line="360" w:lineRule="auto"/>
        <w:ind w:right="-58" w:firstLine="548" w:firstLineChars="200"/>
        <w:jc w:val="center"/>
        <w:rPr>
          <w:rFonts w:hint="eastAsia" w:ascii="宋体" w:hAnsi="宋体" w:eastAsia="宋体" w:cs="宋体"/>
          <w:color w:val="000000" w:themeColor="text1"/>
          <w:spacing w:val="-3"/>
          <w:kern w:val="0"/>
          <w:sz w:val="28"/>
          <w:szCs w:val="28"/>
          <w14:textFill>
            <w14:solidFill>
              <w14:schemeClr w14:val="tx1"/>
            </w14:solidFill>
          </w14:textFill>
        </w:rPr>
      </w:pPr>
      <w:bookmarkStart w:id="10" w:name="_Toc109675035"/>
      <w:bookmarkStart w:id="11" w:name="_Toc51857170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10"/>
      <w:bookmarkEnd w:id="11"/>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12.要求</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13.响应性文件的语言和计量单位</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13.1 响应性文件以及供应商与采购、代理机构就有关磋商事宜的所有来往函电均应使用简体中文书写。</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14.响应性文件的组成。响应性文件应包括下列部分：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五、供应商基本情况表</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w:t>
      </w:r>
      <w:r>
        <w:rPr>
          <w:rFonts w:hint="eastAsia" w:ascii="宋体" w:hAnsi="宋体" w:eastAsia="宋体" w:cs="宋体"/>
          <w:color w:val="000000" w:themeColor="text1"/>
          <w:spacing w:val="-4"/>
          <w:kern w:val="0"/>
          <w:sz w:val="28"/>
          <w:szCs w:val="28"/>
          <w:lang w:eastAsia="zh-CN"/>
          <w14:textFill>
            <w14:solidFill>
              <w14:schemeClr w14:val="tx1"/>
            </w14:solidFill>
          </w14:textFill>
        </w:rPr>
        <w:t>技术部分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w:t>
      </w:r>
      <w:r>
        <w:rPr>
          <w:rFonts w:hint="eastAsia" w:ascii="宋体" w:hAnsi="宋体" w:eastAsia="宋体" w:cs="宋体"/>
          <w:color w:val="000000" w:themeColor="text1"/>
          <w:spacing w:val="-4"/>
          <w:kern w:val="0"/>
          <w:sz w:val="28"/>
          <w:szCs w:val="28"/>
          <w:lang w:eastAsia="zh-CN"/>
          <w14:textFill>
            <w14:solidFill>
              <w14:schemeClr w14:val="tx1"/>
            </w14:solidFill>
          </w14:textFill>
        </w:rPr>
        <w:t>商务部分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16.磋商报价</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16.1 所有磋商报价均以人民币元为计算单位。供应商的报价为项目实施所需的人工费、服务费、税费及完成项目所需其他一切费用。</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16.2供应商要按磋商函附表的内容填写。</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16.3 本次磋商应以人民币报价，分两次进行报价。</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17、磋商保证金</w:t>
      </w:r>
    </w:p>
    <w:p>
      <w:pPr>
        <w:spacing w:line="600" w:lineRule="exact"/>
        <w:ind w:firstLine="544"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17.1</w:t>
      </w:r>
      <w:r>
        <w:rPr>
          <w:rFonts w:hint="eastAsia" w:ascii="宋体" w:hAnsi="宋体" w:eastAsia="宋体" w:cs="宋体"/>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2" w:name="_Toc518571706"/>
      <w:bookmarkStart w:id="13"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12"/>
      <w:bookmarkEnd w:id="13"/>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4" w:name="_Toc518571707"/>
      <w:bookmarkStart w:id="15"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4"/>
      <w:bookmarkEnd w:id="15"/>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22、磋商仪式</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23、磋商小组</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24、磋商工作纪律及保密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25、磋商小组工作原则</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26、响应文件审查</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27、供应商澄清</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28、磋商程序、最后报价、综合评分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pPr>
        <w:autoSpaceDE w:val="0"/>
        <w:autoSpaceDN w:val="0"/>
        <w:adjustRightInd w:val="0"/>
        <w:spacing w:before="32" w:line="600" w:lineRule="exact"/>
        <w:ind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6" w:name="_Toc109675038"/>
      <w:bookmarkStart w:id="17"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6"/>
      <w:bookmarkEnd w:id="17"/>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8" w:name="_Toc109675039"/>
      <w:bookmarkStart w:id="19"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8"/>
      <w:bookmarkEnd w:id="19"/>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pPr>
        <w:widowControl/>
        <w:jc w:val="both"/>
        <w:outlineLvl w:val="0"/>
        <w:rPr>
          <w:rFonts w:hint="eastAsia" w:ascii="宋体" w:hAnsi="宋体" w:eastAsia="宋体" w:cs="宋体"/>
          <w:b/>
          <w:bCs/>
          <w:color w:val="000000" w:themeColor="text1"/>
          <w:sz w:val="36"/>
          <w:szCs w:val="36"/>
          <w14:textFill>
            <w14:solidFill>
              <w14:schemeClr w14:val="tx1"/>
            </w14:solidFill>
          </w14:textFill>
        </w:rPr>
      </w:pPr>
      <w:bookmarkStart w:id="20" w:name="_Toc109675040"/>
    </w:p>
    <w:p>
      <w:pPr>
        <w:widowControl/>
        <w:jc w:val="center"/>
        <w:outlineLvl w:val="0"/>
        <w:rPr>
          <w:rFonts w:hint="eastAsia" w:ascii="宋体" w:hAnsi="宋体" w:eastAsia="宋体" w:cs="宋体"/>
          <w:b/>
          <w:bCs/>
          <w:color w:val="000000" w:themeColor="text1"/>
          <w:sz w:val="36"/>
          <w:szCs w:val="36"/>
          <w14:textFill>
            <w14:solidFill>
              <w14:schemeClr w14:val="tx1"/>
            </w14:solidFill>
          </w14:textFill>
        </w:rPr>
      </w:pPr>
      <w:bookmarkStart w:id="21" w:name="_Toc15637"/>
    </w:p>
    <w:p>
      <w:pPr>
        <w:widowControl/>
        <w:jc w:val="center"/>
        <w:outlineLvl w:val="0"/>
        <w:rPr>
          <w:rFonts w:hint="eastAsia" w:ascii="宋体" w:hAnsi="宋体" w:eastAsia="宋体" w:cs="宋体"/>
          <w:b/>
          <w:bCs/>
          <w:color w:val="000000" w:themeColor="text1"/>
          <w:sz w:val="36"/>
          <w:szCs w:val="36"/>
          <w14:textFill>
            <w14:solidFill>
              <w14:schemeClr w14:val="tx1"/>
            </w14:solidFill>
          </w14:textFill>
        </w:rPr>
      </w:pPr>
    </w:p>
    <w:p>
      <w:pPr>
        <w:pStyle w:val="2"/>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pStyle w:val="2"/>
        <w:rPr>
          <w:rFonts w:hint="eastAsia"/>
        </w:rPr>
      </w:pPr>
    </w:p>
    <w:p>
      <w:pPr>
        <w:widowControl/>
        <w:jc w:val="center"/>
        <w:outlineLvl w:val="0"/>
        <w:rPr>
          <w:rFonts w:hint="eastAsia" w:ascii="宋体" w:hAnsi="宋体" w:eastAsia="宋体" w:cs="宋体"/>
          <w:b/>
          <w:bCs/>
          <w:color w:val="000000" w:themeColor="text1"/>
          <w:sz w:val="36"/>
          <w:szCs w:val="36"/>
          <w14:textFill>
            <w14:solidFill>
              <w14:schemeClr w14:val="tx1"/>
            </w14:solidFill>
          </w14:textFill>
        </w:rPr>
      </w:pPr>
    </w:p>
    <w:bookmarkEnd w:id="20"/>
    <w:bookmarkEnd w:id="21"/>
    <w:p>
      <w:pPr>
        <w:widowControl/>
        <w:jc w:val="center"/>
        <w:outlineLvl w:val="0"/>
        <w:rPr>
          <w:rFonts w:hAnsi="宋体" w:eastAsia="宋体"/>
          <w:b/>
          <w:color w:val="000000" w:themeColor="text1"/>
          <w:sz w:val="36"/>
          <w:szCs w:val="36"/>
          <w14:textFill>
            <w14:solidFill>
              <w14:schemeClr w14:val="tx1"/>
            </w14:solidFill>
          </w14:textFill>
        </w:rPr>
      </w:pPr>
      <w:bookmarkStart w:id="22" w:name="_Toc522547233"/>
      <w:r>
        <w:rPr>
          <w:rFonts w:hint="eastAsia" w:ascii="宋体" w:hAnsi="宋体" w:eastAsia="宋体" w:cs="Times New Roman"/>
          <w:b/>
          <w:bCs/>
          <w:color w:val="000000" w:themeColor="text1"/>
          <w:sz w:val="36"/>
          <w:szCs w:val="36"/>
          <w14:textFill>
            <w14:solidFill>
              <w14:schemeClr w14:val="tx1"/>
            </w14:solidFill>
          </w14:textFill>
        </w:rPr>
        <w:t>第三章 采购需求</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一、项目内容编制</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4" w:firstLineChars="200"/>
        <w:jc w:val="left"/>
        <w:textAlignment w:val="auto"/>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sz w:val="28"/>
          <w:szCs w:val="28"/>
          <w:lang w:eastAsia="zh-CN"/>
        </w:rPr>
        <w:t>三门峡市陕州区农业特色</w:t>
      </w:r>
      <w:r>
        <w:rPr>
          <w:rFonts w:hint="eastAsia" w:ascii="宋体" w:hAnsi="宋体" w:eastAsia="宋体" w:cs="宋体"/>
          <w:sz w:val="28"/>
          <w:szCs w:val="28"/>
          <w:lang w:val="en-US" w:eastAsia="zh-CN"/>
        </w:rPr>
        <w:t>产业</w:t>
      </w:r>
      <w:r>
        <w:rPr>
          <w:rFonts w:hint="eastAsia" w:ascii="宋体" w:hAnsi="宋体" w:eastAsia="宋体" w:cs="宋体"/>
          <w:sz w:val="28"/>
          <w:szCs w:val="28"/>
          <w:lang w:eastAsia="zh-CN"/>
        </w:rPr>
        <w:t>发展规划(2026-2035年)</w:t>
      </w:r>
      <w:r>
        <w:rPr>
          <w:rFonts w:hint="eastAsia" w:ascii="宋体" w:hAnsi="宋体" w:eastAsia="宋体" w:cs="宋体"/>
          <w:color w:val="000000" w:themeColor="text1"/>
          <w:spacing w:val="-4"/>
          <w:kern w:val="0"/>
          <w:sz w:val="28"/>
          <w:szCs w:val="28"/>
          <w14:textFill>
            <w14:solidFill>
              <w14:schemeClr w14:val="tx1"/>
            </w14:solidFill>
          </w14:textFill>
        </w:rPr>
        <w:t>》（以下简称“</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特色农业规划</w:t>
      </w:r>
      <w:r>
        <w:rPr>
          <w:rFonts w:hint="eastAsia" w:ascii="宋体" w:hAnsi="宋体" w:eastAsia="宋体" w:cs="宋体"/>
          <w:color w:val="000000" w:themeColor="text1"/>
          <w:spacing w:val="-4"/>
          <w:kern w:val="0"/>
          <w:sz w:val="28"/>
          <w:szCs w:val="28"/>
          <w14:textFill>
            <w14:solidFill>
              <w14:schemeClr w14:val="tx1"/>
            </w14:solidFill>
          </w14:textFill>
        </w:rPr>
        <w:t>”）是指导2026-203</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5</w:t>
      </w:r>
      <w:r>
        <w:rPr>
          <w:rFonts w:hint="eastAsia" w:ascii="宋体" w:hAnsi="宋体" w:eastAsia="宋体" w:cs="宋体"/>
          <w:color w:val="000000" w:themeColor="text1"/>
          <w:spacing w:val="-4"/>
          <w:kern w:val="0"/>
          <w:sz w:val="28"/>
          <w:szCs w:val="28"/>
          <w14:textFill>
            <w14:solidFill>
              <w14:schemeClr w14:val="tx1"/>
            </w14:solidFill>
          </w14:textFill>
        </w:rPr>
        <w:t>年</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陕州区特色农业</w:t>
      </w:r>
      <w:r>
        <w:rPr>
          <w:rFonts w:hint="eastAsia" w:ascii="宋体" w:hAnsi="宋体" w:eastAsia="宋体" w:cs="宋体"/>
          <w:color w:val="000000" w:themeColor="text1"/>
          <w:spacing w:val="-4"/>
          <w:kern w:val="0"/>
          <w:sz w:val="28"/>
          <w:szCs w:val="28"/>
          <w14:textFill>
            <w14:solidFill>
              <w14:schemeClr w14:val="tx1"/>
            </w14:solidFill>
          </w14:textFill>
        </w:rPr>
        <w:t>发展的纲领性文件，需充分体现战略性、宏观性、前瞻性和可操作性，责任重大、意义深远。为高质量编制</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特色农业规划</w:t>
      </w:r>
      <w:r>
        <w:rPr>
          <w:rFonts w:hint="eastAsia" w:ascii="宋体" w:hAnsi="宋体" w:eastAsia="宋体" w:cs="宋体"/>
          <w:color w:val="000000" w:themeColor="text1"/>
          <w:spacing w:val="-4"/>
          <w:kern w:val="0"/>
          <w:sz w:val="28"/>
          <w:szCs w:val="28"/>
          <w14:textFill>
            <w14:solidFill>
              <w14:schemeClr w14:val="tx1"/>
            </w14:solidFill>
          </w14:textFill>
        </w:rPr>
        <w:t>，需</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以习近平新时代中国特色社会主义思想为指导，深入贯</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彻习近平总书记关于“三农”工作的重要论述和党的二十大精神，以黄河流域生态保护和高质量发展为统领</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。紧紧围绕乡村振兴战略总目标，</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聚焦果品、蔬菜、畜牧、食用菌、中药材五大特色产业，构建现代农业</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产业</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体系。通过科技创新、</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主体培育、</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品牌建设、产业融合</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等手段</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推动提质增效；加强基础设施建设提升抗灾和生产能力；注重生态保护发展绿色农业实现可持续发展；实现农业</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现代化</w:t>
      </w:r>
      <w:r>
        <w:rPr>
          <w:rFonts w:hint="default" w:ascii="宋体" w:hAnsi="宋体" w:eastAsia="宋体" w:cs="宋体"/>
          <w:color w:val="000000" w:themeColor="text1"/>
          <w:spacing w:val="-4"/>
          <w:kern w:val="0"/>
          <w:sz w:val="28"/>
          <w:szCs w:val="28"/>
          <w:lang w:val="en-US" w:eastAsia="zh-CN"/>
          <w14:textFill>
            <w14:solidFill>
              <w14:schemeClr w14:val="tx1"/>
            </w14:solidFill>
          </w14:textFill>
        </w:rPr>
        <w:t>，为乡村振兴提供有力支撑。</w:t>
      </w:r>
    </w:p>
    <w:p>
      <w:pPr>
        <w:autoSpaceDE w:val="0"/>
        <w:autoSpaceDN w:val="0"/>
        <w:adjustRightInd w:val="0"/>
        <w:spacing w:before="32" w:line="600" w:lineRule="exact"/>
        <w:ind w:right="-58" w:firstLine="544" w:firstLineChars="200"/>
        <w:rPr>
          <w:rFonts w:hint="default" w:ascii="宋体" w:hAnsi="宋体" w:eastAsia="宋体" w:cs="宋体"/>
          <w:color w:val="000000" w:themeColor="text1"/>
          <w:spacing w:val="-4"/>
          <w:kern w:val="0"/>
          <w:sz w:val="28"/>
          <w:szCs w:val="28"/>
          <w:lang w:val="en-US"/>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规划编制需</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立足本地实际，紧跟国家、省、市相关政策，衔接上级规划，</w:t>
      </w:r>
      <w:r>
        <w:rPr>
          <w:rFonts w:hint="eastAsia" w:ascii="宋体" w:hAnsi="宋体" w:eastAsia="宋体" w:cs="宋体"/>
          <w:color w:val="000000" w:themeColor="text1"/>
          <w:spacing w:val="-4"/>
          <w:kern w:val="0"/>
          <w:sz w:val="28"/>
          <w:szCs w:val="28"/>
          <w14:textFill>
            <w14:solidFill>
              <w14:schemeClr w14:val="tx1"/>
            </w14:solidFill>
          </w14:textFill>
        </w:rPr>
        <w:t>确保科学性与可操作性。按照区委区政府总体部署和要求，加强规划工作创新，深入研究重大问题，</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精心</w:t>
      </w:r>
      <w:r>
        <w:rPr>
          <w:rFonts w:hint="eastAsia" w:ascii="宋体" w:hAnsi="宋体" w:eastAsia="宋体" w:cs="宋体"/>
          <w:color w:val="000000" w:themeColor="text1"/>
          <w:spacing w:val="-4"/>
          <w:kern w:val="0"/>
          <w:sz w:val="28"/>
          <w:szCs w:val="28"/>
          <w14:textFill>
            <w14:solidFill>
              <w14:schemeClr w14:val="tx1"/>
            </w14:solidFill>
          </w14:textFill>
        </w:rPr>
        <w:t>谋划重大项目</w:t>
      </w:r>
      <w:r>
        <w:rPr>
          <w:rFonts w:hint="eastAsia" w:ascii="宋体" w:hAnsi="宋体" w:eastAsia="宋体" w:cs="宋体"/>
          <w:color w:val="000000" w:themeColor="text1"/>
          <w:spacing w:val="-4"/>
          <w:kern w:val="0"/>
          <w:sz w:val="28"/>
          <w:szCs w:val="28"/>
          <w:lang w:eastAsia="zh-CN"/>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坚持创新发展理念，分析</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今后</w:t>
      </w:r>
      <w:r>
        <w:rPr>
          <w:rFonts w:hint="eastAsia" w:ascii="宋体" w:hAnsi="宋体" w:eastAsia="宋体" w:cs="宋体"/>
          <w:color w:val="000000" w:themeColor="text1"/>
          <w:spacing w:val="-4"/>
          <w:kern w:val="0"/>
          <w:sz w:val="28"/>
          <w:szCs w:val="28"/>
          <w14:textFill>
            <w14:solidFill>
              <w14:schemeClr w14:val="tx1"/>
            </w14:solidFill>
          </w14:textFill>
        </w:rPr>
        <w:t>时期国内外经济、科技、生态趋势，结合</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陕州</w:t>
      </w:r>
      <w:r>
        <w:rPr>
          <w:rFonts w:hint="eastAsia" w:ascii="宋体" w:hAnsi="宋体" w:eastAsia="宋体" w:cs="宋体"/>
          <w:color w:val="000000" w:themeColor="text1"/>
          <w:spacing w:val="-4"/>
          <w:kern w:val="0"/>
          <w:sz w:val="28"/>
          <w:szCs w:val="28"/>
          <w14:textFill>
            <w14:solidFill>
              <w14:schemeClr w14:val="tx1"/>
            </w14:solidFill>
          </w14:textFill>
        </w:rPr>
        <w:t>区</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农业</w:t>
      </w:r>
      <w:r>
        <w:rPr>
          <w:rFonts w:hint="eastAsia" w:ascii="宋体" w:hAnsi="宋体" w:eastAsia="宋体" w:cs="宋体"/>
          <w:color w:val="000000" w:themeColor="text1"/>
          <w:spacing w:val="-4"/>
          <w:kern w:val="0"/>
          <w:sz w:val="28"/>
          <w:szCs w:val="28"/>
          <w14:textFill>
            <w14:solidFill>
              <w14:schemeClr w14:val="tx1"/>
            </w14:solidFill>
          </w14:textFill>
        </w:rPr>
        <w:t>发展成效，研判机遇与挑战。明确2026-203</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5</w:t>
      </w:r>
      <w:r>
        <w:rPr>
          <w:rFonts w:hint="eastAsia" w:ascii="宋体" w:hAnsi="宋体" w:eastAsia="宋体" w:cs="宋体"/>
          <w:color w:val="000000" w:themeColor="text1"/>
          <w:spacing w:val="-4"/>
          <w:kern w:val="0"/>
          <w:sz w:val="28"/>
          <w:szCs w:val="28"/>
          <w14:textFill>
            <w14:solidFill>
              <w14:schemeClr w14:val="tx1"/>
            </w14:solidFill>
          </w14:textFill>
        </w:rPr>
        <w:t>年</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特色农业发展</w:t>
      </w:r>
      <w:r>
        <w:rPr>
          <w:rFonts w:hint="eastAsia" w:ascii="宋体" w:hAnsi="宋体" w:eastAsia="宋体" w:cs="宋体"/>
          <w:color w:val="000000" w:themeColor="text1"/>
          <w:spacing w:val="-4"/>
          <w:kern w:val="0"/>
          <w:sz w:val="28"/>
          <w:szCs w:val="28"/>
          <w14:textFill>
            <w14:solidFill>
              <w14:schemeClr w14:val="tx1"/>
            </w14:solidFill>
          </w14:textFill>
        </w:rPr>
        <w:t>思路，</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规划区域布局，</w:t>
      </w:r>
      <w:r>
        <w:rPr>
          <w:rFonts w:hint="eastAsia" w:ascii="宋体" w:hAnsi="宋体" w:eastAsia="宋体" w:cs="宋体"/>
          <w:color w:val="000000" w:themeColor="text1"/>
          <w:spacing w:val="-4"/>
          <w:kern w:val="0"/>
          <w:sz w:val="28"/>
          <w:szCs w:val="28"/>
          <w14:textFill>
            <w14:solidFill>
              <w14:schemeClr w14:val="tx1"/>
            </w14:solidFill>
          </w14:textFill>
        </w:rPr>
        <w:t>设定发展目标，</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制定具体措施。</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二、项目编制周期</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r>
        <w:rPr>
          <w:rFonts w:hint="eastAsia" w:ascii="宋体" w:hAnsi="宋体" w:eastAsia="宋体" w:cs="宋体"/>
          <w:kern w:val="0"/>
          <w:sz w:val="28"/>
          <w:szCs w:val="28"/>
          <w:lang w:eastAsia="zh-CN"/>
        </w:rPr>
        <w:t>自签订合同起</w:t>
      </w:r>
      <w:r>
        <w:rPr>
          <w:rFonts w:hint="eastAsia" w:ascii="宋体" w:hAnsi="宋体" w:eastAsia="宋体" w:cs="宋体"/>
          <w:kern w:val="0"/>
          <w:sz w:val="28"/>
          <w:szCs w:val="28"/>
          <w:lang w:val="en-US" w:eastAsia="zh-CN"/>
        </w:rPr>
        <w:t>120</w:t>
      </w:r>
      <w:r>
        <w:rPr>
          <w:rFonts w:hint="eastAsia" w:ascii="宋体" w:hAnsi="宋体" w:eastAsia="宋体" w:cs="宋体"/>
          <w:kern w:val="0"/>
          <w:sz w:val="28"/>
          <w:szCs w:val="28"/>
          <w:lang w:eastAsia="zh-CN"/>
        </w:rPr>
        <w:t>日历天内</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具体时间节点如下：</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第</w:t>
      </w:r>
      <w:r>
        <w:rPr>
          <w:rFonts w:hint="eastAsia" w:ascii="宋体" w:hAnsi="宋体" w:eastAsia="宋体" w:cs="宋体"/>
          <w:color w:val="000000" w:themeColor="text1"/>
          <w:spacing w:val="-4"/>
          <w:kern w:val="0"/>
          <w:sz w:val="28"/>
          <w:szCs w:val="28"/>
          <w:lang w:eastAsia="zh-CN"/>
          <w14:textFill>
            <w14:solidFill>
              <w14:schemeClr w14:val="tx1"/>
            </w14:solidFill>
          </w14:textFill>
        </w:rPr>
        <w:t>一</w:t>
      </w:r>
      <w:r>
        <w:rPr>
          <w:rFonts w:hint="eastAsia" w:ascii="宋体" w:hAnsi="宋体" w:eastAsia="宋体" w:cs="宋体"/>
          <w:color w:val="000000" w:themeColor="text1"/>
          <w:spacing w:val="-4"/>
          <w:kern w:val="0"/>
          <w:sz w:val="28"/>
          <w:szCs w:val="28"/>
          <w14:textFill>
            <w14:solidFill>
              <w14:schemeClr w14:val="tx1"/>
            </w14:solidFill>
          </w14:textFill>
        </w:rPr>
        <w:t xml:space="preserve">月：资料收集、调研访谈、环境分析。 </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第</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二</w:t>
      </w:r>
      <w:r>
        <w:rPr>
          <w:rFonts w:hint="eastAsia" w:ascii="宋体" w:hAnsi="宋体" w:eastAsia="宋体" w:cs="宋体"/>
          <w:color w:val="000000" w:themeColor="text1"/>
          <w:spacing w:val="-4"/>
          <w:kern w:val="0"/>
          <w:sz w:val="28"/>
          <w:szCs w:val="28"/>
          <w14:textFill>
            <w14:solidFill>
              <w14:schemeClr w14:val="tx1"/>
            </w14:solidFill>
          </w14:textFill>
        </w:rPr>
        <w:t xml:space="preserve">月：目标设定、指标设计、任务策划、项目初稿。 </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第</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三</w:t>
      </w:r>
      <w:r>
        <w:rPr>
          <w:rFonts w:hint="eastAsia" w:ascii="宋体" w:hAnsi="宋体" w:eastAsia="宋体" w:cs="宋体"/>
          <w:color w:val="000000" w:themeColor="text1"/>
          <w:spacing w:val="-4"/>
          <w:kern w:val="0"/>
          <w:sz w:val="28"/>
          <w:szCs w:val="28"/>
          <w14:textFill>
            <w14:solidFill>
              <w14:schemeClr w14:val="tx1"/>
            </w14:solidFill>
          </w14:textFill>
        </w:rPr>
        <w:t xml:space="preserve">月：空间布局、保障机制、风险评估，编制主报告及附件。 </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第</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四</w:t>
      </w:r>
      <w:r>
        <w:rPr>
          <w:rFonts w:hint="eastAsia" w:ascii="宋体" w:hAnsi="宋体" w:eastAsia="宋体" w:cs="宋体"/>
          <w:color w:val="000000" w:themeColor="text1"/>
          <w:spacing w:val="-4"/>
          <w:kern w:val="0"/>
          <w:sz w:val="28"/>
          <w:szCs w:val="28"/>
          <w14:textFill>
            <w14:solidFill>
              <w14:schemeClr w14:val="tx1"/>
            </w14:solidFill>
          </w14:textFill>
        </w:rPr>
        <w:t>月：修改完善、专家评审、提交终稿。</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三、其他要求</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保密性：</w:t>
      </w:r>
      <w:r>
        <w:rPr>
          <w:rFonts w:hint="eastAsia" w:ascii="宋体" w:hAnsi="宋体" w:eastAsia="宋体" w:cs="宋体"/>
          <w:color w:val="000000" w:themeColor="text1"/>
          <w:spacing w:val="-4"/>
          <w:kern w:val="0"/>
          <w:sz w:val="28"/>
          <w:szCs w:val="28"/>
          <w:lang w:eastAsia="zh-CN"/>
          <w14:textFill>
            <w14:solidFill>
              <w14:schemeClr w14:val="tx1"/>
            </w14:solidFill>
          </w14:textFill>
        </w:rPr>
        <w:t>投标供应商</w:t>
      </w:r>
      <w:r>
        <w:rPr>
          <w:rFonts w:hint="eastAsia" w:ascii="宋体" w:hAnsi="宋体" w:eastAsia="宋体" w:cs="宋体"/>
          <w:color w:val="000000" w:themeColor="text1"/>
          <w:spacing w:val="-4"/>
          <w:kern w:val="0"/>
          <w:sz w:val="28"/>
          <w:szCs w:val="28"/>
          <w14:textFill>
            <w14:solidFill>
              <w14:schemeClr w14:val="tx1"/>
            </w14:solidFill>
          </w14:textFill>
        </w:rPr>
        <w:t xml:space="preserve">须遵守保密协议，确保数据与成果不外泄。 </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沟通机制：定期向</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陕州区农业农村局</w:t>
      </w:r>
      <w:r>
        <w:rPr>
          <w:rFonts w:hint="eastAsia" w:ascii="宋体" w:hAnsi="宋体" w:eastAsia="宋体" w:cs="宋体"/>
          <w:color w:val="000000" w:themeColor="text1"/>
          <w:spacing w:val="-4"/>
          <w:kern w:val="0"/>
          <w:sz w:val="28"/>
          <w:szCs w:val="28"/>
          <w14:textFill>
            <w14:solidFill>
              <w14:schemeClr w14:val="tx1"/>
            </w14:solidFill>
          </w14:textFill>
        </w:rPr>
        <w:t>汇报进展，接受指导与反馈。</w:t>
      </w: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p>
    <w:p>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br w:type="page"/>
      </w:r>
    </w:p>
    <w:p>
      <w:pPr>
        <w:widowControl/>
        <w:jc w:val="center"/>
        <w:outlineLvl w:val="0"/>
        <w:rPr>
          <w:rFonts w:hint="eastAsia" w:ascii="宋体" w:hAnsi="宋体" w:eastAsia="宋体" w:cs="宋体"/>
          <w:b/>
          <w:bCs/>
          <w:color w:val="000000" w:themeColor="text1"/>
          <w:sz w:val="36"/>
          <w:szCs w:val="36"/>
          <w14:textFill>
            <w14:solidFill>
              <w14:schemeClr w14:val="tx1"/>
            </w14:solidFill>
          </w14:textFill>
        </w:rPr>
      </w:pPr>
      <w:bookmarkStart w:id="23" w:name="_Toc28561"/>
      <w:r>
        <w:rPr>
          <w:rFonts w:hint="eastAsia" w:ascii="宋体" w:hAnsi="宋体" w:eastAsia="宋体" w:cs="宋体"/>
          <w:b/>
          <w:bCs/>
          <w:color w:val="000000" w:themeColor="text1"/>
          <w:sz w:val="36"/>
          <w:szCs w:val="36"/>
          <w14:textFill>
            <w14:solidFill>
              <w14:schemeClr w14:val="tx1"/>
            </w14:solidFill>
          </w14:textFill>
        </w:rPr>
        <w:t>第四章 合同条款</w:t>
      </w:r>
      <w:bookmarkEnd w:id="22"/>
      <w:bookmarkEnd w:id="23"/>
    </w:p>
    <w:p>
      <w:pPr>
        <w:snapToGrid w:val="0"/>
        <w:spacing w:line="360" w:lineRule="auto"/>
        <w:rPr>
          <w:rFonts w:hint="eastAsia" w:ascii="宋体" w:hAnsi="宋体" w:eastAsia="宋体" w:cs="宋体"/>
          <w:sz w:val="28"/>
          <w:szCs w:val="28"/>
          <w:lang w:eastAsia="zh-CN"/>
        </w:rPr>
      </w:pPr>
    </w:p>
    <w:p>
      <w:pPr>
        <w:snapToGrid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以实际签订为准</w:t>
      </w:r>
      <w:r>
        <w:rPr>
          <w:rFonts w:hint="eastAsia" w:ascii="宋体" w:hAnsi="宋体" w:eastAsia="宋体" w:cs="宋体"/>
          <w:sz w:val="28"/>
          <w:szCs w:val="28"/>
          <w:lang w:eastAsia="zh-CN"/>
        </w:rPr>
        <w:t>）</w:t>
      </w:r>
    </w:p>
    <w:p>
      <w:pPr>
        <w:spacing w:line="4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双方应根据竞争性磋商文件、成交通知书、供应商的响应文件（包括澄清说明），以及与本项目相关的资料签订采购合同。所签订的合同不得背离竞争性磋商文件的实质性内容要求和响应文件的承诺。</w:t>
      </w:r>
    </w:p>
    <w:p>
      <w:pPr>
        <w:rPr>
          <w:rFonts w:hint="eastAsia" w:ascii="宋体" w:hAnsi="宋体" w:eastAsia="宋体" w:cs="宋体"/>
          <w:szCs w:val="21"/>
        </w:rPr>
      </w:pPr>
      <w:r>
        <w:rPr>
          <w:rFonts w:hint="eastAsia" w:ascii="宋体" w:hAnsi="宋体" w:eastAsia="宋体" w:cs="宋体"/>
          <w:szCs w:val="21"/>
        </w:rPr>
        <w:br w:type="page"/>
      </w:r>
    </w:p>
    <w:p>
      <w:pPr>
        <w:jc w:val="center"/>
        <w:outlineLvl w:val="0"/>
        <w:rPr>
          <w:rFonts w:hint="eastAsia" w:ascii="宋体" w:hAnsi="宋体" w:eastAsia="宋体" w:cs="宋体"/>
          <w:b/>
          <w:color w:val="000000" w:themeColor="text1"/>
          <w:sz w:val="32"/>
          <w:szCs w:val="32"/>
          <w14:textFill>
            <w14:solidFill>
              <w14:schemeClr w14:val="tx1"/>
            </w14:solidFill>
          </w14:textFill>
        </w:rPr>
      </w:pPr>
      <w:bookmarkStart w:id="24" w:name="_Toc21776"/>
      <w:r>
        <w:rPr>
          <w:rFonts w:hint="eastAsia" w:ascii="宋体" w:hAnsi="宋体" w:eastAsia="宋体" w:cs="宋体"/>
          <w:b/>
          <w:color w:val="000000" w:themeColor="text1"/>
          <w:sz w:val="32"/>
          <w:szCs w:val="32"/>
          <w14:textFill>
            <w14:solidFill>
              <w14:schemeClr w14:val="tx1"/>
            </w14:solidFill>
          </w14:textFill>
        </w:rPr>
        <w:t>第五章 评审标准</w:t>
      </w:r>
      <w:bookmarkEnd w:id="24"/>
    </w:p>
    <w:tbl>
      <w:tblPr>
        <w:tblStyle w:val="20"/>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00"/>
        <w:gridCol w:w="2217"/>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条款号</w:t>
            </w:r>
          </w:p>
        </w:tc>
        <w:tc>
          <w:tcPr>
            <w:tcW w:w="22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评审因素</w:t>
            </w:r>
          </w:p>
        </w:tc>
        <w:tc>
          <w:tcPr>
            <w:tcW w:w="64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49"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900"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2"/>
                <w:sz w:val="24"/>
                <w:szCs w:val="24"/>
                <w:lang w:val="en-US" w:eastAsia="zh-CN" w:bidi="ar"/>
              </w:rPr>
              <w:t>符合性评审标准</w:t>
            </w:r>
          </w:p>
        </w:tc>
        <w:tc>
          <w:tcPr>
            <w:tcW w:w="221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供应商名称</w:t>
            </w:r>
          </w:p>
        </w:tc>
        <w:tc>
          <w:tcPr>
            <w:tcW w:w="643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与营业执照等一致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签字盖章</w:t>
            </w:r>
          </w:p>
        </w:tc>
        <w:tc>
          <w:tcPr>
            <w:tcW w:w="643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2"/>
                <w:sz w:val="24"/>
                <w:szCs w:val="24"/>
                <w:lang w:val="en-US" w:eastAsia="zh-CN" w:bidi="ar"/>
              </w:rPr>
              <w:t>符合第二章“响应人须知”</w:t>
            </w:r>
            <w:r>
              <w:rPr>
                <w:rFonts w:hint="eastAsia" w:ascii="宋体" w:hAnsi="宋体" w:eastAsia="宋体" w:cs="宋体"/>
                <w:color w:val="000000" w:themeColor="text1"/>
                <w:sz w:val="24"/>
                <w:szCs w:val="24"/>
                <w14:textFill>
                  <w14:solidFill>
                    <w14:schemeClr w14:val="tx1"/>
                  </w14:solidFill>
                </w14:textFill>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响应文件格式</w:t>
            </w:r>
          </w:p>
        </w:tc>
        <w:tc>
          <w:tcPr>
            <w:tcW w:w="643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w:t>
            </w:r>
            <w:r>
              <w:rPr>
                <w:rFonts w:hint="eastAsia" w:ascii="宋体" w:hAnsi="宋体" w:eastAsia="宋体" w:cs="宋体"/>
                <w:color w:val="000000"/>
                <w:kern w:val="2"/>
                <w:sz w:val="24"/>
                <w:szCs w:val="24"/>
                <w:lang w:val="en-US" w:eastAsia="zh-CN" w:bidi="ar"/>
              </w:rPr>
              <w:t>第二章</w:t>
            </w:r>
            <w:r>
              <w:rPr>
                <w:rFonts w:hint="eastAsia" w:ascii="宋体" w:hAnsi="宋体" w:eastAsia="宋体" w:cs="宋体"/>
                <w:color w:val="000000" w:themeColor="text1"/>
                <w:sz w:val="24"/>
                <w:szCs w:val="24"/>
                <w14:textFill>
                  <w14:solidFill>
                    <w14:schemeClr w14:val="tx1"/>
                  </w14:solidFill>
                </w14:textFill>
              </w:rPr>
              <w:t>“供应商须知”的要求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报价唯一</w:t>
            </w:r>
          </w:p>
        </w:tc>
        <w:tc>
          <w:tcPr>
            <w:tcW w:w="6437"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2"/>
                <w:sz w:val="24"/>
                <w:szCs w:val="24"/>
                <w:lang w:val="en-US" w:eastAsia="zh-CN" w:bidi="ar"/>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49"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w:t>
            </w:r>
            <w:r>
              <w:rPr>
                <w:rFonts w:hint="eastAsia" w:ascii="宋体" w:hAnsi="宋体" w:eastAsia="宋体" w:cs="宋体"/>
                <w:bCs/>
                <w:color w:val="000000" w:themeColor="text1"/>
                <w:sz w:val="24"/>
                <w:szCs w:val="24"/>
                <w:lang w:val="en-US" w:eastAsia="zh-CN"/>
                <w14:textFill>
                  <w14:solidFill>
                    <w14:schemeClr w14:val="tx1"/>
                  </w14:solidFill>
                </w14:textFill>
              </w:rPr>
              <w:t>2</w:t>
            </w:r>
          </w:p>
        </w:tc>
        <w:tc>
          <w:tcPr>
            <w:tcW w:w="900"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资格性</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满足《中华人民共和国政府采购法》第二十二条的规定</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lang w:eastAsia="zh-CN"/>
              </w:rPr>
            </w:pPr>
            <w:r>
              <w:rPr>
                <w:rFonts w:hint="eastAsia" w:ascii="宋体" w:hAnsi="宋体" w:eastAsia="宋体" w:cs="宋体"/>
                <w:sz w:val="24"/>
                <w:szCs w:val="24"/>
              </w:rPr>
              <w:t>满足《中华人民共和国政府采购法》第二十二条的规定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提供承诺书</w:t>
            </w:r>
            <w:r>
              <w:rPr>
                <w:rFonts w:hint="eastAsia" w:ascii="宋体" w:hAnsi="宋体" w:eastAsia="宋体" w:cs="宋体"/>
                <w:sz w:val="24"/>
                <w:szCs w:val="24"/>
                <w:lang w:eastAsia="zh-CN"/>
              </w:rPr>
              <w:t>）</w:t>
            </w:r>
          </w:p>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有效的营业执照</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供应商具备有效的营业执照</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资质要求</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供应商须具备城乡规划编制乙级及以上资质或工程咨询单位资信证书（农业）乙级及以上资质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highlight w:val="none"/>
              </w:rPr>
              <w:t>项目负责人</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拟派项目负责人须具有相关专业中级及以上职称（需提供项目负责人相关证书及社保缴纳证明）；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无商业贿赂和无不正当竞争行为</w:t>
            </w:r>
            <w:r>
              <w:rPr>
                <w:rFonts w:hint="eastAsia" w:ascii="宋体" w:hAnsi="宋体" w:eastAsia="宋体" w:cs="宋体"/>
                <w:sz w:val="24"/>
                <w:szCs w:val="24"/>
                <w:lang w:val="en-US" w:eastAsia="zh-CN"/>
              </w:rPr>
              <w:t>承诺书</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供应商须承诺本企业无商业贿赂和无不正当竞争行为（提供承诺书，格式自拟）；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信用查询</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“中国执行信息公开网”网站（http://zxgk.court.gov.cn/shixin）“信用中国”网站（www.creditchina.gov.cn）、中国政府采购网（www.ccgp.gov.cn），查询时间自本公告发布之日起；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非联合体投标</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本项目不接受联合体投标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自行承诺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49"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00"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实质性响应评审标准</w:t>
            </w:r>
          </w:p>
        </w:tc>
        <w:tc>
          <w:tcPr>
            <w:tcW w:w="22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编制周期</w:t>
            </w:r>
          </w:p>
        </w:tc>
        <w:tc>
          <w:tcPr>
            <w:tcW w:w="643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720" w:lineRule="auto"/>
              <w:ind w:left="0" w:right="0" w:firstLine="1200" w:firstLineChars="5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自签订合同起120日历天内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firstLine="240" w:firstLineChars="100"/>
              <w:rPr>
                <w:rFonts w:hint="eastAsia" w:ascii="宋体" w:hAnsi="宋体" w:eastAsia="宋体" w:cs="宋体"/>
                <w:sz w:val="24"/>
                <w:szCs w:val="24"/>
              </w:rPr>
            </w:pPr>
            <w:r>
              <w:rPr>
                <w:rFonts w:hint="eastAsia" w:ascii="宋体" w:hAnsi="宋体" w:eastAsia="宋体" w:cs="宋体"/>
                <w:sz w:val="24"/>
                <w:szCs w:val="24"/>
              </w:rPr>
              <w:t>质量要求</w:t>
            </w:r>
          </w:p>
        </w:tc>
        <w:tc>
          <w:tcPr>
            <w:tcW w:w="64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符合国家现行规范、规定、标准并通过相关部门审批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64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90</w:t>
            </w:r>
            <w:r>
              <w:rPr>
                <w:rFonts w:hint="eastAsia" w:ascii="宋体" w:hAnsi="宋体" w:eastAsia="宋体" w:cs="宋体"/>
                <w:color w:val="000000" w:themeColor="text1"/>
                <w:spacing w:val="6"/>
                <w:sz w:val="24"/>
                <w:szCs w:val="24"/>
                <w14:textFill>
                  <w14:solidFill>
                    <w14:schemeClr w14:val="tx1"/>
                  </w14:solidFill>
                </w14:textFill>
              </w:rPr>
              <w:t>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849"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90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2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p>
        </w:tc>
        <w:tc>
          <w:tcPr>
            <w:tcW w:w="64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响应人磋商总报价不得高于采购人的预算价，否则其投标将予否决</w:t>
            </w:r>
          </w:p>
        </w:tc>
      </w:tr>
    </w:tbl>
    <w:p>
      <w:pPr>
        <w:spacing w:line="6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pPr>
        <w:spacing w:line="60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20"/>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报价</w:t>
            </w:r>
          </w:p>
          <w:p>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b/>
                <w:color w:val="000000" w:themeColor="text1"/>
                <w:sz w:val="28"/>
                <w:szCs w:val="28"/>
                <w:highlight w:val="none"/>
                <w14:textFill>
                  <w14:solidFill>
                    <w14:schemeClr w14:val="tx1"/>
                  </w14:solidFill>
                </w14:textFill>
              </w:rPr>
              <w:t>）分</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报价分</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（1）本项目磋商价超出控制价的，采购人不予接受，且报价无效；</w:t>
            </w:r>
          </w:p>
          <w:p>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（2）有效报价计算得分：</w:t>
            </w:r>
          </w:p>
          <w:p>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在有效报价范围内，即技术参数满足磋商文件要求且报价最低的报价为报价基准价，其价格分为满分</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分，其他响应供应商的报价分统一按照下列公式计算：报价得分=（磋商基准价/最后磋商报价）×</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keepNext w:val="0"/>
              <w:keepLines w:val="0"/>
              <w:suppressLineNumbers w:val="0"/>
              <w:spacing w:before="0" w:beforeAutospacing="0" w:after="0" w:afterAutospacing="0" w:line="560" w:lineRule="exact"/>
              <w:ind w:left="0" w:right="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注：价格扣除：供应商根据《政府采购促进中小企业发展 管理办法》（财库[2020]46号）、财政部司法部《关于政府采购支持监狱企业发展有关问题的通知》（财库〔2014〕68 号）和财政部民政部中国残疾人联合会《关于促进残疾人就业政府采购政策的通知》（财库〔2017〕141 号）规定，本项目对小微企业、监狱企业、残疾人福利性企业作为供应商所提供的本企业生产的产品的价格给予20%的扣除。同一供应商（包括联合体），小微企业、监狱、残疾人福利性企业同一产品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技术部分</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65</w:t>
            </w:r>
            <w:r>
              <w:rPr>
                <w:rFonts w:hint="eastAsia" w:ascii="宋体" w:hAnsi="宋体" w:eastAsia="宋体" w:cs="宋体"/>
                <w:b/>
                <w:color w:val="000000" w:themeColor="text1"/>
                <w:sz w:val="28"/>
                <w:szCs w:val="28"/>
                <w14:textFill>
                  <w14:solidFill>
                    <w14:schemeClr w14:val="tx1"/>
                  </w14:solidFill>
                </w14:textFill>
              </w:rPr>
              <w:t>分</w:t>
            </w:r>
            <w:r>
              <w:rPr>
                <w:rFonts w:hint="eastAsia" w:ascii="宋体" w:hAnsi="宋体" w:eastAsia="宋体" w:cs="宋体"/>
                <w:b/>
                <w:color w:val="000000" w:themeColor="text1"/>
                <w:sz w:val="28"/>
                <w:szCs w:val="28"/>
                <w:lang w:eastAsia="zh-CN"/>
                <w14:textFill>
                  <w14:solidFill>
                    <w14:schemeClr w14:val="tx1"/>
                  </w14:solidFill>
                </w14:textFill>
              </w:rPr>
              <w:t>）</w:t>
            </w: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auto"/>
                <w:sz w:val="28"/>
                <w:szCs w:val="28"/>
                <w:highlight w:val="none"/>
                <w:lang w:val="en-US" w:eastAsia="zh-CN"/>
              </w:rPr>
              <w:t>项目总体理解</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w:t>
            </w:r>
            <w:r>
              <w:rPr>
                <w:rFonts w:hint="eastAsia" w:ascii="宋体" w:hAnsi="宋体" w:eastAsia="宋体" w:cs="宋体"/>
                <w:color w:val="000000" w:themeColor="text1"/>
                <w:kern w:val="0"/>
                <w:sz w:val="28"/>
                <w:szCs w:val="28"/>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供应商提供的方案对本项目研究背景、研究目的、重要性和意义、重点任务等方面的分析，形成较为准确的对项目重点内容的基本判断：把握项目定位准确，完全满足本项目的采购需求，分析准确，符合当地实际，具有较强的可行性的得20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把握项目定位较准确，基本满足本项目的采购需求，符合当地实际，可行性高的得14分；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项目定位一般，能满足本项目的 采购需求，符合当地实际但可行性一般的得8分；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项目定位不准确，不能满足本项目的采购需求，不符合当地实际，可行性差的得2分；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auto"/>
                <w:sz w:val="28"/>
                <w:szCs w:val="28"/>
                <w:highlight w:val="none"/>
                <w:lang w:val="en-US" w:eastAsia="zh-CN"/>
              </w:rPr>
              <w:t>投标人未提供的不得分。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auto"/>
                <w:sz w:val="28"/>
                <w:szCs w:val="28"/>
                <w:highlight w:val="none"/>
                <w:lang w:val="en-US" w:eastAsia="zh-CN"/>
              </w:rPr>
              <w:t>规划大纲</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10</w:t>
            </w:r>
            <w:r>
              <w:rPr>
                <w:rFonts w:hint="eastAsia" w:ascii="宋体" w:hAnsi="宋体" w:eastAsia="宋体" w:cs="宋体"/>
                <w:color w:val="000000" w:themeColor="text1"/>
                <w:kern w:val="0"/>
                <w:sz w:val="28"/>
                <w:szCs w:val="28"/>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规划大纲完整系统、内容详尽、条理清晰，完全满足本项目的采购需求，总体思路清晰，符合当地实际，具有较强的可行性得10分；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规划大纲较全面，内容全面有条理，满足本项目的采购需求，符合当地实际，具有较强的可行性得7分；规划大纲满足本项目的采购需求，符合当地实际，具有可行性得4分；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规划大纲较简单但基本满足本项目的采购需求，具有可行性得1分；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auto"/>
                <w:sz w:val="28"/>
                <w:szCs w:val="28"/>
                <w:highlight w:val="none"/>
                <w:lang w:val="en-US" w:eastAsia="zh-CN"/>
              </w:rPr>
              <w:t>投标人未提供的不得分。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规划思路初步方案</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方案全面、详细，具有针对性，根据项目需求情况提出详细、具体、明确的设计理念及核心思想，完全满足本项目的采购需求，总体思路清晰，符合当地实际，具有较强的可行性得20分；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方案有针对性，根据项目需求情况提出较详细、较具体、较明确的设计理念及核心思想，满足本项目的采购需求，总体思路清晰，符合当地实际得14分；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方案一般，但基本能符合项目需求，有提出设计理念及核心思想，基本满足本项目的采购需求，符合当地实际得8分；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方案较为简单，不全面的，得2分；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项目工作计划</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10分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作计划和保障措施合理、具体，内容详细，有明确规划项目的编制深度、成果内容及规划编制进度安排规划成果汇报重要节点，能满足各阶段的进度要求，具有针对性，工作方法选择得当，可操作性强的，后续服务承诺全面周到的得10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工作计划和保障措施较合理，符合项目需求，具有针对性，方案内容较详细，工作方法选择较得当，可操作性较强的，有个别细节需要进一步完善或提高，得7分；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工作计划和保障措施合理，能满足项目需求，计划和措施需完善，工作方法可操作性一般，得4分；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有相应的工作计划和保障措施，但计划和措施一般，工作方法选择不准确，可操控性差的，有很多方面需要进一步完善甚至重新考虑，得1分；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项目技术保障</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为能够保障项目的顺利完成，对供应商拟投入本项目的技术人员力量、设施设备情况等进行综合评分：人员安排合理、准确、岗位职责、员工管理与培训制度全面、详细、拟投入设施设备合理、可行的得5分；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人员安排较合理、岗位职责、员工管理与培训制度较全面、拟投入设施设备较合理、可行的得3分；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人员安排、岗位职责、员工管理与培训制度满足项目需求且合理、拟投入设施设备 可行的得2分；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人员安排、岗位职责、员工管理与培训制度较简单但基本满足项目需求的得1分；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投标人未提供相关方案或相关方案不合理、不可行的得0分。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4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商务部分（</w:t>
            </w:r>
            <w:r>
              <w:rPr>
                <w:rFonts w:hint="eastAsia" w:ascii="宋体" w:hAnsi="宋体" w:eastAsia="宋体" w:cs="宋体"/>
                <w:b/>
                <w:color w:val="000000" w:themeColor="text1"/>
                <w:sz w:val="28"/>
                <w:szCs w:val="28"/>
                <w:lang w:val="en-US" w:eastAsia="zh-CN"/>
                <w14:textFill>
                  <w14:solidFill>
                    <w14:schemeClr w14:val="tx1"/>
                  </w14:solidFill>
                </w14:textFill>
              </w:rPr>
              <w:t>25</w:t>
            </w:r>
            <w:r>
              <w:rPr>
                <w:rFonts w:hint="eastAsia" w:ascii="宋体" w:hAnsi="宋体" w:eastAsia="宋体" w:cs="宋体"/>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企业资质</w:t>
            </w:r>
          </w:p>
        </w:tc>
        <w:tc>
          <w:tcPr>
            <w:tcW w:w="87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投标人具有城乡规划编制乙级资质的得1分，同时具有工程咨询单位甲级资信证书（农业）的得2分；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投标人具有城乡规划编制乙级以上资质的得2分，同时具有工程咨询单位甲级资信证书（农业）的得3分；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企业业绩</w:t>
            </w:r>
          </w:p>
        </w:tc>
        <w:tc>
          <w:tcPr>
            <w:tcW w:w="87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投标人具有2022年1月以来农业产业发展规划类项目业绩，每提供一份得2分，本项最高得4分。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缺项不得分。</w:t>
            </w:r>
          </w:p>
          <w:p>
            <w:pPr>
              <w:keepNext w:val="0"/>
              <w:keepLines w:val="0"/>
              <w:suppressLineNumbers w:val="0"/>
              <w:spacing w:before="0" w:beforeAutospacing="0" w:after="0" w:afterAutospacing="0" w:line="520" w:lineRule="exact"/>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注：提供中标通知书或合同扫描件，以合同签订时间为准。</w:t>
            </w:r>
          </w:p>
          <w:p>
            <w:pPr>
              <w:keepNext w:val="0"/>
              <w:keepLines w:val="0"/>
              <w:suppressLineNumbers w:val="0"/>
              <w:spacing w:before="0" w:beforeAutospacing="0" w:after="0" w:afterAutospacing="0" w:line="520" w:lineRule="exact"/>
              <w:ind w:left="0" w:right="0"/>
              <w:rPr>
                <w:rFonts w:hint="eastAsia"/>
              </w:rPr>
            </w:pPr>
            <w:r>
              <w:rPr>
                <w:rFonts w:hint="eastAsia" w:ascii="宋体" w:hAnsi="宋体" w:eastAsia="宋体" w:cs="宋体"/>
                <w:color w:val="auto"/>
                <w:sz w:val="28"/>
                <w:szCs w:val="28"/>
                <w:highlight w:val="none"/>
                <w:lang w:val="en-US" w:eastAsia="zh-CN"/>
              </w:rPr>
              <w:t>投标人未提供的不得分。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14:textFill>
                  <w14:solidFill>
                    <w14:schemeClr w14:val="tx1"/>
                  </w14:solidFill>
                </w14:textFill>
              </w:rPr>
            </w:pPr>
          </w:p>
        </w:tc>
        <w:tc>
          <w:tcPr>
            <w:tcW w:w="1384" w:type="dxa"/>
            <w:tcBorders>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人员配置</w:t>
            </w:r>
          </w:p>
        </w:tc>
        <w:tc>
          <w:tcPr>
            <w:tcW w:w="877" w:type="dxa"/>
            <w:tcBorders>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12分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项目负责人：具备正高级职称兼注册咨询工程师得4分，具备副高级职称兼注册咨询工程师得2分。</w:t>
            </w:r>
          </w:p>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注：提供项目负责人证书扫描件、投标截止前近半年社保缴纳证明或劳动合同扫描件，未提供或不符合以上条件不得分。 </w:t>
            </w:r>
          </w:p>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项目组成员：项目组成员具备高级及以上职称的，每配备一名得1分,本项最多得8分。 </w:t>
            </w:r>
          </w:p>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注：提供项目团队成员的人员证书扫描件、投标截止前近半年社保缴纳证明或劳动合同扫描件，未提供或不符合以上条件不得分。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8"/>
                <w:szCs w:val="28"/>
                <w14:textFill>
                  <w14:solidFill>
                    <w14:schemeClr w14:val="tx1"/>
                  </w14:solidFill>
                </w14:textFill>
              </w:rPr>
            </w:pPr>
          </w:p>
        </w:tc>
        <w:tc>
          <w:tcPr>
            <w:tcW w:w="1384" w:type="dxa"/>
            <w:tcBorders>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服务承诺</w:t>
            </w:r>
          </w:p>
        </w:tc>
        <w:tc>
          <w:tcPr>
            <w:tcW w:w="877" w:type="dxa"/>
            <w:tcBorders>
              <w:left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6分</w:t>
            </w:r>
          </w:p>
        </w:tc>
        <w:tc>
          <w:tcPr>
            <w:tcW w:w="6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针对本项目提出具体的质量保证措施、过程沟通机制、后续服务等承诺。</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方案全面、具体、可操作的，得</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较具体可行的，得</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承诺空泛的，得</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kern w:val="0"/>
                <w:sz w:val="28"/>
                <w:szCs w:val="28"/>
                <w:highlight w:val="none"/>
                <w14:textFill>
                  <w14:solidFill>
                    <w14:schemeClr w14:val="tx1"/>
                  </w14:solidFill>
                </w14:textFill>
              </w:rPr>
              <w:t>分；</w:t>
            </w:r>
          </w:p>
          <w:p>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auto"/>
                <w:sz w:val="28"/>
                <w:szCs w:val="28"/>
                <w:highlight w:val="none"/>
                <w:lang w:val="en-US" w:eastAsia="zh-CN"/>
              </w:rPr>
              <w:t>投标人未提供的不得分。</w:t>
            </w:r>
          </w:p>
        </w:tc>
      </w:tr>
    </w:tbl>
    <w:p>
      <w:pPr>
        <w:keepNext w:val="0"/>
        <w:keepLines w:val="0"/>
        <w:pageBreakBefore w:val="0"/>
        <w:widowControl/>
        <w:kinsoku/>
        <w:wordWrap/>
        <w:overflowPunct/>
        <w:topLinePunct w:val="0"/>
        <w:autoSpaceDE/>
        <w:autoSpaceDN/>
        <w:bidi w:val="0"/>
        <w:adjustRightInd/>
        <w:spacing w:line="400" w:lineRule="exact"/>
        <w:ind w:firstLine="562" w:firstLineChars="200"/>
        <w:jc w:val="left"/>
        <w:textAlignment w:val="baseline"/>
        <w:rPr>
          <w:rStyle w:val="53"/>
          <w:rFonts w:hint="eastAsia" w:ascii="宋体" w:hAnsi="宋体" w:eastAsia="宋体" w:cs="宋体"/>
          <w:b/>
          <w:bCs w:val="0"/>
          <w:color w:val="auto"/>
          <w:kern w:val="0"/>
          <w:sz w:val="28"/>
          <w:szCs w:val="28"/>
          <w:lang w:val="en-US" w:eastAsia="zh-CN" w:bidi="ar-SA"/>
        </w:rPr>
      </w:pPr>
      <w:r>
        <w:rPr>
          <w:rStyle w:val="53"/>
          <w:rFonts w:hint="eastAsia" w:ascii="宋体" w:hAnsi="宋体" w:eastAsia="宋体" w:cs="宋体"/>
          <w:b/>
          <w:bCs w:val="0"/>
          <w:color w:val="auto"/>
          <w:kern w:val="0"/>
          <w:sz w:val="28"/>
          <w:szCs w:val="28"/>
          <w:lang w:val="en-US" w:eastAsia="zh-CN" w:bidi="ar-SA"/>
        </w:rPr>
        <w:t>备注：</w:t>
      </w:r>
    </w:p>
    <w:p>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baseline"/>
        <w:rPr>
          <w:rStyle w:val="53"/>
          <w:rFonts w:hint="eastAsia" w:ascii="宋体" w:hAnsi="宋体" w:eastAsia="宋体" w:cs="宋体"/>
          <w:b/>
          <w:bCs w:val="0"/>
          <w:color w:val="auto"/>
          <w:kern w:val="0"/>
          <w:sz w:val="28"/>
          <w:szCs w:val="28"/>
          <w:highlight w:val="cyan"/>
          <w:lang w:val="en-US" w:eastAsia="zh-CN" w:bidi="ar-SA"/>
        </w:rPr>
      </w:pPr>
      <w:r>
        <w:rPr>
          <w:rStyle w:val="53"/>
          <w:rFonts w:hint="eastAsia" w:ascii="宋体" w:hAnsi="宋体" w:eastAsia="宋体" w:cs="宋体"/>
          <w:b/>
          <w:bCs w:val="0"/>
          <w:color w:val="auto"/>
          <w:kern w:val="0"/>
          <w:sz w:val="28"/>
          <w:szCs w:val="28"/>
          <w:lang w:val="en-US" w:eastAsia="zh-CN" w:bidi="ar-SA"/>
        </w:rPr>
        <w:t>1、评委可以根据各磋商响应文件编制的内容在各分项区间进行打分；以上</w:t>
      </w:r>
      <w:r>
        <w:rPr>
          <w:rStyle w:val="53"/>
          <w:rFonts w:hint="eastAsia" w:ascii="宋体" w:hAnsi="宋体" w:eastAsia="宋体" w:cs="宋体"/>
          <w:b/>
          <w:bCs w:val="0"/>
          <w:color w:val="auto"/>
          <w:kern w:val="0"/>
          <w:sz w:val="28"/>
          <w:szCs w:val="28"/>
          <w:highlight w:val="none"/>
          <w:lang w:val="en-US" w:eastAsia="zh-CN" w:bidi="ar-SA"/>
        </w:rPr>
        <w:t>项目若有缺项，该项为0分。供应商得分＝报价部分得分+商务部分得分+技术部分得分。</w:t>
      </w:r>
    </w:p>
    <w:p>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baseline"/>
        <w:rPr>
          <w:rStyle w:val="53"/>
          <w:rFonts w:hint="eastAsia" w:ascii="宋体" w:hAnsi="宋体" w:eastAsia="宋体" w:cs="宋体"/>
          <w:b/>
          <w:bCs w:val="0"/>
          <w:color w:val="auto"/>
          <w:kern w:val="0"/>
          <w:sz w:val="28"/>
          <w:szCs w:val="28"/>
          <w:lang w:val="en-US" w:eastAsia="zh-CN" w:bidi="ar-SA"/>
        </w:rPr>
      </w:pPr>
      <w:r>
        <w:rPr>
          <w:rStyle w:val="53"/>
          <w:rFonts w:hint="eastAsia" w:ascii="宋体" w:hAnsi="宋体" w:eastAsia="宋体" w:cs="宋体"/>
          <w:b/>
          <w:bCs w:val="0"/>
          <w:color w:val="auto"/>
          <w:kern w:val="0"/>
          <w:sz w:val="28"/>
          <w:szCs w:val="28"/>
          <w:lang w:val="en-US" w:eastAsia="zh-CN" w:bidi="ar-SA"/>
        </w:rPr>
        <w:t>2、潜在供应商提供资料必须真实、有效，一经发现有造假的，取消其成交资格。</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1.评</w:t>
      </w:r>
      <w:r>
        <w:rPr>
          <w:rFonts w:hint="eastAsia" w:ascii="宋体" w:hAnsi="宋体" w:eastAsia="宋体" w:cs="宋体"/>
          <w:b/>
          <w:sz w:val="28"/>
          <w:szCs w:val="28"/>
          <w:lang w:val="en-US" w:eastAsia="zh-CN"/>
        </w:rPr>
        <w:t>审</w:t>
      </w:r>
      <w:r>
        <w:rPr>
          <w:rFonts w:hint="eastAsia" w:ascii="宋体" w:hAnsi="宋体" w:eastAsia="宋体" w:cs="宋体"/>
          <w:b/>
          <w:sz w:val="28"/>
          <w:szCs w:val="28"/>
        </w:rPr>
        <w:t>方法</w:t>
      </w:r>
    </w:p>
    <w:p>
      <w:pPr>
        <w:spacing w:line="360" w:lineRule="auto"/>
        <w:ind w:firstLine="560" w:firstLineChars="200"/>
        <w:rPr>
          <w:rFonts w:hint="eastAsia" w:ascii="宋体" w:hAnsi="宋体" w:eastAsia="宋体" w:cs="宋体"/>
          <w:sz w:val="28"/>
          <w:szCs w:val="28"/>
        </w:rPr>
      </w:pPr>
      <w:bookmarkStart w:id="25" w:name="_Toc449367501"/>
      <w:r>
        <w:rPr>
          <w:rFonts w:hint="eastAsia" w:ascii="宋体" w:hAnsi="宋体" w:eastAsia="宋体" w:cs="宋体"/>
          <w:sz w:val="28"/>
          <w:szCs w:val="28"/>
        </w:rPr>
        <w:t>本项目采用综合评分法进行评审，即在最大限度地满足竞争性磋商文件全部实质性要求且按评审因素的量化指标评审得分最高的供应商为成交候选供应商的评审方法。</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2.评审标准</w:t>
      </w:r>
      <w:bookmarkEnd w:id="25"/>
    </w:p>
    <w:p>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2.1初步评审标准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2.1.1</w:t>
      </w:r>
      <w:r>
        <w:rPr>
          <w:rFonts w:hint="eastAsia" w:ascii="宋体" w:hAnsi="宋体" w:eastAsia="宋体" w:cs="宋体"/>
          <w:sz w:val="28"/>
          <w:szCs w:val="28"/>
          <w:lang w:eastAsia="zh-CN"/>
        </w:rPr>
        <w:t>符合性</w:t>
      </w:r>
      <w:r>
        <w:rPr>
          <w:rFonts w:hint="eastAsia" w:ascii="宋体" w:hAnsi="宋体" w:eastAsia="宋体" w:cs="宋体"/>
          <w:sz w:val="28"/>
          <w:szCs w:val="28"/>
        </w:rPr>
        <w:t>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2.1.2资格评审标准：见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2.1.3响应性评审标准：见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2.2分值构成与评分标准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2.2.1分值构成</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报价得分：10分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val="en-US"/>
        </w:rPr>
      </w:pPr>
      <w:r>
        <w:rPr>
          <w:rFonts w:hint="eastAsia" w:ascii="宋体" w:hAnsi="宋体" w:eastAsia="宋体" w:cs="宋体"/>
          <w:sz w:val="28"/>
          <w:szCs w:val="28"/>
        </w:rPr>
        <w:t>（2）技术</w:t>
      </w:r>
      <w:r>
        <w:rPr>
          <w:rFonts w:hint="eastAsia" w:ascii="宋体" w:hAnsi="宋体" w:eastAsia="宋体" w:cs="宋体"/>
          <w:sz w:val="28"/>
          <w:szCs w:val="28"/>
          <w:lang w:val="en-US" w:eastAsia="zh-CN"/>
        </w:rPr>
        <w:t>得分：65分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rPr>
        <w:t>（3）</w:t>
      </w:r>
      <w:r>
        <w:rPr>
          <w:rFonts w:hint="eastAsia" w:ascii="宋体" w:hAnsi="宋体" w:eastAsia="宋体" w:cs="宋体"/>
          <w:sz w:val="28"/>
          <w:szCs w:val="28"/>
          <w:highlight w:val="none"/>
        </w:rPr>
        <w:t>综合</w:t>
      </w:r>
      <w:r>
        <w:rPr>
          <w:rFonts w:hint="eastAsia" w:ascii="宋体" w:hAnsi="宋体" w:eastAsia="宋体" w:cs="宋体"/>
          <w:sz w:val="28"/>
          <w:szCs w:val="28"/>
          <w:highlight w:val="none"/>
          <w:lang w:val="en-US" w:eastAsia="zh-CN"/>
        </w:rPr>
        <w:t>得分：25分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2.2.</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评分标准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（1）报价部分：见</w:t>
      </w:r>
      <w:r>
        <w:rPr>
          <w:rFonts w:hint="eastAsia" w:ascii="宋体" w:hAnsi="宋体" w:eastAsia="宋体" w:cs="宋体"/>
          <w:sz w:val="28"/>
          <w:szCs w:val="28"/>
          <w:highlight w:val="none"/>
          <w:lang w:eastAsia="zh-CN"/>
        </w:rPr>
        <w:t>评审办法</w:t>
      </w:r>
      <w:r>
        <w:rPr>
          <w:rFonts w:hint="eastAsia" w:ascii="宋体" w:hAnsi="宋体" w:eastAsia="宋体" w:cs="宋体"/>
          <w:sz w:val="28"/>
          <w:szCs w:val="28"/>
          <w:highlight w:val="none"/>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（2）技术部分：见</w:t>
      </w:r>
      <w:r>
        <w:rPr>
          <w:rFonts w:hint="eastAsia" w:ascii="宋体" w:hAnsi="宋体" w:eastAsia="宋体" w:cs="宋体"/>
          <w:sz w:val="28"/>
          <w:szCs w:val="28"/>
          <w:highlight w:val="none"/>
          <w:lang w:eastAsia="zh-CN"/>
        </w:rPr>
        <w:t>评审办法</w:t>
      </w:r>
      <w:r>
        <w:rPr>
          <w:rFonts w:hint="eastAsia" w:ascii="宋体" w:hAnsi="宋体" w:eastAsia="宋体" w:cs="宋体"/>
          <w:sz w:val="28"/>
          <w:szCs w:val="28"/>
          <w:highlight w:val="none"/>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商务部分</w:t>
      </w:r>
      <w:r>
        <w:rPr>
          <w:rFonts w:hint="eastAsia" w:ascii="宋体" w:hAnsi="宋体" w:eastAsia="宋体" w:cs="宋体"/>
          <w:sz w:val="28"/>
          <w:szCs w:val="28"/>
          <w:highlight w:val="none"/>
        </w:rPr>
        <w:t>：见</w:t>
      </w:r>
      <w:r>
        <w:rPr>
          <w:rFonts w:hint="eastAsia" w:ascii="宋体" w:hAnsi="宋体" w:eastAsia="宋体" w:cs="宋体"/>
          <w:sz w:val="28"/>
          <w:szCs w:val="28"/>
          <w:highlight w:val="none"/>
          <w:lang w:eastAsia="zh-CN"/>
        </w:rPr>
        <w:t>评</w:t>
      </w:r>
      <w:r>
        <w:rPr>
          <w:rFonts w:hint="eastAsia" w:ascii="宋体" w:hAnsi="宋体" w:eastAsia="宋体" w:cs="宋体"/>
          <w:sz w:val="28"/>
          <w:szCs w:val="28"/>
          <w:lang w:eastAsia="zh-CN"/>
        </w:rPr>
        <w:t>审办法</w:t>
      </w:r>
      <w:r>
        <w:rPr>
          <w:rFonts w:hint="eastAsia" w:ascii="宋体" w:hAnsi="宋体" w:eastAsia="宋体" w:cs="宋体"/>
          <w:sz w:val="28"/>
          <w:szCs w:val="28"/>
        </w:rPr>
        <w:t>前附表；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bookmarkStart w:id="26" w:name="_Toc449367502"/>
      <w:r>
        <w:rPr>
          <w:rFonts w:hint="eastAsia" w:ascii="宋体" w:hAnsi="宋体" w:eastAsia="宋体" w:cs="宋体"/>
          <w:b/>
          <w:sz w:val="28"/>
          <w:szCs w:val="28"/>
        </w:rPr>
        <w:t>3.评标程序</w:t>
      </w:r>
      <w:bookmarkEnd w:id="26"/>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3.1初步评审</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3.1.1磋商小组依据本章第2.1项规定的评审标准对磋商响应文件进行初步评审。有一项不符合评审标准的，作废标处理。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3.1.2供应商有以下情形之一的，磋商小组应当否决其磋商响应文件：</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（1）未按磋商文件规定要求签署、盖章的；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（2）供应商不按要求参加磋商的；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（3）有弄虚作假、串通、行贿等违法行为的；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（4）响应内容与采购需求及采购项目要求有实质性偏离的；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（5）同一供应商提交两个以上不同报价的；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（6）恶意提高（压低）报价或报价超过预算控制金额的；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kern w:val="0"/>
          <w:sz w:val="28"/>
          <w:szCs w:val="28"/>
          <w:highlight w:val="none"/>
        </w:rPr>
        <w:t>服务周期</w:t>
      </w:r>
      <w:r>
        <w:rPr>
          <w:rFonts w:hint="eastAsia" w:ascii="宋体" w:hAnsi="宋体" w:eastAsia="宋体" w:cs="宋体"/>
          <w:kern w:val="0"/>
          <w:sz w:val="28"/>
          <w:szCs w:val="28"/>
          <w:highlight w:val="none"/>
          <w:lang w:val="en-US" w:eastAsia="zh-CN"/>
        </w:rPr>
        <w:t>、质量要求</w:t>
      </w:r>
      <w:r>
        <w:rPr>
          <w:rFonts w:hint="eastAsia" w:ascii="宋体" w:hAnsi="宋体" w:eastAsia="宋体" w:cs="宋体"/>
          <w:sz w:val="28"/>
          <w:szCs w:val="28"/>
        </w:rPr>
        <w:t>不满足磋商文件要求的；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（8）资格证明不全或者不具备磋商文件中规定的供应商资格要求的；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（9）不符合法律、法规和磋商文件中规定的其他实质性要求的。</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3.1.3</w:t>
      </w:r>
      <w:r>
        <w:rPr>
          <w:rFonts w:hint="eastAsia" w:ascii="宋体" w:hAnsi="宋体" w:eastAsia="宋体" w:cs="宋体"/>
          <w:sz w:val="28"/>
          <w:szCs w:val="28"/>
          <w:lang w:eastAsia="zh-CN"/>
        </w:rPr>
        <w:t>磋商报价</w:t>
      </w:r>
      <w:r>
        <w:rPr>
          <w:rFonts w:hint="eastAsia" w:ascii="宋体" w:hAnsi="宋体" w:eastAsia="宋体" w:cs="宋体"/>
          <w:sz w:val="28"/>
          <w:szCs w:val="28"/>
        </w:rPr>
        <w:t>有算术错误的，磋商小组按以下原则对报价进行修正，修正的价格经供应商书面确认后具有约束力。供应商不接受修正价格的，其投标作废标处理。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）大写金额和小写金额不一致的，以大写金额为准；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）单价金额小数点或者百分比有明显错位的，以报价一览表的总价为准，并修改单价；</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）总价金额与按单价汇总金额不一致的，以单价金额计算结果为准。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lang w:eastAsia="zh-CN"/>
        </w:rPr>
      </w:pPr>
      <w:r>
        <w:rPr>
          <w:rFonts w:hint="eastAsia" w:ascii="宋体" w:hAnsi="宋体" w:eastAsia="宋体" w:cs="宋体"/>
          <w:b/>
          <w:sz w:val="28"/>
          <w:szCs w:val="28"/>
        </w:rPr>
        <w:t>3.2详细评审</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3.2.1磋商小组按本章第2.2款规定的量化因素和分值进行打分，并计算出综合评估得分。</w:t>
      </w:r>
      <w:r>
        <w:rPr>
          <w:rFonts w:hint="eastAsia" w:ascii="宋体" w:hAnsi="宋体" w:eastAsia="宋体" w:cs="宋体"/>
          <w:b/>
          <w:sz w:val="28"/>
          <w:szCs w:val="28"/>
        </w:rPr>
        <w:t>每个供应商最终得分为各评委打分的算术平均值。</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3.2.2评分分值计算保留小数点后两位，小数点后第三位“四舍五入”。</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3.2.3磋商小组汇总供应商的各项得分，相加后为供应商最终得分。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3.2.4本项目有</w:t>
      </w:r>
      <w:r>
        <w:rPr>
          <w:rFonts w:hint="eastAsia" w:ascii="宋体" w:hAnsi="宋体" w:eastAsia="宋体" w:cs="宋体"/>
          <w:sz w:val="28"/>
          <w:szCs w:val="28"/>
        </w:rPr>
        <w:t>最后报价（</w:t>
      </w:r>
      <w:r>
        <w:rPr>
          <w:rFonts w:hint="eastAsia" w:ascii="宋体" w:hAnsi="宋体" w:eastAsia="宋体" w:cs="宋体"/>
          <w:sz w:val="28"/>
          <w:szCs w:val="28"/>
          <w:lang w:val="en-US" w:eastAsia="zh-CN"/>
        </w:rPr>
        <w:t>第</w:t>
      </w:r>
      <w:r>
        <w:rPr>
          <w:rFonts w:hint="eastAsia" w:ascii="宋体" w:hAnsi="宋体" w:eastAsia="宋体" w:cs="宋体"/>
          <w:sz w:val="28"/>
          <w:szCs w:val="28"/>
        </w:rPr>
        <w:t>二轮报价）</w:t>
      </w:r>
      <w:r>
        <w:rPr>
          <w:rFonts w:hint="eastAsia" w:ascii="宋体" w:hAnsi="宋体" w:eastAsia="宋体" w:cs="宋体"/>
          <w:sz w:val="28"/>
          <w:szCs w:val="28"/>
          <w:lang w:eastAsia="zh-CN"/>
        </w:rPr>
        <w:t>，</w:t>
      </w:r>
      <w:r>
        <w:rPr>
          <w:rFonts w:hint="eastAsia" w:ascii="宋体" w:hAnsi="宋体" w:eastAsia="宋体" w:cs="宋体"/>
          <w:sz w:val="28"/>
          <w:szCs w:val="28"/>
        </w:rPr>
        <w:t>最后报价（</w:t>
      </w:r>
      <w:r>
        <w:rPr>
          <w:rFonts w:hint="eastAsia" w:ascii="宋体" w:hAnsi="宋体" w:eastAsia="宋体" w:cs="宋体"/>
          <w:sz w:val="28"/>
          <w:szCs w:val="28"/>
          <w:lang w:val="en-US" w:eastAsia="zh-CN"/>
        </w:rPr>
        <w:t>第</w:t>
      </w:r>
      <w:r>
        <w:rPr>
          <w:rFonts w:hint="eastAsia" w:ascii="宋体" w:hAnsi="宋体" w:eastAsia="宋体" w:cs="宋体"/>
          <w:sz w:val="28"/>
          <w:szCs w:val="28"/>
        </w:rPr>
        <w:t>二轮报价）是供应商响应文件的有效组成部分。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sz w:val="28"/>
          <w:szCs w:val="28"/>
          <w:lang w:val="en-US" w:eastAsia="zh-CN"/>
        </w:rPr>
        <w:t>5</w:t>
      </w:r>
      <w:r>
        <w:rPr>
          <w:rFonts w:hint="eastAsia" w:ascii="宋体" w:hAnsi="宋体" w:eastAsia="宋体" w:cs="宋体"/>
          <w:sz w:val="28"/>
          <w:szCs w:val="28"/>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3.3磋商响应文件的澄清和补正</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3.3.1在评标过程中，磋商小组可以书面形式要求供应商对所提交磋商响应文件中不明确的内容进行书面澄清或说明，或者对细微偏差进行补正。磋商小组不接受供应商主动提出的澄清、说明或补正。</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3.3.2澄清、说明和补正不得改变磋商响应文件的实质性内容（算术性错误修正的除外）。供应商的书面澄清、说明和补正属于磋商响应文件的组成部分。</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3.3.3磋商小组对供应商提交的澄清、说明或补正有疑问的，可以要求供应商进一步澄清、说明或补正，直至满足磋商小组的要求。</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3.4定标办法</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3.4.1磋商小组按照上述办法打分，最后按照各供应商最终得分从高到低排序。</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3.4.2磋商小组完成评标后，应当向采购人提交书面评</w:t>
      </w:r>
      <w:r>
        <w:rPr>
          <w:rFonts w:hint="eastAsia" w:ascii="宋体" w:hAnsi="宋体" w:eastAsia="宋体" w:cs="宋体"/>
          <w:sz w:val="28"/>
          <w:szCs w:val="28"/>
          <w:lang w:val="en-US" w:eastAsia="zh-CN"/>
        </w:rPr>
        <w:t>审</w:t>
      </w:r>
      <w:r>
        <w:rPr>
          <w:rFonts w:hint="eastAsia" w:ascii="宋体" w:hAnsi="宋体" w:eastAsia="宋体" w:cs="宋体"/>
          <w:sz w:val="28"/>
          <w:szCs w:val="28"/>
        </w:rPr>
        <w:t>报告。向采购人推荐</w:t>
      </w:r>
      <w:r>
        <w:rPr>
          <w:rFonts w:hint="eastAsia" w:ascii="宋体" w:hAnsi="宋体" w:eastAsia="宋体" w:cs="宋体"/>
          <w:sz w:val="28"/>
          <w:szCs w:val="28"/>
          <w:lang w:val="en-US" w:eastAsia="zh-CN"/>
        </w:rPr>
        <w:t>1-</w:t>
      </w:r>
      <w:r>
        <w:rPr>
          <w:rFonts w:hint="eastAsia" w:ascii="宋体" w:hAnsi="宋体" w:eastAsia="宋体" w:cs="宋体"/>
          <w:sz w:val="28"/>
          <w:szCs w:val="28"/>
        </w:rPr>
        <w:t>3家成交候选人，得分最高的供应商为第一成交候选人，得分第二的供应商为第二成交候选人。</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3.4.3按供应商得分由高到低排序，采购人应当确定排名第一的成交候选人为成交人。排名第一的成交候选人放弃</w:t>
      </w:r>
      <w:r>
        <w:rPr>
          <w:rFonts w:hint="eastAsia" w:ascii="宋体" w:hAnsi="宋体" w:eastAsia="宋体" w:cs="宋体"/>
          <w:sz w:val="28"/>
          <w:szCs w:val="28"/>
          <w:lang w:eastAsia="zh-CN"/>
        </w:rPr>
        <w:t>成交</w:t>
      </w:r>
      <w:r>
        <w:rPr>
          <w:rFonts w:hint="eastAsia" w:ascii="宋体" w:hAnsi="宋体" w:eastAsia="宋体" w:cs="宋体"/>
          <w:sz w:val="28"/>
          <w:szCs w:val="28"/>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eastAsia="宋体" w:cs="宋体"/>
          <w:sz w:val="28"/>
          <w:szCs w:val="28"/>
          <w:lang w:eastAsia="zh-CN"/>
        </w:rPr>
        <w:t>磋商</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sz w:val="28"/>
          <w:szCs w:val="28"/>
        </w:rPr>
      </w:pPr>
      <w:bookmarkStart w:id="27" w:name="_Toc449367503"/>
      <w:r>
        <w:rPr>
          <w:rFonts w:hint="eastAsia" w:ascii="宋体" w:hAnsi="宋体" w:eastAsia="宋体" w:cs="宋体"/>
          <w:b/>
          <w:sz w:val="28"/>
          <w:szCs w:val="28"/>
        </w:rPr>
        <w:t>4.评标报告</w:t>
      </w:r>
      <w:bookmarkEnd w:id="27"/>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磋商小组根据供应商须知前附表的规定向采购人提交评标报告。评标报告应当由磋商小组</w:t>
      </w:r>
      <w:r>
        <w:rPr>
          <w:rFonts w:hint="eastAsia" w:ascii="宋体" w:hAnsi="宋体" w:eastAsia="宋体" w:cs="宋体"/>
          <w:sz w:val="28"/>
          <w:szCs w:val="28"/>
          <w:lang w:val="en-US" w:eastAsia="zh-CN"/>
        </w:rPr>
        <w:t>全体</w:t>
      </w:r>
      <w:r>
        <w:rPr>
          <w:rFonts w:hint="eastAsia" w:ascii="宋体" w:hAnsi="宋体" w:eastAsia="宋体" w:cs="宋体"/>
          <w:sz w:val="28"/>
          <w:szCs w:val="28"/>
        </w:rPr>
        <w:t>成员签字，并于</w:t>
      </w:r>
      <w:r>
        <w:rPr>
          <w:rFonts w:hint="eastAsia" w:ascii="宋体" w:hAnsi="宋体" w:eastAsia="宋体" w:cs="宋体"/>
          <w:sz w:val="28"/>
          <w:szCs w:val="28"/>
          <w:lang w:val="en-US" w:eastAsia="zh-CN"/>
        </w:rPr>
        <w:t>评审</w:t>
      </w:r>
      <w:r>
        <w:rPr>
          <w:rFonts w:hint="eastAsia" w:ascii="宋体" w:hAnsi="宋体" w:eastAsia="宋体" w:cs="宋体"/>
          <w:sz w:val="28"/>
          <w:szCs w:val="28"/>
        </w:rPr>
        <w:t>结束后抄送有关行政监督部门。</w:t>
      </w:r>
    </w:p>
    <w:p>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pPr>
        <w:spacing w:line="600" w:lineRule="exact"/>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pPr>
        <w:spacing w:line="360" w:lineRule="auto"/>
        <w:jc w:val="center"/>
        <w:outlineLvl w:val="0"/>
        <w:rPr>
          <w:rFonts w:hint="eastAsia" w:ascii="宋体" w:hAnsi="宋体" w:eastAsia="宋体" w:cs="宋体"/>
          <w:b/>
          <w:color w:val="000000" w:themeColor="text1"/>
          <w:sz w:val="32"/>
          <w:szCs w:val="32"/>
          <w:lang w:eastAsia="zh-CN"/>
          <w14:textFill>
            <w14:solidFill>
              <w14:schemeClr w14:val="tx1"/>
            </w14:solidFill>
          </w14:textFill>
        </w:rPr>
      </w:pPr>
      <w:bookmarkStart w:id="28" w:name="_Toc29484"/>
      <w:r>
        <w:rPr>
          <w:rFonts w:hint="eastAsia" w:ascii="宋体" w:hAnsi="宋体" w:eastAsia="宋体" w:cs="宋体"/>
          <w:b/>
          <w:color w:val="000000" w:themeColor="text1"/>
          <w:sz w:val="32"/>
          <w:szCs w:val="32"/>
          <w14:textFill>
            <w14:solidFill>
              <w14:schemeClr w14:val="tx1"/>
            </w14:solidFill>
          </w14:textFill>
        </w:rPr>
        <w:t xml:space="preserve">第六章 </w:t>
      </w:r>
      <w:bookmarkEnd w:id="28"/>
      <w:r>
        <w:rPr>
          <w:rFonts w:hint="eastAsia" w:ascii="宋体" w:hAnsi="宋体" w:eastAsia="宋体" w:cs="宋体"/>
          <w:b/>
          <w:color w:val="000000" w:themeColor="text1"/>
          <w:sz w:val="32"/>
          <w:szCs w:val="32"/>
          <w:lang w:eastAsia="zh-CN"/>
          <w14:textFill>
            <w14:solidFill>
              <w14:schemeClr w14:val="tx1"/>
            </w14:solidFill>
          </w14:textFill>
        </w:rPr>
        <w:t>响应文件格式</w:t>
      </w:r>
    </w:p>
    <w:p>
      <w:pPr>
        <w:jc w:val="center"/>
        <w:rPr>
          <w:rFonts w:hint="eastAsia" w:ascii="宋体" w:hAnsi="宋体" w:eastAsia="宋体" w:cs="宋体"/>
          <w:b/>
          <w:color w:val="000000" w:themeColor="text1"/>
          <w:sz w:val="48"/>
          <w:szCs w:val="48"/>
          <w14:textFill>
            <w14:solidFill>
              <w14:schemeClr w14:val="tx1"/>
            </w14:solidFill>
          </w14:textFill>
        </w:rPr>
      </w:pPr>
    </w:p>
    <w:p>
      <w:pPr>
        <w:widowControl/>
        <w:jc w:val="center"/>
        <w:rPr>
          <w:rFonts w:hint="eastAsia" w:ascii="宋体" w:hAnsi="宋体" w:eastAsia="宋体" w:cs="宋体"/>
          <w:b/>
          <w:bCs w:val="0"/>
          <w:color w:val="000000" w:themeColor="text1"/>
          <w:kern w:val="0"/>
          <w:sz w:val="44"/>
          <w:szCs w:val="44"/>
          <w14:textFill>
            <w14:solidFill>
              <w14:schemeClr w14:val="tx1"/>
            </w14:solidFill>
          </w14:textFill>
        </w:rPr>
      </w:pPr>
      <w:r>
        <w:rPr>
          <w:rFonts w:hint="eastAsia" w:ascii="宋体" w:hAnsi="宋体" w:eastAsia="宋体" w:cs="宋体"/>
          <w:b/>
          <w:bCs w:val="0"/>
          <w:color w:val="000000" w:themeColor="text1"/>
          <w:sz w:val="44"/>
          <w:szCs w:val="44"/>
          <w:lang w:eastAsia="zh-CN"/>
          <w14:textFill>
            <w14:solidFill>
              <w14:schemeClr w14:val="tx1"/>
            </w14:solidFill>
          </w14:textFill>
        </w:rPr>
        <w:t>三门峡市陕州区农业特色产业发展规划(2026-2035年)编制项目</w:t>
      </w:r>
    </w:p>
    <w:p>
      <w:pPr>
        <w:widowControl/>
        <w:jc w:val="center"/>
        <w:rPr>
          <w:rFonts w:hint="eastAsia" w:ascii="宋体" w:hAnsi="宋体" w:eastAsia="宋体" w:cs="宋体"/>
          <w:b/>
          <w:bCs/>
          <w:color w:val="000000" w:themeColor="text1"/>
          <w:kern w:val="0"/>
          <w:sz w:val="72"/>
          <w:szCs w:val="72"/>
          <w14:textFill>
            <w14:solidFill>
              <w14:schemeClr w14:val="tx1"/>
            </w14:solidFill>
          </w14:textFill>
        </w:rPr>
      </w:pPr>
    </w:p>
    <w:p>
      <w:pPr>
        <w:pStyle w:val="2"/>
        <w:rPr>
          <w:rFonts w:hint="eastAsia"/>
        </w:rPr>
      </w:pPr>
    </w:p>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72"/>
          <w:szCs w:val="72"/>
          <w14:textFill>
            <w14:solidFill>
              <w14:schemeClr w14:val="tx1"/>
            </w14:solidFill>
          </w14:textFill>
        </w:rPr>
        <w:t>响 应 文 件</w:t>
      </w:r>
      <w:bookmarkStart w:id="29" w:name="_Toc169921407"/>
      <w:bookmarkEnd w:id="29"/>
      <w:bookmarkStart w:id="30" w:name="_Toc171073207"/>
      <w:bookmarkEnd w:id="30"/>
      <w:bookmarkStart w:id="31" w:name="_Toc223432387"/>
      <w:bookmarkEnd w:id="31"/>
      <w:bookmarkStart w:id="32" w:name="_Toc171073042"/>
      <w:bookmarkEnd w:id="32"/>
    </w:p>
    <w:p>
      <w:pPr>
        <w:widowControl/>
        <w:jc w:val="center"/>
        <w:rPr>
          <w:rFonts w:hint="eastAsia" w:ascii="宋体" w:hAnsi="宋体" w:eastAsia="宋体" w:cs="宋体"/>
          <w:b/>
          <w:bCs/>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项目编号：</w:t>
      </w:r>
    </w:p>
    <w:p>
      <w:pPr>
        <w:widowControl/>
        <w:jc w:val="center"/>
        <w:rPr>
          <w:rFonts w:hint="eastAsia" w:ascii="宋体" w:hAnsi="宋体" w:eastAsia="宋体" w:cs="宋体"/>
          <w:color w:val="000000" w:themeColor="text1"/>
          <w:kern w:val="0"/>
          <w:sz w:val="72"/>
          <w:szCs w:val="72"/>
          <w14:textFill>
            <w14:solidFill>
              <w14:schemeClr w14:val="tx1"/>
            </w14:solidFill>
          </w14:textFill>
        </w:rPr>
      </w:pPr>
    </w:p>
    <w:p>
      <w:pPr>
        <w:widowControl/>
        <w:jc w:val="center"/>
        <w:rPr>
          <w:rFonts w:hint="eastAsia" w:ascii="宋体" w:hAnsi="宋体" w:eastAsia="宋体" w:cs="宋体"/>
          <w:color w:val="000000" w:themeColor="text1"/>
          <w:kern w:val="0"/>
          <w:sz w:val="20"/>
          <w:szCs w:val="20"/>
          <w14:textFill>
            <w14:solidFill>
              <w14:schemeClr w14:val="tx1"/>
            </w14:solidFill>
          </w14:textFill>
        </w:rPr>
      </w:pPr>
    </w:p>
    <w:p>
      <w:pPr>
        <w:widowControl/>
        <w:jc w:val="center"/>
        <w:rPr>
          <w:rFonts w:hint="eastAsia" w:ascii="宋体" w:hAnsi="宋体" w:eastAsia="宋体" w:cs="宋体"/>
          <w:color w:val="000000" w:themeColor="text1"/>
          <w:kern w:val="0"/>
          <w:sz w:val="72"/>
          <w:szCs w:val="72"/>
          <w14:textFill>
            <w14:solidFill>
              <w14:schemeClr w14:val="tx1"/>
            </w14:solidFill>
          </w14:textFill>
        </w:rPr>
      </w:pPr>
    </w:p>
    <w:p>
      <w:pPr>
        <w:widowControl/>
        <w:jc w:val="center"/>
        <w:rPr>
          <w:rFonts w:hint="eastAsia" w:ascii="宋体" w:hAnsi="宋体" w:eastAsia="宋体" w:cs="宋体"/>
          <w:color w:val="000000" w:themeColor="text1"/>
          <w:kern w:val="0"/>
          <w:sz w:val="20"/>
          <w:szCs w:val="20"/>
          <w14:textFill>
            <w14:solidFill>
              <w14:schemeClr w14:val="tx1"/>
            </w14:solidFill>
          </w14:textFill>
        </w:rPr>
      </w:pPr>
    </w:p>
    <w:p>
      <w:pPr>
        <w:pStyle w:val="2"/>
        <w:rPr>
          <w:rFonts w:hint="eastAsia" w:ascii="宋体" w:hAnsi="宋体" w:eastAsia="宋体" w:cs="宋体"/>
          <w:color w:val="000000" w:themeColor="text1"/>
          <w:kern w:val="0"/>
          <w:sz w:val="20"/>
          <w:szCs w:val="20"/>
          <w14:textFill>
            <w14:solidFill>
              <w14:schemeClr w14:val="tx1"/>
            </w14:solidFill>
          </w14:textFill>
        </w:rPr>
      </w:pPr>
    </w:p>
    <w:p>
      <w:pPr>
        <w:rPr>
          <w:rFonts w:hint="eastAsia"/>
        </w:rPr>
      </w:pPr>
    </w:p>
    <w:p>
      <w:pPr>
        <w:widowControl/>
        <w:spacing w:line="660" w:lineRule="auto"/>
        <w:rPr>
          <w:rFonts w:hint="eastAsia" w:ascii="宋体" w:hAnsi="宋体" w:eastAsia="宋体" w:cs="宋体"/>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 </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p>
      <w:pPr>
        <w:widowControl/>
        <w:spacing w:line="480" w:lineRule="auto"/>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磋商供应商（公章签章）：</w:t>
      </w:r>
    </w:p>
    <w:p>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法定代表人（签电子章）：</w:t>
      </w:r>
    </w:p>
    <w:p>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一、法定代表人身份证明书</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二、授权委托书</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三、磋 商 函</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四、磋商函附表</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五</w:t>
      </w:r>
      <w:r>
        <w:rPr>
          <w:rFonts w:hint="eastAsia" w:ascii="宋体" w:hAnsi="宋体" w:eastAsia="宋体" w:cs="宋体"/>
          <w:color w:val="000000" w:themeColor="text1"/>
          <w:kern w:val="0"/>
          <w:sz w:val="28"/>
          <w:szCs w:val="28"/>
          <w14:textFill>
            <w14:solidFill>
              <w14:schemeClr w14:val="tx1"/>
            </w14:solidFill>
          </w14:textFill>
        </w:rPr>
        <w:t>、供应商基本情况表</w:t>
      </w:r>
    </w:p>
    <w:p>
      <w:pPr>
        <w:widowControl/>
        <w:spacing w:line="480" w:lineRule="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六</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eastAsia="zh-CN"/>
          <w14:textFill>
            <w14:solidFill>
              <w14:schemeClr w14:val="tx1"/>
            </w14:solidFill>
          </w14:textFill>
        </w:rPr>
        <w:t>技术部分</w:t>
      </w:r>
    </w:p>
    <w:p>
      <w:pPr>
        <w:widowControl/>
        <w:spacing w:line="480" w:lineRule="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七、商务部分</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八</w:t>
      </w:r>
      <w:r>
        <w:rPr>
          <w:rFonts w:hint="eastAsia" w:ascii="宋体" w:hAnsi="宋体" w:eastAsia="宋体" w:cs="宋体"/>
          <w:color w:val="000000" w:themeColor="text1"/>
          <w:kern w:val="0"/>
          <w:sz w:val="28"/>
          <w:szCs w:val="28"/>
          <w14:textFill>
            <w14:solidFill>
              <w14:schemeClr w14:val="tx1"/>
            </w14:solidFill>
          </w14:textFill>
        </w:rPr>
        <w:t>、其他资料</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33" w:name="_Toc7358"/>
      <w:r>
        <w:rPr>
          <w:rFonts w:hint="eastAsia" w:ascii="宋体" w:hAnsi="宋体" w:eastAsia="宋体" w:cs="宋体"/>
          <w:b/>
          <w:color w:val="000000" w:themeColor="text1"/>
          <w:sz w:val="32"/>
          <w:szCs w:val="32"/>
          <w14:textFill>
            <w14:solidFill>
              <w14:schemeClr w14:val="tx1"/>
            </w14:solidFill>
          </w14:textFill>
        </w:rPr>
        <w:t>一、法定代表人身份证明书</w:t>
      </w:r>
      <w:bookmarkEnd w:id="33"/>
    </w:p>
    <w:p>
      <w:pPr>
        <w:spacing w:line="480" w:lineRule="auto"/>
        <w:rPr>
          <w:rFonts w:hint="eastAsia" w:ascii="宋体" w:hAnsi="宋体" w:eastAsia="宋体" w:cs="宋体"/>
          <w:sz w:val="28"/>
          <w:szCs w:val="28"/>
        </w:rPr>
      </w:pPr>
    </w:p>
    <w:p>
      <w:pPr>
        <w:spacing w:line="480" w:lineRule="auto"/>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成立时间：   年   月   日</w:t>
      </w:r>
    </w:p>
    <w:p>
      <w:pPr>
        <w:spacing w:line="480" w:lineRule="auto"/>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性    别：</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职    务：</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u w:val="single"/>
        </w:rPr>
        <w:t>（供应商名称）</w:t>
      </w:r>
      <w:r>
        <w:rPr>
          <w:rFonts w:hint="eastAsia" w:ascii="宋体" w:hAnsi="宋体" w:eastAsia="宋体" w:cs="宋体"/>
          <w:sz w:val="28"/>
          <w:szCs w:val="28"/>
        </w:rPr>
        <w:t>的法定代表人。</w:t>
      </w:r>
    </w:p>
    <w:p>
      <w:pPr>
        <w:spacing w:line="480" w:lineRule="auto"/>
        <w:rPr>
          <w:rFonts w:hint="eastAsia" w:ascii="宋体" w:hAnsi="宋体" w:eastAsia="宋体" w:cs="宋体"/>
          <w:sz w:val="28"/>
          <w:szCs w:val="28"/>
        </w:rPr>
      </w:pPr>
      <w:r>
        <w:rPr>
          <w:rFonts w:hint="eastAsia" w:ascii="宋体" w:hAnsi="宋体" w:eastAsia="宋体" w:cs="宋体"/>
          <w:sz w:val="28"/>
          <w:szCs w:val="28"/>
        </w:rPr>
        <w:t>特此证明。</w:t>
      </w:r>
    </w:p>
    <w:p>
      <w:pPr>
        <w:spacing w:line="480" w:lineRule="auto"/>
        <w:rPr>
          <w:rFonts w:hint="eastAsia" w:ascii="宋体" w:hAnsi="宋体" w:eastAsia="宋体" w:cs="宋体"/>
          <w:color w:val="000000" w:themeColor="text1"/>
          <w:kern w:val="0"/>
          <w:sz w:val="28"/>
          <w:szCs w:val="28"/>
          <w14:textFill>
            <w14:solidFill>
              <w14:schemeClr w14:val="tx1"/>
            </w14:solidFill>
          </w14:textFill>
        </w:rPr>
      </w:pPr>
    </w:p>
    <w:p>
      <w:pPr>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磋商供应商（公章签章）：</w:t>
      </w:r>
    </w:p>
    <w:p>
      <w:pPr>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  期： 年 月 日</w:t>
      </w:r>
    </w:p>
    <w:p>
      <w:pPr>
        <w:spacing w:line="480" w:lineRule="auto"/>
        <w:rPr>
          <w:rFonts w:hint="eastAsia" w:ascii="宋体" w:hAnsi="宋体" w:eastAsia="宋体" w:cs="宋体"/>
          <w:color w:val="000000" w:themeColor="text1"/>
          <w:kern w:val="0"/>
          <w:sz w:val="24"/>
          <w:szCs w:val="24"/>
          <w14:textFill>
            <w14:solidFill>
              <w14:schemeClr w14:val="tx1"/>
            </w14:solidFill>
          </w14:textFill>
        </w:rPr>
      </w:pPr>
    </w:p>
    <w:p>
      <w:pPr>
        <w:spacing w:line="360" w:lineRule="auto"/>
        <w:outlineLvl w:val="1"/>
        <w:rPr>
          <w:rFonts w:hint="eastAsia" w:ascii="宋体" w:hAnsi="宋体" w:eastAsia="宋体" w:cs="宋体"/>
          <w:bCs/>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Cs/>
          <w:color w:val="000000" w:themeColor="text1"/>
          <w:sz w:val="28"/>
          <w:szCs w:val="28"/>
          <w14:textFill>
            <w14:solidFill>
              <w14:schemeClr w14:val="tx1"/>
            </w14:solidFill>
          </w14:textFill>
        </w:rPr>
      </w:pPr>
    </w:p>
    <w:p>
      <w:pPr>
        <w:spacing w:line="360" w:lineRule="auto"/>
        <w:rPr>
          <w:rFonts w:hint="eastAsia" w:ascii="宋体" w:hAnsi="宋体" w:eastAsia="宋体" w:cs="宋体"/>
          <w:bCs/>
          <w:color w:val="000000" w:themeColor="text1"/>
          <w:sz w:val="28"/>
          <w:szCs w:val="28"/>
          <w14:textFill>
            <w14:solidFill>
              <w14:schemeClr w14:val="tx1"/>
            </w14:solidFill>
          </w14:textFill>
        </w:rPr>
      </w:pPr>
      <w:bookmarkStart w:id="34" w:name="_Toc109675041"/>
      <w:r>
        <w:rPr>
          <w:rFonts w:hint="eastAsia" w:ascii="宋体" w:hAnsi="宋体" w:eastAsia="宋体" w:cs="宋体"/>
          <w:color w:val="000000" w:themeColor="text1"/>
          <w:sz w:val="28"/>
          <w:szCs w:val="28"/>
          <w14:textFill>
            <w14:solidFill>
              <w14:schemeClr w14:val="tx1"/>
            </w14:solidFill>
          </w14:textFill>
        </w:rPr>
        <w:t>（后附法定代表人身份证正反面原件扫描件）</w:t>
      </w:r>
      <w:bookmarkEnd w:id="34"/>
    </w:p>
    <w:p>
      <w:pPr>
        <w:pStyle w:val="4"/>
        <w:numPr>
          <w:ilvl w:val="1"/>
          <w:numId w:val="0"/>
        </w:numPr>
        <w:rPr>
          <w:rFonts w:hint="eastAsia" w:ascii="宋体" w:hAnsi="宋体" w:eastAsia="宋体" w:cs="宋体"/>
          <w:b/>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bookmarkStart w:id="35" w:name="_Toc1346"/>
      <w:r>
        <w:rPr>
          <w:rFonts w:hint="eastAsia" w:ascii="宋体" w:hAnsi="宋体" w:eastAsia="宋体" w:cs="宋体"/>
          <w:b/>
          <w:color w:val="000000" w:themeColor="text1"/>
          <w:kern w:val="2"/>
          <w:sz w:val="32"/>
          <w:szCs w:val="32"/>
          <w:lang w:val="en-US" w:eastAsia="zh-CN" w:bidi="ar-SA"/>
          <w14:textFill>
            <w14:solidFill>
              <w14:schemeClr w14:val="tx1"/>
            </w14:solidFill>
          </w14:textFill>
        </w:rPr>
        <w:t>二、授权委托书</w:t>
      </w:r>
      <w:bookmarkEnd w:id="35"/>
    </w:p>
    <w:p>
      <w:pPr>
        <w:widowControl/>
        <w:spacing w:line="480" w:lineRule="auto"/>
        <w:ind w:firstLine="560" w:firstLineChars="200"/>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本授权委托书声明：我</w:t>
      </w:r>
      <w:r>
        <w:rPr>
          <w:rFonts w:hint="eastAsia" w:ascii="宋体" w:hAnsi="宋体" w:eastAsia="宋体" w:cs="宋体"/>
          <w:color w:val="000000" w:themeColor="text1"/>
          <w:kern w:val="0"/>
          <w:sz w:val="28"/>
          <w:szCs w:val="28"/>
          <w:u w:val="single"/>
          <w14:textFill>
            <w14:solidFill>
              <w14:schemeClr w14:val="tx1"/>
            </w14:solidFill>
          </w14:textFill>
        </w:rPr>
        <w:t>（法定代表人）</w:t>
      </w:r>
      <w:r>
        <w:rPr>
          <w:rFonts w:hint="eastAsia" w:ascii="宋体" w:hAnsi="宋体" w:eastAsia="宋体" w:cs="宋体"/>
          <w:color w:val="000000" w:themeColor="text1"/>
          <w:kern w:val="0"/>
          <w:sz w:val="28"/>
          <w:szCs w:val="28"/>
          <w14:textFill>
            <w14:solidFill>
              <w14:schemeClr w14:val="tx1"/>
            </w14:solidFill>
          </w14:textFill>
        </w:rPr>
        <w:t>（姓名）系</w:t>
      </w:r>
      <w:r>
        <w:rPr>
          <w:rFonts w:hint="eastAsia" w:ascii="宋体" w:hAnsi="宋体" w:eastAsia="宋体" w:cs="宋体"/>
          <w:color w:val="000000" w:themeColor="text1"/>
          <w:kern w:val="0"/>
          <w:sz w:val="28"/>
          <w:szCs w:val="28"/>
          <w:u w:val="single"/>
          <w14:textFill>
            <w14:solidFill>
              <w14:schemeClr w14:val="tx1"/>
            </w14:solidFill>
          </w14:textFill>
        </w:rPr>
        <w:t>（供应商单位名称）</w:t>
      </w:r>
      <w:r>
        <w:rPr>
          <w:rFonts w:hint="eastAsia" w:ascii="宋体" w:hAnsi="宋体" w:eastAsia="宋体" w:cs="宋体"/>
          <w:color w:val="000000" w:themeColor="text1"/>
          <w:kern w:val="0"/>
          <w:sz w:val="28"/>
          <w:szCs w:val="28"/>
          <w14:textFill>
            <w14:solidFill>
              <w14:schemeClr w14:val="tx1"/>
            </w14:solidFill>
          </w14:textFill>
        </w:rPr>
        <w:t>的法定代表人，现授权委托</w:t>
      </w:r>
      <w:r>
        <w:rPr>
          <w:rFonts w:hint="eastAsia" w:ascii="宋体" w:hAnsi="宋体" w:eastAsia="宋体" w:cs="宋体"/>
          <w:color w:val="000000" w:themeColor="text1"/>
          <w:kern w:val="0"/>
          <w:sz w:val="28"/>
          <w:szCs w:val="28"/>
          <w:u w:val="single"/>
          <w14:textFill>
            <w14:solidFill>
              <w14:schemeClr w14:val="tx1"/>
            </w14:solidFill>
          </w14:textFill>
        </w:rPr>
        <w:t xml:space="preserve"> （姓名） </w:t>
      </w:r>
      <w:r>
        <w:rPr>
          <w:rFonts w:hint="eastAsia" w:ascii="宋体" w:hAnsi="宋体" w:eastAsia="宋体" w:cs="宋体"/>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代理人无转委托权，特此委托。</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w:t>
      </w:r>
      <w:r>
        <w:rPr>
          <w:rFonts w:hint="eastAsia" w:ascii="宋体" w:hAnsi="宋体" w:eastAsia="宋体" w:cs="宋体"/>
          <w:color w:val="000000" w:themeColor="text1"/>
          <w:kern w:val="0"/>
          <w:sz w:val="28"/>
          <w:szCs w:val="28"/>
          <w:u w:val="single"/>
          <w14:textFill>
            <w14:solidFill>
              <w14:schemeClr w14:val="tx1"/>
            </w14:solidFill>
          </w14:textFill>
        </w:rPr>
        <w:t xml:space="preserve"> （公章签章）</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w:t>
      </w:r>
      <w:r>
        <w:rPr>
          <w:rFonts w:hint="eastAsia" w:ascii="宋体" w:hAnsi="宋体" w:eastAsia="宋体" w:cs="宋体"/>
          <w:color w:val="000000" w:themeColor="text1"/>
          <w:kern w:val="0"/>
          <w:sz w:val="28"/>
          <w:szCs w:val="28"/>
          <w:u w:val="single"/>
          <w14:textFill>
            <w14:solidFill>
              <w14:schemeClr w14:val="tx1"/>
            </w14:solidFill>
          </w14:textFill>
        </w:rPr>
        <w:t xml:space="preserve"> （签电子章）</w:t>
      </w: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授权委托日期：年  月  日</w:t>
      </w:r>
      <w:bookmarkStart w:id="36" w:name="_Toc169921411"/>
      <w:bookmarkEnd w:id="36"/>
      <w:bookmarkStart w:id="37" w:name="_Toc223432391"/>
      <w:bookmarkEnd w:id="37"/>
      <w:bookmarkStart w:id="38" w:name="_Toc171073046"/>
      <w:bookmarkEnd w:id="38"/>
      <w:bookmarkStart w:id="39" w:name="_Toc171073211"/>
      <w:bookmarkEnd w:id="39"/>
    </w:p>
    <w:p>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附：法人和被授权人身份证</w:t>
      </w:r>
      <w:r>
        <w:rPr>
          <w:rFonts w:hint="eastAsia" w:ascii="宋体" w:hAnsi="宋体" w:eastAsia="宋体" w:cs="宋体"/>
          <w:color w:val="000000" w:themeColor="text1"/>
          <w:kern w:val="0"/>
          <w:sz w:val="28"/>
          <w:szCs w:val="28"/>
          <w:lang w:eastAsia="zh-CN"/>
          <w14:textFill>
            <w14:solidFill>
              <w14:schemeClr w14:val="tx1"/>
            </w14:solidFill>
          </w14:textFill>
        </w:rPr>
        <w:t>扫描</w:t>
      </w:r>
      <w:r>
        <w:rPr>
          <w:rFonts w:hint="eastAsia" w:ascii="宋体" w:hAnsi="宋体" w:eastAsia="宋体" w:cs="宋体"/>
          <w:color w:val="000000" w:themeColor="text1"/>
          <w:kern w:val="0"/>
          <w:sz w:val="28"/>
          <w:szCs w:val="28"/>
          <w14:textFill>
            <w14:solidFill>
              <w14:schemeClr w14:val="tx1"/>
            </w14:solidFill>
          </w14:textFill>
        </w:rPr>
        <w:t>件</w:t>
      </w:r>
      <w:bookmarkStart w:id="40" w:name="_Toc438305223"/>
    </w:p>
    <w:p>
      <w:pPr>
        <w:rPr>
          <w:rFonts w:hint="eastAsia" w:ascii="宋体" w:hAnsi="宋体" w:eastAsia="宋体" w:cs="宋体"/>
          <w:b/>
          <w:sz w:val="32"/>
          <w:szCs w:val="20"/>
        </w:rPr>
      </w:pPr>
      <w:r>
        <w:rPr>
          <w:rFonts w:hint="eastAsia" w:ascii="宋体" w:hAnsi="宋体" w:eastAsia="宋体" w:cs="宋体"/>
          <w:b/>
          <w:sz w:val="32"/>
          <w:szCs w:val="20"/>
        </w:rPr>
        <w:br w:type="page"/>
      </w:r>
    </w:p>
    <w:p>
      <w:pPr>
        <w:pStyle w:val="4"/>
        <w:numPr>
          <w:ilvl w:val="1"/>
          <w:numId w:val="0"/>
        </w:numPr>
        <w:rPr>
          <w:rFonts w:hint="eastAsia" w:ascii="宋体" w:hAnsi="宋体" w:eastAsia="宋体" w:cs="宋体"/>
        </w:rPr>
      </w:pPr>
      <w:bookmarkStart w:id="41" w:name="_Toc2363"/>
      <w:r>
        <w:rPr>
          <w:rFonts w:hint="eastAsia" w:ascii="宋体" w:hAnsi="宋体" w:eastAsia="宋体" w:cs="宋体"/>
        </w:rPr>
        <w:t>三、磋 商 函</w:t>
      </w:r>
      <w:bookmarkEnd w:id="41"/>
    </w:p>
    <w:p>
      <w:pPr>
        <w:widowControl/>
        <w:spacing w:line="480" w:lineRule="auto"/>
        <w:jc w:val="left"/>
        <w:rPr>
          <w:rFonts w:hint="eastAsia" w:ascii="宋体" w:hAnsi="宋体" w:eastAsia="宋体" w:cs="宋体"/>
          <w:color w:val="000000" w:themeColor="text1"/>
          <w:kern w:val="0"/>
          <w:sz w:val="28"/>
          <w:szCs w:val="28"/>
          <w14:textFill>
            <w14:solidFill>
              <w14:schemeClr w14:val="tx1"/>
            </w14:solidFill>
          </w14:textFill>
        </w:rPr>
      </w:pPr>
      <w:bookmarkStart w:id="42" w:name="OLE_LINK11"/>
      <w:bookmarkEnd w:id="42"/>
      <w:bookmarkStart w:id="43" w:name="OLE_LINK7"/>
      <w:r>
        <w:rPr>
          <w:rFonts w:hint="eastAsia" w:ascii="宋体" w:hAnsi="宋体" w:eastAsia="宋体" w:cs="宋体"/>
          <w:color w:val="000000" w:themeColor="text1"/>
          <w:spacing w:val="46"/>
          <w:kern w:val="0"/>
          <w:sz w:val="28"/>
          <w:szCs w:val="28"/>
          <w14:textFill>
            <w14:solidFill>
              <w14:schemeClr w14:val="tx1"/>
            </w14:solidFill>
          </w14:textFill>
        </w:rPr>
        <w:t>致</w:t>
      </w:r>
      <w:bookmarkEnd w:id="43"/>
      <w:r>
        <w:rPr>
          <w:rFonts w:hint="eastAsia" w:ascii="宋体" w:hAnsi="宋体" w:eastAsia="宋体" w:cs="宋体"/>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8"/>
          <w:szCs w:val="28"/>
          <w14:textFill>
            <w14:solidFill>
              <w14:schemeClr w14:val="tx1"/>
            </w14:solidFill>
          </w14:textFill>
        </w:rPr>
        <w:t>：</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我方已仔细研究了</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（小写：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元）的投标总报价对本项目进行第一轮报价，</w:t>
      </w:r>
      <w:r>
        <w:rPr>
          <w:rFonts w:hint="eastAsia" w:ascii="宋体" w:hAnsi="宋体" w:eastAsia="宋体" w:cs="宋体"/>
          <w:sz w:val="28"/>
          <w:szCs w:val="28"/>
          <w:lang w:val="en-US" w:eastAsia="zh-CN"/>
        </w:rPr>
        <w:t>编制周期</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u w:val="none"/>
          <w:lang w:eastAsia="zh-CN"/>
          <w14:textFill>
            <w14:solidFill>
              <w14:schemeClr w14:val="tx1"/>
            </w14:solidFill>
          </w14:textFill>
        </w:rPr>
        <w:t>，质量要求</w:t>
      </w:r>
      <w:r>
        <w:rPr>
          <w:rFonts w:hint="eastAsia" w:ascii="宋体" w:hAnsi="宋体" w:eastAsia="宋体" w:cs="宋体"/>
          <w:color w:val="000000" w:themeColor="text1"/>
          <w:kern w:val="0"/>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kern w:val="0"/>
          <w:sz w:val="28"/>
          <w:szCs w:val="28"/>
          <w:u w:val="none"/>
          <w:lang w:eastAsia="zh-CN"/>
          <w14:textFill>
            <w14:solidFill>
              <w14:schemeClr w14:val="tx1"/>
            </w14:solidFill>
          </w14:textFill>
        </w:rPr>
        <w:t>。</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．我方承诺在响应文件递交截止之日起</w:t>
      </w:r>
      <w:r>
        <w:rPr>
          <w:rFonts w:hint="eastAsia" w:ascii="宋体" w:hAnsi="宋体" w:eastAsia="宋体" w:cs="宋体"/>
          <w:color w:val="000000" w:themeColor="text1"/>
          <w:kern w:val="0"/>
          <w:sz w:val="28"/>
          <w:szCs w:val="28"/>
          <w:u w:val="single"/>
          <w:lang w:val="en-US"/>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日历天内不修改、撤销响应文件。</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我方承认</w:t>
      </w:r>
      <w:r>
        <w:rPr>
          <w:rFonts w:hint="eastAsia" w:ascii="宋体" w:hAnsi="宋体" w:eastAsia="宋体" w:cs="宋体"/>
          <w:color w:val="000000" w:themeColor="text1"/>
          <w:kern w:val="0"/>
          <w:sz w:val="28"/>
          <w:szCs w:val="28"/>
          <w:lang w:val="en-US"/>
          <w14:textFill>
            <w14:solidFill>
              <w14:schemeClr w14:val="tx1"/>
            </w14:solidFill>
          </w14:textFill>
        </w:rPr>
        <w:t>响应</w:t>
      </w:r>
      <w:r>
        <w:rPr>
          <w:rFonts w:hint="eastAsia" w:ascii="宋体" w:hAnsi="宋体" w:eastAsia="宋体" w:cs="宋体"/>
          <w:color w:val="000000" w:themeColor="text1"/>
          <w:kern w:val="0"/>
          <w:sz w:val="28"/>
          <w:szCs w:val="28"/>
          <w14:textFill>
            <w14:solidFill>
              <w14:schemeClr w14:val="tx1"/>
            </w14:solidFill>
          </w14:textFill>
        </w:rPr>
        <w:t>函附表是我方</w:t>
      </w:r>
      <w:r>
        <w:rPr>
          <w:rFonts w:hint="eastAsia" w:ascii="宋体" w:hAnsi="宋体" w:eastAsia="宋体" w:cs="宋体"/>
          <w:color w:val="000000" w:themeColor="text1"/>
          <w:kern w:val="0"/>
          <w:sz w:val="28"/>
          <w:szCs w:val="28"/>
          <w:lang w:val="en-US"/>
          <w14:textFill>
            <w14:solidFill>
              <w14:schemeClr w14:val="tx1"/>
            </w14:solidFill>
          </w14:textFill>
        </w:rPr>
        <w:t>响应</w:t>
      </w:r>
      <w:r>
        <w:rPr>
          <w:rFonts w:hint="eastAsia" w:ascii="宋体" w:hAnsi="宋体" w:eastAsia="宋体" w:cs="宋体"/>
          <w:color w:val="000000" w:themeColor="text1"/>
          <w:kern w:val="0"/>
          <w:sz w:val="28"/>
          <w:szCs w:val="28"/>
          <w14:textFill>
            <w14:solidFill>
              <w14:schemeClr w14:val="tx1"/>
            </w14:solidFill>
          </w14:textFill>
        </w:rPr>
        <w:t>函的组成部分。</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14:textFill>
            <w14:solidFill>
              <w14:schemeClr w14:val="tx1"/>
            </w14:solidFill>
          </w14:textFill>
        </w:rPr>
        <w:t>. 一旦我方成交，我们将按照竞争性磋商文件中规定的各项要求和我们的响应文件中的表述和承诺，按期、按质、按量完成工作内容及义务。</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.我方在此声明，所递交的响应文件及有关资料内容完整、真实和准确。</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．若我方成交，我方承诺按照国家相关规定向代理机构缴纳磋商代理服务费。</w:t>
      </w:r>
    </w:p>
    <w:p>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u w:val="single"/>
          <w:lang w:val="en-US"/>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（其他补充说明）。</w:t>
      </w: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磋商供应商：（公章签章）</w:t>
      </w: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法定代表人：（签电子章）</w:t>
      </w:r>
    </w:p>
    <w:p>
      <w:pPr>
        <w:widowControl/>
        <w:spacing w:line="480" w:lineRule="auto"/>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 xml:space="preserve">日 期： 年 月 日 </w:t>
      </w:r>
    </w:p>
    <w:p>
      <w:pPr>
        <w:pStyle w:val="4"/>
        <w:numPr>
          <w:ilvl w:val="1"/>
          <w:numId w:val="0"/>
        </w:numPr>
        <w:rPr>
          <w:rFonts w:hint="eastAsia" w:ascii="宋体" w:hAnsi="宋体" w:eastAsia="宋体" w:cs="宋体"/>
        </w:rPr>
      </w:pPr>
      <w:r>
        <w:rPr>
          <w:rFonts w:hint="eastAsia" w:ascii="宋体" w:hAnsi="宋体" w:eastAsia="宋体" w:cs="宋体"/>
          <w:bCs/>
          <w:color w:val="000000" w:themeColor="text1"/>
          <w:szCs w:val="21"/>
          <w14:textFill>
            <w14:solidFill>
              <w14:schemeClr w14:val="tx1"/>
            </w14:solidFill>
          </w14:textFill>
        </w:rPr>
        <w:br w:type="page"/>
      </w:r>
      <w:bookmarkStart w:id="44" w:name="_Toc15670"/>
      <w:bookmarkStart w:id="45" w:name="_Toc109675042"/>
      <w:r>
        <w:rPr>
          <w:rFonts w:hint="eastAsia" w:ascii="宋体" w:hAnsi="宋体" w:eastAsia="宋体" w:cs="宋体"/>
        </w:rPr>
        <w:t>四、</w:t>
      </w:r>
      <w:bookmarkEnd w:id="40"/>
      <w:r>
        <w:rPr>
          <w:rFonts w:hint="eastAsia" w:ascii="宋体" w:hAnsi="宋体" w:eastAsia="宋体" w:cs="宋体"/>
        </w:rPr>
        <w:t>磋商函附表</w:t>
      </w:r>
      <w:bookmarkEnd w:id="44"/>
      <w:bookmarkEnd w:id="45"/>
    </w:p>
    <w:tbl>
      <w:tblPr>
        <w:tblStyle w:val="20"/>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98"/>
        <w:gridCol w:w="1849"/>
        <w:gridCol w:w="1465"/>
        <w:gridCol w:w="2692"/>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bookmarkStart w:id="46" w:name="_Toc25552"/>
            <w:r>
              <w:rPr>
                <w:rFonts w:hint="eastAsia" w:ascii="宋体" w:hAnsi="宋体" w:eastAsia="宋体" w:cs="宋体"/>
                <w:color w:val="000000" w:themeColor="text1"/>
                <w:kern w:val="0"/>
                <w:sz w:val="28"/>
                <w:szCs w:val="28"/>
                <w14:textFill>
                  <w14:solidFill>
                    <w14:schemeClr w14:val="tx1"/>
                  </w14:solidFill>
                </w14:textFill>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投标报价</w:t>
            </w:r>
          </w:p>
        </w:tc>
        <w:tc>
          <w:tcPr>
            <w:tcW w:w="6804" w:type="dxa"/>
            <w:gridSpan w:val="4"/>
            <w:tcBorders>
              <w:top w:val="single" w:color="auto" w:sz="6" w:space="0"/>
              <w:left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大写：</w:t>
            </w:r>
          </w:p>
          <w:p>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小写：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sz w:val="28"/>
                <w:szCs w:val="28"/>
                <w:lang w:val="en-US" w:eastAsia="zh-CN"/>
              </w:rPr>
              <w:t>编制周期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质量要求</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磋商</w:t>
            </w:r>
            <w:r>
              <w:rPr>
                <w:rFonts w:hint="eastAsia" w:ascii="宋体" w:hAnsi="宋体" w:eastAsia="宋体" w:cs="宋体"/>
                <w:color w:val="000000" w:themeColor="text1"/>
                <w:kern w:val="0"/>
                <w:sz w:val="28"/>
                <w:szCs w:val="28"/>
                <w14:textFill>
                  <w14:solidFill>
                    <w14:schemeClr w14:val="tx1"/>
                  </w14:solidFill>
                </w14:textFill>
              </w:rPr>
              <w:t>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项目负责人</w:t>
            </w:r>
          </w:p>
        </w:tc>
        <w:tc>
          <w:tcPr>
            <w:tcW w:w="798"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姓名</w:t>
            </w:r>
          </w:p>
        </w:tc>
        <w:tc>
          <w:tcPr>
            <w:tcW w:w="1849"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c>
          <w:tcPr>
            <w:tcW w:w="146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280" w:firstLineChars="100"/>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职称</w:t>
            </w:r>
          </w:p>
        </w:tc>
        <w:tc>
          <w:tcPr>
            <w:tcW w:w="2692"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bl>
    <w:p>
      <w:pPr>
        <w:rPr>
          <w:rFonts w:hint="eastAsia" w:ascii="宋体" w:hAnsi="宋体" w:eastAsia="宋体" w:cs="宋体"/>
          <w:szCs w:val="24"/>
        </w:rPr>
      </w:pPr>
    </w:p>
    <w:p>
      <w:pPr>
        <w:spacing w:line="360" w:lineRule="auto"/>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rPr>
      </w:pP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磋商供应商：（公章签章）</w:t>
      </w:r>
    </w:p>
    <w:p>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法定代表人：（签电子章）</w:t>
      </w:r>
    </w:p>
    <w:p>
      <w:pPr>
        <w:widowControl/>
        <w:spacing w:line="480" w:lineRule="auto"/>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 xml:space="preserve">日 期： 年 月 日 </w:t>
      </w:r>
    </w:p>
    <w:p>
      <w:pPr>
        <w:widowControl/>
        <w:spacing w:line="480" w:lineRule="auto"/>
        <w:jc w:val="left"/>
        <w:rPr>
          <w:rFonts w:hint="eastAsia" w:ascii="宋体" w:hAnsi="宋体" w:eastAsia="宋体" w:cs="宋体"/>
          <w:color w:val="000000" w:themeColor="text1"/>
          <w:kern w:val="0"/>
          <w:sz w:val="28"/>
          <w:szCs w:val="28"/>
          <w14:textFill>
            <w14:solidFill>
              <w14:schemeClr w14:val="tx1"/>
            </w14:solidFill>
          </w14:textFill>
        </w:rPr>
      </w:pPr>
    </w:p>
    <w:p>
      <w:pPr>
        <w:pStyle w:val="4"/>
        <w:numPr>
          <w:ilvl w:val="1"/>
          <w:numId w:val="0"/>
        </w:numPr>
        <w:rPr>
          <w:rFonts w:hint="eastAsia" w:ascii="宋体" w:hAnsi="宋体" w:eastAsia="宋体" w:cs="宋体"/>
        </w:rPr>
      </w:pPr>
      <w:r>
        <w:rPr>
          <w:rFonts w:hint="eastAsia" w:ascii="宋体" w:hAnsi="宋体" w:eastAsia="宋体" w:cs="宋体"/>
          <w:color w:val="000000" w:themeColor="text1"/>
          <w:kern w:val="0"/>
          <w:sz w:val="28"/>
          <w:szCs w:val="28"/>
          <w14:textFill>
            <w14:solidFill>
              <w14:schemeClr w14:val="tx1"/>
            </w14:solidFill>
          </w14:textFill>
        </w:rPr>
        <w:br w:type="page"/>
      </w:r>
      <w:bookmarkStart w:id="47" w:name="_Toc14403"/>
      <w:r>
        <w:rPr>
          <w:rFonts w:hint="eastAsia" w:ascii="宋体" w:hAnsi="宋体" w:eastAsia="宋体" w:cs="宋体"/>
          <w:lang w:eastAsia="zh-CN"/>
        </w:rPr>
        <w:t>五</w:t>
      </w:r>
      <w:r>
        <w:rPr>
          <w:rFonts w:hint="eastAsia" w:ascii="宋体" w:hAnsi="宋体" w:eastAsia="宋体" w:cs="宋体"/>
        </w:rPr>
        <w:t>、供应商基本情况表</w:t>
      </w:r>
      <w:bookmarkEnd w:id="47"/>
    </w:p>
    <w:p>
      <w:pPr>
        <w:widowControl/>
        <w:jc w:val="center"/>
        <w:rPr>
          <w:rFonts w:hint="eastAsia" w:ascii="宋体" w:hAnsi="宋体" w:eastAsia="宋体" w:cs="宋体"/>
          <w:b/>
          <w:bCs/>
          <w:color w:val="000000" w:themeColor="text1"/>
          <w:kern w:val="0"/>
          <w:sz w:val="32"/>
          <w:szCs w:val="32"/>
          <w14:textFill>
            <w14:solidFill>
              <w14:schemeClr w14:val="tx1"/>
            </w14:solidFill>
          </w14:textFill>
        </w:rPr>
      </w:pPr>
      <w:bookmarkStart w:id="48" w:name="_Toc30144"/>
      <w:r>
        <w:rPr>
          <w:rFonts w:hint="eastAsia" w:ascii="宋体" w:hAnsi="宋体" w:eastAsia="宋体" w:cs="宋体"/>
          <w:b/>
          <w:bCs/>
          <w:sz w:val="28"/>
          <w:szCs w:val="28"/>
        </w:rPr>
        <w:t>（一）投标人基本情况表</w:t>
      </w:r>
      <w:bookmarkEnd w:id="48"/>
    </w:p>
    <w:tbl>
      <w:tblPr>
        <w:tblStyle w:val="20"/>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0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电话</w:t>
            </w:r>
          </w:p>
        </w:tc>
        <w:tc>
          <w:tcPr>
            <w:tcW w:w="20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24"/>
                <w:szCs w:val="24"/>
              </w:rPr>
            </w:pPr>
          </w:p>
        </w:tc>
        <w:tc>
          <w:tcPr>
            <w:tcW w:w="10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网址</w:t>
            </w:r>
          </w:p>
        </w:tc>
        <w:tc>
          <w:tcPr>
            <w:tcW w:w="20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4552"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员工总人数：</w:t>
            </w:r>
          </w:p>
        </w:tc>
      </w:tr>
      <w:tr>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rPr>
            </w:pPr>
          </w:p>
        </w:tc>
      </w:tr>
    </w:tbl>
    <w:p>
      <w:pPr>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br w:type="page"/>
      </w:r>
    </w:p>
    <w:p>
      <w:pPr>
        <w:keepNext/>
        <w:keepLines/>
        <w:spacing w:line="415" w:lineRule="auto"/>
        <w:ind w:right="210" w:rightChars="100"/>
        <w:jc w:val="center"/>
        <w:outlineLvl w:val="2"/>
        <w:rPr>
          <w:rFonts w:hint="eastAsia" w:ascii="宋体" w:hAnsi="宋体" w:eastAsia="宋体" w:cs="宋体"/>
          <w:b/>
          <w:bCs/>
          <w:sz w:val="28"/>
          <w:szCs w:val="28"/>
        </w:rPr>
      </w:pPr>
      <w:r>
        <w:rPr>
          <w:rFonts w:hint="eastAsia" w:ascii="宋体" w:hAnsi="宋体" w:eastAsia="宋体" w:cs="宋体"/>
          <w:b/>
          <w:bCs/>
          <w:sz w:val="28"/>
          <w:szCs w:val="28"/>
        </w:rPr>
        <w:t>（二）投标人资格证明文件</w:t>
      </w:r>
    </w:p>
    <w:p>
      <w:pPr>
        <w:widowControl/>
        <w:rPr>
          <w:rFonts w:hint="eastAsia" w:ascii="宋体" w:hAnsi="宋体" w:eastAsia="宋体" w:cs="宋体"/>
          <w:color w:val="000000" w:themeColor="text1"/>
          <w:kern w:val="0"/>
          <w:sz w:val="32"/>
          <w:szCs w:val="32"/>
          <w14:textFill>
            <w14:solidFill>
              <w14:schemeClr w14:val="tx1"/>
            </w14:solidFill>
          </w14:textFill>
        </w:rPr>
      </w:pPr>
    </w:p>
    <w:p>
      <w:pPr>
        <w:widowControl/>
        <w:jc w:val="center"/>
        <w:rPr>
          <w:rFonts w:hint="eastAsia" w:ascii="宋体" w:hAnsi="宋体" w:eastAsia="宋体" w:cs="宋体"/>
          <w:color w:val="000000" w:themeColor="text1"/>
          <w:kern w:val="0"/>
          <w:sz w:val="32"/>
          <w:szCs w:val="32"/>
          <w14:textFill>
            <w14:solidFill>
              <w14:schemeClr w14:val="tx1"/>
            </w14:solidFill>
          </w14:textFill>
        </w:rPr>
      </w:pPr>
    </w:p>
    <w:p>
      <w:pPr>
        <w:widowControl/>
        <w:jc w:val="center"/>
        <w:rPr>
          <w:rFonts w:hint="eastAsia" w:ascii="宋体" w:hAnsi="宋体" w:eastAsia="宋体" w:cs="宋体"/>
          <w:color w:val="000000" w:themeColor="text1"/>
          <w:kern w:val="0"/>
          <w:sz w:val="32"/>
          <w:szCs w:val="32"/>
          <w14:textFill>
            <w14:solidFill>
              <w14:schemeClr w14:val="tx1"/>
            </w14:solidFill>
          </w14:textFill>
        </w:rPr>
      </w:pPr>
    </w:p>
    <w:p>
      <w:pPr>
        <w:widowControl/>
        <w:jc w:val="left"/>
        <w:rPr>
          <w:rFonts w:hint="eastAsia" w:ascii="宋体" w:hAnsi="宋体" w:eastAsia="宋体" w:cs="宋体"/>
          <w:color w:val="000000" w:themeColor="text1"/>
          <w:kern w:val="0"/>
          <w:sz w:val="28"/>
          <w:szCs w:val="28"/>
          <w14:textFill>
            <w14:solidFill>
              <w14:schemeClr w14:val="tx1"/>
            </w14:solidFill>
          </w14:textFill>
        </w:rPr>
      </w:pPr>
    </w:p>
    <w:p>
      <w:pP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pPr>
        <w:keepNext/>
        <w:keepLines/>
        <w:spacing w:line="415" w:lineRule="auto"/>
        <w:ind w:right="210" w:rightChars="100"/>
        <w:jc w:val="center"/>
        <w:outlineLvl w:val="2"/>
        <w:rPr>
          <w:rFonts w:hint="eastAsia" w:ascii="宋体" w:hAnsi="宋体" w:eastAsia="宋体" w:cs="宋体"/>
          <w:b/>
          <w:bCs/>
          <w:sz w:val="28"/>
          <w:szCs w:val="28"/>
        </w:rPr>
      </w:pPr>
      <w:bookmarkStart w:id="49" w:name="_Toc15887"/>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近年来完成的类似项目情况表</w:t>
      </w:r>
    </w:p>
    <w:tbl>
      <w:tblPr>
        <w:tblStyle w:val="20"/>
        <w:tblpPr w:leftFromText="180" w:rightFromText="180" w:vertAnchor="text" w:horzAnchor="page" w:tblpX="1775" w:tblpY="4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w:t>
            </w:r>
            <w:r>
              <w:rPr>
                <w:rFonts w:hint="eastAsia" w:ascii="宋体" w:hAnsi="宋体" w:cs="宋体"/>
                <w:sz w:val="24"/>
                <w:szCs w:val="24"/>
                <w:lang w:val="en-US" w:eastAsia="zh-CN"/>
              </w:rPr>
              <w:t>周期</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99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58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pPr>
        <w:spacing w:line="440" w:lineRule="exact"/>
        <w:ind w:left="660" w:leftChars="200" w:hanging="240" w:hangingChars="100"/>
        <w:rPr>
          <w:rFonts w:hint="eastAsia" w:ascii="宋体" w:hAnsi="宋体" w:eastAsia="宋体" w:cs="宋体"/>
          <w:sz w:val="24"/>
          <w:szCs w:val="24"/>
        </w:rPr>
      </w:pPr>
    </w:p>
    <w:p>
      <w:pPr>
        <w:widowControl/>
        <w:jc w:val="center"/>
        <w:rPr>
          <w:rFonts w:hint="eastAsia" w:ascii="宋体" w:hAnsi="宋体" w:eastAsia="宋体" w:cs="宋体"/>
          <w:color w:val="000000" w:themeColor="text1"/>
          <w:kern w:val="0"/>
          <w:sz w:val="32"/>
          <w:szCs w:val="32"/>
          <w:lang w:eastAsia="zh-CN"/>
          <w14:textFill>
            <w14:solidFill>
              <w14:schemeClr w14:val="tx1"/>
            </w14:solidFill>
          </w14:textFill>
        </w:rPr>
      </w:pPr>
    </w:p>
    <w:p>
      <w:pPr>
        <w:widowControl/>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备注：本表后附合同协议书的扫描件，具体年份要求2022年1月1日以来。每张表格只填写一个项目，并标明序号。</w:t>
      </w:r>
    </w:p>
    <w:p>
      <w:pPr>
        <w:widowControl/>
        <w:jc w:val="center"/>
        <w:rPr>
          <w:rFonts w:hint="eastAsia" w:ascii="宋体" w:hAnsi="宋体" w:eastAsia="宋体" w:cs="宋体"/>
          <w:color w:val="000000" w:themeColor="text1"/>
          <w:kern w:val="0"/>
          <w:sz w:val="32"/>
          <w:szCs w:val="32"/>
          <w:lang w:eastAsia="zh-CN"/>
          <w14:textFill>
            <w14:solidFill>
              <w14:schemeClr w14:val="tx1"/>
            </w14:solidFill>
          </w14:textFill>
        </w:rPr>
      </w:pPr>
    </w:p>
    <w:p>
      <w:pPr>
        <w:pStyle w:val="2"/>
        <w:rPr>
          <w:rFonts w:hint="eastAsia"/>
          <w:lang w:eastAsia="zh-CN"/>
        </w:rPr>
      </w:pPr>
    </w:p>
    <w:p>
      <w:pPr>
        <w:rPr>
          <w:rFonts w:hint="eastAsia"/>
          <w:lang w:eastAsia="zh-CN"/>
        </w:rPr>
      </w:pPr>
    </w:p>
    <w:p>
      <w:pPr>
        <w:rPr>
          <w:rFonts w:hint="eastAsia" w:ascii="宋体" w:hAnsi="宋体" w:eastAsia="宋体" w:cs="宋体"/>
          <w:lang w:eastAsia="zh-CN"/>
        </w:rPr>
      </w:pPr>
      <w:bookmarkStart w:id="80" w:name="_GoBack"/>
      <w:bookmarkEnd w:id="80"/>
    </w:p>
    <w:p>
      <w:pPr>
        <w:pStyle w:val="4"/>
        <w:numPr>
          <w:ilvl w:val="1"/>
          <w:numId w:val="0"/>
        </w:numPr>
        <w:rPr>
          <w:rFonts w:hint="eastAsia" w:ascii="宋体" w:hAnsi="宋体" w:eastAsia="宋体" w:cs="宋体"/>
          <w:lang w:eastAsia="zh-CN"/>
        </w:rPr>
      </w:pPr>
      <w:r>
        <w:rPr>
          <w:rFonts w:hint="eastAsia" w:ascii="宋体" w:hAnsi="宋体" w:eastAsia="宋体" w:cs="宋体"/>
          <w:lang w:eastAsia="zh-CN"/>
        </w:rPr>
        <w:t>六</w:t>
      </w:r>
      <w:r>
        <w:rPr>
          <w:rFonts w:hint="eastAsia" w:ascii="宋体" w:hAnsi="宋体" w:eastAsia="宋体" w:cs="宋体"/>
        </w:rPr>
        <w:t>、</w:t>
      </w:r>
      <w:r>
        <w:rPr>
          <w:rFonts w:hint="eastAsia" w:ascii="宋体" w:hAnsi="宋体" w:eastAsia="宋体" w:cs="宋体"/>
          <w:lang w:eastAsia="zh-CN"/>
        </w:rPr>
        <w:t>技术部分</w:t>
      </w:r>
      <w:bookmarkEnd w:id="49"/>
    </w:p>
    <w:p>
      <w:pPr>
        <w:spacing w:line="360" w:lineRule="auto"/>
        <w:jc w:val="center"/>
        <w:rPr>
          <w:rFonts w:hint="eastAsia" w:ascii="宋体" w:hAnsi="宋体" w:eastAsia="宋体" w:cs="宋体"/>
          <w:b/>
          <w:bCs/>
          <w:color w:val="000000" w:themeColor="text1"/>
          <w:kern w:val="0"/>
          <w:sz w:val="32"/>
          <w:szCs w:val="32"/>
          <w14:textFill>
            <w14:solidFill>
              <w14:schemeClr w14:val="tx1"/>
            </w14:solidFill>
          </w14:textFill>
        </w:rPr>
      </w:pPr>
    </w:p>
    <w:p>
      <w:pPr>
        <w:keepNext/>
        <w:keepLines/>
        <w:spacing w:line="415" w:lineRule="auto"/>
        <w:ind w:right="210" w:rightChars="100"/>
        <w:jc w:val="center"/>
        <w:outlineLvl w:val="2"/>
        <w:rPr>
          <w:rFonts w:hint="eastAsia" w:ascii="宋体" w:hAnsi="宋体" w:eastAsia="宋体" w:cs="宋体"/>
          <w:b/>
          <w:bCs/>
          <w:sz w:val="28"/>
          <w:szCs w:val="28"/>
        </w:rPr>
      </w:pPr>
      <w:r>
        <w:rPr>
          <w:rFonts w:hint="eastAsia" w:ascii="宋体" w:hAnsi="宋体" w:eastAsia="宋体" w:cs="宋体"/>
          <w:b/>
          <w:bCs/>
          <w:sz w:val="28"/>
          <w:szCs w:val="28"/>
        </w:rPr>
        <w:t>（投标人根据本项目实际情况编写）</w:t>
      </w:r>
    </w:p>
    <w:p>
      <w:pPr>
        <w:pStyle w:val="4"/>
        <w:numPr>
          <w:ilvl w:val="1"/>
          <w:numId w:val="0"/>
        </w:numPr>
        <w:rPr>
          <w:rFonts w:hint="eastAsia" w:ascii="宋体" w:hAnsi="宋体" w:eastAsia="宋体" w:cs="宋体"/>
          <w:lang w:val="en-US" w:eastAsia="zh-CN"/>
        </w:rPr>
      </w:pPr>
      <w:r>
        <w:rPr>
          <w:rFonts w:hint="eastAsia" w:ascii="宋体" w:hAnsi="宋体" w:eastAsia="宋体" w:cs="宋体"/>
          <w:color w:val="000000" w:themeColor="text1"/>
          <w:kern w:val="0"/>
          <w:sz w:val="28"/>
          <w:szCs w:val="28"/>
          <w14:textFill>
            <w14:solidFill>
              <w14:schemeClr w14:val="tx1"/>
            </w14:solidFill>
          </w14:textFill>
        </w:rPr>
        <w:br w:type="page"/>
      </w:r>
      <w:bookmarkEnd w:id="46"/>
      <w:bookmarkStart w:id="50" w:name="_Toc21500"/>
      <w:r>
        <w:rPr>
          <w:rFonts w:hint="eastAsia" w:ascii="宋体" w:hAnsi="宋体" w:eastAsia="宋体" w:cs="宋体"/>
          <w:lang w:val="en-US" w:eastAsia="zh-CN"/>
        </w:rPr>
        <w:t>七、商务部分</w:t>
      </w:r>
      <w:bookmarkEnd w:id="50"/>
    </w:p>
    <w:p>
      <w:pPr>
        <w:numPr>
          <w:ilvl w:val="1"/>
          <w:numId w:val="0"/>
        </w:numPr>
        <w:tabs>
          <w:tab w:val="left" w:pos="840"/>
        </w:tabs>
        <w:jc w:val="center"/>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（投标人根据本项目实际情况编写）</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4"/>
        <w:numPr>
          <w:ilvl w:val="1"/>
          <w:numId w:val="0"/>
        </w:numPr>
        <w:rPr>
          <w:rFonts w:hint="eastAsia" w:ascii="宋体" w:hAnsi="宋体" w:eastAsia="宋体" w:cs="宋体"/>
          <w:b/>
          <w:bCs/>
          <w:sz w:val="24"/>
        </w:rPr>
      </w:pPr>
      <w:bookmarkStart w:id="51" w:name="_Toc14263"/>
      <w:bookmarkStart w:id="52" w:name="_Toc4325"/>
      <w:r>
        <w:rPr>
          <w:rFonts w:hint="eastAsia" w:ascii="宋体" w:hAnsi="宋体" w:eastAsia="宋体" w:cs="宋体"/>
          <w:lang w:val="en-US" w:eastAsia="zh-CN"/>
        </w:rPr>
        <w:t>八</w:t>
      </w:r>
      <w:r>
        <w:rPr>
          <w:rFonts w:hint="eastAsia" w:ascii="宋体" w:hAnsi="宋体" w:eastAsia="宋体" w:cs="宋体"/>
        </w:rPr>
        <w:t>、</w:t>
      </w:r>
      <w:r>
        <w:rPr>
          <w:rFonts w:hint="eastAsia" w:ascii="宋体" w:hAnsi="宋体" w:eastAsia="宋体" w:cs="宋体"/>
          <w:lang w:val="zh-CN"/>
        </w:rPr>
        <w:t>其他资料</w:t>
      </w:r>
      <w:bookmarkEnd w:id="51"/>
      <w:bookmarkEnd w:id="52"/>
      <w:bookmarkStart w:id="53" w:name="_Toc45"/>
      <w:bookmarkStart w:id="54" w:name="_Toc7119"/>
      <w:bookmarkStart w:id="55" w:name="_Toc15612"/>
      <w:bookmarkStart w:id="56" w:name="_Toc26103"/>
      <w:bookmarkStart w:id="57" w:name="_Toc20348"/>
      <w:bookmarkStart w:id="58" w:name="_Toc23107"/>
    </w:p>
    <w:bookmarkEnd w:id="53"/>
    <w:bookmarkEnd w:id="54"/>
    <w:bookmarkEnd w:id="55"/>
    <w:bookmarkEnd w:id="56"/>
    <w:bookmarkEnd w:id="57"/>
    <w:bookmarkEnd w:id="58"/>
    <w:p>
      <w:pPr>
        <w:widowControl/>
        <w:spacing w:before="100" w:beforeAutospacing="1" w:after="100" w:afterAutospacing="1" w:line="360" w:lineRule="auto"/>
        <w:jc w:val="center"/>
        <w:rPr>
          <w:rFonts w:hint="eastAsia" w:ascii="宋体" w:hAnsi="宋体" w:eastAsia="宋体" w:cs="宋体"/>
          <w:b/>
          <w:bCs/>
          <w:sz w:val="24"/>
        </w:rPr>
      </w:pPr>
      <w:r>
        <w:rPr>
          <w:rFonts w:hint="eastAsia" w:ascii="宋体" w:hAnsi="宋体" w:eastAsia="宋体" w:cs="宋体"/>
          <w:b/>
          <w:bCs/>
          <w:sz w:val="24"/>
        </w:rPr>
        <w:t>1.中小企业声明函（工程、服务）</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(联合体)参加</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(单位名称)的</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3"/>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(标的名称）,属于</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文件中明确的所属行业</w:t>
      </w:r>
      <w:r>
        <w:rPr>
          <w:rFonts w:hint="eastAsia" w:ascii="宋体" w:hAnsi="宋体" w:eastAsia="宋体" w:cs="宋体"/>
          <w:kern w:val="0"/>
          <w:sz w:val="24"/>
          <w:szCs w:val="24"/>
          <w:lang w:eastAsia="zh-CN"/>
        </w:rPr>
        <w:t>：其他未列明行业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(企业名称)，从业人员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(中型企业、小型企业、微型企业);</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2.(标的名称)，属于(</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文件中明确的所属行业);承建(承接)企业为(企业名称)，从业人员人，营业收入为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spacing w:line="360" w:lineRule="auto"/>
        <w:ind w:firstLine="480" w:firstLineChars="200"/>
        <w:rPr>
          <w:rFonts w:hint="eastAsia" w:ascii="宋体" w:hAnsi="宋体" w:eastAsia="宋体" w:cs="宋体"/>
          <w:kern w:val="0"/>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w:t>
      </w:r>
      <w:r>
        <w:rPr>
          <w:rFonts w:hint="eastAsia" w:ascii="宋体" w:hAnsi="宋体" w:eastAsia="宋体" w:cs="宋体"/>
          <w:bCs/>
          <w:sz w:val="24"/>
          <w:szCs w:val="24"/>
        </w:rPr>
        <w:t>形。</w:t>
      </w:r>
    </w:p>
    <w:p>
      <w:pPr>
        <w:spacing w:line="360" w:lineRule="auto"/>
        <w:ind w:firstLine="4320" w:firstLineChars="1800"/>
        <w:rPr>
          <w:rFonts w:hint="eastAsia" w:ascii="宋体" w:hAnsi="宋体" w:eastAsia="宋体" w:cs="宋体"/>
          <w:sz w:val="24"/>
          <w:szCs w:val="24"/>
        </w:rPr>
      </w:pPr>
    </w:p>
    <w:p>
      <w:pPr>
        <w:spacing w:line="360" w:lineRule="auto"/>
        <w:ind w:firstLine="560" w:firstLineChars="200"/>
        <w:rPr>
          <w:rFonts w:hint="eastAsia" w:ascii="宋体" w:hAnsi="宋体" w:eastAsia="宋体" w:cs="宋体"/>
          <w:kern w:val="0"/>
          <w:sz w:val="24"/>
          <w:szCs w:val="24"/>
        </w:rPr>
      </w:pPr>
      <w:r>
        <w:rPr>
          <w:rFonts w:hint="eastAsia" w:ascii="宋体" w:hAnsi="宋体" w:eastAsia="宋体" w:cs="宋体"/>
          <w:color w:val="000000" w:themeColor="text1"/>
          <w:kern w:val="0"/>
          <w:sz w:val="28"/>
          <w:szCs w:val="28"/>
          <w14:textFill>
            <w14:solidFill>
              <w14:schemeClr w14:val="tx1"/>
            </w14:solidFill>
          </w14:textFill>
        </w:rPr>
        <w:t xml:space="preserve">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磋商供应商：（公章签章）</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pPr>
        <w:spacing w:line="360" w:lineRule="auto"/>
        <w:ind w:firstLine="4320" w:firstLineChars="1800"/>
        <w:rPr>
          <w:rFonts w:hint="eastAsia" w:ascii="宋体" w:hAnsi="宋体" w:eastAsia="宋体" w:cs="宋体"/>
          <w:kern w:val="0"/>
          <w:sz w:val="24"/>
          <w:szCs w:val="24"/>
        </w:rPr>
      </w:pPr>
    </w:p>
    <w:p>
      <w:pPr>
        <w:widowControl/>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注：从业人员、营业收入、资产总额填报上一年度数据，无上一年度数据的新成立企业可不填报。</w:t>
      </w:r>
    </w:p>
    <w:p>
      <w:pPr>
        <w:widowControl/>
        <w:spacing w:line="340" w:lineRule="exact"/>
        <w:rPr>
          <w:rFonts w:hint="eastAsia" w:ascii="宋体" w:hAnsi="宋体" w:eastAsia="宋体" w:cs="宋体"/>
          <w:b/>
          <w:sz w:val="24"/>
          <w:szCs w:val="24"/>
        </w:rPr>
      </w:pPr>
    </w:p>
    <w:p>
      <w:pPr>
        <w:widowControl/>
        <w:spacing w:before="100" w:beforeAutospacing="1" w:after="100" w:afterAutospacing="1" w:line="360" w:lineRule="auto"/>
        <w:jc w:val="left"/>
        <w:rPr>
          <w:rFonts w:hint="eastAsia" w:ascii="宋体" w:hAnsi="宋体" w:eastAsia="宋体" w:cs="宋体"/>
          <w:b/>
          <w:kern w:val="0"/>
          <w:sz w:val="24"/>
          <w:szCs w:val="24"/>
        </w:rPr>
      </w:pPr>
      <w:r>
        <w:rPr>
          <w:rFonts w:hint="eastAsia" w:ascii="宋体" w:hAnsi="宋体" w:eastAsia="宋体" w:cs="宋体"/>
          <w:sz w:val="24"/>
          <w:szCs w:val="24"/>
        </w:rPr>
        <w:br w:type="page"/>
      </w:r>
      <w:bookmarkStart w:id="59" w:name="_Toc16229659"/>
      <w:bookmarkStart w:id="60" w:name="_Toc532473512"/>
      <w:r>
        <w:rPr>
          <w:rFonts w:hint="eastAsia" w:ascii="宋体" w:hAnsi="宋体" w:eastAsia="宋体" w:cs="宋体"/>
          <w:b/>
          <w:bCs/>
          <w:sz w:val="24"/>
          <w:szCs w:val="24"/>
        </w:rPr>
        <w:t>2.供应商监狱企业声明函</w:t>
      </w:r>
      <w:bookmarkEnd w:id="59"/>
      <w:bookmarkEnd w:id="60"/>
    </w:p>
    <w:p>
      <w:pPr>
        <w:widowControl/>
        <w:spacing w:before="100" w:beforeAutospacing="1" w:after="100" w:afterAutospacing="1"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（属于残疾人福利性单位的填写，不属于的无需填写此项内容）</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本企业（单位）郑重声明下列事项（按照实际情况勾选或填空）：</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本企业（单位）为直接供应商提供本企业（单位）制造的货物。</w:t>
      </w:r>
    </w:p>
    <w:p>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00" w:beforeAutospacing="1" w:after="100" w:afterAutospacing="1" w:line="360" w:lineRule="auto"/>
        <w:ind w:firstLine="475"/>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360" w:lineRule="auto"/>
        <w:jc w:val="left"/>
        <w:rPr>
          <w:rFonts w:hint="eastAsia" w:ascii="宋体" w:hAnsi="宋体" w:eastAsia="宋体" w:cs="宋体"/>
          <w:kern w:val="0"/>
          <w:sz w:val="24"/>
          <w:szCs w:val="24"/>
        </w:rPr>
      </w:pP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磋商供应商（公章签章）：</w:t>
      </w:r>
    </w:p>
    <w:p>
      <w:pPr>
        <w:spacing w:line="360" w:lineRule="auto"/>
        <w:ind w:firstLine="4320" w:firstLineChars="1800"/>
        <w:rPr>
          <w:rFonts w:hint="eastAsia" w:ascii="宋体" w:hAnsi="宋体" w:eastAsia="宋体" w:cs="宋体"/>
          <w:sz w:val="24"/>
          <w:szCs w:val="24"/>
        </w:rPr>
      </w:pP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9"/>
        <w:ind w:firstLine="480"/>
        <w:rPr>
          <w:rFonts w:hint="eastAsia" w:ascii="宋体" w:hAnsi="宋体" w:eastAsia="宋体" w:cs="宋体"/>
          <w:sz w:val="24"/>
          <w:szCs w:val="24"/>
          <w:lang w:eastAsia="zh-CN"/>
        </w:rPr>
      </w:pPr>
    </w:p>
    <w:p>
      <w:pPr>
        <w:pStyle w:val="19"/>
        <w:ind w:firstLine="480"/>
        <w:rPr>
          <w:rFonts w:hint="eastAsia" w:ascii="宋体" w:hAnsi="宋体" w:eastAsia="宋体" w:cs="宋体"/>
          <w:sz w:val="24"/>
          <w:szCs w:val="24"/>
          <w:lang w:eastAsia="zh-CN"/>
        </w:rPr>
      </w:pPr>
    </w:p>
    <w:p>
      <w:pPr>
        <w:pStyle w:val="19"/>
        <w:ind w:firstLine="480"/>
        <w:rPr>
          <w:rFonts w:hint="eastAsia" w:ascii="宋体" w:hAnsi="宋体" w:eastAsia="宋体" w:cs="宋体"/>
          <w:sz w:val="24"/>
          <w:szCs w:val="24"/>
          <w:lang w:eastAsia="zh-CN"/>
        </w:rPr>
      </w:pPr>
    </w:p>
    <w:p>
      <w:pPr>
        <w:pStyle w:val="19"/>
        <w:ind w:firstLine="480"/>
        <w:rPr>
          <w:rFonts w:hint="eastAsia" w:ascii="宋体" w:hAnsi="宋体" w:eastAsia="宋体" w:cs="宋体"/>
          <w:sz w:val="24"/>
          <w:szCs w:val="24"/>
          <w:lang w:eastAsia="zh-CN"/>
        </w:rPr>
      </w:pPr>
    </w:p>
    <w:p>
      <w:pPr>
        <w:pStyle w:val="6"/>
        <w:rPr>
          <w:rFonts w:hint="eastAsia" w:ascii="宋体" w:hAnsi="宋体" w:eastAsia="宋体" w:cs="宋体"/>
        </w:rPr>
      </w:pPr>
    </w:p>
    <w:p>
      <w:pPr>
        <w:pStyle w:val="4"/>
        <w:numPr>
          <w:ilvl w:val="1"/>
          <w:numId w:val="0"/>
        </w:numPr>
        <w:wordWrap w:val="0"/>
        <w:topLinePunct/>
        <w:spacing w:before="0" w:after="0" w:line="360" w:lineRule="auto"/>
        <w:rPr>
          <w:rFonts w:hint="eastAsia" w:ascii="宋体" w:hAnsi="宋体" w:eastAsia="宋体" w:cs="宋体"/>
          <w:bCs/>
          <w:sz w:val="24"/>
          <w:szCs w:val="24"/>
        </w:rPr>
      </w:pPr>
    </w:p>
    <w:p>
      <w:pPr>
        <w:rPr>
          <w:rFonts w:hint="eastAsia" w:ascii="宋体" w:hAnsi="宋体" w:eastAsia="宋体" w:cs="宋体"/>
          <w:sz w:val="24"/>
          <w:szCs w:val="24"/>
        </w:rPr>
      </w:pPr>
    </w:p>
    <w:p>
      <w:pPr>
        <w:widowControl/>
        <w:spacing w:before="100" w:beforeAutospacing="1" w:after="100" w:afterAutospacing="1" w:line="360" w:lineRule="auto"/>
        <w:ind w:firstLine="3120" w:firstLineChars="1300"/>
        <w:jc w:val="left"/>
        <w:rPr>
          <w:rFonts w:hint="eastAsia" w:ascii="宋体" w:hAnsi="宋体" w:eastAsia="宋体" w:cs="宋体"/>
          <w:b/>
          <w:bCs/>
          <w:sz w:val="24"/>
          <w:szCs w:val="24"/>
        </w:rPr>
      </w:pPr>
      <w:r>
        <w:rPr>
          <w:rFonts w:hint="eastAsia" w:ascii="宋体" w:hAnsi="宋体" w:eastAsia="宋体" w:cs="宋体"/>
          <w:bCs/>
          <w:sz w:val="24"/>
          <w:szCs w:val="24"/>
        </w:rPr>
        <w:br w:type="page"/>
      </w:r>
      <w:bookmarkStart w:id="61" w:name="_Toc30542"/>
      <w:bookmarkStart w:id="62" w:name="_Toc15018"/>
      <w:bookmarkStart w:id="63" w:name="_Toc13311"/>
      <w:bookmarkStart w:id="64" w:name="_Toc22043"/>
      <w:r>
        <w:rPr>
          <w:rFonts w:hint="eastAsia" w:ascii="宋体" w:hAnsi="宋体" w:eastAsia="宋体" w:cs="宋体"/>
          <w:b/>
          <w:bCs/>
          <w:sz w:val="24"/>
          <w:szCs w:val="24"/>
        </w:rPr>
        <w:t>3、残疾人福利性单位声明函</w:t>
      </w:r>
      <w:bookmarkEnd w:id="61"/>
      <w:bookmarkEnd w:id="62"/>
      <w:bookmarkEnd w:id="63"/>
      <w:bookmarkEnd w:id="64"/>
    </w:p>
    <w:p>
      <w:pPr>
        <w:spacing w:line="360" w:lineRule="auto"/>
        <w:jc w:val="center"/>
        <w:rPr>
          <w:rFonts w:hint="eastAsia" w:ascii="宋体" w:hAnsi="宋体" w:eastAsia="宋体" w:cs="宋体"/>
        </w:rPr>
      </w:pPr>
      <w:r>
        <w:rPr>
          <w:rFonts w:hint="eastAsia" w:ascii="宋体" w:hAnsi="宋体" w:eastAsia="宋体" w:cs="宋体"/>
          <w:kern w:val="0"/>
          <w:sz w:val="24"/>
          <w:szCs w:val="24"/>
        </w:rPr>
        <w:t>（属于监狱企业的提供，不属于的无需提供此项内容）</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spacing w:val="6"/>
          <w:sz w:val="24"/>
          <w:szCs w:val="24"/>
        </w:rPr>
      </w:pPr>
    </w:p>
    <w:p>
      <w:pPr>
        <w:spacing w:line="360" w:lineRule="auto"/>
        <w:ind w:firstLine="4536" w:firstLineChars="1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bCs/>
          <w:sz w:val="24"/>
          <w:szCs w:val="24"/>
        </w:rPr>
        <w:t>磋商供应商（公章签章）：</w:t>
      </w:r>
    </w:p>
    <w:p>
      <w:pPr>
        <w:spacing w:line="360" w:lineRule="auto"/>
        <w:ind w:firstLine="4320" w:firstLineChars="1800"/>
        <w:rPr>
          <w:rFonts w:hint="eastAsia" w:ascii="宋体" w:hAnsi="宋体" w:eastAsia="宋体" w:cs="宋体"/>
          <w:sz w:val="24"/>
          <w:szCs w:val="24"/>
        </w:rPr>
      </w:pPr>
    </w:p>
    <w:p>
      <w:pPr>
        <w:spacing w:line="360" w:lineRule="auto"/>
        <w:ind w:firstLine="4320" w:firstLineChars="1800"/>
        <w:rPr>
          <w:rFonts w:hint="eastAsia" w:ascii="宋体" w:hAnsi="宋体" w:eastAsia="宋体" w:cs="宋体"/>
          <w:b/>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tabs>
          <w:tab w:val="left" w:pos="840"/>
        </w:tabs>
        <w:autoSpaceDE w:val="0"/>
        <w:autoSpaceDN w:val="0"/>
        <w:adjustRightInd w:val="0"/>
        <w:spacing w:line="360" w:lineRule="auto"/>
        <w:rPr>
          <w:rFonts w:hint="eastAsia" w:ascii="宋体" w:hAnsi="宋体" w:eastAsia="宋体" w:cs="宋体"/>
          <w:b/>
          <w:sz w:val="28"/>
          <w:szCs w:val="28"/>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pPr>
        <w:spacing w:line="360" w:lineRule="auto"/>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pPr>
        <w:spacing w:line="360" w:lineRule="auto"/>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pPr>
        <w:spacing w:line="360" w:lineRule="auto"/>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pPr>
        <w:spacing w:line="360" w:lineRule="auto"/>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2. 成交人为残疾人福利性单位的，采购人或者其委托的采购代理机构应当随成交、成交结果同时公告其《残疾人福利性单位声明函》，接受社会监督。</w:t>
      </w:r>
    </w:p>
    <w:p>
      <w:pPr>
        <w:pStyle w:val="10"/>
        <w:rPr>
          <w:rFonts w:hint="eastAsia" w:ascii="宋体" w:hAnsi="宋体" w:eastAsia="宋体" w:cs="宋体"/>
        </w:rPr>
      </w:pPr>
    </w:p>
    <w:p>
      <w:pPr>
        <w:widowControl/>
        <w:spacing w:before="100" w:beforeAutospacing="1" w:after="100" w:afterAutospacing="1"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bookmarkStart w:id="65" w:name="_Toc10"/>
      <w:bookmarkStart w:id="66" w:name="_Toc5886"/>
      <w:bookmarkStart w:id="67" w:name="_Toc12422"/>
      <w:bookmarkStart w:id="68" w:name="_Toc19989"/>
      <w:bookmarkStart w:id="69" w:name="_Toc31971"/>
      <w:bookmarkStart w:id="70" w:name="_Toc7859"/>
      <w:bookmarkStart w:id="71" w:name="_Toc177"/>
      <w:bookmarkStart w:id="72" w:name="_Toc13598"/>
      <w:bookmarkStart w:id="73" w:name="_Toc24974"/>
      <w:bookmarkStart w:id="74" w:name="_Toc15646"/>
      <w:bookmarkStart w:id="75" w:name="_Toc18518"/>
      <w:bookmarkStart w:id="76" w:name="_Toc11160"/>
      <w:bookmarkStart w:id="77" w:name="_Toc15056"/>
      <w:bookmarkStart w:id="78" w:name="_Toc14173"/>
      <w:bookmarkStart w:id="79" w:name="_Toc7450"/>
      <w:r>
        <w:rPr>
          <w:rFonts w:hint="eastAsia" w:ascii="宋体" w:hAnsi="宋体" w:eastAsia="宋体" w:cs="宋体"/>
          <w:b/>
          <w:bCs/>
          <w:sz w:val="24"/>
          <w:szCs w:val="24"/>
        </w:rPr>
        <w:t>磋商文件要求或供应商认为有必要提供的其他资料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sectPr>
      <w:headerReference r:id="rId4" w:type="default"/>
      <w:footerReference r:id="rId5" w:type="default"/>
      <w:pgSz w:w="11906" w:h="16838"/>
      <w:pgMar w:top="1440" w:right="977" w:bottom="1440" w:left="1689"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宋体" w:hAnsi="宋体" w:eastAsia="宋体" w:cs="宋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7049B"/>
    <w:multiLevelType w:val="singleLevel"/>
    <w:tmpl w:val="F637049B"/>
    <w:lvl w:ilvl="0" w:tentative="0">
      <w:start w:val="1"/>
      <w:numFmt w:val="decimal"/>
      <w:suff w:val="space"/>
      <w:lvlText w:val="%1."/>
      <w:lvlJc w:val="left"/>
    </w:lvl>
  </w:abstractNum>
  <w:abstractNum w:abstractNumId="1">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4"/>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0172A27"/>
    <w:rsid w:val="000B44D3"/>
    <w:rsid w:val="00117EB6"/>
    <w:rsid w:val="00162073"/>
    <w:rsid w:val="00172A27"/>
    <w:rsid w:val="0020634D"/>
    <w:rsid w:val="00247B5B"/>
    <w:rsid w:val="002668BB"/>
    <w:rsid w:val="00396A0E"/>
    <w:rsid w:val="003D0326"/>
    <w:rsid w:val="00425595"/>
    <w:rsid w:val="00456938"/>
    <w:rsid w:val="0049159D"/>
    <w:rsid w:val="004F1AD0"/>
    <w:rsid w:val="004F215C"/>
    <w:rsid w:val="005514B9"/>
    <w:rsid w:val="00575D35"/>
    <w:rsid w:val="006017CF"/>
    <w:rsid w:val="0073438F"/>
    <w:rsid w:val="007526B2"/>
    <w:rsid w:val="00794998"/>
    <w:rsid w:val="00795127"/>
    <w:rsid w:val="007D582E"/>
    <w:rsid w:val="007E0862"/>
    <w:rsid w:val="007E0A45"/>
    <w:rsid w:val="00825C5E"/>
    <w:rsid w:val="00857E1A"/>
    <w:rsid w:val="008669ED"/>
    <w:rsid w:val="00985CEA"/>
    <w:rsid w:val="00BB0865"/>
    <w:rsid w:val="00C107A1"/>
    <w:rsid w:val="00C22257"/>
    <w:rsid w:val="00CA446C"/>
    <w:rsid w:val="00D20314"/>
    <w:rsid w:val="00D74F5D"/>
    <w:rsid w:val="00D91368"/>
    <w:rsid w:val="00D935F5"/>
    <w:rsid w:val="00F34C63"/>
    <w:rsid w:val="00F64BF3"/>
    <w:rsid w:val="00F90020"/>
    <w:rsid w:val="00FC083F"/>
    <w:rsid w:val="011949CD"/>
    <w:rsid w:val="01A9310D"/>
    <w:rsid w:val="02A36C44"/>
    <w:rsid w:val="02B20BE4"/>
    <w:rsid w:val="02DF09C2"/>
    <w:rsid w:val="02F32FFC"/>
    <w:rsid w:val="031A5FD6"/>
    <w:rsid w:val="035937A7"/>
    <w:rsid w:val="03ED5234"/>
    <w:rsid w:val="03F670E7"/>
    <w:rsid w:val="04377468"/>
    <w:rsid w:val="04A44459"/>
    <w:rsid w:val="04B64F6B"/>
    <w:rsid w:val="04E87DB0"/>
    <w:rsid w:val="04F512AE"/>
    <w:rsid w:val="0522610D"/>
    <w:rsid w:val="055511AF"/>
    <w:rsid w:val="055545AB"/>
    <w:rsid w:val="05972365"/>
    <w:rsid w:val="05C23886"/>
    <w:rsid w:val="06722DB1"/>
    <w:rsid w:val="06DA1CD6"/>
    <w:rsid w:val="06DE77FB"/>
    <w:rsid w:val="07124399"/>
    <w:rsid w:val="071F6AB6"/>
    <w:rsid w:val="072C1FA0"/>
    <w:rsid w:val="07BD5F86"/>
    <w:rsid w:val="082A74C0"/>
    <w:rsid w:val="083E7131"/>
    <w:rsid w:val="09945899"/>
    <w:rsid w:val="09BB75C6"/>
    <w:rsid w:val="09FE5233"/>
    <w:rsid w:val="0A1351ED"/>
    <w:rsid w:val="0A250212"/>
    <w:rsid w:val="0A8455AD"/>
    <w:rsid w:val="0B6D49EB"/>
    <w:rsid w:val="0B846AE2"/>
    <w:rsid w:val="0B9F16EF"/>
    <w:rsid w:val="0C0B13B7"/>
    <w:rsid w:val="0C0F534B"/>
    <w:rsid w:val="0C474AE5"/>
    <w:rsid w:val="0C645214"/>
    <w:rsid w:val="0CB47CA0"/>
    <w:rsid w:val="0DC161D1"/>
    <w:rsid w:val="0E2026C4"/>
    <w:rsid w:val="0EBA33F8"/>
    <w:rsid w:val="0EBB3B81"/>
    <w:rsid w:val="0EC7551F"/>
    <w:rsid w:val="0F8B71C4"/>
    <w:rsid w:val="0FAA7AC7"/>
    <w:rsid w:val="0FB067AC"/>
    <w:rsid w:val="0FDD4DFD"/>
    <w:rsid w:val="0FF46D31"/>
    <w:rsid w:val="10B22749"/>
    <w:rsid w:val="10B65D95"/>
    <w:rsid w:val="10C76AC0"/>
    <w:rsid w:val="111676A1"/>
    <w:rsid w:val="111D4066"/>
    <w:rsid w:val="112B06EC"/>
    <w:rsid w:val="11447845"/>
    <w:rsid w:val="11585FBF"/>
    <w:rsid w:val="1187232C"/>
    <w:rsid w:val="1198193E"/>
    <w:rsid w:val="1245436D"/>
    <w:rsid w:val="128C2D7C"/>
    <w:rsid w:val="129040CB"/>
    <w:rsid w:val="12FE2779"/>
    <w:rsid w:val="13182E59"/>
    <w:rsid w:val="13FB7F63"/>
    <w:rsid w:val="14A25EBC"/>
    <w:rsid w:val="14F76F98"/>
    <w:rsid w:val="15241533"/>
    <w:rsid w:val="15E433A4"/>
    <w:rsid w:val="16094EB9"/>
    <w:rsid w:val="160A7ECE"/>
    <w:rsid w:val="167416FF"/>
    <w:rsid w:val="16D4772E"/>
    <w:rsid w:val="16DC78F0"/>
    <w:rsid w:val="16EB0762"/>
    <w:rsid w:val="171D2A06"/>
    <w:rsid w:val="17F22F49"/>
    <w:rsid w:val="181D494B"/>
    <w:rsid w:val="19061883"/>
    <w:rsid w:val="19173A91"/>
    <w:rsid w:val="195A67FA"/>
    <w:rsid w:val="19BF485E"/>
    <w:rsid w:val="1CDE345E"/>
    <w:rsid w:val="1DF223D6"/>
    <w:rsid w:val="1DFE71E1"/>
    <w:rsid w:val="1E575144"/>
    <w:rsid w:val="1EB3600A"/>
    <w:rsid w:val="1EFD54D7"/>
    <w:rsid w:val="1F1A4923"/>
    <w:rsid w:val="1F914E56"/>
    <w:rsid w:val="1FAB0A8F"/>
    <w:rsid w:val="203647FC"/>
    <w:rsid w:val="203C2ECF"/>
    <w:rsid w:val="20955ECF"/>
    <w:rsid w:val="209E6733"/>
    <w:rsid w:val="20D34741"/>
    <w:rsid w:val="21257950"/>
    <w:rsid w:val="21257C04"/>
    <w:rsid w:val="21820366"/>
    <w:rsid w:val="224A3CF2"/>
    <w:rsid w:val="23244DE0"/>
    <w:rsid w:val="23B55710"/>
    <w:rsid w:val="23BD6620"/>
    <w:rsid w:val="23DE58D7"/>
    <w:rsid w:val="23F549CE"/>
    <w:rsid w:val="267A740D"/>
    <w:rsid w:val="267D5831"/>
    <w:rsid w:val="272F01F7"/>
    <w:rsid w:val="2737717E"/>
    <w:rsid w:val="2839069B"/>
    <w:rsid w:val="28E57488"/>
    <w:rsid w:val="29023E15"/>
    <w:rsid w:val="294A1318"/>
    <w:rsid w:val="29944785"/>
    <w:rsid w:val="2A4915D0"/>
    <w:rsid w:val="2AC51619"/>
    <w:rsid w:val="2AE03D95"/>
    <w:rsid w:val="2B9837E3"/>
    <w:rsid w:val="2C06028A"/>
    <w:rsid w:val="2CB0185A"/>
    <w:rsid w:val="2D430559"/>
    <w:rsid w:val="2D5A6F34"/>
    <w:rsid w:val="2E4032CC"/>
    <w:rsid w:val="2EBE1EC3"/>
    <w:rsid w:val="2F224DF5"/>
    <w:rsid w:val="2F8119E7"/>
    <w:rsid w:val="30465D07"/>
    <w:rsid w:val="30590093"/>
    <w:rsid w:val="31E732DE"/>
    <w:rsid w:val="31EA4315"/>
    <w:rsid w:val="32FF1CC1"/>
    <w:rsid w:val="33752ADF"/>
    <w:rsid w:val="337E22EA"/>
    <w:rsid w:val="338A56D7"/>
    <w:rsid w:val="33C70135"/>
    <w:rsid w:val="346302C8"/>
    <w:rsid w:val="34D83C7C"/>
    <w:rsid w:val="34EA5A1B"/>
    <w:rsid w:val="35577297"/>
    <w:rsid w:val="359E4EC6"/>
    <w:rsid w:val="35AA7531"/>
    <w:rsid w:val="360D3DFA"/>
    <w:rsid w:val="36486BE0"/>
    <w:rsid w:val="36631C6B"/>
    <w:rsid w:val="36822694"/>
    <w:rsid w:val="370A2252"/>
    <w:rsid w:val="38112631"/>
    <w:rsid w:val="385C2E16"/>
    <w:rsid w:val="38AC78FA"/>
    <w:rsid w:val="38D7402F"/>
    <w:rsid w:val="38FC6AC6"/>
    <w:rsid w:val="39EC450F"/>
    <w:rsid w:val="39F63332"/>
    <w:rsid w:val="3A1C0AAF"/>
    <w:rsid w:val="3AE3337B"/>
    <w:rsid w:val="3B4B164C"/>
    <w:rsid w:val="3BED44B1"/>
    <w:rsid w:val="3C073099"/>
    <w:rsid w:val="3C8150BB"/>
    <w:rsid w:val="3CB46D7D"/>
    <w:rsid w:val="3CE533DA"/>
    <w:rsid w:val="3D424389"/>
    <w:rsid w:val="3E9C33B9"/>
    <w:rsid w:val="3EAA1BCF"/>
    <w:rsid w:val="3EE31B9B"/>
    <w:rsid w:val="3F216F60"/>
    <w:rsid w:val="3F277CDA"/>
    <w:rsid w:val="3F3B5533"/>
    <w:rsid w:val="3F634A8A"/>
    <w:rsid w:val="3F695775"/>
    <w:rsid w:val="3F961152"/>
    <w:rsid w:val="3FC25C55"/>
    <w:rsid w:val="407D7AD4"/>
    <w:rsid w:val="40D5220D"/>
    <w:rsid w:val="415C59D4"/>
    <w:rsid w:val="41827323"/>
    <w:rsid w:val="41D06A9C"/>
    <w:rsid w:val="41E73751"/>
    <w:rsid w:val="42563851"/>
    <w:rsid w:val="425860D3"/>
    <w:rsid w:val="425D1D76"/>
    <w:rsid w:val="4262727B"/>
    <w:rsid w:val="42BF3D62"/>
    <w:rsid w:val="42DA1507"/>
    <w:rsid w:val="432E524F"/>
    <w:rsid w:val="434F7385"/>
    <w:rsid w:val="4385272C"/>
    <w:rsid w:val="438E21FE"/>
    <w:rsid w:val="43B11970"/>
    <w:rsid w:val="43B9736F"/>
    <w:rsid w:val="43BA1602"/>
    <w:rsid w:val="4403299E"/>
    <w:rsid w:val="447D75BA"/>
    <w:rsid w:val="44937970"/>
    <w:rsid w:val="44EB6D91"/>
    <w:rsid w:val="44F7014F"/>
    <w:rsid w:val="45A85719"/>
    <w:rsid w:val="467A3EAB"/>
    <w:rsid w:val="46AB7443"/>
    <w:rsid w:val="478A52AA"/>
    <w:rsid w:val="47925104"/>
    <w:rsid w:val="47EB386F"/>
    <w:rsid w:val="488F483F"/>
    <w:rsid w:val="490D599A"/>
    <w:rsid w:val="493D00FA"/>
    <w:rsid w:val="49575660"/>
    <w:rsid w:val="495C4470"/>
    <w:rsid w:val="499E3B85"/>
    <w:rsid w:val="49C040CA"/>
    <w:rsid w:val="49EC3C69"/>
    <w:rsid w:val="4A6B654B"/>
    <w:rsid w:val="4AAE1900"/>
    <w:rsid w:val="4ACB25F2"/>
    <w:rsid w:val="4B72643B"/>
    <w:rsid w:val="4B9672D6"/>
    <w:rsid w:val="4BBD5522"/>
    <w:rsid w:val="4BCF3255"/>
    <w:rsid w:val="4C2975BD"/>
    <w:rsid w:val="4C8813A7"/>
    <w:rsid w:val="4C96024D"/>
    <w:rsid w:val="4C9C5C47"/>
    <w:rsid w:val="4CC4300C"/>
    <w:rsid w:val="4D082E19"/>
    <w:rsid w:val="4E0C756A"/>
    <w:rsid w:val="4EE92F3D"/>
    <w:rsid w:val="4EF304F1"/>
    <w:rsid w:val="4F155DA1"/>
    <w:rsid w:val="4F334479"/>
    <w:rsid w:val="4F450036"/>
    <w:rsid w:val="4F862566"/>
    <w:rsid w:val="4F91533A"/>
    <w:rsid w:val="4FA17635"/>
    <w:rsid w:val="4FC47605"/>
    <w:rsid w:val="4FDE43D3"/>
    <w:rsid w:val="4FFC0D0F"/>
    <w:rsid w:val="50067498"/>
    <w:rsid w:val="503A2AB3"/>
    <w:rsid w:val="50483F54"/>
    <w:rsid w:val="505A34EE"/>
    <w:rsid w:val="50A60E94"/>
    <w:rsid w:val="51173B8B"/>
    <w:rsid w:val="513F0D1B"/>
    <w:rsid w:val="5165083E"/>
    <w:rsid w:val="51BF0246"/>
    <w:rsid w:val="51CF3E14"/>
    <w:rsid w:val="51D41806"/>
    <w:rsid w:val="52F7756C"/>
    <w:rsid w:val="533604E7"/>
    <w:rsid w:val="535D5D26"/>
    <w:rsid w:val="53AF1CD0"/>
    <w:rsid w:val="54101315"/>
    <w:rsid w:val="545D7674"/>
    <w:rsid w:val="54DC6FD2"/>
    <w:rsid w:val="550C1507"/>
    <w:rsid w:val="551A3A71"/>
    <w:rsid w:val="555B4E8C"/>
    <w:rsid w:val="55805F3E"/>
    <w:rsid w:val="558477DD"/>
    <w:rsid w:val="55B300C2"/>
    <w:rsid w:val="55EF4903"/>
    <w:rsid w:val="56934B2D"/>
    <w:rsid w:val="56BA0FDC"/>
    <w:rsid w:val="56FC33A3"/>
    <w:rsid w:val="57E75E01"/>
    <w:rsid w:val="582A0FBD"/>
    <w:rsid w:val="58366D88"/>
    <w:rsid w:val="585811ED"/>
    <w:rsid w:val="587C516F"/>
    <w:rsid w:val="589B01C2"/>
    <w:rsid w:val="59205A6E"/>
    <w:rsid w:val="59997F3C"/>
    <w:rsid w:val="5A2570B4"/>
    <w:rsid w:val="5AB60C96"/>
    <w:rsid w:val="5ACB37B8"/>
    <w:rsid w:val="5B3475AF"/>
    <w:rsid w:val="5B765E19"/>
    <w:rsid w:val="5BD14DFE"/>
    <w:rsid w:val="5BD32F24"/>
    <w:rsid w:val="5C1A7475"/>
    <w:rsid w:val="5C205D85"/>
    <w:rsid w:val="5C294C3A"/>
    <w:rsid w:val="5C584438"/>
    <w:rsid w:val="5D48561B"/>
    <w:rsid w:val="5DD155AA"/>
    <w:rsid w:val="5DD92690"/>
    <w:rsid w:val="5DE30A98"/>
    <w:rsid w:val="5E3A1D39"/>
    <w:rsid w:val="5E655CD1"/>
    <w:rsid w:val="5EF5550A"/>
    <w:rsid w:val="5F154453"/>
    <w:rsid w:val="5F8D48C9"/>
    <w:rsid w:val="5FEE7CF3"/>
    <w:rsid w:val="60487659"/>
    <w:rsid w:val="61135EB8"/>
    <w:rsid w:val="614A2F70"/>
    <w:rsid w:val="61EF7765"/>
    <w:rsid w:val="624D3A32"/>
    <w:rsid w:val="63081603"/>
    <w:rsid w:val="63366E8D"/>
    <w:rsid w:val="635701C0"/>
    <w:rsid w:val="63960976"/>
    <w:rsid w:val="63BA0672"/>
    <w:rsid w:val="63F21DB5"/>
    <w:rsid w:val="64454028"/>
    <w:rsid w:val="647749B0"/>
    <w:rsid w:val="647C0409"/>
    <w:rsid w:val="64BD6867"/>
    <w:rsid w:val="64D926F4"/>
    <w:rsid w:val="64E75692"/>
    <w:rsid w:val="652E26D2"/>
    <w:rsid w:val="657C227E"/>
    <w:rsid w:val="665C3E5E"/>
    <w:rsid w:val="666D45F1"/>
    <w:rsid w:val="668F4A03"/>
    <w:rsid w:val="66C16BE1"/>
    <w:rsid w:val="66D72F57"/>
    <w:rsid w:val="66E300DB"/>
    <w:rsid w:val="678E44EB"/>
    <w:rsid w:val="681317B4"/>
    <w:rsid w:val="68451FB4"/>
    <w:rsid w:val="68494705"/>
    <w:rsid w:val="68736177"/>
    <w:rsid w:val="687758A1"/>
    <w:rsid w:val="687C07E7"/>
    <w:rsid w:val="6885769C"/>
    <w:rsid w:val="690F05BC"/>
    <w:rsid w:val="69110F2F"/>
    <w:rsid w:val="69377C51"/>
    <w:rsid w:val="69747974"/>
    <w:rsid w:val="697531CB"/>
    <w:rsid w:val="69C73CAC"/>
    <w:rsid w:val="69CA3BFB"/>
    <w:rsid w:val="6AD14E1A"/>
    <w:rsid w:val="6AD6683D"/>
    <w:rsid w:val="6AD71D05"/>
    <w:rsid w:val="6B210714"/>
    <w:rsid w:val="6B225676"/>
    <w:rsid w:val="6B621F16"/>
    <w:rsid w:val="6B673089"/>
    <w:rsid w:val="6BAC3191"/>
    <w:rsid w:val="6BE427D4"/>
    <w:rsid w:val="6C030964"/>
    <w:rsid w:val="6CB415FB"/>
    <w:rsid w:val="6DDF3EE6"/>
    <w:rsid w:val="6DEC13F6"/>
    <w:rsid w:val="6E420D3E"/>
    <w:rsid w:val="6EBF4F8A"/>
    <w:rsid w:val="6EE964AB"/>
    <w:rsid w:val="6F057BA2"/>
    <w:rsid w:val="6F1D235F"/>
    <w:rsid w:val="6F1E43A6"/>
    <w:rsid w:val="6F771D08"/>
    <w:rsid w:val="6FBE2686"/>
    <w:rsid w:val="70143E0F"/>
    <w:rsid w:val="70242FB1"/>
    <w:rsid w:val="705067E1"/>
    <w:rsid w:val="707B32B8"/>
    <w:rsid w:val="711808F3"/>
    <w:rsid w:val="71186BD3"/>
    <w:rsid w:val="713D0BC2"/>
    <w:rsid w:val="71AF7537"/>
    <w:rsid w:val="71BC3A02"/>
    <w:rsid w:val="71F057FB"/>
    <w:rsid w:val="71F15DA2"/>
    <w:rsid w:val="71FE401B"/>
    <w:rsid w:val="72BB1F0C"/>
    <w:rsid w:val="72CC24C1"/>
    <w:rsid w:val="73A03989"/>
    <w:rsid w:val="74741F2C"/>
    <w:rsid w:val="75A5137D"/>
    <w:rsid w:val="75B25848"/>
    <w:rsid w:val="75B710B1"/>
    <w:rsid w:val="76292166"/>
    <w:rsid w:val="76360227"/>
    <w:rsid w:val="76B34539"/>
    <w:rsid w:val="76D90BB3"/>
    <w:rsid w:val="774D42A6"/>
    <w:rsid w:val="776D6665"/>
    <w:rsid w:val="77AE3DED"/>
    <w:rsid w:val="77CE51D0"/>
    <w:rsid w:val="77E003F1"/>
    <w:rsid w:val="77F9192D"/>
    <w:rsid w:val="782A69D8"/>
    <w:rsid w:val="78827754"/>
    <w:rsid w:val="78941235"/>
    <w:rsid w:val="78BB322C"/>
    <w:rsid w:val="78E21FA1"/>
    <w:rsid w:val="790E7239"/>
    <w:rsid w:val="792960F5"/>
    <w:rsid w:val="79542F67"/>
    <w:rsid w:val="79546533"/>
    <w:rsid w:val="79BC2B8D"/>
    <w:rsid w:val="7A47723D"/>
    <w:rsid w:val="7B4707E1"/>
    <w:rsid w:val="7C342441"/>
    <w:rsid w:val="7C621C44"/>
    <w:rsid w:val="7DA71951"/>
    <w:rsid w:val="7DD00C06"/>
    <w:rsid w:val="7E92536E"/>
    <w:rsid w:val="7EC76812"/>
    <w:rsid w:val="7F306D26"/>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480" w:lineRule="auto"/>
      <w:jc w:val="center"/>
      <w:outlineLvl w:val="0"/>
    </w:pPr>
    <w:rPr>
      <w:b/>
      <w:kern w:val="44"/>
      <w:sz w:val="32"/>
      <w:szCs w:val="20"/>
    </w:rPr>
  </w:style>
  <w:style w:type="paragraph" w:styleId="4">
    <w:name w:val="heading 2"/>
    <w:basedOn w:val="1"/>
    <w:next w:val="1"/>
    <w:link w:val="50"/>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2">
    <w:name w:val="heading 3"/>
    <w:basedOn w:val="1"/>
    <w:next w:val="1"/>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qFormat/>
    <w:uiPriority w:val="9"/>
    <w:pPr>
      <w:outlineLvl w:val="3"/>
    </w:pPr>
    <w:rPr>
      <w:rFonts w:eastAsia="黑体"/>
      <w:sz w:val="36"/>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Body Text"/>
    <w:basedOn w:val="1"/>
    <w:next w:val="1"/>
    <w:link w:val="51"/>
    <w:qFormat/>
    <w:uiPriority w:val="0"/>
    <w:pPr>
      <w:spacing w:line="520" w:lineRule="exact"/>
    </w:pPr>
    <w:rPr>
      <w:rFonts w:ascii="仿宋_GB2312" w:hAnsi="宋体" w:eastAsia="仿宋_GB2312" w:cs="Times New Roman"/>
      <w:color w:val="008000"/>
      <w:kern w:val="0"/>
      <w:sz w:val="24"/>
      <w:szCs w:val="24"/>
    </w:rPr>
  </w:style>
  <w:style w:type="paragraph" w:styleId="7">
    <w:name w:val="Body Text Indent"/>
    <w:basedOn w:val="1"/>
    <w:next w:val="8"/>
    <w:qFormat/>
    <w:uiPriority w:val="0"/>
    <w:pPr>
      <w:widowControl/>
      <w:spacing w:after="120"/>
      <w:ind w:left="420" w:leftChars="200" w:firstLine="360"/>
    </w:pPr>
    <w:rPr>
      <w:rFonts w:eastAsia="宋体"/>
      <w:kern w:val="0"/>
      <w:sz w:val="22"/>
      <w:szCs w:val="20"/>
      <w:lang w:eastAsia="en-US" w:bidi="en-US"/>
    </w:rPr>
  </w:style>
  <w:style w:type="paragraph" w:styleId="8">
    <w:name w:val="envelope return"/>
    <w:basedOn w:val="1"/>
    <w:qFormat/>
    <w:uiPriority w:val="0"/>
    <w:pPr>
      <w:snapToGrid w:val="0"/>
    </w:pPr>
    <w:rPr>
      <w:rFonts w:ascii="Arial" w:hAnsi="Arial" w:eastAsia="宋体" w:cs="Times New Roman"/>
    </w:rPr>
  </w:style>
  <w:style w:type="paragraph" w:styleId="9">
    <w:name w:val="Block Text"/>
    <w:basedOn w:val="1"/>
    <w:semiHidden/>
    <w:unhideWhenUsed/>
    <w:qFormat/>
    <w:uiPriority w:val="99"/>
    <w:pPr>
      <w:spacing w:after="120"/>
      <w:ind w:left="1440" w:leftChars="700" w:right="1440" w:rightChars="700"/>
    </w:pPr>
  </w:style>
  <w:style w:type="paragraph" w:styleId="10">
    <w:name w:val="Plain Text"/>
    <w:basedOn w:val="1"/>
    <w:next w:val="1"/>
    <w:qFormat/>
    <w:uiPriority w:val="99"/>
    <w:rPr>
      <w:rFonts w:ascii="宋体" w:hAnsi="Courier New" w:eastAsia="华文宋体" w:cs="Times New Roman"/>
      <w:kern w:val="0"/>
      <w:sz w:val="28"/>
      <w:szCs w:val="28"/>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next w:val="6"/>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6"/>
    <w:next w:val="19"/>
    <w:link w:val="52"/>
    <w:unhideWhenUsed/>
    <w:qFormat/>
    <w:uiPriority w:val="99"/>
    <w:pPr>
      <w:spacing w:after="120" w:line="240" w:lineRule="auto"/>
      <w:ind w:firstLine="420" w:firstLineChars="100"/>
    </w:pPr>
  </w:style>
  <w:style w:type="paragraph" w:styleId="19">
    <w:name w:val="Body Text First Indent 2"/>
    <w:basedOn w:val="7"/>
    <w:next w:val="1"/>
    <w:qFormat/>
    <w:uiPriority w:val="0"/>
    <w:pPr>
      <w:ind w:firstLine="420" w:firstLineChars="200"/>
    </w:p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样式 样式 左侧:  2 字符 + 左侧:  0.85 厘米 首行缩进:  2 字符1"/>
    <w:basedOn w:val="1"/>
    <w:qFormat/>
    <w:uiPriority w:val="0"/>
    <w:pPr>
      <w:ind w:left="482" w:firstLine="200" w:firstLineChars="200"/>
    </w:pPr>
    <w:rPr>
      <w:rFonts w:cs="宋体"/>
      <w:szCs w:val="20"/>
    </w:rPr>
  </w:style>
  <w:style w:type="paragraph" w:customStyle="1" w:styleId="35">
    <w:name w:val="Default"/>
    <w:basedOn w:val="1"/>
    <w:next w:val="1"/>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36">
    <w:name w:val="font01"/>
    <w:basedOn w:val="21"/>
    <w:qFormat/>
    <w:uiPriority w:val="0"/>
    <w:rPr>
      <w:rFonts w:hint="eastAsia" w:ascii="宋体" w:hAnsi="宋体" w:eastAsia="宋体" w:cs="宋体"/>
      <w:color w:val="000000"/>
      <w:sz w:val="22"/>
      <w:szCs w:val="22"/>
      <w:u w:val="none"/>
    </w:rPr>
  </w:style>
  <w:style w:type="character" w:customStyle="1" w:styleId="37">
    <w:name w:val="font61"/>
    <w:basedOn w:val="21"/>
    <w:qFormat/>
    <w:uiPriority w:val="0"/>
    <w:rPr>
      <w:rFonts w:ascii="Calibri" w:hAnsi="Calibri" w:cs="Calibri"/>
      <w:color w:val="000000"/>
      <w:sz w:val="22"/>
      <w:szCs w:val="22"/>
      <w:u w:val="none"/>
    </w:rPr>
  </w:style>
  <w:style w:type="character" w:customStyle="1" w:styleId="38">
    <w:name w:val="font41"/>
    <w:basedOn w:val="21"/>
    <w:qFormat/>
    <w:uiPriority w:val="0"/>
    <w:rPr>
      <w:rFonts w:hint="eastAsia" w:ascii="宋体" w:hAnsi="宋体" w:eastAsia="宋体" w:cs="宋体"/>
      <w:color w:val="000000"/>
      <w:sz w:val="22"/>
      <w:szCs w:val="22"/>
      <w:u w:val="none"/>
    </w:rPr>
  </w:style>
  <w:style w:type="character" w:customStyle="1" w:styleId="39">
    <w:name w:val="font11"/>
    <w:basedOn w:val="21"/>
    <w:qFormat/>
    <w:uiPriority w:val="0"/>
    <w:rPr>
      <w:rFonts w:hint="eastAsia" w:ascii="宋体" w:hAnsi="宋体" w:eastAsia="宋体" w:cs="宋体"/>
      <w:color w:val="000000"/>
      <w:sz w:val="22"/>
      <w:szCs w:val="22"/>
      <w:u w:val="none"/>
    </w:rPr>
  </w:style>
  <w:style w:type="character" w:customStyle="1" w:styleId="40">
    <w:name w:val="font31"/>
    <w:basedOn w:val="21"/>
    <w:qFormat/>
    <w:uiPriority w:val="0"/>
    <w:rPr>
      <w:rFonts w:hint="default" w:ascii="Calibri" w:hAnsi="Calibri" w:cs="Calibri"/>
      <w:color w:val="000000"/>
      <w:sz w:val="22"/>
      <w:szCs w:val="22"/>
      <w:u w:val="none"/>
    </w:rPr>
  </w:style>
  <w:style w:type="character" w:customStyle="1" w:styleId="41">
    <w:name w:val="页眉 字符"/>
    <w:basedOn w:val="21"/>
    <w:link w:val="13"/>
    <w:qFormat/>
    <w:uiPriority w:val="0"/>
    <w:rPr>
      <w:rFonts w:asciiTheme="minorHAnsi" w:hAnsiTheme="minorHAnsi" w:eastAsiaTheme="minorEastAsia" w:cstheme="minorBidi"/>
      <w:kern w:val="2"/>
      <w:sz w:val="18"/>
      <w:szCs w:val="18"/>
    </w:rPr>
  </w:style>
  <w:style w:type="character" w:customStyle="1" w:styleId="42">
    <w:name w:val="hover"/>
    <w:basedOn w:val="21"/>
    <w:qFormat/>
    <w:uiPriority w:val="0"/>
    <w:rPr>
      <w:color w:val="2590EB"/>
    </w:rPr>
  </w:style>
  <w:style w:type="character" w:customStyle="1" w:styleId="43">
    <w:name w:val="hover1"/>
    <w:basedOn w:val="21"/>
    <w:qFormat/>
    <w:uiPriority w:val="0"/>
    <w:rPr>
      <w:color w:val="2590EB"/>
    </w:rPr>
  </w:style>
  <w:style w:type="character" w:customStyle="1" w:styleId="44">
    <w:name w:val="hover2"/>
    <w:basedOn w:val="21"/>
    <w:qFormat/>
    <w:uiPriority w:val="0"/>
  </w:style>
  <w:style w:type="character" w:customStyle="1" w:styleId="45">
    <w:name w:val="mini-outputtext1"/>
    <w:basedOn w:val="21"/>
    <w:qFormat/>
    <w:uiPriority w:val="0"/>
  </w:style>
  <w:style w:type="character" w:customStyle="1" w:styleId="46">
    <w:name w:val="hover3"/>
    <w:basedOn w:val="21"/>
    <w:qFormat/>
    <w:uiPriority w:val="0"/>
  </w:style>
  <w:style w:type="character" w:customStyle="1" w:styleId="47">
    <w:name w:val="first-child"/>
    <w:basedOn w:val="21"/>
    <w:qFormat/>
    <w:uiPriority w:val="0"/>
  </w:style>
  <w:style w:type="character" w:customStyle="1" w:styleId="48">
    <w:name w:val="layui-layer-tabnow"/>
    <w:basedOn w:val="21"/>
    <w:qFormat/>
    <w:uiPriority w:val="0"/>
    <w:rPr>
      <w:bdr w:val="single" w:color="CCCCCC" w:sz="6" w:space="0"/>
      <w:shd w:val="clear" w:fill="FFFFFF"/>
    </w:rPr>
  </w:style>
  <w:style w:type="paragraph" w:styleId="49">
    <w:name w:val="List Paragraph"/>
    <w:basedOn w:val="1"/>
    <w:qFormat/>
    <w:uiPriority w:val="34"/>
    <w:pPr>
      <w:ind w:firstLine="420" w:firstLineChars="200"/>
    </w:pPr>
  </w:style>
  <w:style w:type="character" w:customStyle="1" w:styleId="50">
    <w:name w:val="标题 2 Char"/>
    <w:basedOn w:val="21"/>
    <w:link w:val="4"/>
    <w:qFormat/>
    <w:uiPriority w:val="0"/>
    <w:rPr>
      <w:rFonts w:ascii="Calibri Light" w:hAnsi="Calibri Light" w:eastAsia="宋体" w:cs="Times New Roman"/>
      <w:b/>
      <w:bCs/>
      <w:kern w:val="2"/>
      <w:sz w:val="32"/>
      <w:szCs w:val="32"/>
    </w:rPr>
  </w:style>
  <w:style w:type="character" w:customStyle="1" w:styleId="51">
    <w:name w:val="正文文本 Char"/>
    <w:basedOn w:val="21"/>
    <w:link w:val="6"/>
    <w:qFormat/>
    <w:uiPriority w:val="0"/>
    <w:rPr>
      <w:kern w:val="2"/>
      <w:sz w:val="21"/>
    </w:rPr>
  </w:style>
  <w:style w:type="character" w:customStyle="1" w:styleId="52">
    <w:name w:val="正文首行缩进 Char"/>
    <w:basedOn w:val="51"/>
    <w:link w:val="18"/>
    <w:qFormat/>
    <w:uiPriority w:val="0"/>
    <w:rPr>
      <w:kern w:val="2"/>
      <w:sz w:val="21"/>
    </w:rPr>
  </w:style>
  <w:style w:type="character" w:customStyle="1" w:styleId="53">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18308</Words>
  <Characters>19851</Characters>
  <Lines>161</Lines>
  <Paragraphs>45</Paragraphs>
  <TotalTime>6</TotalTime>
  <ScaleCrop>false</ScaleCrop>
  <LinksUpToDate>false</LinksUpToDate>
  <CharactersWithSpaces>20554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2023-05-11T02:07:00Z</dcterms:created>
  <dc:creator>Administrator</dc:creator>
  <cp:lastModifiedBy>李蓉、</cp:lastModifiedBy>
  <cp:lastPrinted>2025-03-20T03:36:00Z</cp:lastPrinted>
  <dcterms:modified xsi:type="dcterms:W3CDTF">2025-11-03T03:49:52Z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DA412F3B02A04821B095DA5E45908178_13</vt:lpwstr>
  </property>
  <property fmtid="{D5CDD505-2E9C-101B-9397-08002B2CF9AE}" pid="4" name="KSOTemplateDocerSaveRecord">
    <vt:lpwstr>eyJoZGlkIjoiN2YzNjBkOTgyNWQ1YTMxYzM3MzMwNWFiODNmOWIzYWMiLCJ1c2VySWQiOiIyNTA3NDE2MDEifQ==</vt:lpwstr>
  </property>
</Properties>
</file>