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8E1A">
      <w:pPr>
        <w:pStyle w:val="9"/>
        <w:rPr>
          <w:rFonts w:ascii="宋体" w:hAnsi="宋体" w:eastAsia="宋体" w:cs="宋体"/>
        </w:rPr>
      </w:pPr>
    </w:p>
    <w:p w14:paraId="30BDA735">
      <w:pPr>
        <w:pStyle w:val="39"/>
        <w:rPr>
          <w:rFonts w:hAnsi="宋体"/>
          <w:b/>
          <w:bCs/>
          <w:color w:val="auto"/>
          <w:sz w:val="44"/>
          <w:szCs w:val="44"/>
        </w:rPr>
      </w:pPr>
    </w:p>
    <w:p w14:paraId="6C85F04F">
      <w:pPr>
        <w:pStyle w:val="39"/>
        <w:jc w:val="center"/>
        <w:rPr>
          <w:rFonts w:hint="eastAsia" w:hAnsi="宋体" w:eastAsia="宋体"/>
          <w:b/>
          <w:color w:val="auto"/>
          <w:sz w:val="48"/>
          <w:szCs w:val="48"/>
          <w:lang w:eastAsia="zh-CN"/>
        </w:rPr>
      </w:pPr>
      <w:r>
        <w:rPr>
          <w:rFonts w:hint="eastAsia" w:hAnsi="宋体"/>
          <w:b/>
          <w:bCs/>
          <w:color w:val="auto"/>
          <w:sz w:val="48"/>
          <w:szCs w:val="48"/>
          <w:lang w:eastAsia="zh-CN"/>
        </w:rPr>
        <w:t>三门峡市陕州区城区生活垃圾分类收运设备及环卫车辆更新项目冲洗车及园林垃圾运输车采购</w:t>
      </w:r>
    </w:p>
    <w:p w14:paraId="4E8EBB33">
      <w:pPr>
        <w:pStyle w:val="39"/>
        <w:ind w:firstLine="3534" w:firstLineChars="800"/>
        <w:rPr>
          <w:rFonts w:hAnsi="宋体"/>
          <w:b/>
          <w:color w:val="auto"/>
          <w:sz w:val="44"/>
          <w:szCs w:val="44"/>
        </w:rPr>
      </w:pPr>
    </w:p>
    <w:p w14:paraId="36453613">
      <w:pPr>
        <w:pStyle w:val="39"/>
        <w:jc w:val="center"/>
        <w:rPr>
          <w:rFonts w:hAnsi="宋体"/>
          <w:b/>
          <w:color w:val="auto"/>
          <w:sz w:val="48"/>
          <w:szCs w:val="48"/>
        </w:rPr>
      </w:pPr>
    </w:p>
    <w:p w14:paraId="22C17569">
      <w:pPr>
        <w:pStyle w:val="39"/>
        <w:jc w:val="center"/>
        <w:rPr>
          <w:rFonts w:hAnsi="宋体"/>
          <w:b/>
          <w:color w:val="auto"/>
          <w:sz w:val="96"/>
          <w:szCs w:val="96"/>
        </w:rPr>
      </w:pPr>
    </w:p>
    <w:p w14:paraId="0A99C9CF">
      <w:pPr>
        <w:pStyle w:val="39"/>
        <w:jc w:val="center"/>
        <w:rPr>
          <w:rFonts w:hAnsi="宋体"/>
          <w:b/>
          <w:color w:val="auto"/>
          <w:sz w:val="96"/>
          <w:szCs w:val="96"/>
        </w:rPr>
      </w:pPr>
      <w:r>
        <w:rPr>
          <w:rFonts w:hint="eastAsia" w:hAnsi="宋体"/>
          <w:b/>
          <w:color w:val="auto"/>
          <w:sz w:val="96"/>
          <w:szCs w:val="96"/>
        </w:rPr>
        <w:t>招 标 文 件</w:t>
      </w:r>
    </w:p>
    <w:p w14:paraId="6016DDCF">
      <w:pPr>
        <w:pStyle w:val="39"/>
        <w:ind w:firstLine="5783" w:firstLineChars="800"/>
        <w:rPr>
          <w:rFonts w:hAnsi="宋体"/>
          <w:b/>
          <w:color w:val="auto"/>
          <w:sz w:val="72"/>
          <w:szCs w:val="72"/>
        </w:rPr>
      </w:pPr>
    </w:p>
    <w:p w14:paraId="1471611B">
      <w:pPr>
        <w:spacing w:line="360" w:lineRule="auto"/>
        <w:jc w:val="center"/>
        <w:rPr>
          <w:rFonts w:hint="default" w:ascii="宋体" w:hAnsi="宋体" w:eastAsia="宋体" w:cs="宋体"/>
          <w:color w:val="FF0000"/>
          <w:sz w:val="24"/>
          <w:highlight w:val="none"/>
          <w:lang w:val="en-US" w:eastAsia="zh-CN"/>
        </w:rPr>
      </w:pPr>
      <w:r>
        <w:rPr>
          <w:rFonts w:hint="eastAsia" w:ascii="宋体" w:hAnsi="宋体" w:cs="宋体"/>
          <w:b/>
          <w:sz w:val="30"/>
          <w:szCs w:val="30"/>
          <w:highlight w:val="none"/>
        </w:rPr>
        <w:t>采购编号：陕州公开采购-2025-45；SZGZ[2025]217-ZC149</w:t>
      </w:r>
    </w:p>
    <w:p w14:paraId="5F02002D">
      <w:pPr>
        <w:spacing w:line="360" w:lineRule="auto"/>
        <w:ind w:firstLine="904" w:firstLineChars="300"/>
        <w:rPr>
          <w:rFonts w:hint="eastAsia" w:ascii="宋体" w:hAnsi="宋体" w:cs="宋体"/>
          <w:b/>
          <w:color w:val="FF0000"/>
          <w:sz w:val="30"/>
          <w:szCs w:val="30"/>
          <w:lang w:val="en-US" w:eastAsia="zh-CN"/>
        </w:rPr>
      </w:pPr>
    </w:p>
    <w:p w14:paraId="47ADB8EE">
      <w:pPr>
        <w:spacing w:line="360" w:lineRule="auto"/>
        <w:ind w:left="-420" w:leftChars="-200" w:firstLine="480" w:firstLineChars="200"/>
        <w:rPr>
          <w:rFonts w:ascii="宋体" w:hAnsi="宋体" w:cs="宋体"/>
          <w:sz w:val="24"/>
        </w:rPr>
      </w:pPr>
    </w:p>
    <w:p w14:paraId="32DDC232">
      <w:pPr>
        <w:ind w:firstLine="532" w:firstLineChars="190"/>
        <w:jc w:val="center"/>
        <w:rPr>
          <w:rFonts w:ascii="宋体" w:hAnsi="宋体" w:cs="宋体"/>
          <w:sz w:val="28"/>
          <w:szCs w:val="28"/>
        </w:rPr>
      </w:pPr>
    </w:p>
    <w:p w14:paraId="24DABD59">
      <w:pPr>
        <w:pStyle w:val="39"/>
        <w:rPr>
          <w:rFonts w:hAnsi="宋体"/>
          <w:color w:val="auto"/>
          <w:sz w:val="28"/>
          <w:szCs w:val="28"/>
        </w:rPr>
      </w:pPr>
    </w:p>
    <w:p w14:paraId="62B3BC3F">
      <w:pPr>
        <w:pStyle w:val="3"/>
        <w:numPr>
          <w:ilvl w:val="1"/>
          <w:numId w:val="0"/>
        </w:numPr>
        <w:jc w:val="both"/>
      </w:pPr>
    </w:p>
    <w:p w14:paraId="54D61D49"/>
    <w:p w14:paraId="14594A2C">
      <w:pPr>
        <w:pStyle w:val="39"/>
        <w:rPr>
          <w:rFonts w:hAnsi="宋体"/>
          <w:color w:val="auto"/>
          <w:sz w:val="28"/>
          <w:szCs w:val="28"/>
        </w:rPr>
      </w:pPr>
    </w:p>
    <w:p w14:paraId="50EC5E20">
      <w:pPr>
        <w:spacing w:line="360" w:lineRule="auto"/>
        <w:ind w:firstLine="1928" w:firstLineChars="600"/>
        <w:rPr>
          <w:rFonts w:hint="eastAsia" w:ascii="宋体" w:hAnsi="宋体" w:eastAsia="宋体" w:cs="宋体"/>
          <w:b/>
          <w:bCs/>
          <w:sz w:val="32"/>
          <w:szCs w:val="32"/>
          <w:lang w:eastAsia="zh-CN"/>
        </w:rPr>
      </w:pPr>
      <w:bookmarkStart w:id="0" w:name="_Toc22804073"/>
      <w:bookmarkEnd w:id="0"/>
      <w:bookmarkStart w:id="1" w:name="_Toc22953395"/>
      <w:bookmarkEnd w:id="1"/>
      <w:r>
        <w:rPr>
          <w:rFonts w:hint="eastAsia" w:ascii="宋体" w:hAnsi="宋体" w:cs="宋体"/>
          <w:b/>
          <w:bCs/>
          <w:sz w:val="32"/>
          <w:szCs w:val="32"/>
        </w:rPr>
        <w:t>采  购 人：</w:t>
      </w:r>
      <w:r>
        <w:rPr>
          <w:rFonts w:hint="eastAsia" w:ascii="宋体" w:hAnsi="宋体" w:cs="宋体"/>
          <w:b/>
          <w:bCs/>
          <w:sz w:val="32"/>
          <w:szCs w:val="32"/>
          <w:lang w:eastAsia="zh-CN"/>
        </w:rPr>
        <w:t>三门峡市陕州区城市管理局</w:t>
      </w:r>
    </w:p>
    <w:p w14:paraId="6E288DD4">
      <w:pPr>
        <w:spacing w:line="360" w:lineRule="auto"/>
        <w:ind w:firstLine="1928" w:firstLineChars="600"/>
        <w:rPr>
          <w:rFonts w:hint="eastAsia" w:ascii="宋体" w:hAnsi="宋体" w:eastAsia="宋体" w:cs="宋体"/>
          <w:b/>
          <w:bCs/>
          <w:sz w:val="32"/>
          <w:szCs w:val="32"/>
          <w:lang w:eastAsia="zh-CN"/>
        </w:rPr>
      </w:pPr>
      <w:r>
        <w:rPr>
          <w:rFonts w:hint="eastAsia" w:ascii="宋体" w:hAnsi="宋体" w:cs="宋体"/>
          <w:b/>
          <w:bCs/>
          <w:sz w:val="32"/>
          <w:szCs w:val="32"/>
        </w:rPr>
        <w:t>代理机构：</w:t>
      </w:r>
      <w:r>
        <w:rPr>
          <w:rFonts w:hint="eastAsia" w:ascii="宋体" w:hAnsi="宋体" w:cs="宋体"/>
          <w:b/>
          <w:bCs/>
          <w:sz w:val="32"/>
          <w:szCs w:val="32"/>
          <w:lang w:eastAsia="zh-CN"/>
        </w:rPr>
        <w:t>正为技术有限公司</w:t>
      </w:r>
    </w:p>
    <w:p w14:paraId="1ED65BB8">
      <w:pPr>
        <w:pStyle w:val="39"/>
        <w:spacing w:line="360" w:lineRule="auto"/>
        <w:ind w:firstLine="1928" w:firstLineChars="600"/>
        <w:jc w:val="both"/>
        <w:rPr>
          <w:rFonts w:hAnsi="宋体"/>
          <w:b/>
          <w:bCs/>
          <w:color w:val="auto"/>
          <w:sz w:val="32"/>
          <w:szCs w:val="32"/>
        </w:rPr>
        <w:sectPr>
          <w:headerReference r:id="rId3" w:type="default"/>
          <w:footerReference r:id="rId4" w:type="default"/>
          <w:pgSz w:w="11906" w:h="16838"/>
          <w:pgMar w:top="1417" w:right="1417" w:bottom="1417" w:left="1417" w:header="777" w:footer="641" w:gutter="0"/>
          <w:cols w:space="720" w:num="1"/>
          <w:titlePg/>
        </w:sectPr>
      </w:pPr>
      <w:r>
        <w:rPr>
          <w:rFonts w:hint="eastAsia" w:hAnsi="宋体"/>
          <w:b/>
          <w:bCs/>
          <w:color w:val="auto"/>
          <w:sz w:val="32"/>
          <w:szCs w:val="32"/>
        </w:rPr>
        <w:t>日    期：二〇二</w:t>
      </w:r>
      <w:r>
        <w:rPr>
          <w:rFonts w:hint="eastAsia" w:hAnsi="宋体"/>
          <w:b/>
          <w:bCs/>
          <w:color w:val="auto"/>
          <w:sz w:val="32"/>
          <w:szCs w:val="32"/>
          <w:lang w:val="en-US" w:eastAsia="zh-CN"/>
        </w:rPr>
        <w:t>五</w:t>
      </w:r>
      <w:r>
        <w:rPr>
          <w:rFonts w:hint="eastAsia" w:hAnsi="宋体"/>
          <w:b/>
          <w:bCs/>
          <w:color w:val="auto"/>
          <w:sz w:val="32"/>
          <w:szCs w:val="32"/>
        </w:rPr>
        <w:t>年</w:t>
      </w:r>
      <w:r>
        <w:rPr>
          <w:rFonts w:hint="eastAsia" w:hAnsi="宋体"/>
          <w:b/>
          <w:bCs/>
          <w:color w:val="auto"/>
          <w:sz w:val="32"/>
          <w:szCs w:val="32"/>
          <w:lang w:val="en-US" w:eastAsia="zh-CN"/>
        </w:rPr>
        <w:t>十</w:t>
      </w:r>
      <w:r>
        <w:rPr>
          <w:rFonts w:hint="eastAsia" w:hAnsi="宋体"/>
          <w:b/>
          <w:bCs/>
          <w:color w:val="auto"/>
          <w:sz w:val="32"/>
          <w:szCs w:val="32"/>
        </w:rPr>
        <w:t>月</w:t>
      </w:r>
    </w:p>
    <w:sdt>
      <w:sdtPr>
        <w:rPr>
          <w:rFonts w:ascii="宋体" w:hAnsi="宋体"/>
          <w:sz w:val="40"/>
          <w:szCs w:val="48"/>
        </w:rPr>
        <w:id w:val="147475256"/>
      </w:sdtPr>
      <w:sdtEndPr>
        <w:rPr>
          <w:rFonts w:ascii="宋体" w:hAnsi="宋体"/>
          <w:color w:val="auto"/>
          <w:sz w:val="40"/>
          <w:szCs w:val="48"/>
        </w:rPr>
      </w:sdtEndPr>
      <w:sdtContent>
        <w:p w14:paraId="77B45F63">
          <w:pPr>
            <w:jc w:val="center"/>
            <w:rPr>
              <w:sz w:val="40"/>
              <w:szCs w:val="48"/>
            </w:rPr>
          </w:pPr>
          <w:bookmarkStart w:id="2" w:name="_Toc17021"/>
          <w:bookmarkStart w:id="3" w:name="_Toc25356"/>
          <w:bookmarkStart w:id="4" w:name="_Toc1022"/>
          <w:bookmarkStart w:id="5" w:name="_Toc4611_WPSOffice_Level1"/>
          <w:r>
            <w:rPr>
              <w:rFonts w:ascii="宋体" w:hAnsi="宋体"/>
              <w:sz w:val="40"/>
              <w:szCs w:val="48"/>
            </w:rPr>
            <w:t>目</w:t>
          </w:r>
          <w:r>
            <w:rPr>
              <w:rFonts w:hint="eastAsia" w:ascii="宋体" w:hAnsi="宋体"/>
              <w:sz w:val="40"/>
              <w:szCs w:val="48"/>
              <w:lang w:val="en-US" w:eastAsia="zh-CN"/>
            </w:rPr>
            <w:t xml:space="preserve">   </w:t>
          </w:r>
          <w:r>
            <w:rPr>
              <w:rFonts w:ascii="宋体" w:hAnsi="宋体"/>
              <w:sz w:val="40"/>
              <w:szCs w:val="48"/>
            </w:rPr>
            <w:t>录</w:t>
          </w:r>
        </w:p>
        <w:p w14:paraId="2F80B8E3">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TOC \o "1-1" \h \u </w:instrText>
          </w:r>
          <w:r>
            <w:rPr>
              <w:rFonts w:hint="eastAsia" w:ascii="宋体" w:hAnsi="宋体" w:eastAsia="宋体" w:cs="宋体"/>
              <w:sz w:val="28"/>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_Toc19041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 xml:space="preserve">第一章  </w:t>
          </w:r>
          <w:r>
            <w:rPr>
              <w:rFonts w:hint="eastAsia" w:ascii="宋体" w:hAnsi="宋体" w:eastAsia="宋体" w:cs="宋体"/>
              <w:sz w:val="28"/>
              <w:szCs w:val="36"/>
            </w:rPr>
            <w:t>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_Toc19041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116E0719">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_Toc31960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第二章</w:t>
          </w:r>
          <w:r>
            <w:rPr>
              <w:rFonts w:hint="eastAsia" w:ascii="宋体" w:hAnsi="宋体" w:eastAsia="宋体" w:cs="宋体"/>
              <w:sz w:val="28"/>
              <w:szCs w:val="36"/>
            </w:rPr>
            <w:t xml:space="preserve">  </w:t>
          </w:r>
          <w:r>
            <w:rPr>
              <w:rFonts w:hint="eastAsia" w:ascii="宋体" w:hAnsi="宋体" w:cs="宋体"/>
              <w:sz w:val="28"/>
              <w:szCs w:val="36"/>
              <w:lang w:eastAsia="zh-CN"/>
            </w:rPr>
            <w:t>供应商</w:t>
          </w:r>
          <w:r>
            <w:rPr>
              <w:rFonts w:hint="eastAsia" w:ascii="宋体" w:hAnsi="宋体" w:eastAsia="宋体" w:cs="宋体"/>
              <w:sz w:val="28"/>
              <w:szCs w:val="36"/>
            </w:rPr>
            <w:t>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_Toc31960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9AE7223">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_Toc470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第三章  货物清单及参数要求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_Toc470 \h </w:instrText>
          </w:r>
          <w:r>
            <w:rPr>
              <w:rFonts w:hint="eastAsia" w:ascii="宋体" w:hAnsi="宋体" w:eastAsia="宋体" w:cs="宋体"/>
              <w:sz w:val="28"/>
              <w:szCs w:val="36"/>
            </w:rPr>
            <w:fldChar w:fldCharType="separate"/>
          </w:r>
          <w:r>
            <w:rPr>
              <w:rFonts w:hint="eastAsia" w:ascii="宋体" w:hAnsi="宋体" w:eastAsia="宋体" w:cs="宋体"/>
              <w:sz w:val="28"/>
              <w:szCs w:val="36"/>
            </w:rPr>
            <w:t>20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1719DD6">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_Toc18100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第四章  评标办法（综合评分法）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_Toc18100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46D019D">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_Toc5144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第五章  合同条款及格式（仅供参考）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_Toc5144 \h </w:instrText>
          </w:r>
          <w:r>
            <w:rPr>
              <w:rFonts w:hint="eastAsia" w:ascii="宋体" w:hAnsi="宋体" w:eastAsia="宋体" w:cs="宋体"/>
              <w:sz w:val="28"/>
              <w:szCs w:val="36"/>
            </w:rPr>
            <w:fldChar w:fldCharType="separate"/>
          </w:r>
          <w:r>
            <w:rPr>
              <w:rFonts w:hint="eastAsia" w:ascii="宋体" w:hAnsi="宋体" w:eastAsia="宋体" w:cs="宋体"/>
              <w:sz w:val="28"/>
              <w:szCs w:val="36"/>
            </w:rPr>
            <w:t>32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501DF89">
          <w:pPr>
            <w:pStyle w:val="18"/>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_Toc19164 </w:instrText>
          </w:r>
          <w:r>
            <w:rPr>
              <w:rFonts w:hint="eastAsia" w:ascii="宋体" w:hAnsi="宋体" w:eastAsia="宋体" w:cs="宋体"/>
              <w:sz w:val="28"/>
              <w:szCs w:val="36"/>
            </w:rPr>
            <w:fldChar w:fldCharType="separate"/>
          </w:r>
          <w:r>
            <w:rPr>
              <w:rFonts w:hint="eastAsia" w:ascii="宋体" w:hAnsi="宋体" w:eastAsia="宋体" w:cs="宋体"/>
              <w:sz w:val="28"/>
              <w:szCs w:val="36"/>
            </w:rPr>
            <w:t>第六章  投标文件格式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_Toc19164 \h </w:instrText>
          </w:r>
          <w:r>
            <w:rPr>
              <w:rFonts w:hint="eastAsia" w:ascii="宋体" w:hAnsi="宋体" w:eastAsia="宋体" w:cs="宋体"/>
              <w:sz w:val="28"/>
              <w:szCs w:val="36"/>
            </w:rPr>
            <w:fldChar w:fldCharType="separate"/>
          </w:r>
          <w:r>
            <w:rPr>
              <w:rFonts w:hint="eastAsia" w:ascii="宋体" w:hAnsi="宋体" w:eastAsia="宋体" w:cs="宋体"/>
              <w:sz w:val="28"/>
              <w:szCs w:val="36"/>
            </w:rPr>
            <w:t>37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DC382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end"/>
          </w:r>
        </w:p>
        <w:p w14:paraId="4EF421F8"/>
        <w:bookmarkEnd w:id="2"/>
        <w:bookmarkEnd w:id="3"/>
        <w:bookmarkEnd w:id="4"/>
        <w:bookmarkEnd w:id="5"/>
        <w:p w14:paraId="4323F039"/>
        <w:p w14:paraId="119CED38"/>
        <w:p w14:paraId="4567E5B8"/>
        <w:p w14:paraId="25D5515C">
          <w:pPr>
            <w:rPr>
              <w:color w:val="auto"/>
            </w:rPr>
          </w:pPr>
        </w:p>
      </w:sdtContent>
    </w:sdt>
    <w:p w14:paraId="43189C2A">
      <w:pPr>
        <w:numPr>
          <w:ilvl w:val="0"/>
          <w:numId w:val="0"/>
        </w:numPr>
        <w:spacing w:line="340" w:lineRule="exact"/>
        <w:ind w:leftChars="0"/>
        <w:jc w:val="both"/>
        <w:outlineLvl w:val="0"/>
        <w:rPr>
          <w:rStyle w:val="41"/>
          <w:rFonts w:hint="eastAsia" w:ascii="宋体" w:hAnsi="宋体" w:cs="宋体"/>
          <w:color w:val="auto"/>
        </w:rPr>
      </w:pPr>
      <w:bookmarkStart w:id="6" w:name="_Toc15246"/>
      <w:bookmarkEnd w:id="6"/>
    </w:p>
    <w:p w14:paraId="7A6C5D5D">
      <w:pPr>
        <w:numPr>
          <w:ilvl w:val="0"/>
          <w:numId w:val="0"/>
        </w:numPr>
        <w:spacing w:line="340" w:lineRule="exact"/>
        <w:ind w:leftChars="0"/>
        <w:jc w:val="both"/>
        <w:outlineLvl w:val="0"/>
        <w:rPr>
          <w:rStyle w:val="41"/>
          <w:rFonts w:hint="eastAsia" w:ascii="宋体" w:hAnsi="宋体" w:cs="宋体"/>
          <w:color w:val="auto"/>
        </w:rPr>
        <w:sectPr>
          <w:headerReference r:id="rId5" w:type="default"/>
          <w:footerReference r:id="rId6" w:type="default"/>
          <w:pgSz w:w="11906" w:h="16838"/>
          <w:pgMar w:top="1417" w:right="1417" w:bottom="1417" w:left="1417" w:header="777" w:footer="641" w:gutter="0"/>
          <w:pgNumType w:start="1"/>
          <w:cols w:space="720" w:num="1"/>
        </w:sectPr>
      </w:pPr>
    </w:p>
    <w:p w14:paraId="054C1F1D">
      <w:pPr>
        <w:numPr>
          <w:ilvl w:val="0"/>
          <w:numId w:val="0"/>
        </w:numPr>
        <w:spacing w:line="340" w:lineRule="exact"/>
        <w:ind w:leftChars="0"/>
        <w:jc w:val="both"/>
        <w:outlineLvl w:val="0"/>
        <w:rPr>
          <w:rStyle w:val="41"/>
          <w:rFonts w:hint="eastAsia" w:ascii="宋体" w:hAnsi="宋体" w:cs="宋体"/>
          <w:color w:val="auto"/>
        </w:rPr>
      </w:pPr>
    </w:p>
    <w:p w14:paraId="6B0AC082">
      <w:pPr>
        <w:numPr>
          <w:ilvl w:val="0"/>
          <w:numId w:val="0"/>
        </w:numPr>
        <w:spacing w:line="340" w:lineRule="exact"/>
        <w:ind w:leftChars="0"/>
        <w:jc w:val="center"/>
        <w:outlineLvl w:val="0"/>
        <w:rPr>
          <w:rStyle w:val="41"/>
          <w:rFonts w:ascii="宋体" w:hAnsi="宋体" w:cs="宋体"/>
          <w:color w:val="auto"/>
        </w:rPr>
      </w:pPr>
      <w:bookmarkStart w:id="7" w:name="_Toc19041"/>
      <w:r>
        <w:rPr>
          <w:rStyle w:val="41"/>
          <w:rFonts w:hint="eastAsia" w:ascii="宋体" w:hAnsi="宋体" w:cs="宋体"/>
          <w:color w:val="auto"/>
          <w:lang w:val="en-US" w:eastAsia="zh-CN"/>
        </w:rPr>
        <w:t xml:space="preserve">第一章  </w:t>
      </w:r>
      <w:r>
        <w:rPr>
          <w:rStyle w:val="41"/>
          <w:rFonts w:hint="eastAsia" w:ascii="宋体" w:hAnsi="宋体" w:cs="宋体"/>
          <w:color w:val="auto"/>
        </w:rPr>
        <w:t>招标公告</w:t>
      </w:r>
      <w:bookmarkEnd w:id="7"/>
    </w:p>
    <w:p w14:paraId="018AB7A5">
      <w:pPr>
        <w:spacing w:line="360" w:lineRule="auto"/>
        <w:ind w:left="-420" w:leftChars="-200" w:firstLine="560" w:firstLineChars="200"/>
        <w:rPr>
          <w:rFonts w:hint="eastAsia" w:ascii="宋体" w:hAnsi="宋体" w:cs="宋体"/>
          <w:color w:val="auto"/>
          <w:sz w:val="28"/>
          <w:szCs w:val="28"/>
        </w:rPr>
      </w:pPr>
    </w:p>
    <w:p w14:paraId="22B67E4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159D974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三门峡市陕州区城区生活垃圾分类收运设备及环卫车辆更新项目冲洗车及园林垃圾运输车采购</w:t>
      </w:r>
      <w:r>
        <w:rPr>
          <w:rFonts w:hint="eastAsia" w:ascii="宋体" w:hAnsi="宋体" w:eastAsia="宋体" w:cs="宋体"/>
          <w:color w:val="auto"/>
          <w:sz w:val="24"/>
          <w:szCs w:val="24"/>
        </w:rPr>
        <w:t>的潜在</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应在三门峡市公共资源交易中心获取招标文件，并于202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11月24日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0分（北京时间）前递交响应文件。</w:t>
      </w:r>
      <w:bookmarkStart w:id="8" w:name="_Toc11493"/>
      <w:bookmarkStart w:id="9" w:name="_Toc922_WPSOffice_Level2"/>
      <w:bookmarkStart w:id="10" w:name="_Toc27433"/>
      <w:bookmarkStart w:id="11" w:name="_Toc4117_WPSOffice_Level2"/>
    </w:p>
    <w:p w14:paraId="4343DB8E">
      <w:pPr>
        <w:spacing w:line="360" w:lineRule="auto"/>
        <w:ind w:left="-420" w:leftChars="-20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bookmarkEnd w:id="8"/>
      <w:bookmarkEnd w:id="9"/>
      <w:bookmarkEnd w:id="10"/>
      <w:bookmarkEnd w:id="11"/>
      <w:r>
        <w:rPr>
          <w:rFonts w:hint="eastAsia" w:ascii="宋体" w:hAnsi="宋体" w:eastAsia="宋体" w:cs="宋体"/>
          <w:color w:val="auto"/>
          <w:sz w:val="24"/>
          <w:szCs w:val="24"/>
          <w:lang w:val="en-US" w:eastAsia="zh-CN"/>
        </w:rPr>
        <w:t>项目基本情况</w:t>
      </w:r>
    </w:p>
    <w:p w14:paraId="46F1C4F2">
      <w:p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highlight w:val="none"/>
          <w:lang w:val="en-US" w:eastAsia="zh-CN"/>
        </w:rPr>
        <w:t>项目编号：陕州公开采购-2025-45；SZGZ[2025]217-ZC149；</w:t>
      </w:r>
    </w:p>
    <w:p w14:paraId="48F79899">
      <w:pPr>
        <w:numPr>
          <w:ilvl w:val="0"/>
          <w:numId w:val="2"/>
        </w:num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r>
        <w:rPr>
          <w:rFonts w:hint="eastAsia" w:ascii="宋体" w:hAnsi="宋体" w:cs="宋体"/>
          <w:color w:val="auto"/>
          <w:sz w:val="24"/>
          <w:szCs w:val="24"/>
          <w:lang w:eastAsia="zh-CN"/>
        </w:rPr>
        <w:t>三门峡市陕州区城区生活垃圾分类收运设备及环卫车辆更新项目冲洗车及园林垃圾运输车采购</w:t>
      </w:r>
    </w:p>
    <w:p w14:paraId="46167B26">
      <w:pPr>
        <w:numPr>
          <w:ilvl w:val="0"/>
          <w:numId w:val="0"/>
        </w:num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p w14:paraId="23511129">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4750000.00元</w:t>
      </w:r>
    </w:p>
    <w:p w14:paraId="3BE5A9B3">
      <w:pPr>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lang w:val="en-US" w:eastAsia="zh-CN"/>
        </w:rPr>
        <w:t>4750000.00</w:t>
      </w:r>
      <w:r>
        <w:rPr>
          <w:rFonts w:hint="eastAsia" w:ascii="宋体" w:hAnsi="宋体" w:eastAsia="宋体" w:cs="宋体"/>
          <w:color w:val="auto"/>
          <w:sz w:val="24"/>
          <w:szCs w:val="24"/>
          <w:lang w:val="en-US" w:eastAsia="zh-CN"/>
        </w:rPr>
        <w:t>元</w:t>
      </w:r>
    </w:p>
    <w:tbl>
      <w:tblPr>
        <w:tblStyle w:val="2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26"/>
        <w:gridCol w:w="3422"/>
        <w:gridCol w:w="1675"/>
        <w:gridCol w:w="2028"/>
      </w:tblGrid>
      <w:tr w14:paraId="44F7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3" w:type="dxa"/>
            <w:vAlign w:val="center"/>
          </w:tcPr>
          <w:p w14:paraId="3957CA1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626" w:type="dxa"/>
            <w:vAlign w:val="center"/>
          </w:tcPr>
          <w:p w14:paraId="4BD39151">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包号</w:t>
            </w:r>
          </w:p>
        </w:tc>
        <w:tc>
          <w:tcPr>
            <w:tcW w:w="3422" w:type="dxa"/>
            <w:vAlign w:val="center"/>
          </w:tcPr>
          <w:p w14:paraId="195B3F74">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包名称</w:t>
            </w:r>
          </w:p>
        </w:tc>
        <w:tc>
          <w:tcPr>
            <w:tcW w:w="1675" w:type="dxa"/>
            <w:vAlign w:val="center"/>
          </w:tcPr>
          <w:p w14:paraId="578F712F">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包预算（元）</w:t>
            </w:r>
          </w:p>
        </w:tc>
        <w:tc>
          <w:tcPr>
            <w:tcW w:w="2028" w:type="dxa"/>
            <w:vAlign w:val="center"/>
          </w:tcPr>
          <w:p w14:paraId="12A24784">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包最高限价（元）</w:t>
            </w:r>
          </w:p>
        </w:tc>
      </w:tr>
      <w:tr w14:paraId="7323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vAlign w:val="center"/>
          </w:tcPr>
          <w:p w14:paraId="3C294A39">
            <w:pPr>
              <w:keepNext w:val="0"/>
              <w:keepLines w:val="0"/>
              <w:widowControl/>
              <w:suppressLineNumbers w:val="0"/>
              <w:spacing w:before="0" w:beforeAutospacing="0" w:after="0" w:afterAutospacing="0" w:line="480" w:lineRule="exact"/>
              <w:ind w:left="0" w:right="0" w:firstLine="105" w:firstLineChar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626" w:type="dxa"/>
            <w:vAlign w:val="center"/>
          </w:tcPr>
          <w:p w14:paraId="7C85794B">
            <w:pPr>
              <w:keepNext w:val="0"/>
              <w:keepLines w:val="0"/>
              <w:widowControl/>
              <w:suppressLineNumbers w:val="0"/>
              <w:spacing w:before="0" w:beforeAutospacing="0" w:after="0" w:afterAutospacing="0" w:line="480" w:lineRule="exact"/>
              <w:ind w:left="480" w:right="0" w:hanging="420" w:hangingChars="200"/>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SZGZ[2025]217-ZC149-1</w:t>
            </w:r>
          </w:p>
        </w:tc>
        <w:tc>
          <w:tcPr>
            <w:tcW w:w="3422" w:type="dxa"/>
            <w:vAlign w:val="center"/>
          </w:tcPr>
          <w:p w14:paraId="07423F1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三门峡市陕州区城区生活垃圾分类收运设备及环卫车辆更新项目冲洗车及园林垃圾运输车采购</w:t>
            </w:r>
          </w:p>
        </w:tc>
        <w:tc>
          <w:tcPr>
            <w:tcW w:w="1675" w:type="dxa"/>
            <w:vAlign w:val="center"/>
          </w:tcPr>
          <w:p w14:paraId="26E5985B">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kern w:val="0"/>
                <w:sz w:val="21"/>
                <w:szCs w:val="21"/>
                <w:lang w:val="en-US" w:eastAsia="zh-CN"/>
              </w:rPr>
            </w:pPr>
            <w:r>
              <w:rPr>
                <w:rFonts w:hint="eastAsia" w:ascii="宋体" w:hAnsi="宋体" w:cs="宋体"/>
                <w:color w:val="auto"/>
                <w:sz w:val="24"/>
                <w:szCs w:val="24"/>
                <w:lang w:val="en-US" w:eastAsia="zh-CN"/>
              </w:rPr>
              <w:t>4750000</w:t>
            </w:r>
          </w:p>
        </w:tc>
        <w:tc>
          <w:tcPr>
            <w:tcW w:w="2028" w:type="dxa"/>
            <w:vAlign w:val="center"/>
          </w:tcPr>
          <w:p w14:paraId="44122FD8">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4"/>
                <w:szCs w:val="24"/>
                <w:lang w:val="en-US" w:eastAsia="zh-CN"/>
              </w:rPr>
              <w:t>4750000</w:t>
            </w:r>
          </w:p>
        </w:tc>
      </w:tr>
    </w:tbl>
    <w:p w14:paraId="49FA267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采购需求（包括但不限于标的的名称、数量、简要技术需求或服务要求等）</w:t>
      </w:r>
    </w:p>
    <w:p w14:paraId="4F624D5D">
      <w:pPr>
        <w:spacing w:line="360" w:lineRule="auto"/>
        <w:jc w:val="both"/>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rPr>
        <w:t>采购内</w:t>
      </w:r>
      <w:r>
        <w:rPr>
          <w:rFonts w:hint="eastAsia" w:ascii="宋体" w:hAnsi="宋体" w:eastAsia="宋体" w:cs="宋体"/>
          <w:color w:val="auto"/>
          <w:sz w:val="24"/>
          <w:szCs w:val="24"/>
          <w:lang w:val="en-US" w:eastAsia="zh-CN"/>
        </w:rPr>
        <w:t>容：本项目为三门峡市陕州区城区生活垃圾分类收运设备及环卫车辆更新项目冲洗车及园林垃圾运输车采购，主要内容是高压冲洗车、低压冲洗车、园林垃圾运输车采购及培训、验收、质保期服务、与货物有关的运输和保险及其他伴随服务。具体详见</w:t>
      </w:r>
      <w:r>
        <w:rPr>
          <w:rFonts w:hint="eastAsia" w:ascii="宋体" w:hAnsi="宋体" w:cs="宋体"/>
          <w:color w:val="auto"/>
          <w:sz w:val="24"/>
          <w:szCs w:val="24"/>
          <w:lang w:val="en-US" w:eastAsia="zh-CN"/>
        </w:rPr>
        <w:t>采购清单。</w:t>
      </w:r>
    </w:p>
    <w:p w14:paraId="05443B05">
      <w:pPr>
        <w:spacing w:line="360" w:lineRule="auto"/>
        <w:rPr>
          <w:rFonts w:hint="eastAsia" w:ascii="宋体" w:hAnsi="宋体" w:eastAsia="宋体" w:cs="宋体"/>
          <w:color w:val="FF0000"/>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交货地点：采购人指定地点；</w:t>
      </w:r>
    </w:p>
    <w:p w14:paraId="0035958B">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交货期：</w:t>
      </w:r>
      <w:r>
        <w:rPr>
          <w:rFonts w:hint="eastAsia" w:ascii="宋体" w:hAnsi="宋体" w:cs="宋体"/>
          <w:color w:val="auto"/>
          <w:sz w:val="24"/>
          <w:szCs w:val="24"/>
          <w:lang w:eastAsia="zh-CN"/>
        </w:rPr>
        <w:t>签订合同后45日历天交货。</w:t>
      </w:r>
    </w:p>
    <w:p w14:paraId="1B86F7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质量要求：符合国家相关部门规定标准，达到正常运行条件；</w:t>
      </w:r>
    </w:p>
    <w:p w14:paraId="1535437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合同履行期限：按合同约定执行。</w:t>
      </w:r>
    </w:p>
    <w:p w14:paraId="1DCB21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、本项目是否接受联合体投标：否</w:t>
      </w:r>
    </w:p>
    <w:p w14:paraId="3C26EB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、是否接受进口产品：否。</w:t>
      </w:r>
    </w:p>
    <w:p w14:paraId="16BCFEF8">
      <w:pPr>
        <w:spacing w:line="360" w:lineRule="auto"/>
        <w:ind w:left="-420" w:leftChars="-200"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、是否专门面向中小企业：否</w:t>
      </w:r>
    </w:p>
    <w:p w14:paraId="1741F25B">
      <w:pPr>
        <w:spacing w:line="360" w:lineRule="auto"/>
        <w:ind w:left="-420" w:leftChars="-200" w:firstLine="480" w:firstLineChars="200"/>
        <w:outlineLvl w:val="1"/>
        <w:rPr>
          <w:rFonts w:hint="eastAsia" w:ascii="宋体" w:hAnsi="宋体" w:eastAsia="宋体" w:cs="宋体"/>
          <w:color w:val="auto"/>
          <w:sz w:val="24"/>
          <w:szCs w:val="24"/>
        </w:rPr>
      </w:pPr>
      <w:bookmarkStart w:id="12" w:name="_Toc30512_WPSOffice_Level2"/>
      <w:bookmarkStart w:id="13" w:name="_Toc31899_WPSOffice_Level2"/>
      <w:bookmarkStart w:id="14" w:name="_Toc8309"/>
      <w:bookmarkStart w:id="15" w:name="_Toc9303"/>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资格要求</w:t>
      </w:r>
      <w:bookmarkEnd w:id="12"/>
      <w:bookmarkEnd w:id="13"/>
      <w:bookmarkEnd w:id="14"/>
      <w:bookmarkEnd w:id="15"/>
    </w:p>
    <w:p w14:paraId="64F0AB1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34F210A3">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4E13D6A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23688D0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3C6092E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供应商具有合格有效的营业执照；提供具有履行合同所必需的设备和专业技术能力（自行作出承诺，格式自拟）</w:t>
      </w:r>
      <w:r>
        <w:rPr>
          <w:rFonts w:hint="eastAsia" w:ascii="宋体" w:hAnsi="宋体" w:eastAsia="宋体" w:cs="宋体"/>
          <w:color w:val="auto"/>
          <w:sz w:val="24"/>
          <w:szCs w:val="24"/>
        </w:rPr>
        <w:t xml:space="preserve">； </w:t>
      </w:r>
    </w:p>
    <w:p w14:paraId="0113E85D">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1E95ECF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供应商出具无行贿记录在中国裁判文书网自行查询或自行承诺（查询对象：企业、法定代表人）</w:t>
      </w:r>
    </w:p>
    <w:p w14:paraId="73A5379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24E09DB5">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52F450FB">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666D3F20">
      <w:pPr>
        <w:spacing w:line="360" w:lineRule="auto"/>
        <w:ind w:left="-420" w:leftChars="-200" w:firstLine="480" w:firstLineChars="200"/>
        <w:rPr>
          <w:rFonts w:hint="eastAsia" w:ascii="宋体" w:hAnsi="宋体" w:eastAsia="宋体" w:cs="宋体"/>
          <w:color w:val="auto"/>
          <w:sz w:val="24"/>
          <w:szCs w:val="24"/>
        </w:rPr>
      </w:pPr>
      <w:bookmarkStart w:id="16" w:name="_Toc9775"/>
      <w:bookmarkStart w:id="17" w:name="_Toc11334_WPSOffice_Level2"/>
      <w:bookmarkStart w:id="18" w:name="_Toc13710_WPSOffice_Level2"/>
      <w:bookmarkStart w:id="19" w:name="_Toc17120"/>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bookmarkEnd w:id="16"/>
      <w:bookmarkEnd w:id="17"/>
      <w:bookmarkEnd w:id="18"/>
      <w:bookmarkEnd w:id="19"/>
      <w:bookmarkStart w:id="20" w:name="_Toc10377"/>
      <w:bookmarkStart w:id="21" w:name="_Toc31857"/>
      <w:bookmarkStart w:id="22" w:name="_Toc19296_WPSOffice_Level2"/>
      <w:bookmarkStart w:id="23" w:name="_Toc21790_WPSOffice_Level2"/>
      <w:r>
        <w:rPr>
          <w:rFonts w:hint="eastAsia" w:ascii="宋体" w:hAnsi="宋体" w:eastAsia="宋体" w:cs="宋体"/>
          <w:color w:val="auto"/>
          <w:sz w:val="24"/>
          <w:szCs w:val="24"/>
        </w:rPr>
        <w:t>获取招标文件：</w:t>
      </w:r>
    </w:p>
    <w:p w14:paraId="1A93F2A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w:t>
      </w:r>
      <w:bookmarkStart w:id="831" w:name="_GoBack"/>
      <w:bookmarkEnd w:id="831"/>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日至</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日，每天上午00:00至12:00，下午12:00至23:59（北京时间，法定节假日除外。）</w:t>
      </w:r>
      <w:r>
        <w:rPr>
          <w:rFonts w:hint="eastAsia" w:ascii="宋体" w:hAnsi="宋体" w:eastAsia="宋体" w:cs="宋体"/>
          <w:color w:val="auto"/>
          <w:sz w:val="24"/>
          <w:szCs w:val="24"/>
        </w:rPr>
        <w:tab/>
      </w:r>
    </w:p>
    <w:p w14:paraId="2BA8B3D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2.地点：三门峡市公共资源交易中心（gzjy.smx.gov.cn）</w:t>
      </w:r>
    </w:p>
    <w:p w14:paraId="24B80D1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3.方式：本项目没有报名环节，</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凭CA数字证书通过三门峡市公共资源交易中心网（网址：http://gzjy.smx.gov.cn/），点击交易平台选择“市场主体登录”，在所参与项目右侧点击参与投标，即可直接下载本项目采购文件。</w:t>
      </w:r>
    </w:p>
    <w:p w14:paraId="37C25AC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rPr>
        <w:tab/>
      </w:r>
    </w:p>
    <w:p w14:paraId="427ABD8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四、投标截止时间及地点</w:t>
      </w:r>
    </w:p>
    <w:p w14:paraId="70DBD8F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11月24日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0D622A67">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3D2BF25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五、开标时间及地点</w:t>
      </w:r>
      <w:r>
        <w:rPr>
          <w:rFonts w:hint="eastAsia" w:ascii="宋体" w:hAnsi="宋体" w:eastAsia="宋体" w:cs="宋体"/>
          <w:color w:val="auto"/>
          <w:sz w:val="24"/>
          <w:szCs w:val="24"/>
        </w:rPr>
        <w:tab/>
      </w:r>
    </w:p>
    <w:p w14:paraId="1F99FD99">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11月24日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1DAB9B92">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bookmarkEnd w:id="20"/>
    <w:bookmarkEnd w:id="21"/>
    <w:bookmarkEnd w:id="22"/>
    <w:bookmarkEnd w:id="23"/>
    <w:p w14:paraId="319664F4">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cs="宋体"/>
          <w:sz w:val="24"/>
          <w:szCs w:val="24"/>
          <w:lang w:val="en-US" w:eastAsia="zh-CN"/>
        </w:rPr>
        <w:t>六</w:t>
      </w:r>
      <w:r>
        <w:rPr>
          <w:rFonts w:hint="eastAsia" w:ascii="宋体" w:hAnsi="宋体" w:eastAsia="宋体" w:cs="宋体"/>
          <w:color w:val="auto"/>
          <w:sz w:val="24"/>
          <w:szCs w:val="24"/>
        </w:rPr>
        <w:t>、发布公告的媒介</w:t>
      </w:r>
    </w:p>
    <w:p w14:paraId="5EBF0D47">
      <w:pPr>
        <w:spacing w:line="360" w:lineRule="auto"/>
        <w:ind w:left="-420" w:leftChars="-200" w:firstLine="480" w:firstLineChars="200"/>
        <w:rPr>
          <w:rFonts w:hint="eastAsia" w:ascii="宋体" w:hAnsi="宋体" w:cs="宋体"/>
          <w:sz w:val="24"/>
          <w:szCs w:val="24"/>
          <w:lang w:val="en-US" w:eastAsia="zh-CN"/>
        </w:rPr>
      </w:pPr>
      <w:r>
        <w:rPr>
          <w:rFonts w:hint="eastAsia" w:ascii="宋体" w:hAnsi="宋体" w:eastAsia="宋体" w:cs="宋体"/>
          <w:sz w:val="24"/>
          <w:szCs w:val="24"/>
        </w:rPr>
        <w:t>本次公告在《河南省政府采购网》、《</w:t>
      </w:r>
      <w:r>
        <w:rPr>
          <w:rFonts w:hint="eastAsia" w:ascii="宋体" w:hAnsi="宋体" w:eastAsia="宋体" w:cs="宋体"/>
          <w:sz w:val="24"/>
          <w:szCs w:val="24"/>
          <w:lang w:eastAsia="zh-CN"/>
        </w:rPr>
        <w:t>中国采购与招标网</w:t>
      </w:r>
      <w:r>
        <w:rPr>
          <w:rFonts w:hint="eastAsia" w:ascii="宋体" w:hAnsi="宋体" w:eastAsia="宋体" w:cs="宋体"/>
          <w:sz w:val="24"/>
          <w:szCs w:val="24"/>
        </w:rPr>
        <w:t>》、《三门峡市公共资源交易服务平台》网站上发布。</w:t>
      </w:r>
    </w:p>
    <w:p w14:paraId="01E975E9">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、其他补充事宜</w:t>
      </w:r>
      <w:bookmarkStart w:id="24" w:name="_Toc1555_WPSOffice_Level2"/>
      <w:bookmarkStart w:id="25" w:name="_Toc13199_WPSOffice_Level2"/>
      <w:bookmarkStart w:id="26" w:name="_Toc28762"/>
      <w:bookmarkStart w:id="27" w:name="_Toc22213"/>
    </w:p>
    <w:p w14:paraId="2B7FA82E">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3843844A">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2、评标打分部分：评标打分部分仍按照100分制原则进行，涉及到资格审查、企业荣誉、人员业绩、企业业绩等计分部分时，以投标单位自行上传到投标文件中的相应内容为准。</w:t>
      </w:r>
    </w:p>
    <w:p w14:paraId="36887664">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按照投标文件格式进行投标文件编制，在投标文件编制时，应明确将投标单位企业基本情况、资质情况、人员情况、财务情况、业绩情况编入投标文件，便于进行资格审查及评标打分。</w:t>
      </w:r>
    </w:p>
    <w:p w14:paraId="343CD71C">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bookmarkEnd w:id="24"/>
    <w:bookmarkEnd w:id="25"/>
    <w:bookmarkEnd w:id="26"/>
    <w:bookmarkEnd w:id="27"/>
    <w:p w14:paraId="16DF2270">
      <w:pPr>
        <w:spacing w:line="360" w:lineRule="auto"/>
        <w:ind w:left="-420" w:leftChars="-200" w:firstLine="480" w:firstLineChars="200"/>
        <w:rPr>
          <w:rFonts w:hint="eastAsia" w:ascii="宋体" w:hAnsi="宋体" w:cs="宋体"/>
          <w:sz w:val="24"/>
          <w:szCs w:val="24"/>
          <w:lang w:val="en-US" w:eastAsia="zh-CN"/>
        </w:rPr>
      </w:pPr>
      <w:bookmarkStart w:id="28" w:name="_Toc26302"/>
      <w:bookmarkStart w:id="29" w:name="_Toc21713_WPSOffice_Level2"/>
      <w:bookmarkStart w:id="30" w:name="_Toc92"/>
      <w:bookmarkStart w:id="31" w:name="_Toc6518_WPSOffice_Level2"/>
      <w:r>
        <w:rPr>
          <w:rFonts w:hint="eastAsia" w:ascii="宋体" w:hAnsi="宋体" w:cs="宋体"/>
          <w:sz w:val="24"/>
          <w:szCs w:val="24"/>
          <w:lang w:val="en-US" w:eastAsia="zh-CN"/>
        </w:rPr>
        <w:t>5、监督单位：三门峡市陕州区财政局政府采购监督管理科</w:t>
      </w:r>
    </w:p>
    <w:p w14:paraId="2F002D0D">
      <w:pPr>
        <w:spacing w:line="360" w:lineRule="auto"/>
        <w:ind w:left="-420" w:leftChars="-200"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联系电话：0398-3839210</w:t>
      </w:r>
    </w:p>
    <w:p w14:paraId="5F43C044">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w:t>
      </w:r>
      <w:bookmarkEnd w:id="28"/>
      <w:bookmarkEnd w:id="29"/>
      <w:bookmarkEnd w:id="30"/>
      <w:bookmarkEnd w:id="31"/>
      <w:r>
        <w:rPr>
          <w:rFonts w:hint="eastAsia" w:ascii="宋体" w:hAnsi="宋体" w:eastAsia="宋体" w:cs="宋体"/>
          <w:sz w:val="24"/>
          <w:szCs w:val="24"/>
        </w:rPr>
        <w:t>凡对本次招标提出询问，请按照以下方式联系</w:t>
      </w:r>
    </w:p>
    <w:p w14:paraId="604AA149">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val="en-US" w:eastAsia="zh-CN"/>
        </w:rPr>
        <w:t>采购人信息</w:t>
      </w:r>
    </w:p>
    <w:p w14:paraId="2F295016">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名称</w:t>
      </w:r>
      <w:r>
        <w:rPr>
          <w:rFonts w:hint="eastAsia" w:ascii="宋体" w:hAnsi="宋体" w:eastAsia="宋体" w:cs="宋体"/>
          <w:sz w:val="24"/>
          <w:szCs w:val="24"/>
        </w:rPr>
        <w:t>：三门峡市陕州区城市管理局</w:t>
      </w:r>
    </w:p>
    <w:p w14:paraId="602F72EE">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地址：三门峡市陕州区</w:t>
      </w:r>
      <w:r>
        <w:rPr>
          <w:rFonts w:hint="eastAsia" w:ascii="宋体" w:hAnsi="宋体" w:eastAsia="宋体" w:cs="宋体"/>
          <w:sz w:val="24"/>
          <w:szCs w:val="24"/>
          <w:lang w:val="en-US" w:eastAsia="zh-CN"/>
        </w:rPr>
        <w:t>陕州大道中段</w:t>
      </w:r>
    </w:p>
    <w:p w14:paraId="34A36743">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王女士</w:t>
      </w:r>
    </w:p>
    <w:p w14:paraId="32AE3B88">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sz w:val="24"/>
          <w:szCs w:val="24"/>
          <w:lang w:val="en-US" w:eastAsia="zh-CN"/>
        </w:rPr>
        <w:t>0398-3835689</w:t>
      </w:r>
    </w:p>
    <w:p w14:paraId="4770EEDB">
      <w:pPr>
        <w:spacing w:line="360" w:lineRule="auto"/>
        <w:ind w:left="-420" w:leftChars="-20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.采购代理机构</w:t>
      </w:r>
      <w:r>
        <w:rPr>
          <w:rFonts w:hint="eastAsia" w:ascii="宋体" w:hAnsi="宋体" w:cs="宋体"/>
          <w:sz w:val="24"/>
          <w:szCs w:val="24"/>
          <w:lang w:val="en-US" w:eastAsia="zh-CN"/>
        </w:rPr>
        <w:t>信息</w:t>
      </w:r>
    </w:p>
    <w:p w14:paraId="54519D28">
      <w:pPr>
        <w:spacing w:line="360" w:lineRule="auto"/>
        <w:ind w:left="-420" w:leftChars="-200"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名称：</w:t>
      </w:r>
      <w:r>
        <w:rPr>
          <w:rFonts w:hint="eastAsia" w:ascii="宋体" w:hAnsi="宋体" w:eastAsia="宋体" w:cs="宋体"/>
          <w:sz w:val="24"/>
          <w:szCs w:val="24"/>
          <w:lang w:eastAsia="zh-CN"/>
        </w:rPr>
        <w:t>正为技术有限公司</w:t>
      </w:r>
    </w:p>
    <w:p w14:paraId="2B8C6F83">
      <w:pPr>
        <w:spacing w:line="360" w:lineRule="auto"/>
        <w:ind w:left="-420" w:leftChars="-20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河南省郑州市金水区索凌路庙李商务大厦3单元10层1001室</w:t>
      </w:r>
    </w:p>
    <w:p w14:paraId="3B13CFF1">
      <w:pPr>
        <w:spacing w:line="360" w:lineRule="auto"/>
        <w:ind w:left="-420" w:leftChars="-200" w:firstLine="480" w:firstLineChars="200"/>
        <w:rPr>
          <w:rFonts w:hint="default" w:ascii="宋体" w:hAnsi="宋体" w:eastAsia="宋体" w:cs="宋体"/>
          <w:sz w:val="24"/>
          <w:szCs w:val="24"/>
          <w:lang w:val="en-US"/>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莫先生</w:t>
      </w:r>
    </w:p>
    <w:p w14:paraId="7A3E32EE">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联系方式：1</w:t>
      </w:r>
      <w:r>
        <w:rPr>
          <w:rFonts w:hint="eastAsia" w:ascii="宋体" w:hAnsi="宋体" w:eastAsia="宋体" w:cs="宋体"/>
          <w:sz w:val="24"/>
          <w:szCs w:val="24"/>
          <w:lang w:val="en-US" w:eastAsia="zh-CN"/>
        </w:rPr>
        <w:t>8838113119</w:t>
      </w:r>
    </w:p>
    <w:p w14:paraId="78396DA8">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17802E15">
      <w:pPr>
        <w:spacing w:line="360" w:lineRule="auto"/>
        <w:ind w:left="-420" w:leftChars="-200" w:firstLine="480" w:firstLineChars="200"/>
        <w:rPr>
          <w:rFonts w:hint="eastAsia" w:ascii="宋体" w:hAnsi="宋体" w:eastAsia="宋体" w:cs="宋体"/>
          <w:sz w:val="24"/>
          <w:szCs w:val="24"/>
        </w:rPr>
      </w:pPr>
      <w:r>
        <w:rPr>
          <w:rFonts w:hint="eastAsia" w:ascii="宋体" w:hAnsi="宋体" w:cs="宋体"/>
          <w:sz w:val="24"/>
          <w:szCs w:val="24"/>
          <w:lang w:val="en-US" w:eastAsia="zh-CN"/>
        </w:rPr>
        <w:t>项目</w:t>
      </w:r>
      <w:r>
        <w:rPr>
          <w:rFonts w:hint="eastAsia" w:ascii="宋体" w:hAnsi="宋体" w:eastAsia="宋体" w:cs="宋体"/>
          <w:sz w:val="24"/>
          <w:szCs w:val="24"/>
        </w:rPr>
        <w:t>联系人：</w:t>
      </w:r>
      <w:r>
        <w:rPr>
          <w:rFonts w:hint="eastAsia" w:ascii="宋体" w:hAnsi="宋体" w:cs="宋体"/>
          <w:sz w:val="24"/>
          <w:szCs w:val="24"/>
          <w:lang w:val="en-US" w:eastAsia="zh-CN"/>
        </w:rPr>
        <w:t>王女士</w:t>
      </w:r>
    </w:p>
    <w:p w14:paraId="5D8C5713">
      <w:pPr>
        <w:spacing w:line="360" w:lineRule="auto"/>
        <w:ind w:left="-420" w:leftChars="-200" w:firstLine="480" w:firstLineChars="200"/>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sz w:val="24"/>
          <w:szCs w:val="24"/>
          <w:lang w:val="en-US" w:eastAsia="zh-CN"/>
        </w:rPr>
        <w:t>0398-3835689</w:t>
      </w:r>
    </w:p>
    <w:p w14:paraId="0856147C">
      <w:pPr>
        <w:rPr>
          <w:rFonts w:hint="eastAsia" w:ascii="宋体" w:hAnsi="宋体" w:eastAsia="宋体" w:cs="宋体"/>
          <w:color w:val="auto"/>
          <w:sz w:val="24"/>
          <w:szCs w:val="24"/>
        </w:rPr>
      </w:pPr>
    </w:p>
    <w:p w14:paraId="149700DE">
      <w:pPr>
        <w:rPr>
          <w:rStyle w:val="41"/>
          <w:rFonts w:hint="eastAsia" w:ascii="宋体" w:hAnsi="宋体" w:cs="宋体"/>
          <w:color w:val="auto"/>
          <w:lang w:val="en-US" w:eastAsia="zh-CN"/>
        </w:rPr>
      </w:pPr>
      <w:bookmarkStart w:id="32" w:name="_Toc31960"/>
      <w:r>
        <w:rPr>
          <w:rStyle w:val="41"/>
          <w:rFonts w:hint="eastAsia" w:ascii="宋体" w:hAnsi="宋体" w:cs="宋体"/>
          <w:color w:val="auto"/>
          <w:lang w:val="en-US" w:eastAsia="zh-CN"/>
        </w:rPr>
        <w:br w:type="page"/>
      </w:r>
    </w:p>
    <w:p w14:paraId="6FF921B1">
      <w:pPr>
        <w:numPr>
          <w:ilvl w:val="0"/>
          <w:numId w:val="0"/>
        </w:numPr>
        <w:spacing w:line="340" w:lineRule="exact"/>
        <w:ind w:leftChars="0"/>
        <w:jc w:val="center"/>
        <w:outlineLvl w:val="0"/>
        <w:rPr>
          <w:rStyle w:val="41"/>
          <w:rFonts w:hint="eastAsia" w:ascii="宋体" w:hAnsi="宋体" w:cs="宋体"/>
          <w:color w:val="auto"/>
        </w:rPr>
      </w:pPr>
      <w:r>
        <w:rPr>
          <w:rStyle w:val="41"/>
          <w:rFonts w:hint="eastAsia" w:ascii="宋体" w:hAnsi="宋体" w:cs="宋体"/>
          <w:color w:val="auto"/>
          <w:lang w:val="en-US" w:eastAsia="zh-CN"/>
        </w:rPr>
        <w:t>第二章</w:t>
      </w:r>
      <w:r>
        <w:rPr>
          <w:rStyle w:val="41"/>
          <w:rFonts w:hint="eastAsia" w:ascii="宋体" w:hAnsi="宋体" w:cs="宋体"/>
          <w:color w:val="auto"/>
        </w:rPr>
        <w:t xml:space="preserve">  </w:t>
      </w:r>
      <w:bookmarkStart w:id="33" w:name="_Toc4137"/>
      <w:bookmarkStart w:id="34" w:name="_Toc29240"/>
      <w:bookmarkStart w:id="35" w:name="_Toc31263_WPSOffice_Level1"/>
      <w:bookmarkStart w:id="36" w:name="_Toc7472"/>
      <w:bookmarkStart w:id="37" w:name="_Toc10570"/>
      <w:r>
        <w:rPr>
          <w:rStyle w:val="41"/>
          <w:rFonts w:hint="eastAsia" w:ascii="宋体" w:hAnsi="宋体" w:cs="宋体"/>
          <w:color w:val="auto"/>
          <w:lang w:eastAsia="zh-CN"/>
        </w:rPr>
        <w:t>供应商</w:t>
      </w:r>
      <w:r>
        <w:rPr>
          <w:rStyle w:val="41"/>
          <w:rFonts w:hint="eastAsia" w:ascii="宋体" w:hAnsi="宋体" w:cs="宋体"/>
          <w:color w:val="auto"/>
        </w:rPr>
        <w:t>须知</w:t>
      </w:r>
      <w:bookmarkEnd w:id="32"/>
      <w:bookmarkEnd w:id="33"/>
      <w:bookmarkEnd w:id="34"/>
      <w:bookmarkEnd w:id="35"/>
      <w:bookmarkEnd w:id="36"/>
      <w:bookmarkEnd w:id="37"/>
    </w:p>
    <w:p w14:paraId="599D4A8A">
      <w:pPr>
        <w:pStyle w:val="3"/>
        <w:numPr>
          <w:ilvl w:val="0"/>
          <w:numId w:val="0"/>
        </w:numPr>
        <w:tabs>
          <w:tab w:val="clear" w:pos="840"/>
        </w:tabs>
        <w:spacing w:before="0" w:after="0" w:line="360" w:lineRule="auto"/>
        <w:ind w:left="420"/>
        <w:rPr>
          <w:rStyle w:val="41"/>
          <w:rFonts w:ascii="宋体" w:hAnsi="宋体" w:eastAsia="宋体" w:cs="宋体"/>
          <w:b/>
          <w:sz w:val="24"/>
          <w:szCs w:val="24"/>
        </w:rPr>
      </w:pPr>
      <w:bookmarkStart w:id="38" w:name="_Toc13400_WPSOffice_Level2"/>
      <w:bookmarkStart w:id="39" w:name="_Toc8739"/>
      <w:bookmarkStart w:id="40" w:name="_Toc22548"/>
      <w:bookmarkStart w:id="41" w:name="_Toc31833"/>
      <w:bookmarkStart w:id="42" w:name="_Toc1515"/>
      <w:bookmarkStart w:id="43" w:name="_Toc18397_WPSOffice_Level2"/>
      <w:bookmarkStart w:id="44" w:name="_Toc27602"/>
      <w:bookmarkStart w:id="45" w:name="_Toc6412"/>
      <w:r>
        <w:rPr>
          <w:rStyle w:val="41"/>
          <w:rFonts w:hint="eastAsia" w:ascii="宋体" w:hAnsi="宋体" w:eastAsia="宋体" w:cs="宋体"/>
          <w:b/>
          <w:sz w:val="24"/>
          <w:szCs w:val="24"/>
          <w:lang w:eastAsia="zh-CN"/>
        </w:rPr>
        <w:t>供应商</w:t>
      </w:r>
      <w:r>
        <w:rPr>
          <w:rStyle w:val="41"/>
          <w:rFonts w:hint="eastAsia" w:ascii="宋体" w:hAnsi="宋体" w:eastAsia="宋体" w:cs="宋体"/>
          <w:b/>
          <w:sz w:val="24"/>
          <w:szCs w:val="24"/>
        </w:rPr>
        <w:t>须知前附表</w:t>
      </w:r>
      <w:bookmarkEnd w:id="38"/>
      <w:bookmarkEnd w:id="39"/>
      <w:bookmarkEnd w:id="40"/>
      <w:bookmarkEnd w:id="41"/>
      <w:bookmarkEnd w:id="42"/>
      <w:bookmarkEnd w:id="43"/>
      <w:bookmarkEnd w:id="44"/>
      <w:bookmarkStart w:id="46" w:name="_Toc10837"/>
      <w:bookmarkEnd w:id="46"/>
    </w:p>
    <w:bookmarkEnd w:id="45"/>
    <w:tbl>
      <w:tblPr>
        <w:tblStyle w:val="2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25"/>
        <w:gridCol w:w="6694"/>
      </w:tblGrid>
      <w:tr w14:paraId="0A7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E8D539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725" w:type="dxa"/>
            <w:vAlign w:val="center"/>
          </w:tcPr>
          <w:p w14:paraId="1D4EF82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694" w:type="dxa"/>
            <w:vAlign w:val="center"/>
          </w:tcPr>
          <w:p w14:paraId="65F265F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269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148178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w:t>
            </w:r>
          </w:p>
        </w:tc>
        <w:tc>
          <w:tcPr>
            <w:tcW w:w="1725" w:type="dxa"/>
            <w:vAlign w:val="center"/>
          </w:tcPr>
          <w:p w14:paraId="1B56C01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94" w:type="dxa"/>
            <w:vAlign w:val="center"/>
          </w:tcPr>
          <w:p w14:paraId="42FD7E0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三门峡市陕州区城市管理局</w:t>
            </w:r>
          </w:p>
          <w:p w14:paraId="4F35CE1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地址：三门峡市陕州区</w:t>
            </w:r>
            <w:r>
              <w:rPr>
                <w:rFonts w:hint="eastAsia" w:ascii="宋体" w:hAnsi="宋体" w:eastAsia="宋体" w:cs="宋体"/>
                <w:color w:val="auto"/>
                <w:sz w:val="24"/>
                <w:szCs w:val="24"/>
                <w:lang w:val="en-US" w:eastAsia="zh-CN"/>
              </w:rPr>
              <w:t>陕州大道中段</w:t>
            </w:r>
          </w:p>
          <w:p w14:paraId="6A40BCC7">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王女士</w:t>
            </w:r>
          </w:p>
          <w:p w14:paraId="65D5A5CC">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0398-3835689</w:t>
            </w:r>
          </w:p>
        </w:tc>
      </w:tr>
      <w:tr w14:paraId="50FB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4E4842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1.2.2</w:t>
            </w:r>
          </w:p>
        </w:tc>
        <w:tc>
          <w:tcPr>
            <w:tcW w:w="1725" w:type="dxa"/>
            <w:vAlign w:val="center"/>
          </w:tcPr>
          <w:p w14:paraId="0BE6AFA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94" w:type="dxa"/>
            <w:vAlign w:val="center"/>
          </w:tcPr>
          <w:p w14:paraId="4EF4B43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正为技术有限公司</w:t>
            </w:r>
            <w:r>
              <w:rPr>
                <w:rFonts w:hint="eastAsia" w:ascii="宋体" w:hAnsi="宋体" w:eastAsia="宋体" w:cs="宋体"/>
                <w:color w:val="auto"/>
                <w:sz w:val="24"/>
                <w:szCs w:val="24"/>
              </w:rPr>
              <w:t xml:space="preserve">  </w:t>
            </w:r>
          </w:p>
          <w:p w14:paraId="7F56AC0A">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河南省郑州市金水区索凌路庙李商务大厦3单元10层1001室</w:t>
            </w:r>
          </w:p>
          <w:p w14:paraId="0B9CC20A">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莫先生</w:t>
            </w:r>
          </w:p>
          <w:p w14:paraId="126A22CB">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联系方式：1</w:t>
            </w:r>
            <w:r>
              <w:rPr>
                <w:rFonts w:hint="eastAsia" w:ascii="宋体" w:hAnsi="宋体" w:eastAsia="宋体" w:cs="宋体"/>
                <w:color w:val="auto"/>
                <w:sz w:val="24"/>
                <w:szCs w:val="24"/>
                <w:lang w:val="en-US" w:eastAsia="zh-CN"/>
              </w:rPr>
              <w:t>8838113119</w:t>
            </w:r>
          </w:p>
        </w:tc>
      </w:tr>
      <w:tr w14:paraId="2699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9" w:type="dxa"/>
            <w:vAlign w:val="center"/>
          </w:tcPr>
          <w:p w14:paraId="42BEF2A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1.2.3</w:t>
            </w:r>
          </w:p>
        </w:tc>
        <w:tc>
          <w:tcPr>
            <w:tcW w:w="1725" w:type="dxa"/>
            <w:vAlign w:val="center"/>
          </w:tcPr>
          <w:p w14:paraId="1F03849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项目名称及采购编号</w:t>
            </w:r>
          </w:p>
        </w:tc>
        <w:tc>
          <w:tcPr>
            <w:tcW w:w="6694" w:type="dxa"/>
            <w:vAlign w:val="center"/>
          </w:tcPr>
          <w:p w14:paraId="24F7B427">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三门峡市陕州区城区生活垃圾分类收运设备及环卫车辆更新项目冲洗车及园林垃圾运输车采购</w:t>
            </w:r>
          </w:p>
          <w:p w14:paraId="657DE360">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lang w:eastAsia="zh-CN"/>
              </w:rPr>
            </w:pPr>
            <w:r>
              <w:rPr>
                <w:rFonts w:hint="eastAsia" w:ascii="宋体" w:hAnsi="宋体" w:eastAsia="宋体" w:cs="宋体"/>
                <w:sz w:val="24"/>
                <w:szCs w:val="24"/>
              </w:rPr>
              <w:t>采购编号：陕州公开采购-2025-45；SZGZ[2025]217-ZC149</w:t>
            </w:r>
            <w:r>
              <w:rPr>
                <w:rFonts w:hint="eastAsia" w:ascii="宋体" w:hAnsi="宋体" w:eastAsia="宋体" w:cs="宋体"/>
                <w:sz w:val="24"/>
                <w:szCs w:val="24"/>
                <w:lang w:val="en-US" w:eastAsia="zh-CN"/>
              </w:rPr>
              <w:t>；</w:t>
            </w:r>
          </w:p>
        </w:tc>
      </w:tr>
      <w:tr w14:paraId="109A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69" w:type="dxa"/>
            <w:vAlign w:val="center"/>
          </w:tcPr>
          <w:p w14:paraId="5E885E9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1.2.4</w:t>
            </w:r>
          </w:p>
        </w:tc>
        <w:tc>
          <w:tcPr>
            <w:tcW w:w="1725" w:type="dxa"/>
            <w:vAlign w:val="center"/>
          </w:tcPr>
          <w:p w14:paraId="0F1E83A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lang w:eastAsia="zh-CN"/>
              </w:rPr>
            </w:pP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p>
        </w:tc>
        <w:tc>
          <w:tcPr>
            <w:tcW w:w="6694" w:type="dxa"/>
            <w:vAlign w:val="center"/>
          </w:tcPr>
          <w:p w14:paraId="0B5FF3A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lang w:val="en-US" w:eastAsia="zh-CN"/>
              </w:rPr>
              <w:t>本项目为三门峡市陕州区城区生活垃圾分类收运设备及环卫车辆更新项目冲洗车及园林垃圾运输车采购，主要内容是高压冲洗车、低压冲洗车、园林垃圾运输车采购及培训、验收、质保期服务、与货物有关的运输和保险及其他伴随服务。具体详见采购清单。</w:t>
            </w:r>
          </w:p>
        </w:tc>
      </w:tr>
      <w:tr w14:paraId="79A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69" w:type="dxa"/>
            <w:vAlign w:val="center"/>
          </w:tcPr>
          <w:p w14:paraId="745F31E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1.2.5</w:t>
            </w:r>
          </w:p>
        </w:tc>
        <w:tc>
          <w:tcPr>
            <w:tcW w:w="1725" w:type="dxa"/>
            <w:vAlign w:val="center"/>
          </w:tcPr>
          <w:p w14:paraId="5F0A81E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预算资金及资金来源</w:t>
            </w:r>
          </w:p>
        </w:tc>
        <w:tc>
          <w:tcPr>
            <w:tcW w:w="6694" w:type="dxa"/>
            <w:vAlign w:val="center"/>
          </w:tcPr>
          <w:p w14:paraId="756AF077">
            <w:pPr>
              <w:keepNext w:val="0"/>
              <w:keepLines w:val="0"/>
              <w:suppressLineNumbers w:val="0"/>
              <w:spacing w:before="0" w:beforeAutospacing="0" w:after="0" w:afterAutospacing="0" w:line="400" w:lineRule="exact"/>
              <w:ind w:left="38" w:leftChars="18"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4750000</w:t>
            </w:r>
            <w:r>
              <w:rPr>
                <w:rFonts w:hint="eastAsia" w:ascii="宋体" w:hAnsi="宋体" w:eastAsia="宋体" w:cs="宋体"/>
                <w:color w:val="auto"/>
                <w:sz w:val="24"/>
                <w:szCs w:val="24"/>
                <w:lang w:val="en-US" w:eastAsia="zh-CN"/>
              </w:rPr>
              <w:t>.00元；</w:t>
            </w:r>
          </w:p>
          <w:p w14:paraId="1D27A36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color w:val="auto"/>
                <w:sz w:val="24"/>
                <w:szCs w:val="24"/>
                <w:lang w:val="en-US" w:eastAsia="zh-CN"/>
              </w:rPr>
              <w:t>财政资金，已落实。</w:t>
            </w:r>
          </w:p>
        </w:tc>
      </w:tr>
      <w:tr w14:paraId="4AE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6A5F87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1.2.6</w:t>
            </w:r>
          </w:p>
        </w:tc>
        <w:tc>
          <w:tcPr>
            <w:tcW w:w="1725" w:type="dxa"/>
            <w:vAlign w:val="center"/>
          </w:tcPr>
          <w:p w14:paraId="5AE15C8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694" w:type="dxa"/>
          </w:tcPr>
          <w:p w14:paraId="41ED1939">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三电（电机、电控、电池）质保期为8年，除三电以外质保期为1年。</w:t>
            </w:r>
          </w:p>
        </w:tc>
      </w:tr>
      <w:tr w14:paraId="4EF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5271E15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1.2.7</w:t>
            </w:r>
          </w:p>
        </w:tc>
        <w:tc>
          <w:tcPr>
            <w:tcW w:w="1725" w:type="dxa"/>
            <w:vAlign w:val="center"/>
          </w:tcPr>
          <w:p w14:paraId="057CB6C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6694" w:type="dxa"/>
            <w:vAlign w:val="center"/>
          </w:tcPr>
          <w:p w14:paraId="1DD10EE5">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14:paraId="0B3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6B7AD97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1.2.8</w:t>
            </w:r>
          </w:p>
        </w:tc>
        <w:tc>
          <w:tcPr>
            <w:tcW w:w="1725" w:type="dxa"/>
            <w:vAlign w:val="center"/>
          </w:tcPr>
          <w:p w14:paraId="492E9732">
            <w:pPr>
              <w:keepNext w:val="0"/>
              <w:keepLines w:val="0"/>
              <w:suppressLineNumbers w:val="0"/>
              <w:spacing w:before="0" w:beforeAutospacing="0" w:after="0" w:afterAutospacing="0" w:line="400" w:lineRule="exact"/>
              <w:ind w:left="38" w:leftChars="18" w:right="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交货期</w:t>
            </w:r>
          </w:p>
        </w:tc>
        <w:tc>
          <w:tcPr>
            <w:tcW w:w="6694" w:type="dxa"/>
            <w:vAlign w:val="bottom"/>
          </w:tcPr>
          <w:p w14:paraId="6C06AA23">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签订合同后45日历天交货</w:t>
            </w:r>
          </w:p>
        </w:tc>
      </w:tr>
      <w:tr w14:paraId="142A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0ED5C8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1.2.9</w:t>
            </w:r>
          </w:p>
        </w:tc>
        <w:tc>
          <w:tcPr>
            <w:tcW w:w="1725" w:type="dxa"/>
            <w:vAlign w:val="center"/>
          </w:tcPr>
          <w:p w14:paraId="516F768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694" w:type="dxa"/>
            <w:vAlign w:val="bottom"/>
          </w:tcPr>
          <w:p w14:paraId="601840C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rPr>
            </w:pPr>
            <w:r>
              <w:rPr>
                <w:rFonts w:hint="eastAsia" w:ascii="宋体" w:hAnsi="宋体" w:eastAsia="宋体" w:cs="宋体"/>
                <w:color w:val="auto"/>
                <w:sz w:val="24"/>
                <w:szCs w:val="24"/>
              </w:rPr>
              <w:t>符合国家相关部门规定标准，达到正常运行条件</w:t>
            </w:r>
          </w:p>
        </w:tc>
      </w:tr>
      <w:tr w14:paraId="46B3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B6C609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1.2.10</w:t>
            </w:r>
          </w:p>
        </w:tc>
        <w:tc>
          <w:tcPr>
            <w:tcW w:w="1725" w:type="dxa"/>
            <w:vAlign w:val="center"/>
          </w:tcPr>
          <w:p w14:paraId="02592FD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tc>
        <w:tc>
          <w:tcPr>
            <w:tcW w:w="6694" w:type="dxa"/>
            <w:vAlign w:val="center"/>
          </w:tcPr>
          <w:p w14:paraId="1432A20C">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1、满足《中华人民共和国政府采购法》第二十二条规定； </w:t>
            </w:r>
          </w:p>
          <w:p w14:paraId="213603BB">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2、落实政府采购政策满足的资格要求： </w:t>
            </w:r>
          </w:p>
          <w:p w14:paraId="4DAD17B2">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本项目非专门面向中小微企业采购项目,执行促进中小企业（监狱企业、残疾人福利性企业）发展等政府采购政策。</w:t>
            </w:r>
          </w:p>
          <w:p w14:paraId="1F6793B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3、本项目的特定资格要求 </w:t>
            </w:r>
          </w:p>
          <w:p w14:paraId="1E50864C">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供应商具有合格有效的营业执照；提供具有履行合同所必需的设备和专业技术能力（自行作出承诺，格式自拟）</w:t>
            </w:r>
            <w:r>
              <w:rPr>
                <w:rFonts w:hint="eastAsia" w:ascii="宋体" w:hAnsi="宋体" w:eastAsia="宋体" w:cs="宋体"/>
                <w:color w:val="auto"/>
                <w:sz w:val="24"/>
                <w:szCs w:val="24"/>
                <w:lang w:val="en-US" w:eastAsia="zh-CN"/>
              </w:rPr>
              <w:t xml:space="preserve">； </w:t>
            </w:r>
          </w:p>
          <w:p w14:paraId="66CDFED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3.2.供应商出具的本单位无商业贿赂及无不正当竞争行为承诺书；</w:t>
            </w:r>
          </w:p>
          <w:p w14:paraId="7E79AB2F">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r>
              <w:rPr>
                <w:rFonts w:hint="eastAsia" w:ascii="宋体" w:hAnsi="宋体" w:cs="宋体"/>
                <w:color w:val="auto"/>
                <w:sz w:val="24"/>
                <w:szCs w:val="24"/>
                <w:lang w:val="en-US" w:eastAsia="zh-CN"/>
              </w:rPr>
              <w:t>供应商出具无行贿记录在中国裁判文书网自行查询或自行承诺（查询对象：企业、法定代表人）</w:t>
            </w:r>
          </w:p>
          <w:p w14:paraId="7293AC48">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3.4.参加政府采购活动前三年内，在经营活动中没有重大违法记录（提供书面声明）； </w:t>
            </w:r>
          </w:p>
          <w:p w14:paraId="5561BCF4">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）的网页查询结果。查询时间为招标公告发布日期之后。</w:t>
            </w:r>
          </w:p>
          <w:p w14:paraId="7B562EA3">
            <w:pPr>
              <w:keepNext w:val="0"/>
              <w:keepLines w:val="0"/>
              <w:suppressLineNumbers w:val="0"/>
              <w:spacing w:before="0" w:beforeAutospacing="0" w:after="0" w:afterAutospacing="0" w:line="400" w:lineRule="exact"/>
              <w:ind w:left="38" w:leftChars="18"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3.6本项目不接受联合体投标。</w:t>
            </w:r>
          </w:p>
        </w:tc>
      </w:tr>
      <w:tr w14:paraId="127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CF2168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1.2.11</w:t>
            </w:r>
          </w:p>
        </w:tc>
        <w:tc>
          <w:tcPr>
            <w:tcW w:w="1725" w:type="dxa"/>
            <w:vAlign w:val="center"/>
          </w:tcPr>
          <w:p w14:paraId="086726D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是否接受联合体</w:t>
            </w:r>
          </w:p>
        </w:tc>
        <w:tc>
          <w:tcPr>
            <w:tcW w:w="6694" w:type="dxa"/>
            <w:vAlign w:val="center"/>
          </w:tcPr>
          <w:p w14:paraId="2B34ECA5">
            <w:pPr>
              <w:keepNext w:val="0"/>
              <w:keepLines w:val="0"/>
              <w:suppressLineNumbers w:val="0"/>
              <w:tabs>
                <w:tab w:val="left" w:pos="630"/>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√不接受</w:t>
            </w:r>
          </w:p>
        </w:tc>
      </w:tr>
      <w:tr w14:paraId="4E9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35DC0D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1.2.12</w:t>
            </w:r>
          </w:p>
        </w:tc>
        <w:tc>
          <w:tcPr>
            <w:tcW w:w="1725" w:type="dxa"/>
            <w:vAlign w:val="center"/>
          </w:tcPr>
          <w:p w14:paraId="0FDD76E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是否接受进口产品</w:t>
            </w:r>
          </w:p>
        </w:tc>
        <w:tc>
          <w:tcPr>
            <w:tcW w:w="6694" w:type="dxa"/>
            <w:vAlign w:val="center"/>
          </w:tcPr>
          <w:p w14:paraId="7884B3C6">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√否</w:t>
            </w:r>
          </w:p>
        </w:tc>
      </w:tr>
      <w:tr w14:paraId="3CE4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1A6798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1.4.1</w:t>
            </w:r>
          </w:p>
        </w:tc>
        <w:tc>
          <w:tcPr>
            <w:tcW w:w="1725" w:type="dxa"/>
            <w:vAlign w:val="center"/>
          </w:tcPr>
          <w:p w14:paraId="7120431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现场考察</w:t>
            </w:r>
          </w:p>
        </w:tc>
        <w:tc>
          <w:tcPr>
            <w:tcW w:w="6694" w:type="dxa"/>
            <w:vAlign w:val="center"/>
          </w:tcPr>
          <w:p w14:paraId="0DD8D655">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√不组织</w:t>
            </w:r>
          </w:p>
        </w:tc>
      </w:tr>
      <w:tr w14:paraId="7B3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79A4C4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1.4.2</w:t>
            </w:r>
          </w:p>
        </w:tc>
        <w:tc>
          <w:tcPr>
            <w:tcW w:w="1725" w:type="dxa"/>
            <w:vAlign w:val="center"/>
          </w:tcPr>
          <w:p w14:paraId="1B5B879B">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答 疑 会</w:t>
            </w:r>
          </w:p>
        </w:tc>
        <w:tc>
          <w:tcPr>
            <w:tcW w:w="6694" w:type="dxa"/>
            <w:vAlign w:val="center"/>
          </w:tcPr>
          <w:p w14:paraId="187A3D96">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√不召开</w:t>
            </w:r>
          </w:p>
        </w:tc>
      </w:tr>
      <w:tr w14:paraId="6BCB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FC8985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1.5.1</w:t>
            </w:r>
          </w:p>
        </w:tc>
        <w:tc>
          <w:tcPr>
            <w:tcW w:w="1725" w:type="dxa"/>
            <w:vAlign w:val="center"/>
          </w:tcPr>
          <w:p w14:paraId="70B5976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分包</w:t>
            </w:r>
          </w:p>
        </w:tc>
        <w:tc>
          <w:tcPr>
            <w:tcW w:w="6694" w:type="dxa"/>
            <w:vAlign w:val="center"/>
          </w:tcPr>
          <w:p w14:paraId="4931A542">
            <w:pPr>
              <w:keepNext w:val="0"/>
              <w:keepLines w:val="0"/>
              <w:suppressLineNumbers w:val="0"/>
              <w:tabs>
                <w:tab w:val="left" w:pos="720"/>
                <w:tab w:val="left" w:pos="1904"/>
              </w:tabs>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√不允许</w:t>
            </w:r>
          </w:p>
        </w:tc>
      </w:tr>
      <w:tr w14:paraId="6DEA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074BF5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1.6.1</w:t>
            </w:r>
          </w:p>
        </w:tc>
        <w:tc>
          <w:tcPr>
            <w:tcW w:w="1725" w:type="dxa"/>
            <w:vAlign w:val="center"/>
          </w:tcPr>
          <w:p w14:paraId="05A4094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实质性偏差</w:t>
            </w:r>
          </w:p>
        </w:tc>
        <w:tc>
          <w:tcPr>
            <w:tcW w:w="6694" w:type="dxa"/>
            <w:vAlign w:val="center"/>
          </w:tcPr>
          <w:p w14:paraId="0AAC15D0">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√不允许</w:t>
            </w:r>
          </w:p>
        </w:tc>
      </w:tr>
      <w:tr w14:paraId="0355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9" w:type="dxa"/>
            <w:vMerge w:val="restart"/>
            <w:vAlign w:val="center"/>
          </w:tcPr>
          <w:p w14:paraId="7CF1456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2.2.1</w:t>
            </w:r>
          </w:p>
        </w:tc>
        <w:tc>
          <w:tcPr>
            <w:tcW w:w="1725" w:type="dxa"/>
            <w:vMerge w:val="restart"/>
            <w:vAlign w:val="center"/>
          </w:tcPr>
          <w:p w14:paraId="5ED5C2B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提出问题的截止时间</w:t>
            </w:r>
          </w:p>
        </w:tc>
        <w:tc>
          <w:tcPr>
            <w:tcW w:w="6694" w:type="dxa"/>
            <w:vAlign w:val="center"/>
          </w:tcPr>
          <w:p w14:paraId="4D9FF3A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kern w:val="0"/>
                <w:sz w:val="24"/>
                <w:szCs w:val="24"/>
              </w:rPr>
              <w:t>时间：投标截止时间前</w:t>
            </w:r>
            <w:r>
              <w:rPr>
                <w:rFonts w:hint="eastAsia" w:ascii="宋体" w:hAnsi="宋体" w:eastAsia="宋体" w:cs="宋体"/>
                <w:kern w:val="0"/>
                <w:sz w:val="24"/>
                <w:szCs w:val="24"/>
                <w:u w:val="single"/>
              </w:rPr>
              <w:t xml:space="preserve"> 10 </w:t>
            </w:r>
            <w:r>
              <w:rPr>
                <w:rFonts w:hint="eastAsia" w:ascii="宋体" w:hAnsi="宋体" w:eastAsia="宋体" w:cs="宋体"/>
                <w:kern w:val="0"/>
                <w:sz w:val="24"/>
                <w:szCs w:val="24"/>
              </w:rPr>
              <w:t>日</w:t>
            </w:r>
          </w:p>
        </w:tc>
      </w:tr>
      <w:tr w14:paraId="0AA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Merge w:val="continue"/>
            <w:vAlign w:val="center"/>
          </w:tcPr>
          <w:p w14:paraId="67A71F4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p>
        </w:tc>
        <w:tc>
          <w:tcPr>
            <w:tcW w:w="1725" w:type="dxa"/>
            <w:vMerge w:val="continue"/>
            <w:vAlign w:val="center"/>
          </w:tcPr>
          <w:p w14:paraId="70BDB501">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p>
        </w:tc>
        <w:tc>
          <w:tcPr>
            <w:tcW w:w="6694" w:type="dxa"/>
            <w:vAlign w:val="center"/>
          </w:tcPr>
          <w:p w14:paraId="4968DCA1">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形式：在电子招标投标交易服务平台提出</w:t>
            </w:r>
          </w:p>
        </w:tc>
      </w:tr>
      <w:tr w14:paraId="0E4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FB4DCA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2.2.2</w:t>
            </w:r>
          </w:p>
        </w:tc>
        <w:tc>
          <w:tcPr>
            <w:tcW w:w="1725" w:type="dxa"/>
            <w:vAlign w:val="center"/>
          </w:tcPr>
          <w:p w14:paraId="31A0067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招标文件澄清发出的形式</w:t>
            </w:r>
          </w:p>
        </w:tc>
        <w:tc>
          <w:tcPr>
            <w:tcW w:w="6694" w:type="dxa"/>
            <w:vAlign w:val="center"/>
          </w:tcPr>
          <w:p w14:paraId="31A8C5B7">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且同时在原公告媒体发布澄清公告</w:t>
            </w:r>
          </w:p>
        </w:tc>
      </w:tr>
      <w:tr w14:paraId="21D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69" w:type="dxa"/>
            <w:vAlign w:val="center"/>
          </w:tcPr>
          <w:p w14:paraId="4F4B522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2.2.3</w:t>
            </w:r>
          </w:p>
        </w:tc>
        <w:tc>
          <w:tcPr>
            <w:tcW w:w="1725" w:type="dxa"/>
            <w:vAlign w:val="center"/>
          </w:tcPr>
          <w:p w14:paraId="2E630845">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确认收到招标文件澄清</w:t>
            </w:r>
          </w:p>
        </w:tc>
        <w:tc>
          <w:tcPr>
            <w:tcW w:w="6694" w:type="dxa"/>
            <w:vAlign w:val="center"/>
          </w:tcPr>
          <w:p w14:paraId="746DF7C6">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通过三门峡市公共电子交易服务平台确认</w:t>
            </w:r>
          </w:p>
        </w:tc>
      </w:tr>
      <w:tr w14:paraId="3DDB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E6802E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2.3.2</w:t>
            </w:r>
          </w:p>
        </w:tc>
        <w:tc>
          <w:tcPr>
            <w:tcW w:w="1725" w:type="dxa"/>
            <w:vAlign w:val="center"/>
          </w:tcPr>
          <w:p w14:paraId="64DF8B4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招标文件修改发出的形式</w:t>
            </w:r>
          </w:p>
        </w:tc>
        <w:tc>
          <w:tcPr>
            <w:tcW w:w="6694" w:type="dxa"/>
            <w:vAlign w:val="center"/>
          </w:tcPr>
          <w:p w14:paraId="353A26F0">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且同时在原公告媒体发布变更公告</w:t>
            </w:r>
          </w:p>
        </w:tc>
      </w:tr>
      <w:tr w14:paraId="6624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9" w:type="dxa"/>
            <w:vAlign w:val="center"/>
          </w:tcPr>
          <w:p w14:paraId="5DA6C20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2.3.3</w:t>
            </w:r>
          </w:p>
        </w:tc>
        <w:tc>
          <w:tcPr>
            <w:tcW w:w="1725" w:type="dxa"/>
            <w:vAlign w:val="center"/>
          </w:tcPr>
          <w:p w14:paraId="4D81EA44">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确认收到招标文件修改</w:t>
            </w:r>
          </w:p>
        </w:tc>
        <w:tc>
          <w:tcPr>
            <w:tcW w:w="6694" w:type="dxa"/>
            <w:vAlign w:val="center"/>
          </w:tcPr>
          <w:p w14:paraId="576D45A4">
            <w:pPr>
              <w:keepNext w:val="0"/>
              <w:keepLines w:val="0"/>
              <w:suppressLineNumbers w:val="0"/>
              <w:spacing w:before="0" w:beforeAutospacing="0" w:after="0" w:afterAutospacing="0" w:line="400" w:lineRule="exact"/>
              <w:ind w:left="38" w:leftChars="18" w:right="0"/>
              <w:rPr>
                <w:rFonts w:hint="eastAsia" w:ascii="宋体" w:hAnsi="宋体" w:eastAsia="宋体" w:cs="宋体"/>
                <w:b/>
                <w:sz w:val="24"/>
                <w:szCs w:val="24"/>
              </w:rPr>
            </w:pPr>
            <w:r>
              <w:rPr>
                <w:rFonts w:hint="eastAsia" w:ascii="宋体" w:hAnsi="宋体" w:eastAsia="宋体" w:cs="宋体"/>
                <w:sz w:val="24"/>
                <w:szCs w:val="24"/>
              </w:rPr>
              <w:t>通过三门峡市公共电子交易服务平台确认</w:t>
            </w:r>
          </w:p>
        </w:tc>
      </w:tr>
      <w:tr w14:paraId="658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24B4EC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3.5.1</w:t>
            </w:r>
          </w:p>
        </w:tc>
        <w:tc>
          <w:tcPr>
            <w:tcW w:w="1725" w:type="dxa"/>
            <w:vAlign w:val="center"/>
          </w:tcPr>
          <w:p w14:paraId="4774D4A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94" w:type="dxa"/>
            <w:vAlign w:val="center"/>
          </w:tcPr>
          <w:p w14:paraId="049F611F">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tc>
      </w:tr>
      <w:tr w14:paraId="407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9" w:type="dxa"/>
            <w:vAlign w:val="center"/>
          </w:tcPr>
          <w:p w14:paraId="5DECDFD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3.6.1</w:t>
            </w:r>
          </w:p>
        </w:tc>
        <w:tc>
          <w:tcPr>
            <w:tcW w:w="1725" w:type="dxa"/>
            <w:vAlign w:val="center"/>
          </w:tcPr>
          <w:p w14:paraId="5F01642F">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694" w:type="dxa"/>
            <w:vAlign w:val="center"/>
          </w:tcPr>
          <w:p w14:paraId="00A2C5C5">
            <w:pPr>
              <w:keepNext w:val="0"/>
              <w:keepLines w:val="0"/>
              <w:suppressLineNumbers w:val="0"/>
              <w:spacing w:before="0" w:beforeAutospacing="0" w:after="0" w:afterAutospacing="0" w:line="400" w:lineRule="exact"/>
              <w:ind w:left="38" w:leftChars="18" w:right="0"/>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18D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80FCC3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3.7.3</w:t>
            </w:r>
          </w:p>
        </w:tc>
        <w:tc>
          <w:tcPr>
            <w:tcW w:w="1725" w:type="dxa"/>
            <w:vAlign w:val="center"/>
          </w:tcPr>
          <w:p w14:paraId="149E5CB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投标文件签字或盖章要求</w:t>
            </w:r>
          </w:p>
        </w:tc>
        <w:tc>
          <w:tcPr>
            <w:tcW w:w="6694" w:type="dxa"/>
            <w:vAlign w:val="center"/>
          </w:tcPr>
          <w:p w14:paraId="3A830C74">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电子化投标文件的签章：</w:t>
            </w:r>
          </w:p>
          <w:p w14:paraId="6B93872D">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295EEF01">
            <w:pPr>
              <w:keepNext w:val="0"/>
              <w:keepLines w:val="0"/>
              <w:suppressLineNumbers w:val="0"/>
              <w:spacing w:before="0" w:beforeAutospacing="0" w:after="0" w:afterAutospacing="0" w:line="400" w:lineRule="exact"/>
              <w:ind w:left="38" w:leftChars="18" w:right="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招标文件</w:t>
            </w:r>
            <w:r>
              <w:rPr>
                <w:rFonts w:hint="eastAsia" w:ascii="宋体" w:hAnsi="宋体" w:eastAsia="宋体" w:cs="宋体"/>
                <w:sz w:val="24"/>
                <w:szCs w:val="24"/>
              </w:rPr>
              <w:t>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tc>
      </w:tr>
      <w:tr w14:paraId="3B83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69" w:type="dxa"/>
            <w:vAlign w:val="center"/>
          </w:tcPr>
          <w:p w14:paraId="077116B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4.1.2</w:t>
            </w:r>
          </w:p>
        </w:tc>
        <w:tc>
          <w:tcPr>
            <w:tcW w:w="1725" w:type="dxa"/>
            <w:vAlign w:val="center"/>
          </w:tcPr>
          <w:p w14:paraId="762737E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是否提供纸质版投标文件</w:t>
            </w:r>
          </w:p>
        </w:tc>
        <w:tc>
          <w:tcPr>
            <w:tcW w:w="6694" w:type="dxa"/>
            <w:vAlign w:val="center"/>
          </w:tcPr>
          <w:p w14:paraId="5FA09452">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本项目为电子化交易，开标现场不需要提供纸质版投标文件；中标单位确定中标后向业主提供纸质版投标文件五套。</w:t>
            </w:r>
          </w:p>
        </w:tc>
      </w:tr>
      <w:tr w14:paraId="616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631F90D">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4.2.1</w:t>
            </w:r>
          </w:p>
        </w:tc>
        <w:tc>
          <w:tcPr>
            <w:tcW w:w="1725" w:type="dxa"/>
            <w:vAlign w:val="center"/>
          </w:tcPr>
          <w:p w14:paraId="2ED3733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6694" w:type="dxa"/>
          </w:tcPr>
          <w:p w14:paraId="73AA13F8">
            <w:pPr>
              <w:keepNext w:val="0"/>
              <w:keepLines w:val="0"/>
              <w:suppressLineNumbers w:val="0"/>
              <w:spacing w:before="0" w:beforeAutospacing="0" w:after="0" w:afterAutospacing="0" w:line="360" w:lineRule="auto"/>
              <w:ind w:left="-420" w:leftChars="-200" w:right="0"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11月24日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tc>
      </w:tr>
      <w:tr w14:paraId="549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DBC636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4.2.2</w:t>
            </w:r>
          </w:p>
        </w:tc>
        <w:tc>
          <w:tcPr>
            <w:tcW w:w="1725" w:type="dxa"/>
            <w:vAlign w:val="center"/>
          </w:tcPr>
          <w:p w14:paraId="41018CD4">
            <w:pPr>
              <w:keepNext w:val="0"/>
              <w:keepLines w:val="0"/>
              <w:suppressLineNumbers w:val="0"/>
              <w:tabs>
                <w:tab w:val="left" w:pos="720"/>
              </w:tabs>
              <w:spacing w:before="0" w:beforeAutospacing="0" w:after="0" w:afterAutospacing="0" w:line="4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递交投标文件地点及方式</w:t>
            </w:r>
          </w:p>
        </w:tc>
        <w:tc>
          <w:tcPr>
            <w:tcW w:w="6694" w:type="dxa"/>
            <w:vAlign w:val="center"/>
          </w:tcPr>
          <w:p w14:paraId="401C38E5">
            <w:pPr>
              <w:pStyle w:val="6"/>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地点：在三门峡市公共资源交易中心网中上传加密响应文件</w:t>
            </w:r>
          </w:p>
          <w:p w14:paraId="34D07B10">
            <w:pPr>
              <w:pStyle w:val="6"/>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方式：上传文件递交</w:t>
            </w:r>
          </w:p>
        </w:tc>
      </w:tr>
      <w:tr w14:paraId="65B7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056D89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5.1.1</w:t>
            </w:r>
          </w:p>
        </w:tc>
        <w:tc>
          <w:tcPr>
            <w:tcW w:w="1725" w:type="dxa"/>
            <w:vAlign w:val="center"/>
          </w:tcPr>
          <w:p w14:paraId="10EC53A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94" w:type="dxa"/>
            <w:vAlign w:val="center"/>
          </w:tcPr>
          <w:p w14:paraId="34001EA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11月24日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58675D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tc>
      </w:tr>
      <w:tr w14:paraId="6CFD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D166AB7">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5.3.1</w:t>
            </w:r>
          </w:p>
        </w:tc>
        <w:tc>
          <w:tcPr>
            <w:tcW w:w="1725" w:type="dxa"/>
            <w:vAlign w:val="center"/>
          </w:tcPr>
          <w:p w14:paraId="7E663A89">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694" w:type="dxa"/>
            <w:vAlign w:val="center"/>
          </w:tcPr>
          <w:p w14:paraId="79818EB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kern w:val="0"/>
                <w:sz w:val="24"/>
                <w:szCs w:val="24"/>
              </w:rPr>
              <w:t>评标委员会构成：5人，其中采购单位代表1人，专家经济及技术共 4人；评标专家确定方式：</w:t>
            </w:r>
            <w:r>
              <w:rPr>
                <w:rFonts w:hint="eastAsia" w:ascii="宋体" w:hAnsi="宋体" w:eastAsia="宋体" w:cs="宋体"/>
                <w:kern w:val="0"/>
                <w:sz w:val="24"/>
                <w:szCs w:val="24"/>
                <w:lang w:eastAsia="zh-CN"/>
              </w:rPr>
              <w:t>从河南省电子化政府采购系统评标专家库中随机抽取。（业主评委无评标劳务费用）</w:t>
            </w:r>
          </w:p>
        </w:tc>
      </w:tr>
      <w:tr w14:paraId="0D8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9" w:type="dxa"/>
            <w:vAlign w:val="center"/>
          </w:tcPr>
          <w:p w14:paraId="1BD1148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5.3.4</w:t>
            </w:r>
          </w:p>
        </w:tc>
        <w:tc>
          <w:tcPr>
            <w:tcW w:w="1725" w:type="dxa"/>
            <w:vAlign w:val="center"/>
          </w:tcPr>
          <w:p w14:paraId="1C35DC1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694" w:type="dxa"/>
            <w:vAlign w:val="center"/>
          </w:tcPr>
          <w:p w14:paraId="7E8257E2">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■否，推荐的中标候选人数：1-3名。</w:t>
            </w:r>
          </w:p>
        </w:tc>
      </w:tr>
      <w:tr w14:paraId="3F7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458F562">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6.1</w:t>
            </w:r>
          </w:p>
        </w:tc>
        <w:tc>
          <w:tcPr>
            <w:tcW w:w="1725" w:type="dxa"/>
            <w:vAlign w:val="center"/>
          </w:tcPr>
          <w:p w14:paraId="323FFD93">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是否采用电子招标投标</w:t>
            </w:r>
          </w:p>
        </w:tc>
        <w:tc>
          <w:tcPr>
            <w:tcW w:w="6694" w:type="dxa"/>
            <w:vAlign w:val="center"/>
          </w:tcPr>
          <w:p w14:paraId="2B87B01D">
            <w:pPr>
              <w:keepNext w:val="0"/>
              <w:keepLines w:val="0"/>
              <w:suppressLineNumbers w:val="0"/>
              <w:spacing w:before="0" w:beforeAutospacing="0" w:after="0" w:afterAutospacing="0" w:line="400" w:lineRule="exact"/>
              <w:ind w:left="38" w:leftChars="18" w:right="0"/>
              <w:rPr>
                <w:rFonts w:hint="eastAsia" w:ascii="宋体" w:hAnsi="宋体" w:eastAsia="宋体" w:cs="宋体"/>
                <w:sz w:val="24"/>
                <w:szCs w:val="24"/>
              </w:rPr>
            </w:pPr>
            <w:r>
              <w:rPr>
                <w:rFonts w:hint="eastAsia" w:ascii="宋体" w:hAnsi="宋体" w:eastAsia="宋体" w:cs="宋体"/>
                <w:sz w:val="24"/>
                <w:szCs w:val="24"/>
              </w:rPr>
              <w:t>是</w:t>
            </w:r>
          </w:p>
        </w:tc>
      </w:tr>
      <w:tr w14:paraId="131E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9DA049C">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6.1.1</w:t>
            </w:r>
          </w:p>
        </w:tc>
        <w:tc>
          <w:tcPr>
            <w:tcW w:w="1725" w:type="dxa"/>
            <w:vAlign w:val="center"/>
          </w:tcPr>
          <w:p w14:paraId="23E5A3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电子无纸化项目交易注意事项</w:t>
            </w:r>
          </w:p>
        </w:tc>
        <w:tc>
          <w:tcPr>
            <w:tcW w:w="6694" w:type="dxa"/>
            <w:vAlign w:val="center"/>
          </w:tcPr>
          <w:p w14:paraId="4E28A76C">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本项目为电子化、无纸化交易项目，投标文件是</w:t>
            </w:r>
            <w:r>
              <w:rPr>
                <w:rFonts w:hint="eastAsia" w:ascii="宋体" w:hAnsi="宋体" w:cs="宋体"/>
                <w:sz w:val="24"/>
                <w:szCs w:val="24"/>
                <w:lang w:eastAsia="zh-CN"/>
              </w:rPr>
              <w:t>供应商</w:t>
            </w:r>
            <w:r>
              <w:rPr>
                <w:rFonts w:hint="eastAsia" w:ascii="宋体" w:hAnsi="宋体" w:eastAsia="宋体" w:cs="宋体"/>
                <w:sz w:val="24"/>
                <w:szCs w:val="24"/>
              </w:rPr>
              <w:t>通过中心投标文件制作系统制作，并经过电子签章和加密后生成的电子版投标文件。</w:t>
            </w:r>
            <w:r>
              <w:rPr>
                <w:rFonts w:hint="eastAsia" w:ascii="宋体" w:hAnsi="宋体" w:cs="宋体"/>
                <w:sz w:val="24"/>
                <w:szCs w:val="24"/>
                <w:lang w:eastAsia="zh-CN"/>
              </w:rPr>
              <w:t>供应商</w:t>
            </w:r>
            <w:r>
              <w:rPr>
                <w:rFonts w:hint="eastAsia" w:ascii="宋体" w:hAnsi="宋体" w:eastAsia="宋体" w:cs="宋体"/>
                <w:sz w:val="24"/>
                <w:szCs w:val="24"/>
              </w:rPr>
              <w:t>投标时，将不再接受任何纸质文件资料。</w:t>
            </w:r>
          </w:p>
          <w:p w14:paraId="207258E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温馨提示：本项目为电子化、无纸化交易项目，开标时不接受任何纸质资料，为保证您能投标成功，请需仔细阅读以下条款。</w:t>
            </w:r>
          </w:p>
          <w:p w14:paraId="11B6CE30">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一、电子化投标文件的签章</w:t>
            </w:r>
          </w:p>
          <w:p w14:paraId="1DA56DD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3973B93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p w14:paraId="40A5692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二、电子化投标文件的格式及上传投标文件具体操作详见</w:t>
            </w:r>
          </w:p>
          <w:p w14:paraId="40E4C55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所上传的电子化投标文件，应是通过中心投标文件制作系统制作的，（投标文件制作工具下载地址：https://download.bqpoint.com/download/downloaddetail.html?SourceFrom=Ztb&amp;ZtbSoftXiaQuCode=1534&amp;ZtbSoftType=DR）经过签章和加密后生成的电子版投标文件。其中包含用于投标文件上传的主文件（后缀为.smxtf）和用于应急补救的投标文件备份文件（后缀为.nsmxtf）。</w:t>
            </w:r>
          </w:p>
          <w:p w14:paraId="67E8580C">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投报多个标段的，每个标段均要生成独立的电子投标文件。</w:t>
            </w:r>
          </w:p>
          <w:p w14:paraId="0264F8F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p w14:paraId="3DFB8C6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三、电子化项目开标、解密、唱标、评标</w:t>
            </w:r>
          </w:p>
          <w:p w14:paraId="5201403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的解密时间为开标时间起30分钟内完成。未按时缴纳招标文件费和解密的其投标将被否决。因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002DD64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2、电子化投标文件异常情况的处理</w:t>
            </w:r>
          </w:p>
          <w:p w14:paraId="5FBB4D0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如出现</w:t>
            </w:r>
            <w:r>
              <w:rPr>
                <w:rFonts w:hint="eastAsia" w:ascii="宋体" w:hAnsi="宋体" w:cs="宋体"/>
                <w:sz w:val="24"/>
                <w:szCs w:val="24"/>
                <w:lang w:eastAsia="zh-CN"/>
              </w:rPr>
              <w:t>供应商</w:t>
            </w:r>
            <w:r>
              <w:rPr>
                <w:rFonts w:hint="eastAsia" w:ascii="宋体" w:hAnsi="宋体" w:eastAsia="宋体" w:cs="宋体"/>
                <w:sz w:val="24"/>
                <w:szCs w:val="24"/>
              </w:rPr>
              <w:t>的电子投标文件无法解密等异常情况，</w:t>
            </w:r>
            <w:r>
              <w:rPr>
                <w:rFonts w:hint="eastAsia" w:ascii="宋体" w:hAnsi="宋体" w:cs="宋体"/>
                <w:sz w:val="24"/>
                <w:szCs w:val="24"/>
                <w:lang w:eastAsia="zh-CN"/>
              </w:rPr>
              <w:t>供应商</w:t>
            </w:r>
            <w:r>
              <w:rPr>
                <w:rFonts w:hint="eastAsia" w:ascii="宋体" w:hAnsi="宋体" w:eastAsia="宋体" w:cs="宋体"/>
                <w:sz w:val="24"/>
                <w:szCs w:val="24"/>
              </w:rPr>
              <w:t>应及时致电中介服务机构说明。投标文件异常，按以下步骤进行处理：</w:t>
            </w:r>
          </w:p>
          <w:p w14:paraId="5E0D089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0472CB4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（2）经技术人员排查后，是</w:t>
            </w:r>
            <w:r>
              <w:rPr>
                <w:rFonts w:hint="eastAsia" w:ascii="宋体" w:hAnsi="宋体" w:cs="宋体"/>
                <w:sz w:val="24"/>
                <w:szCs w:val="24"/>
                <w:lang w:eastAsia="zh-CN"/>
              </w:rPr>
              <w:t>供应商</w:t>
            </w:r>
            <w:r>
              <w:rPr>
                <w:rFonts w:hint="eastAsia" w:ascii="宋体" w:hAnsi="宋体" w:eastAsia="宋体" w:cs="宋体"/>
                <w:sz w:val="24"/>
                <w:szCs w:val="24"/>
              </w:rPr>
              <w:t>文件自身问题导致投标文件无法解密的，该投标文件将不予接收、解密和唱标。开标会议继续进行。</w:t>
            </w:r>
          </w:p>
          <w:p w14:paraId="19C31DA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D39569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3、待所有</w:t>
            </w:r>
            <w:r>
              <w:rPr>
                <w:rFonts w:hint="eastAsia" w:ascii="宋体" w:hAnsi="宋体" w:cs="宋体"/>
                <w:sz w:val="24"/>
                <w:szCs w:val="24"/>
                <w:lang w:eastAsia="zh-CN"/>
              </w:rPr>
              <w:t>供应商</w:t>
            </w:r>
            <w:r>
              <w:rPr>
                <w:rFonts w:hint="eastAsia" w:ascii="宋体" w:hAnsi="宋体" w:eastAsia="宋体" w:cs="宋体"/>
                <w:sz w:val="24"/>
                <w:szCs w:val="24"/>
              </w:rPr>
              <w:t>投标文件解密完成后，由中介服务机构操作，对所有已解密投标文件进行唱标。</w:t>
            </w:r>
          </w:p>
          <w:p w14:paraId="5F34CC0F">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cs="宋体"/>
                <w:sz w:val="24"/>
                <w:szCs w:val="24"/>
                <w:lang w:eastAsia="zh-CN"/>
              </w:rPr>
              <w:t>供应商</w:t>
            </w:r>
            <w:r>
              <w:rPr>
                <w:rFonts w:hint="eastAsia" w:ascii="宋体" w:hAnsi="宋体" w:eastAsia="宋体" w:cs="宋体"/>
                <w:sz w:val="24"/>
                <w:szCs w:val="24"/>
              </w:rPr>
              <w:t>因停电、电脑病毒、网络堵塞等原因，未在规定的解密时间内对投标文件进行解密的，其投标文件不予接收、唱标。</w:t>
            </w:r>
          </w:p>
          <w:p w14:paraId="3A41AC9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4、开标时</w:t>
            </w:r>
            <w:r>
              <w:rPr>
                <w:rFonts w:hint="eastAsia" w:ascii="宋体" w:hAnsi="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cs="宋体"/>
                <w:sz w:val="24"/>
                <w:szCs w:val="24"/>
                <w:lang w:eastAsia="zh-CN"/>
              </w:rPr>
              <w:t>供应商</w:t>
            </w:r>
            <w:r>
              <w:rPr>
                <w:rFonts w:hint="eastAsia" w:ascii="宋体" w:hAnsi="宋体" w:eastAsia="宋体" w:cs="宋体"/>
                <w:sz w:val="24"/>
                <w:szCs w:val="24"/>
              </w:rPr>
              <w:t>未在规定时间内提出质疑的，视为认可唱标内容。</w:t>
            </w:r>
          </w:p>
          <w:p w14:paraId="655298B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5、评标时，评标委员会对电子化投标文件有质疑的，将通过电子化交易系统对</w:t>
            </w:r>
            <w:r>
              <w:rPr>
                <w:rFonts w:hint="eastAsia" w:ascii="宋体" w:hAnsi="宋体" w:cs="宋体"/>
                <w:sz w:val="24"/>
                <w:szCs w:val="24"/>
                <w:lang w:eastAsia="zh-CN"/>
              </w:rPr>
              <w:t>供应商</w:t>
            </w:r>
            <w:r>
              <w:rPr>
                <w:rFonts w:hint="eastAsia" w:ascii="宋体" w:hAnsi="宋体" w:eastAsia="宋体" w:cs="宋体"/>
                <w:sz w:val="24"/>
                <w:szCs w:val="24"/>
              </w:rPr>
              <w:t>发起质疑，并在监督人员的监督下，用免提模式致电需要答复的</w:t>
            </w:r>
            <w:r>
              <w:rPr>
                <w:rFonts w:hint="eastAsia" w:ascii="宋体" w:hAnsi="宋体" w:cs="宋体"/>
                <w:sz w:val="24"/>
                <w:szCs w:val="24"/>
                <w:lang w:eastAsia="zh-CN"/>
              </w:rPr>
              <w:t>供应商</w:t>
            </w:r>
            <w:r>
              <w:rPr>
                <w:rFonts w:hint="eastAsia" w:ascii="宋体" w:hAnsi="宋体" w:eastAsia="宋体" w:cs="宋体"/>
                <w:sz w:val="24"/>
                <w:szCs w:val="24"/>
              </w:rPr>
              <w:t>进行详细质询。质疑回复内容确认后，</w:t>
            </w:r>
            <w:r>
              <w:rPr>
                <w:rFonts w:hint="eastAsia" w:ascii="宋体" w:hAnsi="宋体" w:cs="宋体"/>
                <w:sz w:val="24"/>
                <w:szCs w:val="24"/>
                <w:lang w:eastAsia="zh-CN"/>
              </w:rPr>
              <w:t>供应商</w:t>
            </w:r>
            <w:r>
              <w:rPr>
                <w:rFonts w:hint="eastAsia" w:ascii="宋体" w:hAnsi="宋体" w:eastAsia="宋体" w:cs="宋体"/>
                <w:sz w:val="24"/>
                <w:szCs w:val="24"/>
              </w:rPr>
              <w:t>的回复文件必须以经过</w:t>
            </w:r>
            <w:r>
              <w:rPr>
                <w:rFonts w:hint="eastAsia" w:ascii="宋体" w:hAnsi="宋体" w:cs="宋体"/>
                <w:sz w:val="24"/>
                <w:szCs w:val="24"/>
                <w:lang w:eastAsia="zh-CN"/>
              </w:rPr>
              <w:t>供应商</w:t>
            </w:r>
            <w:r>
              <w:rPr>
                <w:rFonts w:hint="eastAsia" w:ascii="宋体" w:hAnsi="宋体" w:eastAsia="宋体" w:cs="宋体"/>
                <w:sz w:val="24"/>
                <w:szCs w:val="24"/>
              </w:rPr>
              <w:t>和其法定代表人签章的PDF格式文件为准，并通过电子化交易系统提交至评标委员会。</w:t>
            </w:r>
          </w:p>
          <w:p w14:paraId="36EB83C8">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6、如评标委员会对需要回复的</w:t>
            </w:r>
            <w:r>
              <w:rPr>
                <w:rFonts w:hint="eastAsia" w:ascii="宋体" w:hAnsi="宋体" w:cs="宋体"/>
                <w:sz w:val="24"/>
                <w:szCs w:val="24"/>
                <w:lang w:eastAsia="zh-CN"/>
              </w:rPr>
              <w:t>供应商</w:t>
            </w:r>
            <w:r>
              <w:rPr>
                <w:rFonts w:hint="eastAsia" w:ascii="宋体" w:hAnsi="宋体" w:eastAsia="宋体" w:cs="宋体"/>
                <w:sz w:val="24"/>
                <w:szCs w:val="24"/>
              </w:rPr>
              <w:t>连续三次致电未接通的，视为</w:t>
            </w:r>
            <w:r>
              <w:rPr>
                <w:rFonts w:hint="eastAsia" w:ascii="宋体" w:hAnsi="宋体" w:cs="宋体"/>
                <w:sz w:val="24"/>
                <w:szCs w:val="24"/>
                <w:lang w:eastAsia="zh-CN"/>
              </w:rPr>
              <w:t>供应商</w:t>
            </w:r>
            <w:r>
              <w:rPr>
                <w:rFonts w:hint="eastAsia" w:ascii="宋体" w:hAnsi="宋体" w:eastAsia="宋体" w:cs="宋体"/>
                <w:sz w:val="24"/>
                <w:szCs w:val="24"/>
              </w:rPr>
              <w:t>放弃回复，评标委员会将自行对需要回复的内容进行认定。</w:t>
            </w:r>
          </w:p>
          <w:p w14:paraId="4E8BD323">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提示：</w:t>
            </w:r>
          </w:p>
          <w:p w14:paraId="19B7A71F">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1、本项目为电子化、无纸化交易项目，开标时不再接受任何纸质资料，为保证您能投标成功，需仔细阅读以上条款。</w:t>
            </w:r>
          </w:p>
          <w:p w14:paraId="674C511C">
            <w:pPr>
              <w:keepNext w:val="0"/>
              <w:keepLines w:val="0"/>
              <w:suppressLineNumbers w:val="0"/>
              <w:autoSpaceDE w:val="0"/>
              <w:autoSpaceDN w:val="0"/>
              <w:adjustRightInd w:val="0"/>
              <w:spacing w:before="0" w:beforeAutospacing="0" w:after="0" w:afterAutospacing="0"/>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2、CA证书延期激活后，已经报名为开标的项目，请重新下载制作投标文件并上传，否则开标时文件将无法解密。</w:t>
            </w:r>
          </w:p>
          <w:p w14:paraId="75E8D3C4">
            <w:pPr>
              <w:keepNext w:val="0"/>
              <w:keepLines w:val="0"/>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auto"/>
                <w:sz w:val="24"/>
                <w:szCs w:val="24"/>
              </w:rPr>
              <w:t>四、</w:t>
            </w:r>
            <w:r>
              <w:rPr>
                <w:rFonts w:hint="eastAsia" w:ascii="宋体" w:hAnsi="宋体" w:eastAsia="宋体" w:cs="宋体"/>
                <w:bCs/>
                <w:color w:val="000000" w:themeColor="text1"/>
                <w:sz w:val="24"/>
                <w:szCs w:val="24"/>
                <w14:textFill>
                  <w14:solidFill>
                    <w14:schemeClr w14:val="tx1"/>
                  </w14:solidFill>
                </w14:textFill>
              </w:rPr>
              <w:t>其他补充事宜</w:t>
            </w:r>
          </w:p>
          <w:p w14:paraId="4C1197FE">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根据优化营商环境的要求，评标时审查内容以投标文件为准：</w:t>
            </w:r>
          </w:p>
          <w:p w14:paraId="1C314C7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7A6830C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2、评标打分部分：评标打分部分仍按照100分制原则进行，涉及到资格审查、企业荣誉、人员业绩、企业业绩等计分部分时，以投标单位自行上传到投标文件中的相应内容为准。</w:t>
            </w:r>
          </w:p>
          <w:p w14:paraId="54043BCC">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按照投标文件格式进行投标文件编制，在投标文件编制时，应明确将投标单位企业基本情况、资质情况、人员情况、财务情况、业绩情况编入投标文件，便于进行资格审查及评标打分。</w:t>
            </w:r>
          </w:p>
          <w:p w14:paraId="65A5447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02A2EBB9">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、项目评标结果公示时，将同时公示中标候选人市场主体信息库，接受社会监督。</w:t>
            </w:r>
          </w:p>
          <w:p w14:paraId="00E512BF">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供应商</w:t>
            </w:r>
            <w:r>
              <w:rPr>
                <w:rFonts w:hint="eastAsia" w:ascii="宋体" w:hAnsi="宋体" w:eastAsia="宋体" w:cs="宋体"/>
                <w:sz w:val="24"/>
                <w:szCs w:val="24"/>
              </w:rPr>
              <w:t>需应仔细阅读操作手册，保证上传内容齐全，真实有效，原件扫描件清晰可辨。因</w:t>
            </w:r>
            <w:r>
              <w:rPr>
                <w:rFonts w:hint="eastAsia" w:ascii="宋体" w:hAnsi="宋体" w:cs="宋体"/>
                <w:sz w:val="24"/>
                <w:szCs w:val="24"/>
                <w:lang w:eastAsia="zh-CN"/>
              </w:rPr>
              <w:t>供应商</w:t>
            </w:r>
            <w:r>
              <w:rPr>
                <w:rFonts w:hint="eastAsia" w:ascii="宋体" w:hAnsi="宋体" w:eastAsia="宋体" w:cs="宋体"/>
                <w:sz w:val="24"/>
                <w:szCs w:val="24"/>
              </w:rPr>
              <w:t>上传原因导致应得分项而未得分或资格审查不合格等情况的，由</w:t>
            </w:r>
            <w:r>
              <w:rPr>
                <w:rFonts w:hint="eastAsia" w:ascii="宋体" w:hAnsi="宋体" w:cs="宋体"/>
                <w:sz w:val="24"/>
                <w:szCs w:val="24"/>
                <w:lang w:eastAsia="zh-CN"/>
              </w:rPr>
              <w:t>供应商</w:t>
            </w:r>
            <w:r>
              <w:rPr>
                <w:rFonts w:hint="eastAsia" w:ascii="宋体" w:hAnsi="宋体" w:eastAsia="宋体" w:cs="宋体"/>
                <w:sz w:val="24"/>
                <w:szCs w:val="24"/>
              </w:rPr>
              <w:t>自行承担责任。</w:t>
            </w:r>
          </w:p>
          <w:p w14:paraId="0E90990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tc>
      </w:tr>
      <w:tr w14:paraId="134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969" w:type="dxa"/>
            <w:vAlign w:val="center"/>
          </w:tcPr>
          <w:p w14:paraId="5E90577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6.2</w:t>
            </w:r>
          </w:p>
        </w:tc>
        <w:tc>
          <w:tcPr>
            <w:tcW w:w="1725" w:type="dxa"/>
            <w:vAlign w:val="center"/>
          </w:tcPr>
          <w:p w14:paraId="20096120">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招标控制价</w:t>
            </w:r>
          </w:p>
        </w:tc>
        <w:tc>
          <w:tcPr>
            <w:tcW w:w="6694" w:type="dxa"/>
            <w:vAlign w:val="center"/>
          </w:tcPr>
          <w:p w14:paraId="0A562C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项目设招标最高限价：</w:t>
            </w:r>
            <w:r>
              <w:rPr>
                <w:rFonts w:hint="eastAsia" w:ascii="宋体" w:hAnsi="宋体" w:cs="宋体"/>
                <w:color w:val="auto"/>
                <w:sz w:val="24"/>
                <w:szCs w:val="24"/>
                <w:lang w:val="en-US" w:eastAsia="zh-CN"/>
              </w:rPr>
              <w:t>4750000</w:t>
            </w:r>
            <w:r>
              <w:rPr>
                <w:rFonts w:hint="eastAsia" w:ascii="宋体" w:hAnsi="宋体" w:eastAsia="宋体" w:cs="宋体"/>
                <w:color w:val="auto"/>
                <w:sz w:val="24"/>
                <w:szCs w:val="24"/>
                <w:lang w:val="en-US" w:eastAsia="zh-CN"/>
              </w:rPr>
              <w:t>.00元</w:t>
            </w:r>
          </w:p>
          <w:p w14:paraId="4D564459">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投标报价超出“招标最高限价”（不含等于“投标最高限价”）的，该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的投标文件应作无效标处理。</w:t>
            </w:r>
          </w:p>
        </w:tc>
      </w:tr>
      <w:tr w14:paraId="2EA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2CAE47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9.3</w:t>
            </w:r>
          </w:p>
        </w:tc>
        <w:tc>
          <w:tcPr>
            <w:tcW w:w="1725" w:type="dxa"/>
            <w:vAlign w:val="center"/>
          </w:tcPr>
          <w:p w14:paraId="2CF40C96">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6694" w:type="dxa"/>
            <w:vAlign w:val="center"/>
          </w:tcPr>
          <w:p w14:paraId="3DA2715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资格</w:t>
            </w:r>
            <w:r>
              <w:rPr>
                <w:rFonts w:hint="eastAsia" w:ascii="宋体" w:hAnsi="宋体" w:eastAsia="宋体" w:cs="宋体"/>
                <w:sz w:val="24"/>
                <w:szCs w:val="24"/>
              </w:rPr>
              <w:t>审查内容以响应文件为准，可使用电子营业执照。其上传资料真实性由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14:paraId="1CC2C5B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2、评标打分部分：评标打分部分仍按照100分制原则进行，涉及到资格审查、企业荣誉、企业业绩等计分部分时，以投标单位自行上传到响应文件中的相应内容为准。</w:t>
            </w:r>
          </w:p>
          <w:p w14:paraId="76BDAEE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3、响应文件编制部分：在响应文件中要求</w:t>
            </w:r>
            <w:r>
              <w:rPr>
                <w:rFonts w:hint="eastAsia" w:ascii="宋体" w:hAnsi="宋体" w:eastAsia="宋体" w:cs="宋体"/>
                <w:sz w:val="24"/>
                <w:szCs w:val="24"/>
                <w:lang w:eastAsia="zh-CN"/>
              </w:rPr>
              <w:t>响应人</w:t>
            </w:r>
            <w:r>
              <w:rPr>
                <w:rFonts w:hint="eastAsia" w:ascii="宋体" w:hAnsi="宋体" w:eastAsia="宋体" w:cs="宋体"/>
                <w:sz w:val="24"/>
                <w:szCs w:val="24"/>
              </w:rPr>
              <w:t>按照响应文件格式进行响应文件编制。</w:t>
            </w:r>
          </w:p>
          <w:p w14:paraId="1A17870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76BF0A1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5、业主评委无评标劳务费用。</w:t>
            </w:r>
          </w:p>
          <w:p w14:paraId="5E19397A">
            <w:pPr>
              <w:keepNext w:val="0"/>
              <w:keepLines w:val="0"/>
              <w:suppressLineNumbers w:val="0"/>
              <w:spacing w:before="0" w:beforeAutospacing="0" w:after="0" w:afterAutospacing="0" w:line="400" w:lineRule="exact"/>
              <w:ind w:left="0" w:right="0"/>
              <w:rPr>
                <w:rFonts w:hint="default" w:eastAsia="宋体"/>
                <w:lang w:val="en-US" w:eastAsia="zh-CN"/>
              </w:rPr>
            </w:pPr>
            <w:r>
              <w:rPr>
                <w:rFonts w:hint="eastAsia" w:ascii="宋体" w:hAnsi="宋体" w:eastAsia="宋体" w:cs="宋体"/>
                <w:sz w:val="24"/>
                <w:szCs w:val="24"/>
                <w:lang w:val="en-US" w:eastAsia="zh-CN"/>
              </w:rPr>
              <w:t>6、代理服务费收费标准及方式</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执行河南省招标投标协会关于印发《河南省招标代理服务收费指导意见》的通知(豫招协[2023]002号)收费标准，招标代理服务费由中标人在领取中标通知书前以银行电汇方式一次性支付给招标代理机构</w:t>
            </w:r>
          </w:p>
        </w:tc>
      </w:tr>
      <w:tr w14:paraId="623F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5F916EB">
            <w:pPr>
              <w:keepNext w:val="0"/>
              <w:keepLines w:val="0"/>
              <w:suppressLineNumbers w:val="0"/>
              <w:spacing w:before="0" w:beforeAutospacing="0" w:after="0" w:afterAutospacing="0" w:line="400" w:lineRule="exact"/>
              <w:ind w:left="38" w:leftChars="18"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725" w:type="dxa"/>
            <w:vAlign w:val="center"/>
          </w:tcPr>
          <w:p w14:paraId="001BFA9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auto"/>
                <w:sz w:val="24"/>
                <w:szCs w:val="24"/>
              </w:rPr>
              <w:t>政府采购政策</w:t>
            </w:r>
          </w:p>
        </w:tc>
        <w:tc>
          <w:tcPr>
            <w:tcW w:w="6694" w:type="dxa"/>
            <w:vAlign w:val="center"/>
          </w:tcPr>
          <w:p w14:paraId="02F74FA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本项目所属行业：</w:t>
            </w:r>
            <w:r>
              <w:rPr>
                <w:rFonts w:hint="eastAsia" w:ascii="宋体" w:hAnsi="宋体" w:eastAsia="宋体" w:cs="宋体"/>
                <w:sz w:val="24"/>
                <w:szCs w:val="24"/>
                <w:lang w:val="en-US" w:eastAsia="zh-CN"/>
              </w:rPr>
              <w:t>工</w:t>
            </w:r>
            <w:r>
              <w:rPr>
                <w:rFonts w:hint="eastAsia" w:ascii="宋体" w:hAnsi="宋体" w:eastAsia="宋体" w:cs="宋体"/>
                <w:sz w:val="24"/>
                <w:szCs w:val="24"/>
              </w:rPr>
              <w:t>业</w:t>
            </w:r>
          </w:p>
          <w:p w14:paraId="50A2A4D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1、落实中小企业、监狱企业、残疾人福利企业政府采购政策。</w:t>
            </w:r>
          </w:p>
          <w:p w14:paraId="1C29CC7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cs="宋体"/>
                <w:sz w:val="24"/>
                <w:szCs w:val="24"/>
                <w:lang w:val="en-US" w:eastAsia="zh-CN"/>
              </w:rPr>
              <w:t>不是</w:t>
            </w:r>
            <w:r>
              <w:rPr>
                <w:rFonts w:hint="eastAsia" w:ascii="宋体" w:hAnsi="宋体" w:eastAsia="宋体" w:cs="宋体"/>
                <w:sz w:val="24"/>
                <w:szCs w:val="24"/>
              </w:rPr>
              <w:t>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w:t>
            </w:r>
            <w:r>
              <w:rPr>
                <w:rFonts w:hint="eastAsia" w:ascii="宋体" w:hAnsi="宋体" w:cs="宋体"/>
                <w:sz w:val="24"/>
                <w:szCs w:val="24"/>
                <w:lang w:val="en-US" w:eastAsia="zh-CN"/>
              </w:rPr>
              <w:t>执行</w:t>
            </w:r>
            <w:r>
              <w:rPr>
                <w:rFonts w:hint="eastAsia" w:ascii="宋体" w:hAnsi="宋体" w:eastAsia="宋体" w:cs="宋体"/>
                <w:sz w:val="24"/>
                <w:szCs w:val="24"/>
              </w:rPr>
              <w:t>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3BA4AA7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777591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注：依据《政府采购促进中小企业发展管理办法》(财库 [2020]46号)规定享受扶持政策获得政府采购合同的，小微企业不得将合同分包给大中型企业，中型企业不得将合同分包给大型企业。</w:t>
            </w:r>
          </w:p>
          <w:p w14:paraId="3948F27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2、节能产品、环境标志产品政府采购政策：</w:t>
            </w:r>
          </w:p>
          <w:p w14:paraId="779AA36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bl>
    <w:p w14:paraId="3EB4F8FB">
      <w:pPr>
        <w:rPr>
          <w:rFonts w:hint="eastAsia" w:ascii="宋体" w:hAnsi="宋体" w:eastAsia="宋体" w:cs="宋体"/>
          <w:sz w:val="24"/>
          <w:szCs w:val="24"/>
        </w:rPr>
      </w:pPr>
    </w:p>
    <w:p w14:paraId="3C94CC4A">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7" w:name="_Toc26128"/>
      <w:bookmarkStart w:id="48" w:name="_Toc10592"/>
      <w:bookmarkStart w:id="49" w:name="_Toc3815_WPSOffice_Level2"/>
      <w:bookmarkStart w:id="50" w:name="_Toc829"/>
      <w:bookmarkStart w:id="51" w:name="_Toc312133543"/>
      <w:r>
        <w:rPr>
          <w:rFonts w:hint="eastAsia" w:ascii="宋体" w:hAnsi="宋体" w:eastAsia="宋体" w:cs="宋体"/>
          <w:sz w:val="24"/>
          <w:szCs w:val="24"/>
        </w:rPr>
        <w:t>总则</w:t>
      </w:r>
      <w:bookmarkEnd w:id="47"/>
      <w:bookmarkEnd w:id="48"/>
      <w:bookmarkEnd w:id="49"/>
      <w:bookmarkEnd w:id="50"/>
      <w:bookmarkEnd w:id="51"/>
    </w:p>
    <w:p w14:paraId="5064082C">
      <w:pPr>
        <w:pStyle w:val="4"/>
        <w:numPr>
          <w:ilvl w:val="1"/>
          <w:numId w:val="4"/>
        </w:numPr>
        <w:rPr>
          <w:rFonts w:hint="eastAsia" w:ascii="宋体" w:hAnsi="宋体" w:eastAsia="宋体" w:cs="宋体"/>
          <w:sz w:val="24"/>
          <w:szCs w:val="24"/>
        </w:rPr>
      </w:pPr>
      <w:bookmarkStart w:id="52" w:name="_Toc6992"/>
      <w:bookmarkStart w:id="53" w:name="_Toc31656"/>
      <w:bookmarkStart w:id="54" w:name="_Toc23738"/>
      <w:bookmarkStart w:id="55" w:name="_Toc9227"/>
      <w:bookmarkStart w:id="56" w:name="_Toc13150040"/>
      <w:bookmarkStart w:id="57" w:name="_Toc5358"/>
      <w:bookmarkStart w:id="58" w:name="_Toc30513"/>
      <w:bookmarkStart w:id="59" w:name="_Toc20743"/>
      <w:bookmarkStart w:id="60" w:name="_Toc4828"/>
      <w:bookmarkStart w:id="61" w:name="_Toc28377"/>
      <w:bookmarkStart w:id="62" w:name="_Toc6347"/>
      <w:bookmarkStart w:id="63" w:name="_Toc28200"/>
      <w:bookmarkStart w:id="64" w:name="_Toc14496"/>
      <w:bookmarkStart w:id="65" w:name="_Toc24769"/>
      <w:bookmarkStart w:id="66" w:name="_Toc5828"/>
      <w:r>
        <w:rPr>
          <w:rFonts w:hint="eastAsia" w:ascii="宋体" w:hAnsi="宋体" w:eastAsia="宋体" w:cs="宋体"/>
          <w:sz w:val="24"/>
          <w:szCs w:val="24"/>
        </w:rPr>
        <w:t>适用范围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A3F68C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本招标文件仅适用于本次招标文件中所述的服务。</w:t>
      </w:r>
    </w:p>
    <w:p w14:paraId="69E6520A">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本招标文件的解释权归采购人所有。</w:t>
      </w:r>
    </w:p>
    <w:p w14:paraId="7006EE34">
      <w:pPr>
        <w:pStyle w:val="4"/>
        <w:numPr>
          <w:ilvl w:val="1"/>
          <w:numId w:val="4"/>
        </w:numPr>
        <w:rPr>
          <w:rFonts w:hint="eastAsia" w:ascii="宋体" w:hAnsi="宋体" w:eastAsia="宋体" w:cs="宋体"/>
          <w:sz w:val="24"/>
          <w:szCs w:val="24"/>
        </w:rPr>
      </w:pPr>
      <w:bookmarkStart w:id="67" w:name="_Toc12346"/>
      <w:bookmarkStart w:id="68" w:name="_Toc13150041"/>
      <w:bookmarkStart w:id="69" w:name="_Toc11835"/>
      <w:bookmarkStart w:id="70" w:name="_Toc19830"/>
      <w:bookmarkStart w:id="71" w:name="_Toc13473"/>
      <w:bookmarkStart w:id="72" w:name="_Toc19994"/>
      <w:bookmarkStart w:id="73" w:name="_Toc23240"/>
      <w:bookmarkStart w:id="74" w:name="_Toc17774"/>
      <w:bookmarkStart w:id="75" w:name="_Toc4906"/>
      <w:bookmarkStart w:id="76" w:name="_Toc13223"/>
      <w:bookmarkStart w:id="77" w:name="_Toc17529"/>
      <w:bookmarkStart w:id="78" w:name="_Toc2056"/>
      <w:bookmarkStart w:id="79" w:name="_Toc31067"/>
      <w:bookmarkStart w:id="80" w:name="_Toc13726"/>
      <w:bookmarkStart w:id="81" w:name="_Toc7606"/>
      <w:r>
        <w:rPr>
          <w:rFonts w:hint="eastAsia" w:ascii="宋体" w:hAnsi="宋体" w:eastAsia="宋体" w:cs="宋体"/>
          <w:sz w:val="24"/>
          <w:szCs w:val="24"/>
        </w:rPr>
        <w:t>项目概况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C4991A8">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cs="宋体"/>
          <w:sz w:val="24"/>
          <w:szCs w:val="24"/>
          <w:lang w:eastAsia="zh-CN"/>
        </w:rPr>
        <w:t>供应商</w:t>
      </w:r>
      <w:r>
        <w:rPr>
          <w:rFonts w:hint="eastAsia" w:ascii="宋体" w:hAnsi="宋体" w:eastAsia="宋体" w:cs="宋体"/>
          <w:sz w:val="24"/>
          <w:szCs w:val="24"/>
        </w:rPr>
        <w:t>须知前附表中所述的、依法进行政府采购的国家机关、事业单位、团体组织。</w:t>
      </w:r>
    </w:p>
    <w:p w14:paraId="72DD30EA">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采购代理机构：受采购人委托组织招标活动，在招标过程中负有相应责任的社会中介组织。</w:t>
      </w:r>
    </w:p>
    <w:p w14:paraId="2E57FC15">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项目名称及采购编号：见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0B8A79C7">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本次采购</w:t>
      </w:r>
      <w:r>
        <w:rPr>
          <w:rFonts w:hint="eastAsia" w:ascii="宋体" w:hAnsi="宋体" w:eastAsia="宋体" w:cs="宋体"/>
          <w:sz w:val="24"/>
          <w:szCs w:val="24"/>
          <w:lang w:val="en-US" w:eastAsia="zh-CN"/>
        </w:rPr>
        <w:t>内容</w:t>
      </w:r>
      <w:r>
        <w:rPr>
          <w:rFonts w:hint="eastAsia" w:ascii="宋体" w:hAnsi="宋体" w:eastAsia="宋体" w:cs="宋体"/>
          <w:sz w:val="24"/>
          <w:szCs w:val="24"/>
        </w:rPr>
        <w:t>：见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694BDDCC">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资金来源及预算金额：见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5FFF0D85">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质保期：见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341ED51">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交货地点：见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35B86A47">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236A572">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054DEC4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p w14:paraId="592ABE19">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具有独立承担民事责任能力的法人、其他组织或者自然人；</w:t>
      </w:r>
    </w:p>
    <w:p w14:paraId="33A0CAAF">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具有良好的商业信誉和健全的财务会计制度；</w:t>
      </w:r>
    </w:p>
    <w:p w14:paraId="0F43FB5A">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参加政府采购活动前三年内，在经营活动中没有重大违法记录；</w:t>
      </w:r>
    </w:p>
    <w:p w14:paraId="354A8B84">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具有完善的售后服务体系，并能承担投标项目相关服务的企业；</w:t>
      </w:r>
    </w:p>
    <w:p w14:paraId="038EBC47">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已通过正规渠道获得本项目招标文件；</w:t>
      </w:r>
    </w:p>
    <w:p w14:paraId="2FD29B1A">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未被依法暂停或者取消投标资格；</w:t>
      </w:r>
    </w:p>
    <w:p w14:paraId="4931049B">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未被责令停产停业、暂扣或者吊销许可证、暂扣或者吊销执照；</w:t>
      </w:r>
    </w:p>
    <w:p w14:paraId="59573F0F">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法律、行政法规规定的其他条件；</w:t>
      </w:r>
    </w:p>
    <w:p w14:paraId="717B0713">
      <w:pPr>
        <w:numPr>
          <w:ilvl w:val="0"/>
          <w:numId w:val="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须知前附表规定的其他条件；</w:t>
      </w:r>
    </w:p>
    <w:p w14:paraId="63CCF01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1.2.11</w:t>
      </w:r>
      <w:r>
        <w:rPr>
          <w:rFonts w:hint="eastAsia" w:ascii="宋体" w:hAnsi="宋体" w:cs="宋体"/>
          <w:sz w:val="24"/>
          <w:szCs w:val="24"/>
          <w:lang w:eastAsia="zh-CN"/>
        </w:rPr>
        <w:t>供应商</w:t>
      </w:r>
      <w:r>
        <w:rPr>
          <w:rFonts w:hint="eastAsia" w:ascii="宋体" w:hAnsi="宋体" w:eastAsia="宋体" w:cs="宋体"/>
          <w:sz w:val="24"/>
          <w:szCs w:val="24"/>
        </w:rPr>
        <w:t>须知前附表规定：不接受联合体投标。</w:t>
      </w:r>
    </w:p>
    <w:p w14:paraId="0A8DE593">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1.2.12是否接受进口产品：否</w:t>
      </w:r>
    </w:p>
    <w:p w14:paraId="207FDADD">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1.2.13</w:t>
      </w:r>
      <w:r>
        <w:rPr>
          <w:rFonts w:hint="eastAsia" w:ascii="宋体" w:hAnsi="宋体" w:cs="宋体"/>
          <w:sz w:val="24"/>
          <w:szCs w:val="24"/>
          <w:lang w:eastAsia="zh-CN"/>
        </w:rPr>
        <w:t>供应商</w:t>
      </w:r>
      <w:r>
        <w:rPr>
          <w:rFonts w:hint="eastAsia" w:ascii="宋体" w:hAnsi="宋体" w:eastAsia="宋体" w:cs="宋体"/>
          <w:sz w:val="24"/>
          <w:szCs w:val="24"/>
        </w:rPr>
        <w:t>不得存在下列情形之一：</w:t>
      </w:r>
    </w:p>
    <w:p w14:paraId="6EA8F912">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与采购人存在利害关系且可能影响招标公正性；</w:t>
      </w:r>
    </w:p>
    <w:p w14:paraId="3EA01E56">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为同一个单位负责人；</w:t>
      </w:r>
    </w:p>
    <w:p w14:paraId="21AFFCDD">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存在控股、管理关系；</w:t>
      </w:r>
    </w:p>
    <w:p w14:paraId="68611114">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为本招标项目的采购代理机构；</w:t>
      </w:r>
    </w:p>
    <w:p w14:paraId="7F127E92">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以他人名义投标、串通投标、以行贿手段牟取中标，或在投标中弄虚作假的；</w:t>
      </w:r>
    </w:p>
    <w:p w14:paraId="2F4202CB">
      <w:pPr>
        <w:numPr>
          <w:ilvl w:val="0"/>
          <w:numId w:val="6"/>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法律法规规定的其他情形。</w:t>
      </w:r>
    </w:p>
    <w:p w14:paraId="7737D42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1.2.14中标人：接到并接受中标通知，最终被授予合同的</w:t>
      </w:r>
      <w:r>
        <w:rPr>
          <w:rFonts w:hint="eastAsia" w:ascii="宋体" w:hAnsi="宋体" w:cs="宋体"/>
          <w:sz w:val="24"/>
          <w:szCs w:val="24"/>
          <w:lang w:eastAsia="zh-CN"/>
        </w:rPr>
        <w:t>供应商</w:t>
      </w:r>
      <w:r>
        <w:rPr>
          <w:rFonts w:hint="eastAsia" w:ascii="宋体" w:hAnsi="宋体" w:eastAsia="宋体" w:cs="宋体"/>
          <w:sz w:val="24"/>
          <w:szCs w:val="24"/>
        </w:rPr>
        <w:t>。</w:t>
      </w:r>
    </w:p>
    <w:p w14:paraId="44AEE2A4">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1.2.15投标文件：指</w:t>
      </w:r>
      <w:r>
        <w:rPr>
          <w:rFonts w:hint="eastAsia" w:ascii="宋体" w:hAnsi="宋体" w:cs="宋体"/>
          <w:sz w:val="24"/>
          <w:szCs w:val="24"/>
          <w:lang w:eastAsia="zh-CN"/>
        </w:rPr>
        <w:t>供应商</w:t>
      </w:r>
      <w:r>
        <w:rPr>
          <w:rFonts w:hint="eastAsia" w:ascii="宋体" w:hAnsi="宋体" w:eastAsia="宋体" w:cs="宋体"/>
          <w:sz w:val="24"/>
          <w:szCs w:val="24"/>
        </w:rPr>
        <w:t>根据招标文件提交的所有文件。</w:t>
      </w:r>
    </w:p>
    <w:p w14:paraId="39260AFE">
      <w:pPr>
        <w:pStyle w:val="4"/>
        <w:numPr>
          <w:ilvl w:val="1"/>
          <w:numId w:val="4"/>
        </w:numPr>
        <w:rPr>
          <w:rFonts w:hint="eastAsia" w:ascii="宋体" w:hAnsi="宋体" w:eastAsia="宋体" w:cs="宋体"/>
          <w:sz w:val="24"/>
          <w:szCs w:val="24"/>
        </w:rPr>
      </w:pPr>
      <w:bookmarkStart w:id="82" w:name="_Toc24344"/>
      <w:bookmarkStart w:id="83" w:name="_Toc13150042"/>
      <w:bookmarkStart w:id="84" w:name="_Toc15243"/>
      <w:bookmarkStart w:id="85" w:name="_Toc10741"/>
      <w:bookmarkStart w:id="86" w:name="_Toc25383"/>
      <w:bookmarkStart w:id="87" w:name="_Toc9366"/>
      <w:bookmarkStart w:id="88" w:name="_Toc22289"/>
      <w:bookmarkStart w:id="89" w:name="_Toc6127"/>
      <w:bookmarkStart w:id="90" w:name="_Toc7848"/>
      <w:bookmarkStart w:id="91" w:name="_Toc29415"/>
      <w:bookmarkStart w:id="92" w:name="_Toc15721"/>
      <w:bookmarkStart w:id="93" w:name="_Toc17327"/>
      <w:bookmarkStart w:id="94" w:name="_Toc10943"/>
      <w:bookmarkStart w:id="95" w:name="_Toc30844"/>
      <w:bookmarkStart w:id="96" w:name="_Toc21690"/>
      <w:r>
        <w:rPr>
          <w:rFonts w:hint="eastAsia" w:ascii="宋体" w:hAnsi="宋体" w:eastAsia="宋体" w:cs="宋体"/>
          <w:sz w:val="24"/>
          <w:szCs w:val="24"/>
        </w:rPr>
        <w:t>投标费用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068D3FF">
      <w:pPr>
        <w:spacing w:line="360" w:lineRule="auto"/>
        <w:ind w:left="420" w:left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准备和参加投标活动发生的费用自理。</w:t>
      </w:r>
    </w:p>
    <w:p w14:paraId="188F131E">
      <w:pPr>
        <w:pStyle w:val="4"/>
        <w:numPr>
          <w:ilvl w:val="1"/>
          <w:numId w:val="4"/>
        </w:numPr>
        <w:rPr>
          <w:rFonts w:hint="eastAsia" w:ascii="宋体" w:hAnsi="宋体" w:eastAsia="宋体" w:cs="宋体"/>
          <w:sz w:val="24"/>
          <w:szCs w:val="24"/>
        </w:rPr>
      </w:pPr>
      <w:bookmarkStart w:id="97" w:name="_Toc23865"/>
      <w:bookmarkStart w:id="98" w:name="_Toc32164"/>
      <w:bookmarkStart w:id="99" w:name="_Toc31440"/>
      <w:bookmarkStart w:id="100" w:name="_Toc17852"/>
      <w:bookmarkStart w:id="101" w:name="_Toc13150043"/>
      <w:bookmarkStart w:id="102" w:name="_Toc28577"/>
      <w:bookmarkStart w:id="103" w:name="_Toc27895"/>
      <w:bookmarkStart w:id="104" w:name="_Toc13179"/>
      <w:bookmarkStart w:id="105" w:name="_Toc1248"/>
      <w:bookmarkStart w:id="106" w:name="_Toc30990"/>
      <w:bookmarkStart w:id="107" w:name="_Toc6898"/>
      <w:bookmarkStart w:id="108" w:name="_Toc16426"/>
      <w:bookmarkStart w:id="109" w:name="_Toc27047"/>
      <w:bookmarkStart w:id="110" w:name="_Toc1130"/>
      <w:bookmarkStart w:id="111" w:name="_Toc20429"/>
      <w:r>
        <w:rPr>
          <w:rFonts w:hint="eastAsia" w:ascii="宋体" w:hAnsi="宋体" w:eastAsia="宋体" w:cs="宋体"/>
          <w:sz w:val="24"/>
          <w:szCs w:val="24"/>
        </w:rPr>
        <w:t>现场考察或答疑会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7384F2F">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现场考察：见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8FBFC02">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答疑会：见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E0E6289">
      <w:pPr>
        <w:pStyle w:val="4"/>
        <w:numPr>
          <w:ilvl w:val="1"/>
          <w:numId w:val="4"/>
        </w:numPr>
        <w:rPr>
          <w:rFonts w:hint="eastAsia" w:ascii="宋体" w:hAnsi="宋体" w:eastAsia="宋体" w:cs="宋体"/>
          <w:sz w:val="24"/>
          <w:szCs w:val="24"/>
        </w:rPr>
      </w:pPr>
      <w:bookmarkStart w:id="112" w:name="_Toc3470"/>
      <w:bookmarkStart w:id="113" w:name="_Toc1374"/>
      <w:bookmarkStart w:id="114" w:name="_Toc21313"/>
      <w:bookmarkStart w:id="115" w:name="_Toc22071"/>
      <w:bookmarkStart w:id="116" w:name="_Toc9223"/>
      <w:bookmarkStart w:id="117" w:name="_Toc7448"/>
      <w:bookmarkStart w:id="118" w:name="_Toc8265"/>
      <w:bookmarkStart w:id="119" w:name="_Toc19551"/>
      <w:bookmarkStart w:id="120" w:name="_Toc9561"/>
      <w:bookmarkStart w:id="121" w:name="_Toc2320"/>
      <w:bookmarkStart w:id="122" w:name="_Toc10737"/>
      <w:bookmarkStart w:id="123" w:name="_Toc27635"/>
      <w:bookmarkStart w:id="124" w:name="_Toc26711"/>
      <w:bookmarkStart w:id="125" w:name="_Toc20467"/>
      <w:bookmarkStart w:id="126" w:name="_Toc13150044"/>
      <w:r>
        <w:rPr>
          <w:rFonts w:hint="eastAsia" w:ascii="宋体" w:hAnsi="宋体" w:eastAsia="宋体" w:cs="宋体"/>
          <w:sz w:val="24"/>
          <w:szCs w:val="24"/>
        </w:rPr>
        <w:t>分包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68C1168">
      <w:pPr>
        <w:ind w:firstLine="480" w:firstLineChars="200"/>
        <w:rPr>
          <w:rFonts w:hint="eastAsia" w:ascii="宋体" w:hAnsi="宋体" w:eastAsia="宋体" w:cs="宋体"/>
          <w:sz w:val="24"/>
          <w:szCs w:val="24"/>
        </w:rPr>
      </w:pPr>
      <w:r>
        <w:rPr>
          <w:rFonts w:hint="eastAsia" w:ascii="宋体" w:hAnsi="宋体" w:eastAsia="宋体" w:cs="宋体"/>
          <w:sz w:val="24"/>
          <w:szCs w:val="24"/>
        </w:rPr>
        <w:t>1.5.1分包：不允许</w:t>
      </w:r>
    </w:p>
    <w:p w14:paraId="01B8D150">
      <w:pPr>
        <w:pStyle w:val="4"/>
        <w:numPr>
          <w:ilvl w:val="1"/>
          <w:numId w:val="4"/>
        </w:numPr>
        <w:rPr>
          <w:rFonts w:hint="eastAsia" w:ascii="宋体" w:hAnsi="宋体" w:eastAsia="宋体" w:cs="宋体"/>
          <w:sz w:val="24"/>
          <w:szCs w:val="24"/>
        </w:rPr>
      </w:pPr>
      <w:bookmarkStart w:id="127" w:name="_Toc13150045"/>
      <w:bookmarkStart w:id="128" w:name="_Toc5121"/>
      <w:bookmarkStart w:id="129" w:name="_Toc26863"/>
      <w:bookmarkStart w:id="130" w:name="_Toc29383"/>
      <w:bookmarkStart w:id="131" w:name="_Toc17091"/>
      <w:bookmarkStart w:id="132" w:name="_Toc26753"/>
      <w:bookmarkStart w:id="133" w:name="_Toc15187"/>
      <w:bookmarkStart w:id="134" w:name="_Toc20874"/>
      <w:bookmarkStart w:id="135" w:name="_Toc6725"/>
      <w:bookmarkStart w:id="136" w:name="_Toc11954"/>
      <w:bookmarkStart w:id="137" w:name="_Toc12631"/>
      <w:bookmarkStart w:id="138" w:name="_Toc8669"/>
      <w:bookmarkStart w:id="139" w:name="_Toc31207"/>
      <w:bookmarkStart w:id="140" w:name="_Toc9963"/>
      <w:bookmarkStart w:id="141" w:name="_Toc28651"/>
      <w:bookmarkStart w:id="142" w:name="_Toc16222"/>
      <w:bookmarkStart w:id="143" w:name="_Toc2167"/>
      <w:r>
        <w:rPr>
          <w:rFonts w:hint="eastAsia" w:ascii="宋体" w:hAnsi="宋体" w:eastAsia="宋体" w:cs="宋体"/>
          <w:sz w:val="24"/>
          <w:szCs w:val="24"/>
        </w:rPr>
        <w:t>响应和偏差</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74DCB29">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投标文件应当对招标文件的实质性要求和条件作出满足性或更有利于采购人的响应，否则，</w:t>
      </w:r>
      <w:r>
        <w:rPr>
          <w:rFonts w:hint="eastAsia" w:ascii="宋体" w:hAnsi="宋体" w:cs="宋体"/>
          <w:sz w:val="24"/>
          <w:szCs w:val="24"/>
          <w:lang w:eastAsia="zh-CN"/>
        </w:rPr>
        <w:t>供应商</w:t>
      </w:r>
      <w:r>
        <w:rPr>
          <w:rFonts w:hint="eastAsia" w:ascii="宋体" w:hAnsi="宋体" w:eastAsia="宋体" w:cs="宋体"/>
          <w:sz w:val="24"/>
          <w:szCs w:val="24"/>
        </w:rPr>
        <w:t>的投标将被否决。实质性要求和条件见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F0342CD">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应根据招标文件的要求提供投标服务方案等内容以对招标文件作出响应。</w:t>
      </w:r>
    </w:p>
    <w:p w14:paraId="60DDC36E">
      <w:pPr>
        <w:numPr>
          <w:ilvl w:val="2"/>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允许投标文件偏离招标文件某些要求的，偏差应当符合招标文件规定的偏差范围和幅度。</w:t>
      </w:r>
    </w:p>
    <w:p w14:paraId="201DE626">
      <w:pPr>
        <w:pStyle w:val="4"/>
        <w:numPr>
          <w:ilvl w:val="1"/>
          <w:numId w:val="4"/>
        </w:numPr>
        <w:rPr>
          <w:rFonts w:hint="eastAsia" w:ascii="宋体" w:hAnsi="宋体" w:eastAsia="宋体" w:cs="宋体"/>
          <w:sz w:val="24"/>
          <w:szCs w:val="24"/>
        </w:rPr>
      </w:pPr>
      <w:bookmarkStart w:id="144" w:name="_Toc10942"/>
      <w:bookmarkStart w:id="145" w:name="_Toc15540"/>
      <w:bookmarkStart w:id="146" w:name="_Toc394"/>
      <w:bookmarkStart w:id="147" w:name="_Toc14571"/>
      <w:bookmarkStart w:id="148" w:name="_Toc16595"/>
      <w:bookmarkStart w:id="149" w:name="_Toc18321"/>
      <w:bookmarkStart w:id="150" w:name="_Toc15630"/>
      <w:bookmarkStart w:id="151" w:name="_Toc27360"/>
      <w:bookmarkStart w:id="152" w:name="_Toc9588"/>
      <w:bookmarkStart w:id="153" w:name="_Toc13150046"/>
      <w:bookmarkStart w:id="154" w:name="_Toc28955"/>
      <w:bookmarkStart w:id="155" w:name="_Toc9147"/>
      <w:bookmarkStart w:id="156" w:name="_Toc29202"/>
      <w:bookmarkStart w:id="157" w:name="_Toc14740"/>
      <w:bookmarkStart w:id="158" w:name="_Toc12963"/>
      <w:r>
        <w:rPr>
          <w:rFonts w:hint="eastAsia" w:ascii="宋体" w:hAnsi="宋体" w:eastAsia="宋体" w:cs="宋体"/>
          <w:sz w:val="24"/>
          <w:szCs w:val="24"/>
        </w:rPr>
        <w:t>投标语言</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8C76CB2">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kern w:val="0"/>
          <w:sz w:val="24"/>
          <w:szCs w:val="24"/>
        </w:rPr>
        <w:t>投标文件使</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言</w:t>
      </w:r>
      <w:r>
        <w:rPr>
          <w:rFonts w:hint="eastAsia" w:ascii="宋体" w:hAnsi="宋体" w:eastAsia="宋体" w:cs="宋体"/>
          <w:kern w:val="0"/>
          <w:sz w:val="24"/>
          <w:szCs w:val="24"/>
        </w:rPr>
        <w:t>文字</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中</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w:t>
      </w:r>
      <w:r>
        <w:rPr>
          <w:rFonts w:hint="eastAsia" w:ascii="宋体" w:hAnsi="宋体" w:eastAsia="宋体" w:cs="宋体"/>
          <w:spacing w:val="-2"/>
          <w:kern w:val="0"/>
          <w:sz w:val="24"/>
          <w:szCs w:val="24"/>
        </w:rPr>
        <w:t>专</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术</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用外</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中</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注</w:t>
      </w:r>
      <w:r>
        <w:rPr>
          <w:rFonts w:hint="eastAsia" w:ascii="宋体" w:hAnsi="宋体" w:eastAsia="宋体" w:cs="宋体"/>
          <w:kern w:val="0"/>
          <w:sz w:val="24"/>
          <w:szCs w:val="24"/>
        </w:rPr>
        <w:t>释</w:t>
      </w:r>
      <w:r>
        <w:rPr>
          <w:rFonts w:hint="eastAsia" w:ascii="宋体" w:hAnsi="宋体" w:eastAsia="宋体" w:cs="宋体"/>
          <w:sz w:val="24"/>
          <w:szCs w:val="24"/>
        </w:rPr>
        <w:t>。</w:t>
      </w:r>
    </w:p>
    <w:p w14:paraId="564756B9">
      <w:pPr>
        <w:pStyle w:val="4"/>
        <w:numPr>
          <w:ilvl w:val="1"/>
          <w:numId w:val="4"/>
        </w:numPr>
        <w:rPr>
          <w:rFonts w:hint="eastAsia" w:ascii="宋体" w:hAnsi="宋体" w:eastAsia="宋体" w:cs="宋体"/>
          <w:sz w:val="24"/>
          <w:szCs w:val="24"/>
        </w:rPr>
      </w:pPr>
      <w:bookmarkStart w:id="159" w:name="_Toc21374"/>
      <w:bookmarkStart w:id="160" w:name="_Toc22605"/>
      <w:bookmarkStart w:id="161" w:name="_Toc30202"/>
      <w:bookmarkStart w:id="162" w:name="_Toc13150047"/>
      <w:bookmarkStart w:id="163" w:name="_Toc1695"/>
      <w:bookmarkStart w:id="164" w:name="_Toc11853"/>
      <w:bookmarkStart w:id="165" w:name="_Toc19599"/>
      <w:bookmarkStart w:id="166" w:name="_Toc20418"/>
      <w:bookmarkStart w:id="167" w:name="_Toc7027"/>
      <w:bookmarkStart w:id="168" w:name="_Toc19104"/>
      <w:bookmarkStart w:id="169" w:name="_Toc30395"/>
      <w:bookmarkStart w:id="170" w:name="_Toc15679"/>
      <w:bookmarkStart w:id="171" w:name="_Toc14186"/>
      <w:bookmarkStart w:id="172" w:name="_Toc26140"/>
      <w:bookmarkStart w:id="173" w:name="_Toc14812"/>
      <w:r>
        <w:rPr>
          <w:rFonts w:hint="eastAsia" w:ascii="宋体" w:hAnsi="宋体" w:eastAsia="宋体" w:cs="宋体"/>
          <w:sz w:val="24"/>
          <w:szCs w:val="24"/>
        </w:rPr>
        <w:t>投标文件计量单位</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DAB31BE">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除在招标文件的技术文件中另有规定外，计量单位均使用中华人民共和国法定计量标准单位。</w:t>
      </w:r>
    </w:p>
    <w:p w14:paraId="261EE87F">
      <w:pPr>
        <w:pStyle w:val="4"/>
        <w:numPr>
          <w:ilvl w:val="1"/>
          <w:numId w:val="4"/>
        </w:numPr>
        <w:rPr>
          <w:rFonts w:hint="eastAsia" w:ascii="宋体" w:hAnsi="宋体" w:eastAsia="宋体" w:cs="宋体"/>
          <w:sz w:val="24"/>
          <w:szCs w:val="24"/>
        </w:rPr>
      </w:pPr>
      <w:bookmarkStart w:id="174" w:name="_Toc10538"/>
      <w:bookmarkStart w:id="175" w:name="_Toc19923"/>
      <w:bookmarkStart w:id="176" w:name="_Toc4326"/>
      <w:bookmarkStart w:id="177" w:name="_Toc13150048"/>
      <w:bookmarkStart w:id="178" w:name="_Toc4322"/>
      <w:bookmarkStart w:id="179" w:name="_Toc12071"/>
      <w:bookmarkStart w:id="180" w:name="_Toc16349"/>
      <w:bookmarkStart w:id="181" w:name="_Toc23880"/>
      <w:bookmarkStart w:id="182" w:name="_Toc23957"/>
      <w:bookmarkStart w:id="183" w:name="_Toc20117"/>
      <w:bookmarkStart w:id="184" w:name="_Toc16602"/>
      <w:bookmarkStart w:id="185" w:name="_Toc15754"/>
      <w:bookmarkStart w:id="186" w:name="_Toc20160"/>
      <w:bookmarkStart w:id="187" w:name="_Toc22110"/>
      <w:bookmarkStart w:id="188" w:name="_Toc31590"/>
      <w:r>
        <w:rPr>
          <w:rFonts w:hint="eastAsia" w:ascii="宋体" w:hAnsi="宋体" w:eastAsia="宋体" w:cs="宋体"/>
          <w:sz w:val="24"/>
          <w:szCs w:val="24"/>
        </w:rPr>
        <w:t>投标货币</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046CBA9">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除非另有规定，</w:t>
      </w:r>
      <w:r>
        <w:rPr>
          <w:rFonts w:hint="eastAsia" w:ascii="宋体" w:hAnsi="宋体" w:cs="宋体"/>
          <w:sz w:val="24"/>
          <w:szCs w:val="24"/>
          <w:lang w:eastAsia="zh-CN"/>
        </w:rPr>
        <w:t>供应商</w:t>
      </w:r>
      <w:r>
        <w:rPr>
          <w:rFonts w:hint="eastAsia" w:ascii="宋体" w:hAnsi="宋体" w:eastAsia="宋体" w:cs="宋体"/>
          <w:sz w:val="24"/>
          <w:szCs w:val="24"/>
        </w:rPr>
        <w:t>提供的所有服务用人民币报价。</w:t>
      </w:r>
    </w:p>
    <w:p w14:paraId="3D24AEFB">
      <w:pPr>
        <w:pStyle w:val="4"/>
        <w:numPr>
          <w:ilvl w:val="1"/>
          <w:numId w:val="4"/>
        </w:numPr>
        <w:rPr>
          <w:rFonts w:hint="eastAsia" w:ascii="宋体" w:hAnsi="宋体" w:eastAsia="宋体" w:cs="宋体"/>
          <w:sz w:val="24"/>
          <w:szCs w:val="24"/>
        </w:rPr>
      </w:pPr>
      <w:bookmarkStart w:id="189" w:name="_Toc12030"/>
      <w:bookmarkStart w:id="190" w:name="_Toc12048"/>
      <w:bookmarkStart w:id="191" w:name="_Toc28184"/>
      <w:bookmarkStart w:id="192" w:name="_Toc4030"/>
      <w:bookmarkStart w:id="193" w:name="_Toc24561"/>
      <w:bookmarkStart w:id="194" w:name="_Toc19335"/>
      <w:bookmarkStart w:id="195" w:name="_Toc31058"/>
      <w:bookmarkStart w:id="196" w:name="_Toc22325"/>
      <w:bookmarkStart w:id="197" w:name="_Toc16853"/>
      <w:bookmarkStart w:id="198" w:name="_Toc30804"/>
      <w:bookmarkStart w:id="199" w:name="_Toc7123"/>
      <w:bookmarkStart w:id="200" w:name="_Toc141"/>
      <w:bookmarkStart w:id="201" w:name="_Toc10284"/>
      <w:bookmarkStart w:id="202" w:name="_Toc26021"/>
      <w:bookmarkStart w:id="203" w:name="_Toc13150049"/>
      <w:bookmarkStart w:id="204" w:name="_Toc20536"/>
      <w:bookmarkStart w:id="205" w:name="_Toc4873"/>
      <w:r>
        <w:rPr>
          <w:rFonts w:hint="eastAsia" w:ascii="宋体" w:hAnsi="宋体" w:eastAsia="宋体" w:cs="宋体"/>
          <w:sz w:val="24"/>
          <w:szCs w:val="24"/>
        </w:rPr>
        <w:t>保密</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6DD8D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14:paraId="56983F31">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206" w:name="_Toc22953398"/>
      <w:bookmarkEnd w:id="206"/>
      <w:bookmarkStart w:id="207" w:name="_Toc27306_WPSOffice_Level2"/>
      <w:r>
        <w:rPr>
          <w:rFonts w:hint="eastAsia" w:ascii="宋体" w:hAnsi="宋体" w:eastAsia="宋体" w:cs="宋体"/>
          <w:sz w:val="24"/>
          <w:szCs w:val="24"/>
        </w:rPr>
        <w:t>招标文件</w:t>
      </w:r>
      <w:bookmarkEnd w:id="207"/>
    </w:p>
    <w:p w14:paraId="7791F7B0">
      <w:pPr>
        <w:pStyle w:val="4"/>
        <w:numPr>
          <w:ilvl w:val="1"/>
          <w:numId w:val="3"/>
        </w:numPr>
        <w:rPr>
          <w:rFonts w:hint="eastAsia" w:ascii="宋体" w:hAnsi="宋体" w:eastAsia="宋体" w:cs="宋体"/>
          <w:sz w:val="24"/>
          <w:szCs w:val="24"/>
        </w:rPr>
      </w:pPr>
      <w:bookmarkStart w:id="208" w:name="_Toc23916"/>
      <w:bookmarkStart w:id="209" w:name="_Toc16865"/>
      <w:bookmarkStart w:id="210" w:name="_Toc16888"/>
      <w:bookmarkStart w:id="211" w:name="_Toc8809"/>
      <w:bookmarkStart w:id="212" w:name="_Toc17016"/>
      <w:bookmarkStart w:id="213" w:name="_Toc13820"/>
      <w:bookmarkStart w:id="214" w:name="_Toc12094"/>
      <w:bookmarkStart w:id="215" w:name="_Toc20718"/>
      <w:bookmarkStart w:id="216" w:name="_Toc19082"/>
      <w:bookmarkStart w:id="217" w:name="_Toc22611"/>
      <w:bookmarkStart w:id="218" w:name="_Toc13150051"/>
      <w:bookmarkStart w:id="219" w:name="_Toc20374"/>
      <w:bookmarkStart w:id="220" w:name="_Toc341"/>
      <w:bookmarkStart w:id="221" w:name="_Toc27662"/>
      <w:bookmarkStart w:id="222" w:name="_Toc22684"/>
      <w:r>
        <w:rPr>
          <w:rFonts w:hint="eastAsia" w:ascii="宋体" w:hAnsi="宋体" w:eastAsia="宋体" w:cs="宋体"/>
          <w:sz w:val="24"/>
          <w:szCs w:val="24"/>
        </w:rPr>
        <w:t>招标文件的构成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E96C7E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招标文件用以阐明本次招标的服务要求、招标投标程序和合同条件。</w:t>
      </w:r>
    </w:p>
    <w:p w14:paraId="48B40ABC">
      <w:pPr>
        <w:pStyle w:val="19"/>
        <w:tabs>
          <w:tab w:val="left" w:pos="720"/>
          <w:tab w:val="left" w:pos="1080"/>
        </w:tabs>
        <w:spacing w:line="360" w:lineRule="auto"/>
        <w:ind w:left="720" w:firstLine="0"/>
        <w:rPr>
          <w:rFonts w:hint="eastAsia" w:ascii="宋体" w:hAnsi="宋体" w:eastAsia="宋体" w:cs="宋体"/>
          <w:sz w:val="24"/>
          <w:szCs w:val="24"/>
        </w:rPr>
      </w:pPr>
      <w:r>
        <w:rPr>
          <w:rFonts w:hint="eastAsia" w:ascii="宋体" w:hAnsi="宋体" w:eastAsia="宋体" w:cs="宋体"/>
          <w:sz w:val="24"/>
          <w:szCs w:val="24"/>
        </w:rPr>
        <w:t xml:space="preserve">招标文件由下述部分组成： </w:t>
      </w:r>
    </w:p>
    <w:p w14:paraId="087FD6B7">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招标公告</w:t>
      </w:r>
    </w:p>
    <w:p w14:paraId="67DC6FFF">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w:t>
      </w:r>
    </w:p>
    <w:p w14:paraId="5B3345D8">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货物清单及参数要求</w:t>
      </w:r>
    </w:p>
    <w:p w14:paraId="03BB411D">
      <w:pPr>
        <w:pStyle w:val="14"/>
        <w:numPr>
          <w:ilvl w:val="0"/>
          <w:numId w:val="7"/>
        </w:numPr>
        <w:tabs>
          <w:tab w:val="left" w:pos="108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评标办法（综合评分法）</w:t>
      </w:r>
    </w:p>
    <w:p w14:paraId="2105A36E">
      <w:pPr>
        <w:pStyle w:val="14"/>
        <w:numPr>
          <w:ilvl w:val="0"/>
          <w:numId w:val="7"/>
        </w:numPr>
        <w:tabs>
          <w:tab w:val="left" w:pos="1080"/>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合同条款及格式（仅供参考）   </w:t>
      </w:r>
    </w:p>
    <w:p w14:paraId="4FC13255">
      <w:pPr>
        <w:pStyle w:val="14"/>
        <w:numPr>
          <w:ilvl w:val="0"/>
          <w:numId w:val="7"/>
        </w:numPr>
        <w:tabs>
          <w:tab w:val="left" w:pos="1080"/>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投标文件通用格式    </w:t>
      </w:r>
    </w:p>
    <w:p w14:paraId="26A443D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应仔细阅读招标文件中</w:t>
      </w:r>
      <w:r>
        <w:rPr>
          <w:rFonts w:hint="eastAsia" w:ascii="宋体" w:hAnsi="宋体" w:cs="宋体"/>
          <w:sz w:val="24"/>
          <w:szCs w:val="24"/>
          <w:lang w:eastAsia="zh-CN"/>
        </w:rPr>
        <w:t>供应商</w:t>
      </w:r>
      <w:r>
        <w:rPr>
          <w:rFonts w:hint="eastAsia" w:ascii="宋体" w:hAnsi="宋体" w:eastAsia="宋体" w:cs="宋体"/>
          <w:sz w:val="24"/>
          <w:szCs w:val="24"/>
        </w:rPr>
        <w:t>须知、合同条款的所有事项、格式要求和服务需求，按招标文件的要求提供投标文件，并保证所提供的全部资料的真实性，以使其投标对招标文件做出实质性响应，否则，将承担其投标被拒绝或认定为投标无效的风险。</w:t>
      </w:r>
    </w:p>
    <w:p w14:paraId="40AED81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制作投标文件时应充分完整理解招标文件的整体要求。</w:t>
      </w:r>
    </w:p>
    <w:p w14:paraId="7B19D12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根据本章第2.2款和第2.3款对招标文件所做的澄清和修改，构成招标文件的组成部分。</w:t>
      </w:r>
    </w:p>
    <w:p w14:paraId="2C04AC69">
      <w:pPr>
        <w:pStyle w:val="4"/>
        <w:numPr>
          <w:ilvl w:val="1"/>
          <w:numId w:val="3"/>
        </w:numPr>
        <w:rPr>
          <w:rFonts w:hint="eastAsia" w:ascii="宋体" w:hAnsi="宋体" w:eastAsia="宋体" w:cs="宋体"/>
          <w:sz w:val="24"/>
          <w:szCs w:val="24"/>
        </w:rPr>
      </w:pPr>
      <w:bookmarkStart w:id="223" w:name="_Toc29432"/>
      <w:bookmarkStart w:id="224" w:name="_Toc31666"/>
      <w:bookmarkStart w:id="225" w:name="_Toc9788"/>
      <w:bookmarkStart w:id="226" w:name="_Toc13997"/>
      <w:bookmarkStart w:id="227" w:name="_Toc8440"/>
      <w:bookmarkStart w:id="228" w:name="_Toc29748"/>
      <w:bookmarkStart w:id="229" w:name="_Toc13150052"/>
      <w:bookmarkStart w:id="230" w:name="_Toc74"/>
      <w:bookmarkStart w:id="231" w:name="_Toc9503"/>
      <w:bookmarkStart w:id="232" w:name="_Toc31045"/>
      <w:bookmarkStart w:id="233" w:name="_Toc7860"/>
      <w:bookmarkStart w:id="234" w:name="_Toc30758"/>
      <w:bookmarkStart w:id="235" w:name="_Toc14335"/>
      <w:bookmarkStart w:id="236" w:name="_Toc10510"/>
      <w:bookmarkStart w:id="237" w:name="_Toc18000"/>
      <w:r>
        <w:rPr>
          <w:rFonts w:hint="eastAsia" w:ascii="宋体" w:hAnsi="宋体" w:eastAsia="宋体" w:cs="宋体"/>
          <w:sz w:val="24"/>
          <w:szCs w:val="24"/>
        </w:rPr>
        <w:t>招标文件的澄清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2D02DC6">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应仔细阅读和检查招标文件的全部内容。如发现缺页或附件不全，应及时向采购人提出，以便补齐。如有疑问，应按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须知前附表规定的时间和形式将提出的问题送达采购人，要求采购人对招标文件予以澄清。</w:t>
      </w:r>
    </w:p>
    <w:p w14:paraId="5BBF4D9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招标文件的澄清以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在原公告媒体发布澄清公告，但不指明澄清问题的来源。澄清发出的时间距本章第4.2.1项规定的投标截止时间不足15日的，并且澄清内容可能影响投标文件编制的，将相应延长投标截止时间。</w:t>
      </w:r>
    </w:p>
    <w:p w14:paraId="2DF694A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在收到澄清后，应按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须知前附表规定的时间和形式确认已收到该澄清。</w:t>
      </w:r>
    </w:p>
    <w:p w14:paraId="37E32A8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除非采购人认为确有必要答复，否则，采购人有权拒绝回复</w:t>
      </w:r>
      <w:r>
        <w:rPr>
          <w:rFonts w:hint="eastAsia" w:ascii="宋体" w:hAnsi="宋体" w:cs="宋体"/>
          <w:sz w:val="24"/>
          <w:szCs w:val="24"/>
          <w:lang w:eastAsia="zh-CN"/>
        </w:rPr>
        <w:t>供应商</w:t>
      </w:r>
      <w:r>
        <w:rPr>
          <w:rFonts w:hint="eastAsia" w:ascii="宋体" w:hAnsi="宋体" w:eastAsia="宋体" w:cs="宋体"/>
          <w:sz w:val="24"/>
          <w:szCs w:val="24"/>
        </w:rPr>
        <w:t>在本章第2.2.1项规定的时间后的任何澄清要求。在规定的时间内未提出疑问的，将被视为对招标文件完全认可。</w:t>
      </w:r>
    </w:p>
    <w:p w14:paraId="303BC7D9">
      <w:pPr>
        <w:pStyle w:val="4"/>
        <w:numPr>
          <w:ilvl w:val="1"/>
          <w:numId w:val="3"/>
        </w:numPr>
        <w:rPr>
          <w:rFonts w:hint="eastAsia" w:ascii="宋体" w:hAnsi="宋体" w:eastAsia="宋体" w:cs="宋体"/>
          <w:sz w:val="24"/>
          <w:szCs w:val="24"/>
        </w:rPr>
      </w:pPr>
      <w:bookmarkStart w:id="238" w:name="_Toc18772"/>
      <w:bookmarkStart w:id="239" w:name="_Toc334"/>
      <w:bookmarkStart w:id="240" w:name="_Toc13150053"/>
      <w:bookmarkStart w:id="241" w:name="_Toc23306"/>
      <w:bookmarkStart w:id="242" w:name="_Toc16407"/>
      <w:bookmarkStart w:id="243" w:name="_Toc5825"/>
      <w:bookmarkStart w:id="244" w:name="_Toc6493"/>
      <w:bookmarkStart w:id="245" w:name="_Toc17409"/>
      <w:bookmarkStart w:id="246" w:name="_Toc30638"/>
      <w:bookmarkStart w:id="247" w:name="_Toc15286"/>
      <w:bookmarkStart w:id="248" w:name="_Toc24"/>
      <w:bookmarkStart w:id="249" w:name="_Toc12256"/>
      <w:bookmarkStart w:id="250" w:name="_Toc21811"/>
      <w:bookmarkStart w:id="251" w:name="_Toc28275"/>
      <w:bookmarkStart w:id="252" w:name="_Toc32016"/>
      <w:r>
        <w:rPr>
          <w:rFonts w:hint="eastAsia" w:ascii="宋体" w:hAnsi="宋体" w:eastAsia="宋体" w:cs="宋体"/>
          <w:sz w:val="24"/>
          <w:szCs w:val="24"/>
        </w:rPr>
        <w:t>招标文件的修改</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70A310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采购人或者采购代理机构可以对已发出的招标文件进行必要的修改，但不得改变采购标的和资格条件，修改的内容为招标文件的组成部分。</w:t>
      </w:r>
    </w:p>
    <w:p w14:paraId="62742F3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采购人或采购代理机构以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须知前附表规定的形式修改招标文件，同时在原公告媒体发布变更公告。修改招标文件的时间距本章第4.2.1项规定的投标截止时间不足15日的，并且修改内容可能影响投标文件编制的，将相应延长投标截止时间。</w:t>
      </w:r>
    </w:p>
    <w:p w14:paraId="6AF415A3">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收到修改内容后，应按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须知前附表规定的时间和形式通知采购人，确认已收到该修改。</w:t>
      </w:r>
    </w:p>
    <w:p w14:paraId="7E3B0685">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253" w:name="_Toc16300_WPSOffice_Level2"/>
      <w:r>
        <w:rPr>
          <w:rFonts w:hint="eastAsia" w:ascii="宋体" w:hAnsi="宋体" w:eastAsia="宋体" w:cs="宋体"/>
          <w:sz w:val="24"/>
          <w:szCs w:val="24"/>
        </w:rPr>
        <w:t>投标文件</w:t>
      </w:r>
      <w:bookmarkEnd w:id="253"/>
    </w:p>
    <w:p w14:paraId="72D1F3F1">
      <w:pPr>
        <w:pStyle w:val="4"/>
        <w:numPr>
          <w:ilvl w:val="1"/>
          <w:numId w:val="3"/>
        </w:numPr>
        <w:rPr>
          <w:rFonts w:hint="eastAsia" w:ascii="宋体" w:hAnsi="宋体" w:eastAsia="宋体" w:cs="宋体"/>
          <w:sz w:val="24"/>
          <w:szCs w:val="24"/>
        </w:rPr>
      </w:pPr>
      <w:bookmarkStart w:id="254" w:name="_Toc21684"/>
      <w:bookmarkStart w:id="255" w:name="_Toc27918"/>
      <w:bookmarkStart w:id="256" w:name="_Toc13150055"/>
      <w:bookmarkStart w:id="257" w:name="_Toc20318"/>
      <w:bookmarkStart w:id="258" w:name="_Toc32308"/>
      <w:bookmarkStart w:id="259" w:name="_Toc10184"/>
      <w:bookmarkStart w:id="260" w:name="_Toc29146"/>
      <w:bookmarkStart w:id="261" w:name="_Toc11933"/>
      <w:bookmarkStart w:id="262" w:name="_Toc16815"/>
      <w:bookmarkStart w:id="263" w:name="_Toc29160"/>
      <w:bookmarkStart w:id="264" w:name="_Toc18886"/>
      <w:bookmarkStart w:id="265" w:name="_Toc28702"/>
      <w:bookmarkStart w:id="266" w:name="_Toc3534"/>
      <w:bookmarkStart w:id="267" w:name="_Toc11643"/>
      <w:bookmarkStart w:id="268" w:name="_Toc26694"/>
      <w:r>
        <w:rPr>
          <w:rFonts w:hint="eastAsia" w:ascii="宋体" w:hAnsi="宋体" w:eastAsia="宋体" w:cs="宋体"/>
          <w:sz w:val="24"/>
          <w:szCs w:val="24"/>
        </w:rPr>
        <w:t>投标文件的组成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5FAB56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投标文件包括下列部分：</w:t>
      </w:r>
    </w:p>
    <w:p w14:paraId="5A86FF55">
      <w:pPr>
        <w:tabs>
          <w:tab w:val="left" w:pos="510"/>
          <w:tab w:val="left" w:pos="686"/>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投标文件组成：</w:t>
      </w:r>
    </w:p>
    <w:p w14:paraId="7EAB04A5">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354078B6">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rPr>
        <w:t>及资格要求</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36FB943E">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A4B88DA">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337C5A47">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"_Toc32028"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设备技术性能偏离表</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3F8CB41">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资格</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en-US" w:eastAsia="zh-CN"/>
        </w:rPr>
        <w:t>审查资料</w:t>
      </w:r>
    </w:p>
    <w:p w14:paraId="1407AAFE">
      <w:pPr>
        <w:numPr>
          <w:ilvl w:val="0"/>
          <w:numId w:val="8"/>
        </w:num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技术部分</w:t>
      </w:r>
    </w:p>
    <w:p w14:paraId="26297C29">
      <w:pPr>
        <w:numPr>
          <w:ilvl w:val="0"/>
          <w:numId w:val="8"/>
        </w:num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商务部分</w:t>
      </w:r>
    </w:p>
    <w:p w14:paraId="349B4D58">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0A93394B">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十、其他资料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p>
    <w:p w14:paraId="73893EE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其他资料</w:t>
      </w:r>
      <w:r>
        <w:rPr>
          <w:rFonts w:hint="eastAsia" w:ascii="宋体" w:hAnsi="宋体" w:eastAsia="宋体" w:cs="宋体"/>
          <w:sz w:val="24"/>
          <w:szCs w:val="24"/>
        </w:rPr>
        <w:t>投标文件应与招标文件的投标文件格式次序一一对应。</w:t>
      </w:r>
    </w:p>
    <w:p w14:paraId="3155162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招标文件中的每个分包，是项目招标不可拆分的最小投标单元，</w:t>
      </w:r>
      <w:r>
        <w:rPr>
          <w:rFonts w:hint="eastAsia" w:ascii="宋体" w:hAnsi="宋体" w:cs="宋体"/>
          <w:sz w:val="24"/>
          <w:szCs w:val="24"/>
          <w:lang w:eastAsia="zh-CN"/>
        </w:rPr>
        <w:t>供应商</w:t>
      </w:r>
      <w:r>
        <w:rPr>
          <w:rFonts w:hint="eastAsia" w:ascii="宋体" w:hAnsi="宋体" w:eastAsia="宋体" w:cs="宋体"/>
          <w:sz w:val="24"/>
          <w:szCs w:val="24"/>
        </w:rPr>
        <w:t>必须按此分包编制投标文件，提交相应的文件资料，拆包投标将视为漏项或非实质性响应予以认定为投标无效。</w:t>
      </w:r>
    </w:p>
    <w:p w14:paraId="5C33082D">
      <w:pPr>
        <w:pStyle w:val="4"/>
        <w:numPr>
          <w:ilvl w:val="1"/>
          <w:numId w:val="3"/>
        </w:numPr>
        <w:rPr>
          <w:rFonts w:hint="eastAsia" w:ascii="宋体" w:hAnsi="宋体" w:eastAsia="宋体" w:cs="宋体"/>
          <w:color w:val="auto"/>
          <w:sz w:val="24"/>
          <w:szCs w:val="24"/>
        </w:rPr>
      </w:pPr>
      <w:bookmarkStart w:id="269" w:name="_Toc29677"/>
      <w:bookmarkStart w:id="270" w:name="_Toc15089"/>
      <w:bookmarkStart w:id="271" w:name="_Toc28730"/>
      <w:r>
        <w:rPr>
          <w:rFonts w:hint="eastAsia" w:ascii="宋体" w:hAnsi="宋体" w:eastAsia="宋体" w:cs="宋体"/>
          <w:color w:val="auto"/>
          <w:sz w:val="24"/>
          <w:szCs w:val="24"/>
        </w:rPr>
        <w:t>招标控制价</w:t>
      </w:r>
      <w:bookmarkEnd w:id="269"/>
      <w:bookmarkEnd w:id="270"/>
      <w:bookmarkEnd w:id="271"/>
    </w:p>
    <w:p w14:paraId="0A9D056B">
      <w:pPr>
        <w:numPr>
          <w:ilvl w:val="2"/>
          <w:numId w:val="3"/>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招标控制价：</w:t>
      </w:r>
      <w:r>
        <w:rPr>
          <w:rFonts w:hint="eastAsia" w:ascii="宋体" w:hAnsi="宋体" w:cs="宋体"/>
          <w:color w:val="auto"/>
          <w:sz w:val="24"/>
          <w:szCs w:val="24"/>
          <w:lang w:val="en-US" w:eastAsia="zh-CN"/>
        </w:rPr>
        <w:t>4750000</w:t>
      </w:r>
      <w:r>
        <w:rPr>
          <w:rFonts w:hint="eastAsia" w:ascii="宋体" w:hAnsi="宋体" w:eastAsia="宋体" w:cs="宋体"/>
          <w:color w:val="auto"/>
          <w:sz w:val="24"/>
          <w:szCs w:val="24"/>
          <w:lang w:val="en-US" w:eastAsia="zh-CN"/>
        </w:rPr>
        <w:t>.00元，。</w:t>
      </w:r>
    </w:p>
    <w:p w14:paraId="15E3A8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cs="宋体"/>
          <w:sz w:val="24"/>
          <w:szCs w:val="24"/>
          <w:lang w:eastAsia="zh-CN"/>
        </w:rPr>
        <w:t>供应商</w:t>
      </w:r>
      <w:r>
        <w:rPr>
          <w:rFonts w:hint="eastAsia" w:ascii="宋体" w:hAnsi="宋体" w:eastAsia="宋体" w:cs="宋体"/>
          <w:sz w:val="24"/>
          <w:szCs w:val="24"/>
        </w:rPr>
        <w:t>投标报价超出“投标最高限价”（不含等于“投标最高限价”）的，该</w:t>
      </w:r>
      <w:r>
        <w:rPr>
          <w:rFonts w:hint="eastAsia" w:ascii="宋体" w:hAnsi="宋体" w:cs="宋体"/>
          <w:sz w:val="24"/>
          <w:szCs w:val="24"/>
          <w:lang w:eastAsia="zh-CN"/>
        </w:rPr>
        <w:t>供应商</w:t>
      </w:r>
      <w:r>
        <w:rPr>
          <w:rFonts w:hint="eastAsia" w:ascii="宋体" w:hAnsi="宋体" w:eastAsia="宋体" w:cs="宋体"/>
          <w:sz w:val="24"/>
          <w:szCs w:val="24"/>
        </w:rPr>
        <w:t>的投标文件应作无效标处理。</w:t>
      </w:r>
    </w:p>
    <w:p w14:paraId="60ABA9B7">
      <w:pPr>
        <w:pStyle w:val="4"/>
        <w:numPr>
          <w:ilvl w:val="1"/>
          <w:numId w:val="3"/>
        </w:numPr>
        <w:rPr>
          <w:rFonts w:hint="eastAsia" w:ascii="宋体" w:hAnsi="宋体" w:eastAsia="宋体" w:cs="宋体"/>
          <w:sz w:val="24"/>
          <w:szCs w:val="24"/>
        </w:rPr>
      </w:pPr>
      <w:bookmarkStart w:id="272" w:name="_Toc10884"/>
      <w:bookmarkStart w:id="273" w:name="_Toc4082"/>
      <w:bookmarkStart w:id="274" w:name="_Toc24684"/>
      <w:bookmarkStart w:id="275" w:name="_Toc22106"/>
      <w:bookmarkStart w:id="276" w:name="_Toc3318"/>
      <w:bookmarkStart w:id="277" w:name="_Toc24295"/>
      <w:bookmarkStart w:id="278" w:name="_Toc24714"/>
      <w:bookmarkStart w:id="279" w:name="_Toc10542"/>
      <w:bookmarkStart w:id="280" w:name="_Toc16044"/>
      <w:bookmarkStart w:id="281" w:name="_Toc3169"/>
      <w:bookmarkStart w:id="282" w:name="_Toc30836"/>
      <w:bookmarkStart w:id="283" w:name="_Toc724"/>
      <w:bookmarkStart w:id="284" w:name="_Toc14282"/>
      <w:bookmarkStart w:id="285" w:name="_Toc13150059"/>
      <w:bookmarkStart w:id="286" w:name="_Toc17110"/>
      <w:r>
        <w:rPr>
          <w:rFonts w:hint="eastAsia" w:ascii="宋体" w:hAnsi="宋体" w:eastAsia="宋体" w:cs="宋体"/>
          <w:sz w:val="24"/>
          <w:szCs w:val="24"/>
        </w:rPr>
        <w:t>投标保证金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25EAB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p w14:paraId="26E30CF2">
      <w:pPr>
        <w:pStyle w:val="4"/>
        <w:numPr>
          <w:ilvl w:val="1"/>
          <w:numId w:val="3"/>
        </w:numPr>
        <w:rPr>
          <w:rFonts w:hint="eastAsia" w:ascii="宋体" w:hAnsi="宋体" w:eastAsia="宋体" w:cs="宋体"/>
          <w:sz w:val="24"/>
          <w:szCs w:val="24"/>
        </w:rPr>
      </w:pPr>
      <w:bookmarkStart w:id="287" w:name="_Toc24091"/>
      <w:bookmarkStart w:id="288" w:name="_Toc21981"/>
      <w:bookmarkStart w:id="289" w:name="_Toc27644"/>
      <w:bookmarkStart w:id="290" w:name="_Toc10698"/>
      <w:bookmarkStart w:id="291" w:name="_Toc7411"/>
      <w:bookmarkStart w:id="292" w:name="_Toc13150060"/>
      <w:bookmarkStart w:id="293" w:name="_Toc27911"/>
      <w:bookmarkStart w:id="294" w:name="_Toc18654"/>
      <w:bookmarkStart w:id="295" w:name="_Toc28350"/>
      <w:bookmarkStart w:id="296" w:name="_Toc21537"/>
      <w:bookmarkStart w:id="297" w:name="_Toc10853"/>
      <w:bookmarkStart w:id="298" w:name="_Toc16522"/>
      <w:bookmarkStart w:id="299" w:name="_Toc13350"/>
      <w:bookmarkStart w:id="300" w:name="_Toc756"/>
      <w:bookmarkStart w:id="301" w:name="_Toc30729"/>
      <w:r>
        <w:rPr>
          <w:rFonts w:hint="eastAsia" w:ascii="宋体" w:hAnsi="宋体" w:eastAsia="宋体" w:cs="宋体"/>
          <w:sz w:val="24"/>
          <w:szCs w:val="24"/>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663E9C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投标有效期见</w:t>
      </w:r>
      <w:r>
        <w:rPr>
          <w:rFonts w:hint="eastAsia" w:ascii="宋体" w:hAnsi="宋体" w:cs="宋体"/>
          <w:sz w:val="24"/>
          <w:szCs w:val="24"/>
          <w:lang w:eastAsia="zh-CN"/>
        </w:rPr>
        <w:t>供应商</w:t>
      </w:r>
      <w:r>
        <w:rPr>
          <w:rFonts w:hint="eastAsia" w:ascii="宋体" w:hAnsi="宋体" w:eastAsia="宋体" w:cs="宋体"/>
          <w:sz w:val="24"/>
          <w:szCs w:val="24"/>
        </w:rPr>
        <w:t>须知前附表，从递交投标文件的截止之日起算。</w:t>
      </w:r>
    </w:p>
    <w:p w14:paraId="2490B30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投标文件应自递交投标文件的截止之日起，在</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须知前附表规定的时间内保持有效。投标有效期不足的将被视为非响应投标而予以拒绝。</w:t>
      </w:r>
    </w:p>
    <w:p w14:paraId="7B739F6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在特殊情况下，在原投标有效期截止之前，采购人和采购代理机构可征求</w:t>
      </w:r>
      <w:r>
        <w:rPr>
          <w:rFonts w:hint="eastAsia" w:ascii="宋体" w:hAnsi="宋体" w:cs="宋体"/>
          <w:sz w:val="24"/>
          <w:szCs w:val="24"/>
          <w:lang w:eastAsia="zh-CN"/>
        </w:rPr>
        <w:t>供应商</w:t>
      </w:r>
      <w:r>
        <w:rPr>
          <w:rFonts w:hint="eastAsia" w:ascii="宋体" w:hAnsi="宋体" w:eastAsia="宋体" w:cs="宋体"/>
          <w:sz w:val="24"/>
          <w:szCs w:val="24"/>
        </w:rPr>
        <w:t>同意延长投标有效期。这种要求与答复均应以书面形式提交。同意延期的</w:t>
      </w:r>
      <w:r>
        <w:rPr>
          <w:rFonts w:hint="eastAsia" w:ascii="宋体" w:hAnsi="宋体" w:cs="宋体"/>
          <w:sz w:val="24"/>
          <w:szCs w:val="24"/>
          <w:lang w:eastAsia="zh-CN"/>
        </w:rPr>
        <w:t>供应商</w:t>
      </w:r>
      <w:r>
        <w:rPr>
          <w:rFonts w:hint="eastAsia" w:ascii="宋体" w:hAnsi="宋体" w:eastAsia="宋体" w:cs="宋体"/>
          <w:sz w:val="24"/>
          <w:szCs w:val="24"/>
        </w:rPr>
        <w:t>将不会被要求也不允许修改其投标。</w:t>
      </w:r>
    </w:p>
    <w:p w14:paraId="778BA768">
      <w:pPr>
        <w:pStyle w:val="4"/>
        <w:numPr>
          <w:ilvl w:val="1"/>
          <w:numId w:val="3"/>
        </w:numPr>
        <w:rPr>
          <w:rFonts w:hint="eastAsia" w:ascii="宋体" w:hAnsi="宋体" w:eastAsia="宋体" w:cs="宋体"/>
          <w:sz w:val="24"/>
          <w:szCs w:val="24"/>
        </w:rPr>
      </w:pPr>
      <w:bookmarkStart w:id="302" w:name="_Toc650"/>
      <w:bookmarkStart w:id="303" w:name="_Toc15520"/>
      <w:bookmarkStart w:id="304" w:name="_Toc630"/>
      <w:bookmarkStart w:id="305" w:name="_Toc24210"/>
      <w:bookmarkStart w:id="306" w:name="_Toc1063"/>
      <w:bookmarkStart w:id="307" w:name="_Toc32415"/>
      <w:bookmarkStart w:id="308" w:name="_Toc21050"/>
      <w:bookmarkStart w:id="309" w:name="_Toc27913"/>
      <w:bookmarkStart w:id="310" w:name="_Toc13150061"/>
      <w:bookmarkStart w:id="311" w:name="_Toc8554"/>
      <w:bookmarkStart w:id="312" w:name="_Toc7496"/>
      <w:bookmarkStart w:id="313" w:name="_Toc25186"/>
      <w:bookmarkStart w:id="314" w:name="_Toc3838"/>
      <w:bookmarkStart w:id="315" w:name="_Toc10019"/>
      <w:bookmarkStart w:id="316" w:name="_Toc14631"/>
      <w:r>
        <w:rPr>
          <w:rFonts w:hint="eastAsia" w:ascii="宋体" w:hAnsi="宋体" w:eastAsia="宋体" w:cs="宋体"/>
          <w:sz w:val="24"/>
          <w:szCs w:val="24"/>
        </w:rPr>
        <w:t>投标文件编制</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166DCBF">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投标文件应按第七章 “投标文件格式”进行编写，如有必要，可以增加附页，作为投标文件的组成部分。其中，投标函附录在满足招标文件实质性要求的基础上，可以提出比招标文件要求更有利于采购人的承诺。</w:t>
      </w:r>
    </w:p>
    <w:p w14:paraId="0C9F965A">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投标文件应当对招标文件有关采购范围、质保期、交货及安装期、质量要求等实质性内容作出响应。</w:t>
      </w:r>
    </w:p>
    <w:p w14:paraId="173EA6E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投标文件全部采用电子文档，除</w:t>
      </w:r>
      <w:r>
        <w:rPr>
          <w:rFonts w:hint="eastAsia" w:ascii="宋体" w:hAnsi="宋体" w:cs="宋体"/>
          <w:sz w:val="24"/>
          <w:szCs w:val="24"/>
          <w:lang w:eastAsia="zh-CN"/>
        </w:rPr>
        <w:t>供应商</w:t>
      </w:r>
      <w:r>
        <w:rPr>
          <w:rFonts w:hint="eastAsia" w:ascii="宋体" w:hAnsi="宋体" w:eastAsia="宋体" w:cs="宋体"/>
          <w:sz w:val="24"/>
          <w:szCs w:val="24"/>
        </w:rPr>
        <w:t>须知前附表另有规定外，投标文件所附证书证件均为原件扫描件，并采用单位和个人数字证书，按招标文件要求在相应位置加盖电子印章。由</w:t>
      </w:r>
      <w:r>
        <w:rPr>
          <w:rFonts w:hint="eastAsia" w:ascii="宋体" w:hAnsi="宋体" w:cs="宋体"/>
          <w:sz w:val="24"/>
          <w:szCs w:val="24"/>
          <w:lang w:eastAsia="zh-CN"/>
        </w:rPr>
        <w:t>供应商</w:t>
      </w:r>
      <w:r>
        <w:rPr>
          <w:rFonts w:hint="eastAsia" w:ascii="宋体" w:hAnsi="宋体" w:eastAsia="宋体" w:cs="宋体"/>
          <w:sz w:val="24"/>
          <w:szCs w:val="24"/>
        </w:rPr>
        <w:t>的法定代表人（单位负责人）签字或加盖电子印章的，应附法定代表人（单位负责人）身份证明，由代理人签字或加盖电子印章的，应附由法定代表人（单位负责人）签署的授权委托书。签字或盖章的具体要求见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74A53D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3.6备选投标方案</w:t>
      </w:r>
    </w:p>
    <w:p w14:paraId="2544A5F5">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3.6.1除</w:t>
      </w:r>
      <w:r>
        <w:rPr>
          <w:rFonts w:hint="eastAsia" w:ascii="宋体" w:hAnsi="宋体" w:cs="宋体"/>
          <w:sz w:val="24"/>
          <w:szCs w:val="24"/>
          <w:lang w:eastAsia="zh-CN"/>
        </w:rPr>
        <w:t>供应商</w:t>
      </w:r>
      <w:r>
        <w:rPr>
          <w:rFonts w:hint="eastAsia" w:ascii="宋体" w:hAnsi="宋体" w:eastAsia="宋体" w:cs="宋体"/>
          <w:sz w:val="24"/>
          <w:szCs w:val="24"/>
        </w:rPr>
        <w:t>须知前附表规定允许外，</w:t>
      </w:r>
      <w:r>
        <w:rPr>
          <w:rFonts w:hint="eastAsia" w:ascii="宋体" w:hAnsi="宋体" w:cs="宋体"/>
          <w:sz w:val="24"/>
          <w:szCs w:val="24"/>
          <w:lang w:eastAsia="zh-CN"/>
        </w:rPr>
        <w:t>供应商</w:t>
      </w:r>
      <w:r>
        <w:rPr>
          <w:rFonts w:hint="eastAsia" w:ascii="宋体" w:hAnsi="宋体" w:eastAsia="宋体" w:cs="宋体"/>
          <w:sz w:val="24"/>
          <w:szCs w:val="24"/>
        </w:rPr>
        <w:t>不得递交备选投标方案，否则其投标将被否决。</w:t>
      </w:r>
    </w:p>
    <w:p w14:paraId="65D94E1A">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317" w:name="_Toc312133546"/>
      <w:bookmarkStart w:id="318" w:name="_Toc9522"/>
      <w:bookmarkStart w:id="319" w:name="_Toc9851"/>
      <w:bookmarkStart w:id="320" w:name="_Toc22263_WPSOffice_Level2"/>
      <w:bookmarkStart w:id="321" w:name="_Toc6013"/>
      <w:r>
        <w:rPr>
          <w:rFonts w:hint="eastAsia" w:ascii="宋体" w:hAnsi="宋体" w:eastAsia="宋体" w:cs="宋体"/>
          <w:sz w:val="24"/>
          <w:szCs w:val="24"/>
        </w:rPr>
        <w:t>投标</w:t>
      </w:r>
      <w:bookmarkEnd w:id="317"/>
      <w:bookmarkEnd w:id="318"/>
      <w:bookmarkEnd w:id="319"/>
      <w:bookmarkEnd w:id="320"/>
      <w:bookmarkEnd w:id="321"/>
    </w:p>
    <w:p w14:paraId="252087E9">
      <w:pPr>
        <w:pStyle w:val="4"/>
        <w:numPr>
          <w:ilvl w:val="1"/>
          <w:numId w:val="3"/>
        </w:numPr>
        <w:rPr>
          <w:rFonts w:hint="eastAsia" w:ascii="宋体" w:hAnsi="宋体" w:eastAsia="宋体" w:cs="宋体"/>
          <w:sz w:val="24"/>
          <w:szCs w:val="24"/>
        </w:rPr>
      </w:pPr>
      <w:bookmarkStart w:id="322" w:name="_Toc22690"/>
      <w:bookmarkStart w:id="323" w:name="_Toc7201"/>
      <w:bookmarkStart w:id="324" w:name="_Toc24089"/>
      <w:bookmarkStart w:id="325" w:name="_Toc11217"/>
      <w:bookmarkStart w:id="326" w:name="_Toc2541"/>
      <w:bookmarkStart w:id="327" w:name="_Toc17190"/>
      <w:bookmarkStart w:id="328" w:name="_Toc7004"/>
      <w:bookmarkStart w:id="329" w:name="_Toc15515"/>
      <w:bookmarkStart w:id="330" w:name="_Toc21081"/>
      <w:bookmarkStart w:id="331" w:name="_Toc8909"/>
      <w:bookmarkStart w:id="332" w:name="_Toc21288"/>
      <w:bookmarkStart w:id="333" w:name="_Toc12292"/>
      <w:bookmarkStart w:id="334" w:name="_Toc4336"/>
      <w:bookmarkStart w:id="335" w:name="_Toc2029"/>
      <w:bookmarkStart w:id="336" w:name="_Toc13150063"/>
      <w:r>
        <w:rPr>
          <w:rFonts w:hint="eastAsia" w:ascii="宋体" w:hAnsi="宋体" w:eastAsia="宋体" w:cs="宋体"/>
          <w:sz w:val="24"/>
          <w:szCs w:val="24"/>
        </w:rPr>
        <w:t>投标文件的密封</w:t>
      </w:r>
      <w:bookmarkEnd w:id="322"/>
      <w:bookmarkEnd w:id="323"/>
      <w:bookmarkEnd w:id="324"/>
      <w:bookmarkEnd w:id="325"/>
      <w:bookmarkEnd w:id="326"/>
      <w:bookmarkEnd w:id="327"/>
      <w:bookmarkEnd w:id="328"/>
      <w:bookmarkEnd w:id="329"/>
      <w:r>
        <w:rPr>
          <w:rFonts w:hint="eastAsia" w:ascii="宋体" w:hAnsi="宋体" w:eastAsia="宋体" w:cs="宋体"/>
          <w:sz w:val="24"/>
          <w:szCs w:val="24"/>
        </w:rPr>
        <w:t>和标记</w:t>
      </w:r>
      <w:bookmarkEnd w:id="330"/>
      <w:bookmarkEnd w:id="331"/>
      <w:bookmarkEnd w:id="332"/>
      <w:bookmarkEnd w:id="333"/>
      <w:bookmarkEnd w:id="334"/>
      <w:bookmarkEnd w:id="335"/>
      <w:bookmarkEnd w:id="336"/>
    </w:p>
    <w:p w14:paraId="2A93276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应当按照招标文件</w:t>
      </w:r>
      <w:r>
        <w:rPr>
          <w:rFonts w:hint="eastAsia" w:ascii="宋体" w:hAnsi="宋体" w:eastAsia="宋体" w:cs="宋体"/>
          <w:kern w:val="0"/>
          <w:sz w:val="24"/>
          <w:szCs w:val="24"/>
        </w:rPr>
        <w:t>和电子招标投标交易平台的要求加密投标文件，具体要求见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28C7CFE0">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本项目为电子化交易，具体要求见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 xml:space="preserve">须知前附表。 </w:t>
      </w:r>
    </w:p>
    <w:p w14:paraId="42B2A16E">
      <w:pPr>
        <w:pStyle w:val="4"/>
        <w:numPr>
          <w:ilvl w:val="1"/>
          <w:numId w:val="3"/>
        </w:numPr>
        <w:rPr>
          <w:rFonts w:hint="eastAsia" w:ascii="宋体" w:hAnsi="宋体" w:eastAsia="宋体" w:cs="宋体"/>
          <w:sz w:val="24"/>
          <w:szCs w:val="24"/>
        </w:rPr>
      </w:pPr>
      <w:bookmarkStart w:id="337" w:name="_Toc14647"/>
      <w:bookmarkStart w:id="338" w:name="_Toc19523"/>
      <w:bookmarkStart w:id="339" w:name="_Toc7202"/>
      <w:bookmarkStart w:id="340" w:name="_Toc2727"/>
      <w:bookmarkStart w:id="341" w:name="_Toc8642"/>
      <w:bookmarkStart w:id="342" w:name="_Toc28937"/>
      <w:bookmarkStart w:id="343" w:name="_Toc10448"/>
      <w:bookmarkStart w:id="344" w:name="_Toc2882"/>
      <w:bookmarkStart w:id="345" w:name="_Toc13002"/>
      <w:bookmarkStart w:id="346" w:name="_Toc11445"/>
      <w:bookmarkStart w:id="347" w:name="_Toc25206"/>
      <w:bookmarkStart w:id="348" w:name="_Toc13150064"/>
      <w:bookmarkStart w:id="349" w:name="_Toc17164"/>
      <w:bookmarkStart w:id="350" w:name="_Toc30292"/>
      <w:bookmarkStart w:id="351" w:name="_Toc17234"/>
      <w:r>
        <w:rPr>
          <w:rFonts w:hint="eastAsia" w:ascii="宋体" w:hAnsi="宋体" w:eastAsia="宋体" w:cs="宋体"/>
          <w:sz w:val="24"/>
          <w:szCs w:val="24"/>
        </w:rPr>
        <w:t>投标文件的递交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025017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在</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须知前附表规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投标截</w:t>
      </w:r>
      <w:r>
        <w:rPr>
          <w:rFonts w:hint="eastAsia" w:ascii="宋体" w:hAnsi="宋体" w:eastAsia="宋体" w:cs="宋体"/>
          <w:spacing w:val="-2"/>
          <w:kern w:val="0"/>
          <w:sz w:val="24"/>
          <w:szCs w:val="24"/>
        </w:rPr>
        <w:t>止</w:t>
      </w:r>
      <w:r>
        <w:rPr>
          <w:rFonts w:hint="eastAsia" w:ascii="宋体" w:hAnsi="宋体" w:eastAsia="宋体" w:cs="宋体"/>
          <w:kern w:val="0"/>
          <w:sz w:val="24"/>
          <w:szCs w:val="24"/>
        </w:rPr>
        <w:t>时间</w:t>
      </w:r>
      <w:r>
        <w:rPr>
          <w:rFonts w:hint="eastAsia" w:ascii="宋体" w:hAnsi="宋体" w:eastAsia="宋体" w:cs="宋体"/>
          <w:spacing w:val="-2"/>
          <w:kern w:val="0"/>
          <w:sz w:val="24"/>
          <w:szCs w:val="24"/>
        </w:rPr>
        <w:t>前</w:t>
      </w:r>
      <w:r>
        <w:rPr>
          <w:rFonts w:hint="eastAsia" w:ascii="宋体" w:hAnsi="宋体" w:eastAsia="宋体" w:cs="宋体"/>
          <w:kern w:val="0"/>
          <w:sz w:val="24"/>
          <w:szCs w:val="24"/>
        </w:rPr>
        <w:t>递</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投标文件。</w:t>
      </w:r>
    </w:p>
    <w:p w14:paraId="767A81B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递</w:t>
      </w:r>
      <w:r>
        <w:rPr>
          <w:rFonts w:hint="eastAsia" w:ascii="宋体" w:hAnsi="宋体" w:eastAsia="宋体" w:cs="宋体"/>
          <w:spacing w:val="-2"/>
          <w:kern w:val="0"/>
          <w:sz w:val="24"/>
          <w:szCs w:val="24"/>
        </w:rPr>
        <w:t>交投标文件</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地</w:t>
      </w:r>
      <w:r>
        <w:rPr>
          <w:rFonts w:hint="eastAsia" w:ascii="宋体" w:hAnsi="宋体" w:eastAsia="宋体" w:cs="宋体"/>
          <w:kern w:val="0"/>
          <w:sz w:val="24"/>
          <w:szCs w:val="24"/>
        </w:rPr>
        <w:t>点及方式</w:t>
      </w:r>
      <w:r>
        <w:rPr>
          <w:rFonts w:hint="eastAsia" w:ascii="宋体" w:hAnsi="宋体" w:eastAsia="宋体" w:cs="宋体"/>
          <w:spacing w:val="-2"/>
          <w:kern w:val="0"/>
          <w:sz w:val="24"/>
          <w:szCs w:val="24"/>
        </w:rPr>
        <w:t>：</w:t>
      </w:r>
      <w:r>
        <w:rPr>
          <w:rFonts w:hint="eastAsia" w:ascii="宋体" w:hAnsi="宋体" w:eastAsia="宋体" w:cs="宋体"/>
          <w:kern w:val="0"/>
          <w:sz w:val="24"/>
          <w:szCs w:val="24"/>
        </w:rPr>
        <w:t>见</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须知前附表</w:t>
      </w:r>
      <w:r>
        <w:rPr>
          <w:rFonts w:hint="eastAsia" w:ascii="宋体" w:hAnsi="宋体" w:eastAsia="宋体" w:cs="宋体"/>
          <w:kern w:val="0"/>
          <w:sz w:val="24"/>
          <w:szCs w:val="24"/>
        </w:rPr>
        <w:t>。</w:t>
      </w:r>
    </w:p>
    <w:p w14:paraId="2252AB33">
      <w:pPr>
        <w:numPr>
          <w:ilvl w:val="2"/>
          <w:numId w:val="3"/>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w:t>
      </w:r>
      <w:r>
        <w:rPr>
          <w:rFonts w:hint="eastAsia" w:ascii="宋体" w:hAnsi="宋体" w:cs="宋体"/>
          <w:spacing w:val="-2"/>
          <w:kern w:val="0"/>
          <w:sz w:val="24"/>
          <w:szCs w:val="24"/>
          <w:lang w:eastAsia="zh-CN"/>
        </w:rPr>
        <w:t>供应商</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cs="宋体"/>
          <w:kern w:val="0"/>
          <w:sz w:val="24"/>
          <w:szCs w:val="24"/>
          <w:lang w:eastAsia="zh-CN"/>
        </w:rPr>
        <w:t>供应商</w:t>
      </w:r>
      <w:r>
        <w:rPr>
          <w:rFonts w:hint="eastAsia" w:ascii="宋体" w:hAnsi="宋体" w:eastAsia="宋体" w:cs="宋体"/>
          <w:kern w:val="0"/>
          <w:sz w:val="24"/>
          <w:szCs w:val="24"/>
        </w:rPr>
        <w:t>所</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交的</w:t>
      </w:r>
      <w:r>
        <w:rPr>
          <w:rFonts w:hint="eastAsia" w:ascii="宋体" w:hAnsi="宋体" w:eastAsia="宋体" w:cs="宋体"/>
          <w:spacing w:val="-2"/>
          <w:kern w:val="0"/>
          <w:sz w:val="24"/>
          <w:szCs w:val="24"/>
        </w:rPr>
        <w:t>投标文件不</w:t>
      </w:r>
      <w:r>
        <w:rPr>
          <w:rFonts w:hint="eastAsia" w:ascii="宋体" w:hAnsi="宋体" w:eastAsia="宋体" w:cs="宋体"/>
          <w:kern w:val="0"/>
          <w:sz w:val="24"/>
          <w:szCs w:val="24"/>
        </w:rPr>
        <w:t>予</w:t>
      </w:r>
      <w:r>
        <w:rPr>
          <w:rFonts w:hint="eastAsia" w:ascii="宋体" w:hAnsi="宋体" w:eastAsia="宋体" w:cs="宋体"/>
          <w:spacing w:val="-2"/>
          <w:kern w:val="0"/>
          <w:sz w:val="24"/>
          <w:szCs w:val="24"/>
        </w:rPr>
        <w:t>退</w:t>
      </w:r>
      <w:r>
        <w:rPr>
          <w:rFonts w:hint="eastAsia" w:ascii="宋体" w:hAnsi="宋体" w:eastAsia="宋体" w:cs="宋体"/>
          <w:kern w:val="0"/>
          <w:sz w:val="24"/>
          <w:szCs w:val="24"/>
        </w:rPr>
        <w:t>还。</w:t>
      </w:r>
    </w:p>
    <w:p w14:paraId="6BEB6AD9">
      <w:pPr>
        <w:numPr>
          <w:ilvl w:val="2"/>
          <w:numId w:val="3"/>
        </w:numPr>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子投标文件上</w:t>
      </w:r>
      <w:r>
        <w:rPr>
          <w:rFonts w:hint="eastAsia" w:ascii="宋体" w:hAnsi="宋体" w:eastAsia="宋体" w:cs="宋体"/>
          <w:spacing w:val="-2"/>
          <w:kern w:val="0"/>
          <w:sz w:val="24"/>
          <w:szCs w:val="24"/>
        </w:rPr>
        <w:t>传</w:t>
      </w:r>
      <w:r>
        <w:rPr>
          <w:rFonts w:hint="eastAsia" w:ascii="宋体" w:hAnsi="宋体" w:eastAsia="宋体" w:cs="宋体"/>
          <w:kern w:val="0"/>
          <w:sz w:val="24"/>
          <w:szCs w:val="24"/>
        </w:rPr>
        <w:t>后</w:t>
      </w:r>
      <w:r>
        <w:rPr>
          <w:rFonts w:hint="eastAsia" w:ascii="宋体" w:hAnsi="宋体" w:eastAsia="宋体" w:cs="宋体"/>
          <w:spacing w:val="-5"/>
          <w:kern w:val="0"/>
          <w:sz w:val="24"/>
          <w:szCs w:val="24"/>
        </w:rPr>
        <w:t>，</w:t>
      </w:r>
      <w:r>
        <w:rPr>
          <w:rFonts w:hint="eastAsia" w:ascii="宋体" w:hAnsi="宋体" w:eastAsia="宋体" w:cs="宋体"/>
          <w:kern w:val="0"/>
          <w:sz w:val="24"/>
          <w:szCs w:val="24"/>
        </w:rPr>
        <w:t>电</w:t>
      </w:r>
      <w:r>
        <w:rPr>
          <w:rFonts w:hint="eastAsia" w:ascii="宋体" w:hAnsi="宋体" w:eastAsia="宋体" w:cs="宋体"/>
          <w:spacing w:val="-2"/>
          <w:kern w:val="0"/>
          <w:sz w:val="24"/>
          <w:szCs w:val="24"/>
        </w:rPr>
        <w:t>子</w:t>
      </w:r>
      <w:r>
        <w:rPr>
          <w:rFonts w:hint="eastAsia" w:ascii="宋体" w:hAnsi="宋体" w:eastAsia="宋体" w:cs="宋体"/>
          <w:kern w:val="0"/>
          <w:sz w:val="24"/>
          <w:szCs w:val="24"/>
        </w:rPr>
        <w:t>招标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w:t>
      </w:r>
      <w:r>
        <w:rPr>
          <w:rFonts w:hint="eastAsia" w:ascii="宋体" w:hAnsi="宋体" w:eastAsia="宋体" w:cs="宋体"/>
          <w:spacing w:val="-2"/>
          <w:kern w:val="0"/>
          <w:sz w:val="24"/>
          <w:szCs w:val="24"/>
        </w:rPr>
        <w:t>平</w:t>
      </w:r>
      <w:r>
        <w:rPr>
          <w:rFonts w:hint="eastAsia" w:ascii="宋体" w:hAnsi="宋体" w:eastAsia="宋体" w:cs="宋体"/>
          <w:kern w:val="0"/>
          <w:sz w:val="24"/>
          <w:szCs w:val="24"/>
        </w:rPr>
        <w:t>台</w:t>
      </w:r>
      <w:r>
        <w:rPr>
          <w:rFonts w:hint="eastAsia" w:ascii="宋体" w:hAnsi="宋体" w:eastAsia="宋体" w:cs="宋体"/>
          <w:spacing w:val="-2"/>
          <w:kern w:val="0"/>
          <w:sz w:val="24"/>
          <w:szCs w:val="24"/>
        </w:rPr>
        <w:t>即</w:t>
      </w:r>
      <w:r>
        <w:rPr>
          <w:rFonts w:hint="eastAsia" w:ascii="宋体" w:hAnsi="宋体" w:eastAsia="宋体" w:cs="宋体"/>
          <w:kern w:val="0"/>
          <w:sz w:val="24"/>
          <w:szCs w:val="24"/>
        </w:rPr>
        <w:t>时</w:t>
      </w:r>
      <w:r>
        <w:rPr>
          <w:rFonts w:hint="eastAsia" w:ascii="宋体" w:hAnsi="宋体" w:eastAsia="宋体" w:cs="宋体"/>
          <w:spacing w:val="-2"/>
          <w:kern w:val="0"/>
          <w:sz w:val="24"/>
          <w:szCs w:val="24"/>
        </w:rPr>
        <w:t>向</w:t>
      </w:r>
      <w:r>
        <w:rPr>
          <w:rFonts w:hint="eastAsia" w:ascii="宋体" w:hAnsi="宋体" w:cs="宋体"/>
          <w:kern w:val="0"/>
          <w:sz w:val="24"/>
          <w:szCs w:val="24"/>
          <w:lang w:eastAsia="zh-CN"/>
        </w:rPr>
        <w:t>供应商</w:t>
      </w:r>
      <w:r>
        <w:rPr>
          <w:rFonts w:hint="eastAsia" w:ascii="宋体" w:hAnsi="宋体" w:eastAsia="宋体" w:cs="宋体"/>
          <w:kern w:val="0"/>
          <w:sz w:val="24"/>
          <w:szCs w:val="24"/>
        </w:rPr>
        <w:t>发</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递交回</w:t>
      </w:r>
      <w:r>
        <w:rPr>
          <w:rFonts w:hint="eastAsia" w:ascii="宋体" w:hAnsi="宋体" w:eastAsia="宋体" w:cs="宋体"/>
          <w:spacing w:val="-2"/>
          <w:kern w:val="0"/>
          <w:sz w:val="24"/>
          <w:szCs w:val="24"/>
        </w:rPr>
        <w:t>执</w:t>
      </w:r>
      <w:r>
        <w:rPr>
          <w:rFonts w:hint="eastAsia" w:ascii="宋体" w:hAnsi="宋体" w:eastAsia="宋体" w:cs="宋体"/>
          <w:kern w:val="0"/>
          <w:sz w:val="24"/>
          <w:szCs w:val="24"/>
        </w:rPr>
        <w:t>通</w:t>
      </w:r>
      <w:r>
        <w:rPr>
          <w:rFonts w:hint="eastAsia" w:ascii="宋体" w:hAnsi="宋体" w:eastAsia="宋体" w:cs="宋体"/>
          <w:spacing w:val="-3"/>
          <w:kern w:val="0"/>
          <w:sz w:val="24"/>
          <w:szCs w:val="24"/>
        </w:rPr>
        <w:t>知</w:t>
      </w:r>
      <w:r>
        <w:rPr>
          <w:rFonts w:hint="eastAsia" w:ascii="宋体" w:hAnsi="宋体" w:eastAsia="宋体" w:cs="宋体"/>
          <w:kern w:val="0"/>
          <w:sz w:val="24"/>
          <w:szCs w:val="24"/>
        </w:rPr>
        <w:t>。</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递交</w:t>
      </w:r>
      <w:r>
        <w:rPr>
          <w:rFonts w:hint="eastAsia" w:ascii="宋体" w:hAnsi="宋体" w:eastAsia="宋体" w:cs="宋体"/>
          <w:spacing w:val="-2"/>
          <w:kern w:val="0"/>
          <w:sz w:val="24"/>
          <w:szCs w:val="24"/>
        </w:rPr>
        <w:t>回</w:t>
      </w:r>
      <w:r>
        <w:rPr>
          <w:rFonts w:hint="eastAsia" w:ascii="宋体" w:hAnsi="宋体" w:eastAsia="宋体" w:cs="宋体"/>
          <w:kern w:val="0"/>
          <w:sz w:val="24"/>
          <w:szCs w:val="24"/>
        </w:rPr>
        <w:t>执</w:t>
      </w:r>
      <w:r>
        <w:rPr>
          <w:rFonts w:hint="eastAsia" w:ascii="宋体" w:hAnsi="宋体" w:eastAsia="宋体" w:cs="宋体"/>
          <w:spacing w:val="-2"/>
          <w:kern w:val="0"/>
          <w:sz w:val="24"/>
          <w:szCs w:val="24"/>
        </w:rPr>
        <w:t>通</w:t>
      </w:r>
      <w:r>
        <w:rPr>
          <w:rFonts w:hint="eastAsia" w:ascii="宋体" w:hAnsi="宋体" w:eastAsia="宋体" w:cs="宋体"/>
          <w:kern w:val="0"/>
          <w:sz w:val="24"/>
          <w:szCs w:val="24"/>
        </w:rPr>
        <w:t>知</w:t>
      </w:r>
      <w:r>
        <w:rPr>
          <w:rFonts w:hint="eastAsia" w:ascii="宋体" w:hAnsi="宋体" w:eastAsia="宋体" w:cs="宋体"/>
          <w:spacing w:val="-2"/>
          <w:kern w:val="0"/>
          <w:sz w:val="24"/>
          <w:szCs w:val="24"/>
        </w:rPr>
        <w:t>载</w:t>
      </w:r>
      <w:r>
        <w:rPr>
          <w:rFonts w:hint="eastAsia" w:ascii="宋体" w:hAnsi="宋体" w:eastAsia="宋体" w:cs="宋体"/>
          <w:kern w:val="0"/>
          <w:sz w:val="24"/>
          <w:szCs w:val="24"/>
        </w:rPr>
        <w:t>明</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传</w:t>
      </w:r>
      <w:r>
        <w:rPr>
          <w:rFonts w:hint="eastAsia" w:ascii="宋体" w:hAnsi="宋体" w:eastAsia="宋体" w:cs="宋体"/>
          <w:spacing w:val="-2"/>
          <w:kern w:val="0"/>
          <w:sz w:val="24"/>
          <w:szCs w:val="24"/>
        </w:rPr>
        <w:t>输</w:t>
      </w:r>
      <w:r>
        <w:rPr>
          <w:rFonts w:hint="eastAsia" w:ascii="宋体" w:hAnsi="宋体" w:eastAsia="宋体" w:cs="宋体"/>
          <w:kern w:val="0"/>
          <w:sz w:val="24"/>
          <w:szCs w:val="24"/>
        </w:rPr>
        <w:t>完成</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准。</w:t>
      </w:r>
    </w:p>
    <w:p w14:paraId="092BD4E7">
      <w:pPr>
        <w:numPr>
          <w:ilvl w:val="2"/>
          <w:numId w:val="3"/>
        </w:numPr>
        <w:spacing w:line="360" w:lineRule="auto"/>
        <w:ind w:firstLine="472" w:firstLineChars="200"/>
        <w:rPr>
          <w:rFonts w:hint="eastAsia" w:ascii="宋体" w:hAnsi="宋体" w:eastAsia="宋体" w:cs="宋体"/>
          <w:kern w:val="0"/>
          <w:sz w:val="24"/>
          <w:szCs w:val="24"/>
        </w:rPr>
      </w:pPr>
      <w:r>
        <w:rPr>
          <w:rFonts w:hint="eastAsia" w:ascii="宋体" w:hAnsi="宋体" w:eastAsia="宋体" w:cs="宋体"/>
          <w:spacing w:val="-2"/>
          <w:kern w:val="0"/>
          <w:sz w:val="24"/>
          <w:szCs w:val="24"/>
        </w:rPr>
        <w:t>逾</w:t>
      </w:r>
      <w:r>
        <w:rPr>
          <w:rFonts w:hint="eastAsia" w:ascii="宋体" w:hAnsi="宋体" w:eastAsia="宋体" w:cs="宋体"/>
          <w:kern w:val="0"/>
          <w:sz w:val="24"/>
          <w:szCs w:val="24"/>
        </w:rPr>
        <w:t>期</w:t>
      </w:r>
      <w:r>
        <w:rPr>
          <w:rFonts w:hint="eastAsia" w:ascii="宋体" w:hAnsi="宋体" w:eastAsia="宋体" w:cs="宋体"/>
          <w:spacing w:val="-2"/>
          <w:kern w:val="0"/>
          <w:sz w:val="24"/>
          <w:szCs w:val="24"/>
        </w:rPr>
        <w:t>送</w:t>
      </w:r>
      <w:r>
        <w:rPr>
          <w:rFonts w:hint="eastAsia" w:ascii="宋体" w:hAnsi="宋体" w:eastAsia="宋体" w:cs="宋体"/>
          <w:kern w:val="0"/>
          <w:sz w:val="24"/>
          <w:szCs w:val="24"/>
        </w:rPr>
        <w:t>达</w:t>
      </w:r>
      <w:r>
        <w:rPr>
          <w:rFonts w:hint="eastAsia" w:ascii="宋体" w:hAnsi="宋体" w:eastAsia="宋体" w:cs="宋体"/>
          <w:spacing w:val="-2"/>
          <w:kern w:val="0"/>
          <w:sz w:val="24"/>
          <w:szCs w:val="24"/>
        </w:rPr>
        <w:t>的投标文件</w:t>
      </w:r>
      <w:r>
        <w:rPr>
          <w:rFonts w:hint="eastAsia" w:ascii="宋体" w:hAnsi="宋体" w:eastAsia="宋体" w:cs="宋体"/>
          <w:kern w:val="0"/>
          <w:sz w:val="24"/>
          <w:szCs w:val="24"/>
        </w:rPr>
        <w:t>，</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w:t>
      </w:r>
      <w:r>
        <w:rPr>
          <w:rFonts w:hint="eastAsia" w:ascii="宋体" w:hAnsi="宋体" w:eastAsia="宋体" w:cs="宋体"/>
          <w:spacing w:val="-2"/>
          <w:kern w:val="0"/>
          <w:sz w:val="24"/>
          <w:szCs w:val="24"/>
        </w:rPr>
        <w:t>招</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易平</w:t>
      </w:r>
      <w:r>
        <w:rPr>
          <w:rFonts w:hint="eastAsia" w:ascii="宋体" w:hAnsi="宋体" w:eastAsia="宋体" w:cs="宋体"/>
          <w:spacing w:val="-2"/>
          <w:kern w:val="0"/>
          <w:sz w:val="24"/>
          <w:szCs w:val="24"/>
        </w:rPr>
        <w:t>台</w:t>
      </w:r>
      <w:r>
        <w:rPr>
          <w:rFonts w:hint="eastAsia" w:ascii="宋体" w:hAnsi="宋体" w:eastAsia="宋体" w:cs="宋体"/>
          <w:kern w:val="0"/>
          <w:sz w:val="24"/>
          <w:szCs w:val="24"/>
        </w:rPr>
        <w:t>将</w:t>
      </w:r>
      <w:r>
        <w:rPr>
          <w:rFonts w:hint="eastAsia" w:ascii="宋体" w:hAnsi="宋体" w:eastAsia="宋体" w:cs="宋体"/>
          <w:spacing w:val="-2"/>
          <w:kern w:val="0"/>
          <w:sz w:val="24"/>
          <w:szCs w:val="24"/>
        </w:rPr>
        <w:t>予</w:t>
      </w:r>
      <w:r>
        <w:rPr>
          <w:rFonts w:hint="eastAsia" w:ascii="宋体" w:hAnsi="宋体" w:eastAsia="宋体" w:cs="宋体"/>
          <w:kern w:val="0"/>
          <w:sz w:val="24"/>
          <w:szCs w:val="24"/>
        </w:rPr>
        <w:t>以</w:t>
      </w:r>
      <w:r>
        <w:rPr>
          <w:rFonts w:hint="eastAsia" w:ascii="宋体" w:hAnsi="宋体" w:eastAsia="宋体" w:cs="宋体"/>
          <w:spacing w:val="-2"/>
          <w:kern w:val="0"/>
          <w:sz w:val="24"/>
          <w:szCs w:val="24"/>
        </w:rPr>
        <w:t>拒</w:t>
      </w:r>
      <w:r>
        <w:rPr>
          <w:rFonts w:hint="eastAsia" w:ascii="宋体" w:hAnsi="宋体" w:eastAsia="宋体" w:cs="宋体"/>
          <w:kern w:val="0"/>
          <w:sz w:val="24"/>
          <w:szCs w:val="24"/>
        </w:rPr>
        <w:t>收。</w:t>
      </w:r>
    </w:p>
    <w:p w14:paraId="0C87C65F">
      <w:pPr>
        <w:pStyle w:val="4"/>
        <w:numPr>
          <w:ilvl w:val="1"/>
          <w:numId w:val="3"/>
        </w:numPr>
        <w:rPr>
          <w:rFonts w:hint="eastAsia" w:ascii="宋体" w:hAnsi="宋体" w:eastAsia="宋体" w:cs="宋体"/>
          <w:sz w:val="24"/>
          <w:szCs w:val="24"/>
        </w:rPr>
      </w:pPr>
      <w:bookmarkStart w:id="352" w:name="_Toc30004"/>
      <w:bookmarkStart w:id="353" w:name="_Toc13609"/>
      <w:bookmarkStart w:id="354" w:name="_Toc3471"/>
      <w:bookmarkStart w:id="355" w:name="_Toc19554"/>
      <w:bookmarkStart w:id="356" w:name="_Toc13150065"/>
      <w:bookmarkStart w:id="357" w:name="_Toc32713"/>
      <w:bookmarkStart w:id="358" w:name="_Toc31018"/>
      <w:bookmarkStart w:id="359" w:name="_Toc21650"/>
      <w:bookmarkStart w:id="360" w:name="_Toc23125"/>
      <w:bookmarkStart w:id="361" w:name="_Toc1408"/>
      <w:bookmarkStart w:id="362" w:name="_Toc7423"/>
      <w:bookmarkStart w:id="363" w:name="_Toc4271"/>
      <w:bookmarkStart w:id="364" w:name="_Toc32365"/>
      <w:bookmarkStart w:id="365" w:name="_Toc22212"/>
      <w:bookmarkStart w:id="366" w:name="_Toc6900"/>
      <w:r>
        <w:rPr>
          <w:rFonts w:hint="eastAsia" w:ascii="宋体" w:hAnsi="宋体" w:eastAsia="宋体" w:cs="宋体"/>
          <w:sz w:val="24"/>
          <w:szCs w:val="24"/>
        </w:rPr>
        <w:t>投标文件的修改和撤回</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C9959E6">
      <w:pPr>
        <w:numPr>
          <w:ilvl w:val="2"/>
          <w:numId w:val="3"/>
        </w:numPr>
        <w:spacing w:line="360" w:lineRule="auto"/>
        <w:ind w:firstLine="480" w:firstLineChars="200"/>
        <w:rPr>
          <w:rFonts w:hint="eastAsia" w:ascii="宋体" w:hAnsi="宋体" w:eastAsia="宋体" w:cs="宋体"/>
          <w:kern w:val="0"/>
          <w:sz w:val="24"/>
          <w:szCs w:val="24"/>
        </w:rPr>
      </w:pPr>
      <w:bookmarkStart w:id="367" w:name="_Toc312133547"/>
      <w:r>
        <w:rPr>
          <w:rFonts w:hint="eastAsia" w:ascii="宋体" w:hAnsi="宋体" w:eastAsia="宋体" w:cs="宋体"/>
          <w:kern w:val="0"/>
          <w:sz w:val="24"/>
          <w:szCs w:val="24"/>
        </w:rPr>
        <w:t>在本章第4.2.1项规定的递交首次投标文件截止时间前，</w:t>
      </w:r>
      <w:r>
        <w:rPr>
          <w:rFonts w:hint="eastAsia" w:ascii="宋体" w:hAnsi="宋体" w:cs="宋体"/>
          <w:kern w:val="0"/>
          <w:sz w:val="24"/>
          <w:szCs w:val="24"/>
          <w:lang w:eastAsia="zh-CN"/>
        </w:rPr>
        <w:t>供应商</w:t>
      </w:r>
      <w:r>
        <w:rPr>
          <w:rFonts w:hint="eastAsia" w:ascii="宋体" w:hAnsi="宋体" w:eastAsia="宋体" w:cs="宋体"/>
          <w:kern w:val="0"/>
          <w:sz w:val="24"/>
          <w:szCs w:val="24"/>
        </w:rPr>
        <w:t>可以补充、修改或撤回已递交的投标文件。</w:t>
      </w:r>
    </w:p>
    <w:p w14:paraId="24B5B086">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368" w:name="_Toc16995"/>
      <w:bookmarkStart w:id="369" w:name="_Toc5555"/>
      <w:bookmarkStart w:id="370" w:name="_Toc8337_WPSOffice_Level2"/>
      <w:bookmarkStart w:id="371" w:name="_Toc21872"/>
      <w:r>
        <w:rPr>
          <w:rFonts w:hint="eastAsia" w:ascii="宋体" w:hAnsi="宋体" w:eastAsia="宋体" w:cs="宋体"/>
          <w:sz w:val="24"/>
          <w:szCs w:val="24"/>
        </w:rPr>
        <w:t>开标、资格审查与评标</w:t>
      </w:r>
      <w:bookmarkEnd w:id="367"/>
      <w:bookmarkEnd w:id="368"/>
      <w:bookmarkEnd w:id="369"/>
      <w:bookmarkEnd w:id="370"/>
      <w:bookmarkEnd w:id="371"/>
    </w:p>
    <w:p w14:paraId="50FDAF8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采购代理机构在</w:t>
      </w:r>
      <w:r>
        <w:rPr>
          <w:rFonts w:hint="eastAsia" w:ascii="宋体" w:hAnsi="宋体" w:cs="宋体"/>
          <w:sz w:val="24"/>
          <w:szCs w:val="24"/>
          <w:lang w:eastAsia="zh-CN"/>
        </w:rPr>
        <w:t>供应商</w:t>
      </w:r>
      <w:r>
        <w:rPr>
          <w:rFonts w:hint="eastAsia" w:ascii="宋体" w:hAnsi="宋体" w:eastAsia="宋体" w:cs="宋体"/>
          <w:sz w:val="24"/>
          <w:szCs w:val="24"/>
        </w:rPr>
        <w:t>须知前附表中规定的时间和地点组织开标。</w:t>
      </w:r>
      <w:r>
        <w:rPr>
          <w:rFonts w:hint="eastAsia" w:ascii="宋体" w:hAnsi="宋体" w:cs="宋体"/>
          <w:sz w:val="24"/>
          <w:szCs w:val="24"/>
          <w:lang w:eastAsia="zh-CN"/>
        </w:rPr>
        <w:t>供应商</w:t>
      </w:r>
      <w:r>
        <w:rPr>
          <w:rFonts w:hint="eastAsia" w:ascii="宋体" w:hAnsi="宋体" w:eastAsia="宋体" w:cs="宋体"/>
          <w:sz w:val="24"/>
          <w:szCs w:val="24"/>
        </w:rPr>
        <w:t>不足3家的，不得开标。开标由采购人或者采购代理机构主持。</w:t>
      </w:r>
    </w:p>
    <w:p w14:paraId="45F59E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6D7DF91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代表对开标过程和开标记录有疑义的，应当在开标现场通过电话提出，采购人当场作出答复，并制作记录。</w:t>
      </w:r>
    </w:p>
    <w:p w14:paraId="4D1F5FEC">
      <w:pPr>
        <w:pStyle w:val="4"/>
        <w:numPr>
          <w:ilvl w:val="1"/>
          <w:numId w:val="3"/>
        </w:numPr>
        <w:rPr>
          <w:rFonts w:hint="eastAsia" w:ascii="宋体" w:hAnsi="宋体" w:eastAsia="宋体" w:cs="宋体"/>
          <w:sz w:val="24"/>
          <w:szCs w:val="24"/>
        </w:rPr>
      </w:pPr>
      <w:bookmarkStart w:id="372" w:name="_Toc3913"/>
      <w:bookmarkStart w:id="373" w:name="_Toc29955"/>
      <w:bookmarkStart w:id="374" w:name="_Toc13150068"/>
      <w:bookmarkStart w:id="375" w:name="_Toc5716"/>
      <w:bookmarkStart w:id="376" w:name="_Toc7616"/>
      <w:bookmarkStart w:id="377" w:name="_Toc5363"/>
      <w:bookmarkStart w:id="378" w:name="_Toc18862"/>
      <w:bookmarkStart w:id="379" w:name="_Toc24277"/>
      <w:bookmarkStart w:id="380" w:name="_Toc1972"/>
      <w:bookmarkStart w:id="381" w:name="_Toc15735"/>
      <w:bookmarkStart w:id="382" w:name="_Toc32207"/>
      <w:bookmarkStart w:id="383" w:name="_Toc29315"/>
      <w:bookmarkStart w:id="384" w:name="_Toc11192"/>
      <w:bookmarkStart w:id="385" w:name="_Toc29637"/>
      <w:bookmarkStart w:id="386" w:name="_Toc22131"/>
      <w:r>
        <w:rPr>
          <w:rFonts w:hint="eastAsia" w:ascii="宋体" w:hAnsi="宋体" w:eastAsia="宋体" w:cs="宋体"/>
          <w:sz w:val="24"/>
          <w:szCs w:val="24"/>
        </w:rPr>
        <w:t>资格审查</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74485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5.2.1开标结束后，</w:t>
      </w:r>
      <w:r>
        <w:rPr>
          <w:rFonts w:hint="eastAsia" w:ascii="宋体" w:hAnsi="宋体" w:cs="宋体"/>
          <w:sz w:val="24"/>
          <w:szCs w:val="24"/>
          <w:lang w:val="en-US" w:eastAsia="zh-CN"/>
        </w:rPr>
        <w:t>招标人</w:t>
      </w:r>
      <w:r>
        <w:rPr>
          <w:rFonts w:hint="eastAsia" w:ascii="宋体" w:hAnsi="宋体" w:eastAsia="宋体" w:cs="宋体"/>
          <w:sz w:val="24"/>
          <w:szCs w:val="24"/>
        </w:rPr>
        <w:t>依法对</w:t>
      </w:r>
      <w:r>
        <w:rPr>
          <w:rFonts w:hint="eastAsia" w:ascii="宋体" w:hAnsi="宋体" w:cs="宋体"/>
          <w:sz w:val="24"/>
          <w:szCs w:val="24"/>
          <w:lang w:eastAsia="zh-CN"/>
        </w:rPr>
        <w:t>供应商</w:t>
      </w:r>
      <w:r>
        <w:rPr>
          <w:rFonts w:hint="eastAsia" w:ascii="宋体" w:hAnsi="宋体" w:eastAsia="宋体" w:cs="宋体"/>
          <w:sz w:val="24"/>
          <w:szCs w:val="24"/>
        </w:rPr>
        <w:t>的资格进行审查。</w:t>
      </w:r>
      <w:r>
        <w:rPr>
          <w:rFonts w:hint="eastAsia" w:ascii="宋体" w:hAnsi="宋体" w:cs="宋体"/>
          <w:sz w:val="24"/>
          <w:szCs w:val="24"/>
          <w:lang w:eastAsia="zh-CN"/>
        </w:rPr>
        <w:t>供应商</w:t>
      </w:r>
      <w:r>
        <w:rPr>
          <w:rFonts w:hint="eastAsia" w:ascii="宋体" w:hAnsi="宋体" w:eastAsia="宋体" w:cs="宋体"/>
          <w:sz w:val="24"/>
          <w:szCs w:val="24"/>
        </w:rPr>
        <w:t>应按第四章评分办法资格评审标准及前附表中的要求提供资格审查资料。合格的</w:t>
      </w:r>
      <w:r>
        <w:rPr>
          <w:rFonts w:hint="eastAsia" w:ascii="宋体" w:hAnsi="宋体" w:cs="宋体"/>
          <w:sz w:val="24"/>
          <w:szCs w:val="24"/>
          <w:lang w:eastAsia="zh-CN"/>
        </w:rPr>
        <w:t>供应商</w:t>
      </w:r>
      <w:r>
        <w:rPr>
          <w:rFonts w:hint="eastAsia" w:ascii="宋体" w:hAnsi="宋体" w:eastAsia="宋体" w:cs="宋体"/>
          <w:sz w:val="24"/>
          <w:szCs w:val="24"/>
        </w:rPr>
        <w:t>不足3家的，不得评标。</w:t>
      </w:r>
    </w:p>
    <w:p w14:paraId="705207F0">
      <w:pPr>
        <w:pStyle w:val="4"/>
        <w:numPr>
          <w:ilvl w:val="1"/>
          <w:numId w:val="3"/>
        </w:numPr>
        <w:rPr>
          <w:rFonts w:hint="eastAsia" w:ascii="宋体" w:hAnsi="宋体" w:eastAsia="宋体" w:cs="宋体"/>
          <w:sz w:val="24"/>
          <w:szCs w:val="24"/>
        </w:rPr>
      </w:pPr>
      <w:bookmarkStart w:id="387" w:name="_Toc31474"/>
      <w:bookmarkStart w:id="388" w:name="_Toc611"/>
      <w:bookmarkStart w:id="389" w:name="_Toc13150069"/>
      <w:bookmarkStart w:id="390" w:name="_Toc16143"/>
      <w:bookmarkStart w:id="391" w:name="_Toc4884"/>
      <w:bookmarkStart w:id="392" w:name="_Toc32305"/>
      <w:bookmarkStart w:id="393" w:name="_Toc22182"/>
      <w:bookmarkStart w:id="394" w:name="_Toc25889"/>
      <w:bookmarkStart w:id="395" w:name="_Toc19513"/>
      <w:bookmarkStart w:id="396" w:name="_Toc21027"/>
      <w:bookmarkStart w:id="397" w:name="_Toc2042"/>
      <w:bookmarkStart w:id="398" w:name="_Toc12598"/>
      <w:bookmarkStart w:id="399" w:name="_Toc16180"/>
      <w:bookmarkStart w:id="400" w:name="_Toc26746"/>
      <w:bookmarkStart w:id="401" w:name="_Toc10528"/>
      <w:r>
        <w:rPr>
          <w:rFonts w:hint="eastAsia" w:ascii="宋体" w:hAnsi="宋体" w:eastAsia="宋体" w:cs="宋体"/>
          <w:sz w:val="24"/>
          <w:szCs w:val="24"/>
        </w:rPr>
        <w:t>评标工作</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D5F9D4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w:t>
      </w:r>
    </w:p>
    <w:p w14:paraId="4FCFCB82">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评标工作由采购人依法组建的评标委员会负责，对所有</w:t>
      </w:r>
      <w:r>
        <w:rPr>
          <w:rFonts w:hint="eastAsia" w:ascii="宋体" w:hAnsi="宋体" w:cs="宋体"/>
          <w:kern w:val="0"/>
          <w:sz w:val="24"/>
          <w:szCs w:val="24"/>
          <w:lang w:eastAsia="zh-CN"/>
        </w:rPr>
        <w:t>供应商</w:t>
      </w:r>
      <w:r>
        <w:rPr>
          <w:rFonts w:hint="eastAsia" w:ascii="宋体" w:hAnsi="宋体" w:eastAsia="宋体" w:cs="宋体"/>
          <w:kern w:val="0"/>
          <w:sz w:val="24"/>
          <w:szCs w:val="24"/>
        </w:rPr>
        <w:t>的投标文件进行审评，并按评标办法规定的方式推荐出</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须知前附表中载明数量的中标候选人。</w:t>
      </w:r>
    </w:p>
    <w:p w14:paraId="43B07D3A">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评标委员会构成：5人，其中采购单位代表1人，专家经济及技术共 4人；评标专家确定方式：</w:t>
      </w:r>
      <w:r>
        <w:rPr>
          <w:rFonts w:hint="eastAsia" w:ascii="宋体" w:hAnsi="宋体" w:eastAsia="宋体" w:cs="宋体"/>
          <w:kern w:val="0"/>
          <w:sz w:val="24"/>
          <w:szCs w:val="24"/>
          <w:lang w:eastAsia="zh-CN"/>
        </w:rPr>
        <w:t>从河南省电子化政府采购系统评标专家库中随机抽取。</w:t>
      </w:r>
    </w:p>
    <w:p w14:paraId="7B5301DF">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对本单位的采购项目只能作为采购人代表参与评标，对技术复杂、专业性强的采购项目，通过随机方式难以确定合适评审专家的情形除外。</w:t>
      </w:r>
    </w:p>
    <w:p w14:paraId="4A84FE44">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采购代理机构工作人员不得参加由本机构代理的政府采购项目的评标。</w:t>
      </w:r>
    </w:p>
    <w:p w14:paraId="42731B7A">
      <w:pPr>
        <w:numPr>
          <w:ilvl w:val="0"/>
          <w:numId w:val="9"/>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成员名单在评标结果公告前应当保密。</w:t>
      </w:r>
    </w:p>
    <w:p w14:paraId="4129478E">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评标委员会及其成员不得有下列行为：</w:t>
      </w:r>
    </w:p>
    <w:p w14:paraId="03A6E8E4">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确定参与评标至评标结束前私自接触</w:t>
      </w:r>
      <w:r>
        <w:rPr>
          <w:rFonts w:hint="eastAsia" w:ascii="宋体" w:hAnsi="宋体" w:cs="宋体"/>
          <w:kern w:val="0"/>
          <w:sz w:val="24"/>
          <w:szCs w:val="24"/>
          <w:lang w:eastAsia="zh-CN"/>
        </w:rPr>
        <w:t>供应商</w:t>
      </w:r>
      <w:r>
        <w:rPr>
          <w:rFonts w:hint="eastAsia" w:ascii="宋体" w:hAnsi="宋体" w:eastAsia="宋体" w:cs="宋体"/>
          <w:kern w:val="0"/>
          <w:sz w:val="24"/>
          <w:szCs w:val="24"/>
        </w:rPr>
        <w:t>；</w:t>
      </w:r>
    </w:p>
    <w:p w14:paraId="750B51CC">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接受</w:t>
      </w:r>
      <w:r>
        <w:rPr>
          <w:rFonts w:hint="eastAsia" w:ascii="宋体" w:hAnsi="宋体" w:cs="宋体"/>
          <w:kern w:val="0"/>
          <w:sz w:val="24"/>
          <w:szCs w:val="24"/>
          <w:lang w:eastAsia="zh-CN"/>
        </w:rPr>
        <w:t>供应商</w:t>
      </w:r>
      <w:r>
        <w:rPr>
          <w:rFonts w:hint="eastAsia" w:ascii="宋体" w:hAnsi="宋体" w:eastAsia="宋体" w:cs="宋体"/>
          <w:kern w:val="0"/>
          <w:sz w:val="24"/>
          <w:szCs w:val="24"/>
        </w:rPr>
        <w:t>提出的与投标文件不一致的澄清或者说明（对于投标文件中含义不明确、同类问题表述不一致或者有明显文字和计算错误的内容，</w:t>
      </w:r>
      <w:r>
        <w:rPr>
          <w:rFonts w:hint="eastAsia" w:ascii="宋体" w:hAnsi="宋体" w:eastAsia="宋体" w:cs="宋体"/>
          <w:sz w:val="24"/>
          <w:szCs w:val="24"/>
        </w:rPr>
        <w:t>评标委员会</w:t>
      </w:r>
      <w:r>
        <w:rPr>
          <w:rFonts w:hint="eastAsia" w:ascii="宋体" w:hAnsi="宋体" w:eastAsia="宋体" w:cs="宋体"/>
          <w:kern w:val="0"/>
          <w:sz w:val="24"/>
          <w:szCs w:val="24"/>
        </w:rPr>
        <w:t>以书面形式要求</w:t>
      </w:r>
      <w:r>
        <w:rPr>
          <w:rFonts w:hint="eastAsia" w:ascii="宋体" w:hAnsi="宋体" w:cs="宋体"/>
          <w:kern w:val="0"/>
          <w:sz w:val="24"/>
          <w:szCs w:val="24"/>
          <w:lang w:eastAsia="zh-CN"/>
        </w:rPr>
        <w:t>供应商</w:t>
      </w:r>
      <w:r>
        <w:rPr>
          <w:rFonts w:hint="eastAsia" w:ascii="宋体" w:hAnsi="宋体" w:eastAsia="宋体" w:cs="宋体"/>
          <w:kern w:val="0"/>
          <w:sz w:val="24"/>
          <w:szCs w:val="24"/>
        </w:rPr>
        <w:t>作出必要的澄清、说明或者补正的除外）；</w:t>
      </w:r>
    </w:p>
    <w:p w14:paraId="0718D6C7">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违反评标纪律发表倾向性意见或者征询采购人的倾向性意见；</w:t>
      </w:r>
    </w:p>
    <w:p w14:paraId="066E9F07">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对需要专业判断的主观评审因素协商评分；</w:t>
      </w:r>
    </w:p>
    <w:p w14:paraId="764BFF57">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在评标过程中擅离职守，影响评标程序正常进行的；</w:t>
      </w:r>
    </w:p>
    <w:p w14:paraId="3B522FDA">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记录、复制或者带走任何评标资料；</w:t>
      </w:r>
    </w:p>
    <w:p w14:paraId="7C27CA9F">
      <w:pPr>
        <w:numPr>
          <w:ilvl w:val="0"/>
          <w:numId w:val="10"/>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其他不遵守评标纪律的行为。</w:t>
      </w:r>
    </w:p>
    <w:p w14:paraId="28E6E02E">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评标委员会成员有本章第5.3.2项第（1）至（5）目行为之一的，其评审意见无效，并不得获取评审劳务报酬和报销异地评审差旅费。</w:t>
      </w:r>
    </w:p>
    <w:p w14:paraId="3B7F7CC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14:paraId="3EDD10D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评标方法</w:t>
      </w:r>
    </w:p>
    <w:p w14:paraId="54DA2EEF">
      <w:pPr>
        <w:numPr>
          <w:ilvl w:val="0"/>
          <w:numId w:val="11"/>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按照第四章评标办法规定的方法、评审因素、标准和程序对投标文件进行评审。第四章评标办法没有规定的方法、评审因素和标准，不作为评标依据。</w:t>
      </w:r>
    </w:p>
    <w:p w14:paraId="5F164576">
      <w:pPr>
        <w:numPr>
          <w:ilvl w:val="0"/>
          <w:numId w:val="11"/>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评标完成后，</w:t>
      </w:r>
      <w:r>
        <w:rPr>
          <w:rFonts w:hint="eastAsia" w:ascii="宋体" w:hAnsi="宋体" w:eastAsia="宋体" w:cs="宋体"/>
          <w:sz w:val="24"/>
          <w:szCs w:val="24"/>
        </w:rPr>
        <w:t>评标委员会</w:t>
      </w:r>
      <w:r>
        <w:rPr>
          <w:rFonts w:hint="eastAsia" w:ascii="宋体" w:hAnsi="宋体" w:eastAsia="宋体" w:cs="宋体"/>
          <w:kern w:val="0"/>
          <w:sz w:val="24"/>
          <w:szCs w:val="24"/>
        </w:rPr>
        <w:t>应当向采购人提交书面评标报告和中标候选人名单。</w:t>
      </w:r>
      <w:r>
        <w:rPr>
          <w:rFonts w:hint="eastAsia" w:ascii="宋体" w:hAnsi="宋体" w:eastAsia="宋体" w:cs="宋体"/>
          <w:sz w:val="24"/>
          <w:szCs w:val="24"/>
        </w:rPr>
        <w:t>评标委员会</w:t>
      </w:r>
      <w:r>
        <w:rPr>
          <w:rFonts w:hint="eastAsia" w:ascii="宋体" w:hAnsi="宋体" w:eastAsia="宋体" w:cs="宋体"/>
          <w:kern w:val="0"/>
          <w:sz w:val="24"/>
          <w:szCs w:val="24"/>
        </w:rPr>
        <w:t>推荐中标候选人的人数见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03F33771">
      <w:pPr>
        <w:pStyle w:val="4"/>
        <w:numPr>
          <w:ilvl w:val="1"/>
          <w:numId w:val="3"/>
        </w:numPr>
        <w:rPr>
          <w:rFonts w:hint="eastAsia" w:ascii="宋体" w:hAnsi="宋体" w:eastAsia="宋体" w:cs="宋体"/>
          <w:sz w:val="24"/>
          <w:szCs w:val="24"/>
        </w:rPr>
      </w:pPr>
      <w:bookmarkStart w:id="402" w:name="_Toc886"/>
      <w:bookmarkStart w:id="403" w:name="_Toc13150070"/>
      <w:bookmarkStart w:id="404" w:name="_Toc25530"/>
      <w:bookmarkStart w:id="405" w:name="_Toc608"/>
      <w:bookmarkStart w:id="406" w:name="_Toc5813"/>
      <w:bookmarkStart w:id="407" w:name="_Toc27962"/>
      <w:bookmarkStart w:id="408" w:name="_Toc13138"/>
      <w:bookmarkStart w:id="409" w:name="_Toc28834"/>
      <w:bookmarkStart w:id="410" w:name="_Toc12131"/>
      <w:bookmarkStart w:id="411" w:name="_Toc18846"/>
      <w:bookmarkStart w:id="412" w:name="_Toc7396"/>
      <w:bookmarkStart w:id="413" w:name="_Toc25755"/>
      <w:bookmarkStart w:id="414" w:name="_Toc10927"/>
      <w:bookmarkStart w:id="415" w:name="_Toc12609"/>
      <w:bookmarkStart w:id="416" w:name="_Toc9518"/>
      <w:r>
        <w:rPr>
          <w:rFonts w:hint="eastAsia" w:ascii="宋体" w:hAnsi="宋体" w:eastAsia="宋体" w:cs="宋体"/>
          <w:sz w:val="24"/>
          <w:szCs w:val="24"/>
        </w:rPr>
        <w:t>保密及其它注意事项</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C947978">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评标是招标工作的重要环节，评标工作在评标委员会内独立进行。</w:t>
      </w:r>
    </w:p>
    <w:p w14:paraId="2BB2429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评标委员会将遵照规定的评标方法，公正、平等地对待所有</w:t>
      </w:r>
      <w:r>
        <w:rPr>
          <w:rFonts w:hint="eastAsia" w:ascii="宋体" w:hAnsi="宋体" w:cs="宋体"/>
          <w:sz w:val="24"/>
          <w:szCs w:val="24"/>
          <w:lang w:eastAsia="zh-CN"/>
        </w:rPr>
        <w:t>供应商</w:t>
      </w:r>
      <w:r>
        <w:rPr>
          <w:rFonts w:hint="eastAsia" w:ascii="宋体" w:hAnsi="宋体" w:eastAsia="宋体" w:cs="宋体"/>
          <w:sz w:val="24"/>
          <w:szCs w:val="24"/>
        </w:rPr>
        <w:t>。</w:t>
      </w:r>
    </w:p>
    <w:p w14:paraId="3CE6998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在开标、评标期间，</w:t>
      </w:r>
      <w:r>
        <w:rPr>
          <w:rFonts w:hint="eastAsia" w:ascii="宋体" w:hAnsi="宋体" w:cs="宋体"/>
          <w:sz w:val="24"/>
          <w:szCs w:val="24"/>
          <w:lang w:eastAsia="zh-CN"/>
        </w:rPr>
        <w:t>供应商</w:t>
      </w:r>
      <w:r>
        <w:rPr>
          <w:rFonts w:hint="eastAsia" w:ascii="宋体" w:hAnsi="宋体" w:eastAsia="宋体" w:cs="宋体"/>
          <w:sz w:val="24"/>
          <w:szCs w:val="24"/>
        </w:rPr>
        <w:t>不得向评委询问评标情况，不得进行旨在影响评标结果的活动。否则其投标可能被拒绝。</w:t>
      </w:r>
    </w:p>
    <w:p w14:paraId="0C4571E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为保证评标的公正性，开标后直至授予</w:t>
      </w:r>
      <w:r>
        <w:rPr>
          <w:rFonts w:hint="eastAsia" w:ascii="宋体" w:hAnsi="宋体" w:cs="宋体"/>
          <w:sz w:val="24"/>
          <w:szCs w:val="24"/>
          <w:lang w:eastAsia="zh-CN"/>
        </w:rPr>
        <w:t>供应商</w:t>
      </w:r>
      <w:r>
        <w:rPr>
          <w:rFonts w:hint="eastAsia" w:ascii="宋体" w:hAnsi="宋体" w:eastAsia="宋体" w:cs="宋体"/>
          <w:sz w:val="24"/>
          <w:szCs w:val="24"/>
        </w:rPr>
        <w:t>合同，评委不得与</w:t>
      </w:r>
      <w:r>
        <w:rPr>
          <w:rFonts w:hint="eastAsia" w:ascii="宋体" w:hAnsi="宋体" w:cs="宋体"/>
          <w:sz w:val="24"/>
          <w:szCs w:val="24"/>
          <w:lang w:eastAsia="zh-CN"/>
        </w:rPr>
        <w:t>供应商</w:t>
      </w:r>
      <w:r>
        <w:rPr>
          <w:rFonts w:hint="eastAsia" w:ascii="宋体" w:hAnsi="宋体" w:eastAsia="宋体" w:cs="宋体"/>
          <w:sz w:val="24"/>
          <w:szCs w:val="24"/>
        </w:rPr>
        <w:t>私下交换意见。</w:t>
      </w:r>
    </w:p>
    <w:p w14:paraId="1E079C2D">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在评标工作结束后，凡与评标情况有接触的任何人不得擅自将评标情况扩散出评标人员之外。</w:t>
      </w:r>
    </w:p>
    <w:p w14:paraId="1153F1C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评标结束后，投标文件概不退还。</w:t>
      </w:r>
    </w:p>
    <w:p w14:paraId="490C7D6D">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17" w:name="_Toc312133548"/>
      <w:bookmarkStart w:id="418" w:name="_Toc11172"/>
      <w:bookmarkStart w:id="419" w:name="_Toc16677"/>
      <w:bookmarkStart w:id="420" w:name="_Toc24068_WPSOffice_Level2"/>
      <w:bookmarkStart w:id="421" w:name="_Toc14211"/>
      <w:r>
        <w:rPr>
          <w:rFonts w:hint="eastAsia" w:ascii="宋体" w:hAnsi="宋体" w:eastAsia="宋体" w:cs="宋体"/>
          <w:sz w:val="24"/>
          <w:szCs w:val="24"/>
        </w:rPr>
        <w:t>授予合同</w:t>
      </w:r>
      <w:bookmarkEnd w:id="417"/>
      <w:bookmarkEnd w:id="418"/>
      <w:bookmarkEnd w:id="419"/>
      <w:bookmarkEnd w:id="420"/>
      <w:bookmarkEnd w:id="421"/>
    </w:p>
    <w:p w14:paraId="7886EE16">
      <w:pPr>
        <w:pStyle w:val="4"/>
        <w:numPr>
          <w:ilvl w:val="1"/>
          <w:numId w:val="3"/>
        </w:numPr>
        <w:rPr>
          <w:rFonts w:hint="eastAsia" w:ascii="宋体" w:hAnsi="宋体" w:eastAsia="宋体" w:cs="宋体"/>
          <w:sz w:val="24"/>
          <w:szCs w:val="24"/>
        </w:rPr>
      </w:pPr>
      <w:bookmarkStart w:id="422" w:name="_Toc32241"/>
      <w:bookmarkStart w:id="423" w:name="_Toc22245"/>
      <w:bookmarkStart w:id="424" w:name="_Toc20199"/>
      <w:bookmarkStart w:id="425" w:name="_Toc21756"/>
      <w:bookmarkStart w:id="426" w:name="_Toc22539"/>
      <w:bookmarkStart w:id="427" w:name="_Toc3574"/>
      <w:bookmarkStart w:id="428" w:name="_Toc6320"/>
      <w:bookmarkStart w:id="429" w:name="_Toc20851"/>
      <w:bookmarkStart w:id="430" w:name="_Toc14048"/>
      <w:bookmarkStart w:id="431" w:name="_Toc25368"/>
      <w:bookmarkStart w:id="432" w:name="_Toc13150072"/>
      <w:bookmarkStart w:id="433" w:name="_Toc26787"/>
      <w:bookmarkStart w:id="434" w:name="_Toc22971"/>
      <w:bookmarkStart w:id="435" w:name="_Toc13599"/>
      <w:bookmarkStart w:id="436" w:name="_Toc4415"/>
      <w:bookmarkStart w:id="437" w:name="_Toc17818"/>
      <w:bookmarkStart w:id="438" w:name="_Toc30644"/>
      <w:bookmarkStart w:id="439" w:name="_Toc22088"/>
      <w:bookmarkStart w:id="440" w:name="_Toc26604"/>
      <w:bookmarkStart w:id="441" w:name="_Toc23900"/>
      <w:bookmarkStart w:id="442" w:name="_Toc22457"/>
      <w:r>
        <w:rPr>
          <w:rFonts w:hint="eastAsia" w:ascii="宋体" w:hAnsi="宋体" w:eastAsia="宋体" w:cs="宋体"/>
          <w:sz w:val="24"/>
          <w:szCs w:val="24"/>
        </w:rPr>
        <w:t>中标公告</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42AB1E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4AA7D29B">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采购代理机构应当自中标人确定之日起2个工作日内，在省级以上财政部门指定的媒体上公告中标结果，招标文件应当随中标结果同时公告。公告期限为1个工作日。</w:t>
      </w:r>
    </w:p>
    <w:p w14:paraId="43FAD544">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中标通知书发出后，采购人不得违法改变中标结果，中标人无正当理由不得放弃中标。</w:t>
      </w:r>
    </w:p>
    <w:p w14:paraId="6CB0AF6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437"/>
      <w:bookmarkEnd w:id="438"/>
      <w:bookmarkEnd w:id="439"/>
      <w:bookmarkEnd w:id="440"/>
      <w:bookmarkEnd w:id="441"/>
      <w:bookmarkEnd w:id="442"/>
    </w:p>
    <w:p w14:paraId="5FD69618">
      <w:pPr>
        <w:pStyle w:val="4"/>
        <w:numPr>
          <w:ilvl w:val="1"/>
          <w:numId w:val="3"/>
        </w:numPr>
        <w:rPr>
          <w:rFonts w:hint="eastAsia" w:ascii="宋体" w:hAnsi="宋体" w:eastAsia="宋体" w:cs="宋体"/>
          <w:sz w:val="24"/>
          <w:szCs w:val="24"/>
        </w:rPr>
      </w:pPr>
      <w:bookmarkStart w:id="443" w:name="_Toc31985"/>
      <w:bookmarkStart w:id="444" w:name="_Toc7372"/>
      <w:bookmarkStart w:id="445" w:name="_Toc11820"/>
      <w:bookmarkStart w:id="446" w:name="_Toc19732"/>
      <w:bookmarkStart w:id="447" w:name="_Toc28205"/>
      <w:bookmarkStart w:id="448" w:name="_Toc22820"/>
      <w:bookmarkStart w:id="449" w:name="_Toc13150073"/>
      <w:bookmarkStart w:id="450" w:name="_Toc11927"/>
      <w:bookmarkStart w:id="451" w:name="_Toc23610"/>
      <w:bookmarkStart w:id="452" w:name="_Toc22373"/>
      <w:bookmarkStart w:id="453" w:name="_Toc25621"/>
      <w:bookmarkStart w:id="454" w:name="_Toc12224"/>
      <w:bookmarkStart w:id="455" w:name="_Toc29117"/>
      <w:bookmarkStart w:id="456" w:name="_Toc22911"/>
      <w:bookmarkStart w:id="457" w:name="_Toc21786"/>
      <w:r>
        <w:rPr>
          <w:rFonts w:hint="eastAsia" w:ascii="宋体" w:hAnsi="宋体" w:eastAsia="宋体" w:cs="宋体"/>
          <w:sz w:val="24"/>
          <w:szCs w:val="24"/>
        </w:rPr>
        <w:t>采购任务取消</w:t>
      </w:r>
      <w:bookmarkEnd w:id="443"/>
      <w:bookmarkEnd w:id="444"/>
      <w:bookmarkEnd w:id="445"/>
      <w:bookmarkEnd w:id="446"/>
      <w:bookmarkEnd w:id="447"/>
      <w:bookmarkEnd w:id="448"/>
      <w:bookmarkEnd w:id="449"/>
      <w:bookmarkEnd w:id="450"/>
    </w:p>
    <w:p w14:paraId="5F659B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因重大变故采购任务取消时，采购人有权拒绝任何</w:t>
      </w:r>
      <w:r>
        <w:rPr>
          <w:rFonts w:hint="eastAsia" w:ascii="宋体" w:hAnsi="宋体" w:cs="宋体"/>
          <w:sz w:val="24"/>
          <w:szCs w:val="24"/>
          <w:lang w:eastAsia="zh-CN"/>
        </w:rPr>
        <w:t>供应商</w:t>
      </w:r>
      <w:r>
        <w:rPr>
          <w:rFonts w:hint="eastAsia" w:ascii="宋体" w:hAnsi="宋体" w:eastAsia="宋体" w:cs="宋体"/>
          <w:sz w:val="24"/>
          <w:szCs w:val="24"/>
        </w:rPr>
        <w:t>中标，且对受影响的</w:t>
      </w:r>
      <w:r>
        <w:rPr>
          <w:rFonts w:hint="eastAsia" w:ascii="宋体" w:hAnsi="宋体" w:cs="宋体"/>
          <w:sz w:val="24"/>
          <w:szCs w:val="24"/>
          <w:lang w:eastAsia="zh-CN"/>
        </w:rPr>
        <w:t>供应商</w:t>
      </w:r>
      <w:r>
        <w:rPr>
          <w:rFonts w:hint="eastAsia" w:ascii="宋体" w:hAnsi="宋体" w:eastAsia="宋体" w:cs="宋体"/>
          <w:sz w:val="24"/>
          <w:szCs w:val="24"/>
        </w:rPr>
        <w:t>不承担任何责任。</w:t>
      </w:r>
    </w:p>
    <w:p w14:paraId="707EFC92">
      <w:pPr>
        <w:pStyle w:val="4"/>
        <w:numPr>
          <w:ilvl w:val="1"/>
          <w:numId w:val="3"/>
        </w:numPr>
        <w:rPr>
          <w:rFonts w:hint="eastAsia" w:ascii="宋体" w:hAnsi="宋体" w:eastAsia="宋体" w:cs="宋体"/>
          <w:sz w:val="24"/>
          <w:szCs w:val="24"/>
        </w:rPr>
      </w:pPr>
      <w:bookmarkStart w:id="458" w:name="_Toc26213"/>
      <w:bookmarkStart w:id="459" w:name="_Toc5799"/>
      <w:bookmarkStart w:id="460" w:name="_Toc8095"/>
      <w:bookmarkStart w:id="461" w:name="_Toc26351"/>
      <w:bookmarkStart w:id="462" w:name="_Toc24223"/>
      <w:bookmarkStart w:id="463" w:name="_Toc29785"/>
      <w:bookmarkStart w:id="464" w:name="_Toc12305"/>
      <w:bookmarkStart w:id="465" w:name="_Toc2339"/>
      <w:bookmarkStart w:id="466" w:name="_Toc19371"/>
      <w:bookmarkStart w:id="467" w:name="_Toc12174"/>
      <w:bookmarkStart w:id="468" w:name="_Toc13150074"/>
      <w:bookmarkStart w:id="469" w:name="_Toc3846"/>
      <w:bookmarkStart w:id="470" w:name="_Toc14610"/>
      <w:bookmarkStart w:id="471" w:name="_Toc20626"/>
      <w:bookmarkStart w:id="472" w:name="_Toc15356"/>
      <w:r>
        <w:rPr>
          <w:rFonts w:hint="eastAsia" w:ascii="宋体" w:hAnsi="宋体" w:eastAsia="宋体" w:cs="宋体"/>
          <w:sz w:val="24"/>
          <w:szCs w:val="24"/>
        </w:rPr>
        <w:t>中标通知书</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2BC03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在公告中标结果的同时，采购人或者采购代理机构应当向中标人发出中标通知书，中标通知书将作为进行合同谈判和签订合同的依据。</w:t>
      </w:r>
      <w:bookmarkEnd w:id="451"/>
      <w:bookmarkEnd w:id="452"/>
      <w:bookmarkEnd w:id="453"/>
      <w:bookmarkEnd w:id="454"/>
      <w:bookmarkEnd w:id="455"/>
      <w:bookmarkEnd w:id="456"/>
      <w:bookmarkEnd w:id="457"/>
    </w:p>
    <w:p w14:paraId="0E7F2AF5">
      <w:pPr>
        <w:pStyle w:val="4"/>
        <w:numPr>
          <w:ilvl w:val="1"/>
          <w:numId w:val="3"/>
        </w:numPr>
        <w:rPr>
          <w:rFonts w:hint="eastAsia" w:ascii="宋体" w:hAnsi="宋体" w:eastAsia="宋体" w:cs="宋体"/>
          <w:sz w:val="24"/>
          <w:szCs w:val="24"/>
        </w:rPr>
      </w:pPr>
      <w:bookmarkStart w:id="473" w:name="_Toc8166"/>
      <w:bookmarkStart w:id="474" w:name="_Toc12530"/>
      <w:bookmarkStart w:id="475" w:name="_Toc15128"/>
      <w:bookmarkStart w:id="476" w:name="_Toc28203"/>
      <w:bookmarkStart w:id="477" w:name="_Toc1226"/>
      <w:bookmarkStart w:id="478" w:name="_Toc26471"/>
      <w:bookmarkStart w:id="479" w:name="_Toc6766"/>
      <w:bookmarkStart w:id="480" w:name="_Toc13150076"/>
      <w:bookmarkStart w:id="481" w:name="_Toc10361"/>
      <w:bookmarkStart w:id="482" w:name="_Toc22384"/>
      <w:bookmarkStart w:id="483" w:name="_Toc3376"/>
      <w:bookmarkStart w:id="484" w:name="_Toc21638"/>
      <w:bookmarkStart w:id="485" w:name="_Toc15061"/>
      <w:bookmarkStart w:id="486" w:name="_Toc11221"/>
      <w:bookmarkStart w:id="487" w:name="_Toc21533"/>
      <w:r>
        <w:rPr>
          <w:rFonts w:hint="eastAsia" w:ascii="宋体" w:hAnsi="宋体" w:eastAsia="宋体" w:cs="宋体"/>
          <w:sz w:val="24"/>
          <w:szCs w:val="24"/>
        </w:rPr>
        <w:t>签订合同</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9F1089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采购人应当自中标通知书发出之日起</w:t>
      </w:r>
      <w:r>
        <w:rPr>
          <w:rFonts w:hint="eastAsia" w:ascii="宋体" w:hAnsi="宋体" w:cs="宋体"/>
          <w:sz w:val="24"/>
          <w:szCs w:val="24"/>
          <w:lang w:val="en-US" w:eastAsia="zh-CN"/>
        </w:rPr>
        <w:t>2工作日</w:t>
      </w:r>
      <w:r>
        <w:rPr>
          <w:rFonts w:hint="eastAsia" w:ascii="宋体" w:hAnsi="宋体" w:eastAsia="宋体" w:cs="宋体"/>
          <w:sz w:val="24"/>
          <w:szCs w:val="24"/>
        </w:rPr>
        <w:t>内，按照招标文件和中标人投标文件的规定，与中标人签订书面合同。所签订的合同不得对招标文件确定的事项和中标人投标文件作实质性修改。</w:t>
      </w:r>
    </w:p>
    <w:p w14:paraId="0648CF70">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中标人拒绝与采购人签订合同的，采购人可以按照评标报告推荐的中标候选人名单排序，确定下一候选人为中标人，也可以重新开展政府采购活动。</w:t>
      </w:r>
    </w:p>
    <w:p w14:paraId="307F743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招标文件、中标人的投标文件和澄清文件等，均应作为签约的合同文本的基础。</w:t>
      </w:r>
    </w:p>
    <w:p w14:paraId="792DEF6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如采购人或中标人拒签合同，则按违约处理。对违约方收取中标金额2%的违约金。</w:t>
      </w:r>
    </w:p>
    <w:p w14:paraId="21843DB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政府采购合同应当包括采购人与中标人的名称和住所、标的、数量、质量、价款或者报酬、履行期限及地点和方式、验收要求、违约责任、解决争议的方法等内容。</w:t>
      </w:r>
    </w:p>
    <w:p w14:paraId="2C65329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如中标人不按本章第6.5.1项约定签订合同，采购人将报请取消其中标决定。采购人可在中标候选人中重新选定中标人或者重新招标。</w:t>
      </w:r>
    </w:p>
    <w:p w14:paraId="4398176D">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88" w:name="_Toc28329"/>
      <w:bookmarkStart w:id="489" w:name="_Toc19000"/>
      <w:bookmarkStart w:id="490" w:name="_Toc11105"/>
      <w:bookmarkStart w:id="491" w:name="_Toc15896"/>
      <w:bookmarkStart w:id="492" w:name="_Toc1242"/>
      <w:bookmarkStart w:id="493" w:name="_Toc9953"/>
      <w:bookmarkStart w:id="494" w:name="_Toc15576_WPSOffice_Level2"/>
      <w:bookmarkStart w:id="495" w:name="_Toc25728"/>
      <w:bookmarkStart w:id="496" w:name="_Toc27041"/>
      <w:bookmarkStart w:id="497" w:name="_Toc26401"/>
      <w:r>
        <w:rPr>
          <w:rFonts w:hint="eastAsia" w:ascii="宋体" w:hAnsi="宋体" w:eastAsia="宋体" w:cs="宋体"/>
          <w:sz w:val="24"/>
          <w:szCs w:val="24"/>
        </w:rPr>
        <w:t>信用记录</w:t>
      </w:r>
      <w:bookmarkEnd w:id="488"/>
      <w:bookmarkEnd w:id="489"/>
      <w:bookmarkEnd w:id="490"/>
      <w:bookmarkEnd w:id="491"/>
      <w:bookmarkEnd w:id="492"/>
      <w:bookmarkEnd w:id="493"/>
      <w:bookmarkEnd w:id="494"/>
      <w:bookmarkEnd w:id="495"/>
      <w:bookmarkEnd w:id="496"/>
      <w:bookmarkEnd w:id="497"/>
    </w:p>
    <w:p w14:paraId="3CA06EA9">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r>
        <w:rPr>
          <w:rFonts w:hint="eastAsia" w:ascii="宋体" w:hAnsi="宋体" w:cs="宋体"/>
          <w:sz w:val="24"/>
          <w:szCs w:val="24"/>
          <w:lang w:eastAsia="zh-CN"/>
        </w:rPr>
        <w:t>，</w:t>
      </w:r>
      <w:r>
        <w:rPr>
          <w:rFonts w:hint="eastAsia" w:ascii="宋体" w:hAnsi="宋体" w:eastAsia="宋体" w:cs="宋体"/>
          <w:sz w:val="24"/>
          <w:szCs w:val="24"/>
        </w:rPr>
        <w:t>信息查询记录同汇总资料等资料一同归档保存。</w:t>
      </w:r>
    </w:p>
    <w:p w14:paraId="12DFFABA">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bookmarkStart w:id="498" w:name="_Toc8187_WPSOffice_Level2"/>
      <w:bookmarkStart w:id="499" w:name="_Toc23977"/>
      <w:bookmarkStart w:id="500" w:name="_Toc26778"/>
      <w:bookmarkStart w:id="501" w:name="_Toc18782"/>
      <w:r>
        <w:rPr>
          <w:rFonts w:hint="eastAsia" w:ascii="宋体" w:hAnsi="宋体" w:eastAsia="宋体" w:cs="宋体"/>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.8 </w:t>
      </w:r>
      <w:r>
        <w:rPr>
          <w:rFonts w:hint="eastAsia" w:ascii="宋体" w:hAnsi="宋体" w:eastAsia="宋体" w:cs="Times New Roman"/>
          <w:sz w:val="24"/>
          <w:szCs w:val="24"/>
        </w:rPr>
        <w:t>采购人将</w:t>
      </w:r>
      <w:r>
        <w:rPr>
          <w:rFonts w:hint="eastAsia" w:ascii="宋体" w:hAnsi="宋体" w:eastAsia="宋体" w:cs="Times New Roman"/>
          <w:sz w:val="24"/>
          <w:szCs w:val="24"/>
          <w:lang w:val="en-US" w:eastAsia="zh-CN"/>
        </w:rPr>
        <w:t>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D89D518">
      <w:pPr>
        <w:autoSpaceDE w:val="0"/>
        <w:spacing w:line="420" w:lineRule="exact"/>
        <w:ind w:firstLine="422" w:firstLineChars="17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8.9 质疑供应商对采购人的答复不满意以及采购人未在规定的时间内做出答复的，可以在答复期满后15个工作日内向财政部门投诉。</w:t>
      </w:r>
    </w:p>
    <w:p w14:paraId="7973DA2F">
      <w:pPr>
        <w:pStyle w:val="3"/>
        <w:numPr>
          <w:ilvl w:val="0"/>
          <w:numId w:val="3"/>
        </w:numPr>
        <w:tabs>
          <w:tab w:val="left" w:pos="721"/>
          <w:tab w:val="left" w:pos="2880"/>
          <w:tab w:val="left" w:pos="3780"/>
        </w:tabs>
        <w:spacing w:before="0" w:after="0" w:line="360" w:lineRule="auto"/>
        <w:ind w:left="0" w:firstLine="0"/>
        <w:jc w:val="both"/>
        <w:rPr>
          <w:rFonts w:hint="eastAsia" w:ascii="宋体" w:hAnsi="宋体" w:eastAsia="宋体" w:cs="宋体"/>
          <w:sz w:val="24"/>
          <w:szCs w:val="24"/>
        </w:rPr>
      </w:pPr>
      <w:r>
        <w:rPr>
          <w:rFonts w:hint="eastAsia" w:ascii="宋体" w:hAnsi="宋体" w:eastAsia="宋体" w:cs="宋体"/>
          <w:sz w:val="24"/>
          <w:szCs w:val="24"/>
        </w:rPr>
        <w:t>需要补充的其他内容</w:t>
      </w:r>
      <w:bookmarkEnd w:id="498"/>
      <w:bookmarkEnd w:id="499"/>
      <w:bookmarkEnd w:id="500"/>
      <w:bookmarkEnd w:id="501"/>
    </w:p>
    <w:p w14:paraId="5CB417CF">
      <w:pPr>
        <w:numPr>
          <w:ilvl w:val="1"/>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9879691">
      <w:pPr>
        <w:rPr>
          <w:rFonts w:hint="eastAsia" w:ascii="宋体" w:hAnsi="宋体" w:eastAsia="宋体" w:cs="宋体"/>
          <w:sz w:val="24"/>
          <w:szCs w:val="24"/>
        </w:rPr>
      </w:pPr>
      <w:r>
        <w:rPr>
          <w:rFonts w:hint="eastAsia" w:ascii="宋体" w:hAnsi="宋体" w:eastAsia="宋体" w:cs="宋体"/>
          <w:sz w:val="24"/>
          <w:szCs w:val="24"/>
        </w:rPr>
        <w:br w:type="page"/>
      </w:r>
    </w:p>
    <w:p w14:paraId="14E111BA">
      <w:pPr>
        <w:numPr>
          <w:ilvl w:val="0"/>
          <w:numId w:val="0"/>
        </w:numPr>
        <w:spacing w:line="340" w:lineRule="exact"/>
        <w:ind w:leftChars="0"/>
        <w:jc w:val="center"/>
        <w:outlineLvl w:val="0"/>
        <w:rPr>
          <w:rStyle w:val="41"/>
          <w:rFonts w:hint="eastAsia" w:ascii="宋体" w:hAnsi="宋体" w:cs="宋体"/>
          <w:color w:val="auto"/>
          <w:lang w:val="en-US" w:eastAsia="zh-CN"/>
        </w:rPr>
      </w:pPr>
      <w:bookmarkStart w:id="502" w:name="_Toc470"/>
      <w:r>
        <w:rPr>
          <w:rStyle w:val="41"/>
          <w:rFonts w:hint="eastAsia" w:ascii="宋体" w:hAnsi="宋体" w:cs="宋体"/>
          <w:color w:val="auto"/>
          <w:lang w:val="en-US" w:eastAsia="zh-CN"/>
        </w:rPr>
        <w:t>第三章  货物清单及参数要求</w:t>
      </w:r>
      <w:bookmarkEnd w:id="502"/>
    </w:p>
    <w:p w14:paraId="5C54FB35">
      <w:pPr>
        <w:pStyle w:val="22"/>
        <w:numPr>
          <w:ilvl w:val="0"/>
          <w:numId w:val="0"/>
        </w:numPr>
        <w:ind w:leftChars="0"/>
      </w:pPr>
    </w:p>
    <w:p w14:paraId="5A141E3C">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宋体" w:hAnsi="宋体" w:cs="宋体"/>
          <w:color w:val="000000"/>
          <w:kern w:val="0"/>
          <w:sz w:val="24"/>
          <w:szCs w:val="24"/>
        </w:rPr>
      </w:pPr>
      <w:bookmarkStart w:id="503" w:name="_Toc387"/>
      <w:bookmarkStart w:id="504" w:name="_Toc24273"/>
      <w:bookmarkStart w:id="505" w:name="_Toc8790_WPSOffice_Level1"/>
      <w:bookmarkStart w:id="506" w:name="_Toc4977"/>
      <w:r>
        <w:rPr>
          <w:rFonts w:hint="eastAsia" w:ascii="宋体" w:hAnsi="宋体" w:cs="宋体"/>
          <w:color w:val="000000"/>
          <w:kern w:val="0"/>
          <w:sz w:val="24"/>
          <w:szCs w:val="24"/>
        </w:rPr>
        <w:t>招标文件中对以上产品的要求为满足采购人所需产品的要求，非唯一指定要求，如有与某产品的指标或参数描述相同，并非特指，仅为产品质量、档次、水平的参照，</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应以不低于招标文件要求的档次、技术、性能的产品参与投标，未注明的规格应附合国家有关行业标准。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583"/>
        <w:gridCol w:w="561"/>
        <w:gridCol w:w="2727"/>
        <w:gridCol w:w="3074"/>
        <w:gridCol w:w="801"/>
        <w:gridCol w:w="796"/>
      </w:tblGrid>
      <w:tr w14:paraId="20CB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gridSpan w:val="7"/>
            <w:vAlign w:val="center"/>
          </w:tcPr>
          <w:p w14:paraId="0FD3E84F">
            <w:pPr>
              <w:keepNext w:val="0"/>
              <w:keepLines w:val="0"/>
              <w:suppressLineNumbers w:val="0"/>
              <w:spacing w:before="0" w:beforeAutospacing="0" w:after="0" w:afterAutospacing="0"/>
              <w:ind w:left="0" w:right="0"/>
              <w:jc w:val="center"/>
              <w:rPr>
                <w:rFonts w:hint="eastAsia" w:eastAsiaTheme="minorEastAsia"/>
                <w:b/>
                <w:bCs/>
                <w:sz w:val="28"/>
                <w:szCs w:val="36"/>
                <w:lang w:eastAsia="zh-CN"/>
              </w:rPr>
            </w:pPr>
            <w:r>
              <w:rPr>
                <w:rFonts w:hint="eastAsia"/>
                <w:b/>
                <w:bCs/>
                <w:sz w:val="28"/>
                <w:szCs w:val="36"/>
              </w:rPr>
              <w:t>采购</w:t>
            </w:r>
            <w:r>
              <w:rPr>
                <w:rFonts w:hint="eastAsia"/>
                <w:b/>
                <w:bCs/>
                <w:sz w:val="28"/>
                <w:szCs w:val="36"/>
                <w:lang w:val="en-US" w:eastAsia="zh-CN"/>
              </w:rPr>
              <w:t>清单</w:t>
            </w:r>
          </w:p>
        </w:tc>
      </w:tr>
      <w:tr w14:paraId="1F6E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14:paraId="0180CA2D">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名称</w:t>
            </w:r>
          </w:p>
        </w:tc>
        <w:tc>
          <w:tcPr>
            <w:tcW w:w="795" w:type="dxa"/>
            <w:vAlign w:val="center"/>
          </w:tcPr>
          <w:p w14:paraId="6F54AF95">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数量</w:t>
            </w:r>
          </w:p>
        </w:tc>
        <w:tc>
          <w:tcPr>
            <w:tcW w:w="735" w:type="dxa"/>
            <w:vAlign w:val="center"/>
          </w:tcPr>
          <w:p w14:paraId="1E36555D">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单位</w:t>
            </w:r>
          </w:p>
        </w:tc>
        <w:tc>
          <w:tcPr>
            <w:tcW w:w="9255" w:type="dxa"/>
            <w:gridSpan w:val="2"/>
            <w:vAlign w:val="center"/>
          </w:tcPr>
          <w:p w14:paraId="0D37036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技术参数</w:t>
            </w:r>
          </w:p>
        </w:tc>
        <w:tc>
          <w:tcPr>
            <w:tcW w:w="1110" w:type="dxa"/>
            <w:vAlign w:val="center"/>
          </w:tcPr>
          <w:p w14:paraId="43D084CA">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单价</w:t>
            </w:r>
          </w:p>
          <w:p w14:paraId="2306277E">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(元)</w:t>
            </w:r>
          </w:p>
        </w:tc>
        <w:tc>
          <w:tcPr>
            <w:tcW w:w="1095" w:type="dxa"/>
            <w:vAlign w:val="center"/>
          </w:tcPr>
          <w:p w14:paraId="42BC9E12">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总价</w:t>
            </w:r>
          </w:p>
          <w:p w14:paraId="36792A7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(元)</w:t>
            </w:r>
          </w:p>
        </w:tc>
      </w:tr>
      <w:tr w14:paraId="333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10494C4D">
            <w:pPr>
              <w:keepNext w:val="0"/>
              <w:keepLines w:val="0"/>
              <w:suppressLineNumbers w:val="0"/>
              <w:spacing w:before="0" w:beforeAutospacing="0" w:after="0" w:afterAutospacing="0"/>
              <w:ind w:left="0" w:right="0"/>
              <w:rPr>
                <w:rFonts w:hint="default"/>
                <w:sz w:val="24"/>
                <w:szCs w:val="32"/>
              </w:rPr>
            </w:pPr>
            <w:r>
              <w:rPr>
                <w:rFonts w:hint="eastAsia"/>
                <w:sz w:val="24"/>
                <w:szCs w:val="32"/>
              </w:rPr>
              <w:t>18吨纯电动高压冲洗车</w:t>
            </w:r>
          </w:p>
        </w:tc>
        <w:tc>
          <w:tcPr>
            <w:tcW w:w="795" w:type="dxa"/>
            <w:vMerge w:val="restart"/>
            <w:vAlign w:val="center"/>
          </w:tcPr>
          <w:p w14:paraId="2AAA25AC">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2</w:t>
            </w:r>
          </w:p>
        </w:tc>
        <w:tc>
          <w:tcPr>
            <w:tcW w:w="735" w:type="dxa"/>
            <w:vMerge w:val="restart"/>
            <w:vAlign w:val="center"/>
          </w:tcPr>
          <w:p w14:paraId="38E122DC">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辆</w:t>
            </w:r>
          </w:p>
        </w:tc>
        <w:tc>
          <w:tcPr>
            <w:tcW w:w="9255" w:type="dxa"/>
            <w:gridSpan w:val="2"/>
            <w:vAlign w:val="center"/>
          </w:tcPr>
          <w:p w14:paraId="482C80F7">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一、主要参数要求</w:t>
            </w:r>
          </w:p>
        </w:tc>
        <w:tc>
          <w:tcPr>
            <w:tcW w:w="1110" w:type="dxa"/>
            <w:vMerge w:val="restart"/>
            <w:vAlign w:val="center"/>
          </w:tcPr>
          <w:p w14:paraId="48C3DAE7">
            <w:pPr>
              <w:keepNext w:val="0"/>
              <w:keepLines w:val="0"/>
              <w:suppressLineNumbers w:val="0"/>
              <w:spacing w:before="0" w:beforeAutospacing="0" w:after="0" w:afterAutospacing="0"/>
              <w:ind w:left="0" w:right="0"/>
              <w:jc w:val="center"/>
              <w:rPr>
                <w:rFonts w:hint="default"/>
                <w:sz w:val="24"/>
                <w:szCs w:val="32"/>
              </w:rPr>
            </w:pPr>
          </w:p>
        </w:tc>
        <w:tc>
          <w:tcPr>
            <w:tcW w:w="1095" w:type="dxa"/>
            <w:vMerge w:val="restart"/>
            <w:vAlign w:val="center"/>
          </w:tcPr>
          <w:p w14:paraId="6241F65A">
            <w:pPr>
              <w:keepNext w:val="0"/>
              <w:keepLines w:val="0"/>
              <w:suppressLineNumbers w:val="0"/>
              <w:spacing w:before="0" w:beforeAutospacing="0" w:after="0" w:afterAutospacing="0"/>
              <w:ind w:left="0" w:right="0"/>
              <w:jc w:val="center"/>
              <w:rPr>
                <w:rFonts w:hint="default"/>
                <w:sz w:val="24"/>
                <w:szCs w:val="32"/>
              </w:rPr>
            </w:pPr>
          </w:p>
        </w:tc>
      </w:tr>
      <w:tr w14:paraId="25BF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9434E35">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5170FA7">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CFCB1CE">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0CAEB01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底盘类别</w:t>
            </w:r>
          </w:p>
        </w:tc>
        <w:tc>
          <w:tcPr>
            <w:tcW w:w="4635" w:type="dxa"/>
            <w:vAlign w:val="center"/>
          </w:tcPr>
          <w:p w14:paraId="008592E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二类载货汽车底盘</w:t>
            </w:r>
          </w:p>
        </w:tc>
        <w:tc>
          <w:tcPr>
            <w:tcW w:w="1110" w:type="dxa"/>
            <w:vMerge w:val="continue"/>
            <w:vAlign w:val="center"/>
          </w:tcPr>
          <w:p w14:paraId="38F101F0">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78D81B58">
            <w:pPr>
              <w:keepNext w:val="0"/>
              <w:keepLines w:val="0"/>
              <w:suppressLineNumbers w:val="0"/>
              <w:spacing w:before="0" w:beforeAutospacing="0" w:after="0" w:afterAutospacing="0"/>
              <w:ind w:left="0" w:right="0"/>
              <w:jc w:val="center"/>
              <w:rPr>
                <w:rFonts w:hint="default"/>
                <w:sz w:val="24"/>
                <w:szCs w:val="32"/>
              </w:rPr>
            </w:pPr>
          </w:p>
        </w:tc>
      </w:tr>
      <w:tr w14:paraId="21AC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CA86E4C">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2B205BD">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01F29AA">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6C2CB810">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底盘驱动电机峰值功率（kW）</w:t>
            </w:r>
          </w:p>
        </w:tc>
        <w:tc>
          <w:tcPr>
            <w:tcW w:w="4635" w:type="dxa"/>
            <w:vAlign w:val="center"/>
          </w:tcPr>
          <w:p w14:paraId="7D6A9F0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≥160</w:t>
            </w:r>
          </w:p>
        </w:tc>
        <w:tc>
          <w:tcPr>
            <w:tcW w:w="1110" w:type="dxa"/>
            <w:vMerge w:val="continue"/>
            <w:vAlign w:val="center"/>
          </w:tcPr>
          <w:p w14:paraId="4AC2B1D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00362BA8">
            <w:pPr>
              <w:keepNext w:val="0"/>
              <w:keepLines w:val="0"/>
              <w:suppressLineNumbers w:val="0"/>
              <w:spacing w:before="0" w:beforeAutospacing="0" w:after="0" w:afterAutospacing="0"/>
              <w:ind w:left="0" w:right="0"/>
              <w:jc w:val="center"/>
              <w:rPr>
                <w:rFonts w:hint="default"/>
                <w:sz w:val="24"/>
                <w:szCs w:val="32"/>
              </w:rPr>
            </w:pPr>
          </w:p>
        </w:tc>
      </w:tr>
      <w:tr w14:paraId="6FB5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E880CA6">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2EC2F5AB">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FAA6DB3">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095009B6">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动力电池系统能量密度（W·h/kg）</w:t>
            </w:r>
          </w:p>
        </w:tc>
        <w:tc>
          <w:tcPr>
            <w:tcW w:w="4635" w:type="dxa"/>
            <w:vAlign w:val="center"/>
          </w:tcPr>
          <w:p w14:paraId="7489076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≥150</w:t>
            </w:r>
          </w:p>
        </w:tc>
        <w:tc>
          <w:tcPr>
            <w:tcW w:w="1110" w:type="dxa"/>
            <w:vMerge w:val="continue"/>
            <w:vAlign w:val="center"/>
          </w:tcPr>
          <w:p w14:paraId="78D573A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DAFF6EE">
            <w:pPr>
              <w:keepNext w:val="0"/>
              <w:keepLines w:val="0"/>
              <w:suppressLineNumbers w:val="0"/>
              <w:spacing w:before="0" w:beforeAutospacing="0" w:after="0" w:afterAutospacing="0"/>
              <w:ind w:left="0" w:right="0"/>
              <w:jc w:val="center"/>
              <w:rPr>
                <w:rFonts w:hint="default"/>
                <w:sz w:val="24"/>
                <w:szCs w:val="32"/>
              </w:rPr>
            </w:pPr>
          </w:p>
        </w:tc>
      </w:tr>
      <w:tr w14:paraId="529D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0173825">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31FF2120">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6D4FEC4">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112BB4B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储能装置总储电量（kWh）</w:t>
            </w:r>
          </w:p>
        </w:tc>
        <w:tc>
          <w:tcPr>
            <w:tcW w:w="4635" w:type="dxa"/>
            <w:vAlign w:val="center"/>
          </w:tcPr>
          <w:p w14:paraId="6688418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≥210</w:t>
            </w:r>
          </w:p>
        </w:tc>
        <w:tc>
          <w:tcPr>
            <w:tcW w:w="1110" w:type="dxa"/>
            <w:vMerge w:val="continue"/>
            <w:vAlign w:val="center"/>
          </w:tcPr>
          <w:p w14:paraId="41B6C571">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7130D6E">
            <w:pPr>
              <w:keepNext w:val="0"/>
              <w:keepLines w:val="0"/>
              <w:suppressLineNumbers w:val="0"/>
              <w:spacing w:before="0" w:beforeAutospacing="0" w:after="0" w:afterAutospacing="0"/>
              <w:ind w:left="0" w:right="0"/>
              <w:jc w:val="center"/>
              <w:rPr>
                <w:rFonts w:hint="default"/>
                <w:sz w:val="24"/>
                <w:szCs w:val="32"/>
              </w:rPr>
            </w:pPr>
          </w:p>
        </w:tc>
      </w:tr>
      <w:tr w14:paraId="2545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74D86CB">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759382CC">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84365D8">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F4238A0">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续驶里程（等速法，km）</w:t>
            </w:r>
          </w:p>
        </w:tc>
        <w:tc>
          <w:tcPr>
            <w:tcW w:w="4635" w:type="dxa"/>
            <w:vAlign w:val="center"/>
          </w:tcPr>
          <w:p w14:paraId="3AE91F3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≥300</w:t>
            </w:r>
          </w:p>
        </w:tc>
        <w:tc>
          <w:tcPr>
            <w:tcW w:w="1110" w:type="dxa"/>
            <w:vMerge w:val="continue"/>
            <w:vAlign w:val="center"/>
          </w:tcPr>
          <w:p w14:paraId="1E37CB8B">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4409CCAB">
            <w:pPr>
              <w:keepNext w:val="0"/>
              <w:keepLines w:val="0"/>
              <w:suppressLineNumbers w:val="0"/>
              <w:spacing w:before="0" w:beforeAutospacing="0" w:after="0" w:afterAutospacing="0"/>
              <w:ind w:left="0" w:right="0"/>
              <w:jc w:val="center"/>
              <w:rPr>
                <w:rFonts w:hint="default"/>
                <w:sz w:val="24"/>
                <w:szCs w:val="32"/>
              </w:rPr>
            </w:pPr>
          </w:p>
        </w:tc>
      </w:tr>
      <w:tr w14:paraId="7AAB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96AB51D">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D87424E">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3D31BC4">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139F248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电源电池种类</w:t>
            </w:r>
          </w:p>
        </w:tc>
        <w:tc>
          <w:tcPr>
            <w:tcW w:w="4635" w:type="dxa"/>
            <w:vAlign w:val="center"/>
          </w:tcPr>
          <w:p w14:paraId="4C2B5F5F">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磷酸铁锂电池或优于</w:t>
            </w:r>
          </w:p>
        </w:tc>
        <w:tc>
          <w:tcPr>
            <w:tcW w:w="1110" w:type="dxa"/>
            <w:vMerge w:val="continue"/>
            <w:vAlign w:val="center"/>
          </w:tcPr>
          <w:p w14:paraId="6F1E8A7E">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978113C">
            <w:pPr>
              <w:keepNext w:val="0"/>
              <w:keepLines w:val="0"/>
              <w:suppressLineNumbers w:val="0"/>
              <w:spacing w:before="0" w:beforeAutospacing="0" w:after="0" w:afterAutospacing="0"/>
              <w:ind w:left="0" w:right="0"/>
              <w:jc w:val="center"/>
              <w:rPr>
                <w:rFonts w:hint="default"/>
                <w:sz w:val="24"/>
                <w:szCs w:val="32"/>
              </w:rPr>
            </w:pPr>
          </w:p>
        </w:tc>
      </w:tr>
      <w:tr w14:paraId="11D7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C51434C">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D9D0320">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FC766BD">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15570B58">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上装驱动电机额定功率(kw)</w:t>
            </w:r>
          </w:p>
        </w:tc>
        <w:tc>
          <w:tcPr>
            <w:tcW w:w="4635" w:type="dxa"/>
            <w:vAlign w:val="center"/>
          </w:tcPr>
          <w:p w14:paraId="5252EBF9">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≥70</w:t>
            </w:r>
          </w:p>
        </w:tc>
        <w:tc>
          <w:tcPr>
            <w:tcW w:w="1110" w:type="dxa"/>
            <w:vMerge w:val="continue"/>
            <w:vAlign w:val="center"/>
          </w:tcPr>
          <w:p w14:paraId="7C4AAC5E">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B627A6D">
            <w:pPr>
              <w:keepNext w:val="0"/>
              <w:keepLines w:val="0"/>
              <w:suppressLineNumbers w:val="0"/>
              <w:spacing w:before="0" w:beforeAutospacing="0" w:after="0" w:afterAutospacing="0"/>
              <w:ind w:left="0" w:right="0"/>
              <w:jc w:val="center"/>
              <w:rPr>
                <w:rFonts w:hint="default"/>
                <w:sz w:val="24"/>
                <w:szCs w:val="32"/>
              </w:rPr>
            </w:pPr>
          </w:p>
        </w:tc>
      </w:tr>
      <w:tr w14:paraId="79D8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953440A">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40CCDB10">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D805008">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658EA2F">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最大总质量(kg)</w:t>
            </w:r>
          </w:p>
        </w:tc>
        <w:tc>
          <w:tcPr>
            <w:tcW w:w="4635" w:type="dxa"/>
            <w:vAlign w:val="center"/>
          </w:tcPr>
          <w:p w14:paraId="76611036">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≥18000</w:t>
            </w:r>
          </w:p>
        </w:tc>
        <w:tc>
          <w:tcPr>
            <w:tcW w:w="1110" w:type="dxa"/>
            <w:vMerge w:val="continue"/>
            <w:vAlign w:val="center"/>
          </w:tcPr>
          <w:p w14:paraId="35C89C50">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32261B9">
            <w:pPr>
              <w:keepNext w:val="0"/>
              <w:keepLines w:val="0"/>
              <w:suppressLineNumbers w:val="0"/>
              <w:spacing w:before="0" w:beforeAutospacing="0" w:after="0" w:afterAutospacing="0"/>
              <w:ind w:left="0" w:right="0"/>
              <w:jc w:val="center"/>
              <w:rPr>
                <w:rFonts w:hint="default"/>
                <w:sz w:val="24"/>
                <w:szCs w:val="32"/>
              </w:rPr>
            </w:pPr>
          </w:p>
        </w:tc>
      </w:tr>
      <w:tr w14:paraId="1A17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7BA0386">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95C1B99">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205F203">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80FD41A">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整备质量(kg)</w:t>
            </w:r>
          </w:p>
        </w:tc>
        <w:tc>
          <w:tcPr>
            <w:tcW w:w="4635" w:type="dxa"/>
            <w:vAlign w:val="center"/>
          </w:tcPr>
          <w:p w14:paraId="0FFFD2B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≥9100</w:t>
            </w:r>
          </w:p>
        </w:tc>
        <w:tc>
          <w:tcPr>
            <w:tcW w:w="1110" w:type="dxa"/>
            <w:vMerge w:val="continue"/>
            <w:vAlign w:val="center"/>
          </w:tcPr>
          <w:p w14:paraId="7E168788">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7428A54">
            <w:pPr>
              <w:keepNext w:val="0"/>
              <w:keepLines w:val="0"/>
              <w:suppressLineNumbers w:val="0"/>
              <w:spacing w:before="0" w:beforeAutospacing="0" w:after="0" w:afterAutospacing="0"/>
              <w:ind w:left="0" w:right="0"/>
              <w:jc w:val="center"/>
              <w:rPr>
                <w:rFonts w:hint="default"/>
                <w:sz w:val="24"/>
                <w:szCs w:val="32"/>
              </w:rPr>
            </w:pPr>
          </w:p>
        </w:tc>
      </w:tr>
      <w:tr w14:paraId="1F15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0B0AE0B">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ED3DABB">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CFFA1ED">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C53F099">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额定载质量(kg)</w:t>
            </w:r>
          </w:p>
        </w:tc>
        <w:tc>
          <w:tcPr>
            <w:tcW w:w="4635" w:type="dxa"/>
            <w:vAlign w:val="center"/>
          </w:tcPr>
          <w:p w14:paraId="25BDCC9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≥8700</w:t>
            </w:r>
          </w:p>
        </w:tc>
        <w:tc>
          <w:tcPr>
            <w:tcW w:w="1110" w:type="dxa"/>
            <w:vMerge w:val="continue"/>
            <w:vAlign w:val="center"/>
          </w:tcPr>
          <w:p w14:paraId="5A93BD16">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7A6C8236">
            <w:pPr>
              <w:keepNext w:val="0"/>
              <w:keepLines w:val="0"/>
              <w:suppressLineNumbers w:val="0"/>
              <w:spacing w:before="0" w:beforeAutospacing="0" w:after="0" w:afterAutospacing="0"/>
              <w:ind w:left="0" w:right="0"/>
              <w:jc w:val="center"/>
              <w:rPr>
                <w:rFonts w:hint="default"/>
                <w:sz w:val="24"/>
                <w:szCs w:val="32"/>
              </w:rPr>
            </w:pPr>
          </w:p>
        </w:tc>
      </w:tr>
      <w:tr w14:paraId="4807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ED7B1F3">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363E97CB">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E4E2FA5">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A93685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★外形尺寸（长×宽×高(mm)</w:t>
            </w:r>
          </w:p>
        </w:tc>
        <w:tc>
          <w:tcPr>
            <w:tcW w:w="4635" w:type="dxa"/>
            <w:vAlign w:val="center"/>
          </w:tcPr>
          <w:p w14:paraId="34A2579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≥8000×2540×2990</w:t>
            </w:r>
          </w:p>
        </w:tc>
        <w:tc>
          <w:tcPr>
            <w:tcW w:w="1110" w:type="dxa"/>
            <w:vMerge w:val="continue"/>
            <w:vAlign w:val="center"/>
          </w:tcPr>
          <w:p w14:paraId="5D8B54C9">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6CA0CC60">
            <w:pPr>
              <w:keepNext w:val="0"/>
              <w:keepLines w:val="0"/>
              <w:suppressLineNumbers w:val="0"/>
              <w:spacing w:before="0" w:beforeAutospacing="0" w:after="0" w:afterAutospacing="0"/>
              <w:ind w:left="0" w:right="0"/>
              <w:jc w:val="center"/>
              <w:rPr>
                <w:rFonts w:hint="default"/>
                <w:sz w:val="24"/>
                <w:szCs w:val="32"/>
              </w:rPr>
            </w:pPr>
          </w:p>
        </w:tc>
      </w:tr>
      <w:tr w14:paraId="552B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DB2E078">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738E1863">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5B85885">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096615A8">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★前悬</w:t>
            </w:r>
            <w:r>
              <w:rPr>
                <w:rFonts w:hint="eastAsia"/>
                <w:sz w:val="24"/>
                <w:szCs w:val="32"/>
              </w:rPr>
              <w:t>/后悬</w:t>
            </w:r>
            <w:r>
              <w:rPr>
                <w:rFonts w:hint="eastAsia"/>
                <w:sz w:val="24"/>
                <w:szCs w:val="32"/>
                <w:lang w:val="zh-CN"/>
              </w:rPr>
              <w:t>(mm)</w:t>
            </w:r>
          </w:p>
        </w:tc>
        <w:tc>
          <w:tcPr>
            <w:tcW w:w="4635" w:type="dxa"/>
            <w:vAlign w:val="center"/>
          </w:tcPr>
          <w:p w14:paraId="5D6FFD75">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lang w:val="zh-CN"/>
              </w:rPr>
              <w:t>≥</w:t>
            </w:r>
            <w:r>
              <w:rPr>
                <w:rFonts w:hint="eastAsia"/>
                <w:sz w:val="24"/>
                <w:szCs w:val="32"/>
              </w:rPr>
              <w:t>1440/2070</w:t>
            </w:r>
          </w:p>
        </w:tc>
        <w:tc>
          <w:tcPr>
            <w:tcW w:w="1110" w:type="dxa"/>
            <w:vMerge w:val="continue"/>
            <w:vAlign w:val="center"/>
          </w:tcPr>
          <w:p w14:paraId="5FB10E4F">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7BE31485">
            <w:pPr>
              <w:keepNext w:val="0"/>
              <w:keepLines w:val="0"/>
              <w:suppressLineNumbers w:val="0"/>
              <w:spacing w:before="0" w:beforeAutospacing="0" w:after="0" w:afterAutospacing="0"/>
              <w:ind w:left="0" w:right="0"/>
              <w:jc w:val="center"/>
              <w:rPr>
                <w:rFonts w:hint="default"/>
                <w:sz w:val="24"/>
                <w:szCs w:val="32"/>
              </w:rPr>
            </w:pPr>
          </w:p>
        </w:tc>
      </w:tr>
      <w:tr w14:paraId="6BA7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7350EB2">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476B9ED">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7D257436">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7324B28">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w:t>
            </w:r>
            <w:r>
              <w:rPr>
                <w:rFonts w:hint="eastAsia"/>
                <w:sz w:val="24"/>
                <w:szCs w:val="32"/>
                <w:lang w:val="zh-CN"/>
              </w:rPr>
              <w:t>接近角</w:t>
            </w:r>
            <w:r>
              <w:rPr>
                <w:rFonts w:hint="eastAsia"/>
                <w:sz w:val="24"/>
                <w:szCs w:val="32"/>
              </w:rPr>
              <w:t>/</w:t>
            </w:r>
            <w:r>
              <w:rPr>
                <w:rFonts w:hint="eastAsia"/>
                <w:sz w:val="24"/>
                <w:szCs w:val="32"/>
                <w:lang w:val="zh-CN"/>
              </w:rPr>
              <w:t>离去角</w:t>
            </w:r>
            <w:r>
              <w:rPr>
                <w:rFonts w:hint="eastAsia"/>
                <w:sz w:val="24"/>
                <w:szCs w:val="32"/>
              </w:rPr>
              <w:t>（°）</w:t>
            </w:r>
          </w:p>
        </w:tc>
        <w:tc>
          <w:tcPr>
            <w:tcW w:w="4635" w:type="dxa"/>
            <w:vAlign w:val="center"/>
          </w:tcPr>
          <w:p w14:paraId="4266576B">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lang w:val="zh-CN"/>
              </w:rPr>
              <w:t>≥11/1</w:t>
            </w:r>
            <w:r>
              <w:rPr>
                <w:rFonts w:hint="eastAsia"/>
                <w:sz w:val="24"/>
                <w:szCs w:val="32"/>
              </w:rPr>
              <w:t>3</w:t>
            </w:r>
          </w:p>
        </w:tc>
        <w:tc>
          <w:tcPr>
            <w:tcW w:w="1110" w:type="dxa"/>
            <w:vMerge w:val="continue"/>
            <w:vAlign w:val="center"/>
          </w:tcPr>
          <w:p w14:paraId="0E311221">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F2BA804">
            <w:pPr>
              <w:keepNext w:val="0"/>
              <w:keepLines w:val="0"/>
              <w:suppressLineNumbers w:val="0"/>
              <w:spacing w:before="0" w:beforeAutospacing="0" w:after="0" w:afterAutospacing="0"/>
              <w:ind w:left="0" w:right="0"/>
              <w:jc w:val="center"/>
              <w:rPr>
                <w:rFonts w:hint="default"/>
                <w:sz w:val="24"/>
                <w:szCs w:val="32"/>
              </w:rPr>
            </w:pPr>
          </w:p>
        </w:tc>
      </w:tr>
      <w:tr w14:paraId="3C58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334E55E">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4F7B6357">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5B5E8AAB">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377F2E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罐体</w:t>
            </w:r>
            <w:r>
              <w:rPr>
                <w:rFonts w:hint="eastAsia"/>
                <w:sz w:val="24"/>
                <w:szCs w:val="32"/>
              </w:rPr>
              <w:t>公告</w:t>
            </w:r>
            <w:r>
              <w:rPr>
                <w:rFonts w:hint="eastAsia"/>
                <w:sz w:val="24"/>
                <w:szCs w:val="32"/>
                <w:lang w:val="zh-CN"/>
              </w:rPr>
              <w:t>有效容积（m³）</w:t>
            </w:r>
          </w:p>
        </w:tc>
        <w:tc>
          <w:tcPr>
            <w:tcW w:w="4635" w:type="dxa"/>
            <w:vAlign w:val="center"/>
          </w:tcPr>
          <w:p w14:paraId="08BADC4F">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≥8</w:t>
            </w:r>
          </w:p>
        </w:tc>
        <w:tc>
          <w:tcPr>
            <w:tcW w:w="1110" w:type="dxa"/>
            <w:vMerge w:val="continue"/>
            <w:vAlign w:val="center"/>
          </w:tcPr>
          <w:p w14:paraId="4F5925BD">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40F7F787">
            <w:pPr>
              <w:keepNext w:val="0"/>
              <w:keepLines w:val="0"/>
              <w:suppressLineNumbers w:val="0"/>
              <w:spacing w:before="0" w:beforeAutospacing="0" w:after="0" w:afterAutospacing="0"/>
              <w:ind w:left="0" w:right="0"/>
              <w:jc w:val="center"/>
              <w:rPr>
                <w:rFonts w:hint="default"/>
                <w:sz w:val="24"/>
                <w:szCs w:val="32"/>
              </w:rPr>
            </w:pPr>
          </w:p>
        </w:tc>
      </w:tr>
      <w:tr w14:paraId="67A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6B7ABAB">
            <w:pPr>
              <w:keepNext w:val="0"/>
              <w:keepLines w:val="0"/>
              <w:suppressLineNumbers w:val="0"/>
              <w:spacing w:before="0" w:beforeAutospacing="0" w:after="0" w:afterAutospacing="0"/>
              <w:ind w:left="0" w:right="0"/>
              <w:jc w:val="center"/>
              <w:rPr>
                <w:rFonts w:hint="default"/>
                <w:sz w:val="24"/>
                <w:szCs w:val="32"/>
              </w:rPr>
            </w:pPr>
          </w:p>
          <w:p w14:paraId="23FCCE97">
            <w:pPr>
              <w:pStyle w:val="7"/>
              <w:keepNext w:val="0"/>
              <w:keepLines w:val="0"/>
              <w:widowControl w:val="0"/>
              <w:suppressLineNumbers w:val="0"/>
              <w:spacing w:before="0" w:beforeAutospacing="0" w:after="0" w:afterAutospacing="0"/>
              <w:ind w:left="0" w:right="0"/>
              <w:jc w:val="both"/>
              <w:rPr>
                <w:rFonts w:hint="default"/>
                <w:szCs w:val="32"/>
              </w:rPr>
            </w:pPr>
          </w:p>
          <w:p w14:paraId="267EA8AF">
            <w:pPr>
              <w:pStyle w:val="7"/>
              <w:keepNext w:val="0"/>
              <w:keepLines w:val="0"/>
              <w:widowControl w:val="0"/>
              <w:suppressLineNumbers w:val="0"/>
              <w:spacing w:before="0" w:beforeAutospacing="0" w:after="0" w:afterAutospacing="0"/>
              <w:ind w:left="0" w:right="0"/>
              <w:jc w:val="both"/>
              <w:rPr>
                <w:rFonts w:hint="default"/>
                <w:szCs w:val="32"/>
              </w:rPr>
            </w:pPr>
          </w:p>
          <w:p w14:paraId="2A3DF17E">
            <w:pPr>
              <w:pStyle w:val="7"/>
              <w:keepNext w:val="0"/>
              <w:keepLines w:val="0"/>
              <w:widowControl w:val="0"/>
              <w:suppressLineNumbers w:val="0"/>
              <w:spacing w:before="0" w:beforeAutospacing="0" w:after="0" w:afterAutospacing="0"/>
              <w:ind w:left="0" w:right="0"/>
              <w:jc w:val="both"/>
              <w:rPr>
                <w:rFonts w:hint="default"/>
                <w:szCs w:val="32"/>
              </w:rPr>
            </w:pPr>
          </w:p>
        </w:tc>
        <w:tc>
          <w:tcPr>
            <w:tcW w:w="795" w:type="dxa"/>
            <w:vMerge w:val="continue"/>
            <w:vAlign w:val="center"/>
          </w:tcPr>
          <w:p w14:paraId="02F5D9B5">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D1FDC33">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42B66B6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高压水泵最大压力(MPa)</w:t>
            </w:r>
          </w:p>
        </w:tc>
        <w:tc>
          <w:tcPr>
            <w:tcW w:w="4635" w:type="dxa"/>
            <w:vAlign w:val="center"/>
          </w:tcPr>
          <w:p w14:paraId="58B32D3B">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≥10</w:t>
            </w:r>
          </w:p>
        </w:tc>
        <w:tc>
          <w:tcPr>
            <w:tcW w:w="1110" w:type="dxa"/>
            <w:vMerge w:val="continue"/>
            <w:vAlign w:val="center"/>
          </w:tcPr>
          <w:p w14:paraId="7511B6EB">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4A0D31CF">
            <w:pPr>
              <w:keepNext w:val="0"/>
              <w:keepLines w:val="0"/>
              <w:suppressLineNumbers w:val="0"/>
              <w:spacing w:before="0" w:beforeAutospacing="0" w:after="0" w:afterAutospacing="0"/>
              <w:ind w:left="0" w:right="0"/>
              <w:jc w:val="center"/>
              <w:rPr>
                <w:rFonts w:hint="default"/>
                <w:sz w:val="24"/>
                <w:szCs w:val="32"/>
              </w:rPr>
            </w:pPr>
          </w:p>
        </w:tc>
      </w:tr>
      <w:tr w14:paraId="6110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EF8A704">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1CD9F80A">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C5B7BD7">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4722201F">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高压水泵流量(L/min)</w:t>
            </w:r>
          </w:p>
        </w:tc>
        <w:tc>
          <w:tcPr>
            <w:tcW w:w="4635" w:type="dxa"/>
            <w:vAlign w:val="center"/>
          </w:tcPr>
          <w:p w14:paraId="0A3A5E9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≥142</w:t>
            </w:r>
          </w:p>
        </w:tc>
        <w:tc>
          <w:tcPr>
            <w:tcW w:w="1110" w:type="dxa"/>
            <w:vMerge w:val="continue"/>
            <w:vAlign w:val="center"/>
          </w:tcPr>
          <w:p w14:paraId="6DE665D0">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7853358">
            <w:pPr>
              <w:keepNext w:val="0"/>
              <w:keepLines w:val="0"/>
              <w:suppressLineNumbers w:val="0"/>
              <w:spacing w:before="0" w:beforeAutospacing="0" w:after="0" w:afterAutospacing="0"/>
              <w:ind w:left="0" w:right="0"/>
              <w:jc w:val="center"/>
              <w:rPr>
                <w:rFonts w:hint="default"/>
                <w:sz w:val="24"/>
                <w:szCs w:val="32"/>
              </w:rPr>
            </w:pPr>
          </w:p>
        </w:tc>
      </w:tr>
      <w:tr w14:paraId="2CA1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6472F38">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2FA4191">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C9C91BF">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9A65952">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★低压</w:t>
            </w:r>
            <w:r>
              <w:rPr>
                <w:rFonts w:hint="eastAsia"/>
                <w:sz w:val="24"/>
                <w:szCs w:val="32"/>
                <w:lang w:val="zh-CN"/>
              </w:rPr>
              <w:t>洒水泵扬程(m)</w:t>
            </w:r>
          </w:p>
        </w:tc>
        <w:tc>
          <w:tcPr>
            <w:tcW w:w="4635" w:type="dxa"/>
            <w:vAlign w:val="center"/>
          </w:tcPr>
          <w:p w14:paraId="3CC69F6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≥110</w:t>
            </w:r>
          </w:p>
        </w:tc>
        <w:tc>
          <w:tcPr>
            <w:tcW w:w="1110" w:type="dxa"/>
            <w:vMerge w:val="continue"/>
            <w:vAlign w:val="center"/>
          </w:tcPr>
          <w:p w14:paraId="081B48AD">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44DD5E0">
            <w:pPr>
              <w:keepNext w:val="0"/>
              <w:keepLines w:val="0"/>
              <w:suppressLineNumbers w:val="0"/>
              <w:spacing w:before="0" w:beforeAutospacing="0" w:after="0" w:afterAutospacing="0"/>
              <w:ind w:left="0" w:right="0"/>
              <w:jc w:val="center"/>
              <w:rPr>
                <w:rFonts w:hint="default"/>
                <w:sz w:val="24"/>
                <w:szCs w:val="32"/>
              </w:rPr>
            </w:pPr>
          </w:p>
        </w:tc>
      </w:tr>
      <w:tr w14:paraId="2D09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5D4C7C6">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1ECEE34F">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3C6262C">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E9CD011">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★低压</w:t>
            </w:r>
            <w:r>
              <w:rPr>
                <w:rFonts w:hint="eastAsia"/>
                <w:sz w:val="24"/>
                <w:szCs w:val="32"/>
                <w:lang w:val="zh-CN"/>
              </w:rPr>
              <w:t>洒水泵流量(m³/h)</w:t>
            </w:r>
          </w:p>
        </w:tc>
        <w:tc>
          <w:tcPr>
            <w:tcW w:w="4635" w:type="dxa"/>
            <w:vAlign w:val="center"/>
          </w:tcPr>
          <w:p w14:paraId="3AD2D38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≥50</w:t>
            </w:r>
          </w:p>
        </w:tc>
        <w:tc>
          <w:tcPr>
            <w:tcW w:w="1110" w:type="dxa"/>
            <w:vMerge w:val="continue"/>
            <w:vAlign w:val="center"/>
          </w:tcPr>
          <w:p w14:paraId="7260F238">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7E9BDCDE">
            <w:pPr>
              <w:keepNext w:val="0"/>
              <w:keepLines w:val="0"/>
              <w:suppressLineNumbers w:val="0"/>
              <w:spacing w:before="0" w:beforeAutospacing="0" w:after="0" w:afterAutospacing="0"/>
              <w:ind w:left="0" w:right="0"/>
              <w:jc w:val="center"/>
              <w:rPr>
                <w:rFonts w:hint="default"/>
                <w:sz w:val="24"/>
                <w:szCs w:val="32"/>
              </w:rPr>
            </w:pPr>
          </w:p>
        </w:tc>
      </w:tr>
      <w:tr w14:paraId="3CE4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A6E4552">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F775BAE">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CA9BBAB">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7CBC9A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对冲冲洗宽度(m)</w:t>
            </w:r>
          </w:p>
        </w:tc>
        <w:tc>
          <w:tcPr>
            <w:tcW w:w="4635" w:type="dxa"/>
            <w:vAlign w:val="center"/>
          </w:tcPr>
          <w:p w14:paraId="74E0C22C">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≥24</w:t>
            </w:r>
          </w:p>
        </w:tc>
        <w:tc>
          <w:tcPr>
            <w:tcW w:w="1110" w:type="dxa"/>
            <w:vMerge w:val="continue"/>
            <w:vAlign w:val="center"/>
          </w:tcPr>
          <w:p w14:paraId="0C3C66F6">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E25F7C5">
            <w:pPr>
              <w:keepNext w:val="0"/>
              <w:keepLines w:val="0"/>
              <w:suppressLineNumbers w:val="0"/>
              <w:spacing w:before="0" w:beforeAutospacing="0" w:after="0" w:afterAutospacing="0"/>
              <w:ind w:left="0" w:right="0"/>
              <w:jc w:val="center"/>
              <w:rPr>
                <w:rFonts w:hint="default"/>
                <w:sz w:val="24"/>
                <w:szCs w:val="32"/>
              </w:rPr>
            </w:pPr>
          </w:p>
        </w:tc>
      </w:tr>
      <w:tr w14:paraId="1C57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DB38DFD">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762369BC">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6EEFA3D7">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26A41652">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驾驶室调温措施</w:t>
            </w:r>
          </w:p>
        </w:tc>
        <w:tc>
          <w:tcPr>
            <w:tcW w:w="4635" w:type="dxa"/>
            <w:vAlign w:val="center"/>
          </w:tcPr>
          <w:p w14:paraId="7EFCD37F">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配原厂冷暖空调</w:t>
            </w:r>
          </w:p>
        </w:tc>
        <w:tc>
          <w:tcPr>
            <w:tcW w:w="1110" w:type="dxa"/>
            <w:vMerge w:val="continue"/>
            <w:vAlign w:val="center"/>
          </w:tcPr>
          <w:p w14:paraId="5F5C0E93">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D3E0961">
            <w:pPr>
              <w:keepNext w:val="0"/>
              <w:keepLines w:val="0"/>
              <w:suppressLineNumbers w:val="0"/>
              <w:spacing w:before="0" w:beforeAutospacing="0" w:after="0" w:afterAutospacing="0"/>
              <w:ind w:left="0" w:right="0"/>
              <w:jc w:val="center"/>
              <w:rPr>
                <w:rFonts w:hint="default"/>
                <w:sz w:val="24"/>
                <w:szCs w:val="32"/>
              </w:rPr>
            </w:pPr>
          </w:p>
        </w:tc>
      </w:tr>
      <w:tr w14:paraId="19EE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E491B0F">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304CB160">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6F30E0A">
            <w:pPr>
              <w:keepNext w:val="0"/>
              <w:keepLines w:val="0"/>
              <w:suppressLineNumbers w:val="0"/>
              <w:spacing w:before="0" w:beforeAutospacing="0" w:after="0" w:afterAutospacing="0"/>
              <w:ind w:left="0" w:right="0"/>
              <w:jc w:val="center"/>
              <w:rPr>
                <w:rFonts w:hint="default"/>
                <w:sz w:val="24"/>
                <w:szCs w:val="32"/>
              </w:rPr>
            </w:pPr>
          </w:p>
        </w:tc>
        <w:tc>
          <w:tcPr>
            <w:tcW w:w="9255" w:type="dxa"/>
            <w:gridSpan w:val="2"/>
            <w:vAlign w:val="center"/>
          </w:tcPr>
          <w:p w14:paraId="6DD2E0BE">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二、主要功能要求</w:t>
            </w:r>
          </w:p>
        </w:tc>
        <w:tc>
          <w:tcPr>
            <w:tcW w:w="1110" w:type="dxa"/>
            <w:vMerge w:val="continue"/>
            <w:vAlign w:val="center"/>
          </w:tcPr>
          <w:p w14:paraId="1EB40A9A">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DF9C48B">
            <w:pPr>
              <w:keepNext w:val="0"/>
              <w:keepLines w:val="0"/>
              <w:suppressLineNumbers w:val="0"/>
              <w:spacing w:before="0" w:beforeAutospacing="0" w:after="0" w:afterAutospacing="0"/>
              <w:ind w:left="0" w:right="0"/>
              <w:jc w:val="center"/>
              <w:rPr>
                <w:rFonts w:hint="default"/>
                <w:sz w:val="24"/>
                <w:szCs w:val="32"/>
              </w:rPr>
            </w:pPr>
          </w:p>
        </w:tc>
      </w:tr>
      <w:tr w14:paraId="7A7B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BCBF3D9">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465E5CCD">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7F7D2089">
            <w:pPr>
              <w:keepNext w:val="0"/>
              <w:keepLines w:val="0"/>
              <w:suppressLineNumbers w:val="0"/>
              <w:spacing w:before="0" w:beforeAutospacing="0" w:after="0" w:afterAutospacing="0"/>
              <w:ind w:left="0" w:right="0"/>
              <w:jc w:val="center"/>
              <w:rPr>
                <w:rFonts w:hint="default"/>
                <w:sz w:val="24"/>
                <w:szCs w:val="32"/>
              </w:rPr>
            </w:pPr>
          </w:p>
        </w:tc>
        <w:tc>
          <w:tcPr>
            <w:tcW w:w="9255" w:type="dxa"/>
            <w:gridSpan w:val="2"/>
            <w:vAlign w:val="center"/>
          </w:tcPr>
          <w:p w14:paraId="5452FC79">
            <w:pPr>
              <w:keepNext w:val="0"/>
              <w:keepLines w:val="0"/>
              <w:suppressLineNumbers w:val="0"/>
              <w:spacing w:before="0" w:beforeAutospacing="0" w:after="0" w:afterAutospacing="0"/>
              <w:ind w:left="0" w:right="0"/>
              <w:rPr>
                <w:rFonts w:hint="default"/>
                <w:sz w:val="24"/>
                <w:szCs w:val="32"/>
              </w:rPr>
            </w:pPr>
            <w:r>
              <w:rPr>
                <w:rFonts w:hint="eastAsia"/>
                <w:sz w:val="24"/>
                <w:szCs w:val="32"/>
              </w:rPr>
              <w:t>1、整车动力系统采用单电动机驱动高压水泵或自吸式双级离心泵，两套水路系统单独使用，清洗不同污染程度的路面且保证低压水泵转速不受底盘行驶速度影响。</w:t>
            </w:r>
          </w:p>
          <w:p w14:paraId="60D1F071">
            <w:pPr>
              <w:keepNext w:val="0"/>
              <w:keepLines w:val="0"/>
              <w:suppressLineNumbers w:val="0"/>
              <w:spacing w:before="0" w:beforeAutospacing="0" w:after="0" w:afterAutospacing="0"/>
              <w:ind w:left="0" w:right="0"/>
              <w:rPr>
                <w:rFonts w:hint="default"/>
                <w:sz w:val="24"/>
                <w:szCs w:val="32"/>
              </w:rPr>
            </w:pPr>
            <w:r>
              <w:rPr>
                <w:rFonts w:hint="eastAsia"/>
                <w:sz w:val="24"/>
                <w:szCs w:val="32"/>
              </w:rPr>
              <w:t>2、前清洗喷水架作业清洗宽度不小于3m，可左右偏转，遇到前方障碍物，左右侧喷杆可向内收缩避让，越过障碍后自动恢复到正常工作位置。</w:t>
            </w:r>
          </w:p>
          <w:p w14:paraId="33D7921C">
            <w:pPr>
              <w:keepNext w:val="0"/>
              <w:keepLines w:val="0"/>
              <w:suppressLineNumbers w:val="0"/>
              <w:spacing w:before="0" w:beforeAutospacing="0" w:after="0" w:afterAutospacing="0"/>
              <w:ind w:left="0" w:right="0"/>
              <w:rPr>
                <w:rFonts w:hint="default"/>
                <w:sz w:val="24"/>
                <w:szCs w:val="32"/>
              </w:rPr>
            </w:pPr>
            <w:r>
              <w:rPr>
                <w:rFonts w:hint="eastAsia"/>
                <w:sz w:val="24"/>
                <w:szCs w:val="32"/>
              </w:rPr>
              <w:t>3、自动卷盘可用快速接头连接，卷盘自带不少于20m长输水胶管。</w:t>
            </w:r>
          </w:p>
          <w:p w14:paraId="5AE3B2F6">
            <w:pPr>
              <w:keepNext w:val="0"/>
              <w:keepLines w:val="0"/>
              <w:suppressLineNumbers w:val="0"/>
              <w:spacing w:before="0" w:beforeAutospacing="0" w:after="0" w:afterAutospacing="0"/>
              <w:ind w:left="0" w:right="0"/>
              <w:rPr>
                <w:rFonts w:hint="default"/>
                <w:sz w:val="24"/>
                <w:szCs w:val="32"/>
              </w:rPr>
            </w:pPr>
            <w:r>
              <w:rPr>
                <w:rFonts w:hint="eastAsia"/>
                <w:sz w:val="24"/>
                <w:szCs w:val="32"/>
              </w:rPr>
              <w:t>4、中部柱状冲洗装置左右各一个圆锥喷嘴，双向冲洗，气动控制，对冲可一次冲洗宽度不小于24米。</w:t>
            </w:r>
          </w:p>
          <w:p w14:paraId="6F87CD8C">
            <w:pPr>
              <w:keepNext w:val="0"/>
              <w:keepLines w:val="0"/>
              <w:suppressLineNumbers w:val="0"/>
              <w:spacing w:before="0" w:beforeAutospacing="0" w:after="0" w:afterAutospacing="0"/>
              <w:ind w:left="0" w:right="0"/>
              <w:rPr>
                <w:rFonts w:hint="default"/>
                <w:sz w:val="24"/>
                <w:szCs w:val="32"/>
              </w:rPr>
            </w:pPr>
            <w:r>
              <w:rPr>
                <w:rFonts w:hint="eastAsia"/>
                <w:sz w:val="24"/>
                <w:szCs w:val="32"/>
              </w:rPr>
              <w:t>5、后洒水装置采用气动控制后洒喷嘴的开启与关闭，同时开启两个后洒喷嘴时，洒水宽度不小于16米。</w:t>
            </w:r>
          </w:p>
          <w:p w14:paraId="0C5FC1BB">
            <w:pPr>
              <w:keepNext w:val="0"/>
              <w:keepLines w:val="0"/>
              <w:suppressLineNumbers w:val="0"/>
              <w:spacing w:before="0" w:beforeAutospacing="0" w:after="0" w:afterAutospacing="0"/>
              <w:ind w:left="0" w:right="0"/>
              <w:rPr>
                <w:rFonts w:hint="default"/>
                <w:sz w:val="24"/>
                <w:szCs w:val="32"/>
              </w:rPr>
            </w:pPr>
            <w:r>
              <w:rPr>
                <w:rFonts w:hint="eastAsia"/>
                <w:sz w:val="24"/>
                <w:szCs w:val="32"/>
              </w:rPr>
              <w:t>6、后高喷远射程水枪，能喷洗多种高度的物体，清除一些不易清洗的环卫死角。高喷水枪可左右360°旋转、枪体可上下俯仰操作。正反拧转枪体前部的调节套管，可调节水枪的喷射形状（柱状或雾状）及关闭水枪。还具有辅助消防功能。</w:t>
            </w:r>
          </w:p>
          <w:p w14:paraId="4F139A8B">
            <w:pPr>
              <w:keepNext w:val="0"/>
              <w:keepLines w:val="0"/>
              <w:suppressLineNumbers w:val="0"/>
              <w:spacing w:before="0" w:beforeAutospacing="0" w:after="0" w:afterAutospacing="0"/>
              <w:ind w:left="0" w:right="0"/>
              <w:rPr>
                <w:rFonts w:hint="default"/>
                <w:sz w:val="24"/>
                <w:szCs w:val="32"/>
              </w:rPr>
            </w:pPr>
            <w:r>
              <w:rPr>
                <w:rFonts w:hint="eastAsia"/>
                <w:sz w:val="24"/>
                <w:szCs w:val="32"/>
              </w:rPr>
              <w:t>7、车辆采用电气控制与手动控制相结合的控制模式。</w:t>
            </w:r>
          </w:p>
          <w:p w14:paraId="70606733">
            <w:pPr>
              <w:keepNext w:val="0"/>
              <w:keepLines w:val="0"/>
              <w:suppressLineNumbers w:val="0"/>
              <w:spacing w:before="0" w:beforeAutospacing="0" w:after="0" w:afterAutospacing="0"/>
              <w:ind w:left="0" w:right="0"/>
              <w:rPr>
                <w:rFonts w:hint="default"/>
                <w:sz w:val="24"/>
                <w:szCs w:val="32"/>
              </w:rPr>
            </w:pPr>
            <w:r>
              <w:rPr>
                <w:rFonts w:hint="eastAsia"/>
                <w:sz w:val="24"/>
                <w:szCs w:val="32"/>
              </w:rPr>
              <w:t>8、罐体内部采用防波板缓冲结构设计，底架采用框架结构。</w:t>
            </w:r>
          </w:p>
          <w:p w14:paraId="7A036032">
            <w:pPr>
              <w:keepNext w:val="0"/>
              <w:keepLines w:val="0"/>
              <w:suppressLineNumbers w:val="0"/>
              <w:spacing w:before="0" w:beforeAutospacing="0" w:after="0" w:afterAutospacing="0"/>
              <w:ind w:left="0" w:right="0"/>
              <w:rPr>
                <w:rFonts w:hint="default"/>
                <w:sz w:val="24"/>
                <w:szCs w:val="32"/>
              </w:rPr>
            </w:pPr>
            <w:r>
              <w:rPr>
                <w:rFonts w:hint="eastAsia"/>
                <w:sz w:val="24"/>
                <w:szCs w:val="32"/>
              </w:rPr>
              <w:t>9、水泵、管路、水阀均设放水排干功能，避免产品在低温环境下冻裂损坏。</w:t>
            </w:r>
          </w:p>
        </w:tc>
        <w:tc>
          <w:tcPr>
            <w:tcW w:w="1110" w:type="dxa"/>
            <w:vMerge w:val="continue"/>
            <w:vAlign w:val="center"/>
          </w:tcPr>
          <w:p w14:paraId="216C1AC3">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49987DD3">
            <w:pPr>
              <w:keepNext w:val="0"/>
              <w:keepLines w:val="0"/>
              <w:suppressLineNumbers w:val="0"/>
              <w:spacing w:before="0" w:beforeAutospacing="0" w:after="0" w:afterAutospacing="0"/>
              <w:ind w:left="0" w:right="0"/>
              <w:jc w:val="center"/>
              <w:rPr>
                <w:rFonts w:hint="default"/>
                <w:sz w:val="24"/>
                <w:szCs w:val="32"/>
              </w:rPr>
            </w:pPr>
          </w:p>
        </w:tc>
      </w:tr>
      <w:tr w14:paraId="0B11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64A3A1F7">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12吨纯电动低压冲洗车</w:t>
            </w:r>
          </w:p>
        </w:tc>
        <w:tc>
          <w:tcPr>
            <w:tcW w:w="795" w:type="dxa"/>
            <w:vMerge w:val="restart"/>
            <w:vAlign w:val="center"/>
          </w:tcPr>
          <w:p w14:paraId="3976DA3A">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w:t>
            </w:r>
          </w:p>
        </w:tc>
        <w:tc>
          <w:tcPr>
            <w:tcW w:w="735" w:type="dxa"/>
            <w:vMerge w:val="restart"/>
            <w:vAlign w:val="center"/>
          </w:tcPr>
          <w:p w14:paraId="06045D14">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辆</w:t>
            </w:r>
          </w:p>
        </w:tc>
        <w:tc>
          <w:tcPr>
            <w:tcW w:w="9255" w:type="dxa"/>
            <w:gridSpan w:val="2"/>
            <w:vAlign w:val="center"/>
          </w:tcPr>
          <w:p w14:paraId="460E3F7B">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一、主要参数要求</w:t>
            </w:r>
          </w:p>
        </w:tc>
        <w:tc>
          <w:tcPr>
            <w:tcW w:w="1110" w:type="dxa"/>
            <w:vMerge w:val="restart"/>
            <w:vAlign w:val="center"/>
          </w:tcPr>
          <w:p w14:paraId="5DD131EC">
            <w:pPr>
              <w:keepNext w:val="0"/>
              <w:keepLines w:val="0"/>
              <w:suppressLineNumbers w:val="0"/>
              <w:spacing w:before="0" w:beforeAutospacing="0" w:after="0" w:afterAutospacing="0"/>
              <w:ind w:left="0" w:right="0"/>
              <w:jc w:val="center"/>
              <w:rPr>
                <w:rFonts w:hint="default"/>
                <w:sz w:val="24"/>
                <w:szCs w:val="32"/>
              </w:rPr>
            </w:pPr>
          </w:p>
        </w:tc>
        <w:tc>
          <w:tcPr>
            <w:tcW w:w="1095" w:type="dxa"/>
            <w:vMerge w:val="restart"/>
            <w:vAlign w:val="center"/>
          </w:tcPr>
          <w:p w14:paraId="571771B8">
            <w:pPr>
              <w:keepNext w:val="0"/>
              <w:keepLines w:val="0"/>
              <w:suppressLineNumbers w:val="0"/>
              <w:spacing w:before="0" w:beforeAutospacing="0" w:after="0" w:afterAutospacing="0"/>
              <w:ind w:left="0" w:right="0"/>
              <w:jc w:val="center"/>
              <w:rPr>
                <w:rFonts w:hint="default"/>
                <w:sz w:val="24"/>
                <w:szCs w:val="32"/>
              </w:rPr>
            </w:pPr>
          </w:p>
        </w:tc>
      </w:tr>
      <w:tr w14:paraId="5C3B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52F0872">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A84F9A9">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52471A5F">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977589C">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底盘类别</w:t>
            </w:r>
          </w:p>
        </w:tc>
        <w:tc>
          <w:tcPr>
            <w:tcW w:w="4635" w:type="dxa"/>
            <w:vAlign w:val="center"/>
          </w:tcPr>
          <w:p w14:paraId="265D794B">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二类载货汽车底盘</w:t>
            </w:r>
          </w:p>
        </w:tc>
        <w:tc>
          <w:tcPr>
            <w:tcW w:w="1110" w:type="dxa"/>
            <w:vMerge w:val="continue"/>
            <w:vAlign w:val="center"/>
          </w:tcPr>
          <w:p w14:paraId="2A23922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664E2718">
            <w:pPr>
              <w:keepNext w:val="0"/>
              <w:keepLines w:val="0"/>
              <w:suppressLineNumbers w:val="0"/>
              <w:spacing w:before="0" w:beforeAutospacing="0" w:after="0" w:afterAutospacing="0"/>
              <w:ind w:left="0" w:right="0"/>
              <w:jc w:val="center"/>
              <w:rPr>
                <w:rFonts w:hint="default"/>
                <w:sz w:val="24"/>
                <w:szCs w:val="32"/>
              </w:rPr>
            </w:pPr>
          </w:p>
        </w:tc>
      </w:tr>
      <w:tr w14:paraId="5CC5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4736180">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18E72213">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EB35494">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5DF0D64">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电机峰值功率（kW）</w:t>
            </w:r>
          </w:p>
        </w:tc>
        <w:tc>
          <w:tcPr>
            <w:tcW w:w="4635" w:type="dxa"/>
            <w:vAlign w:val="center"/>
          </w:tcPr>
          <w:p w14:paraId="214203A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≥160</w:t>
            </w:r>
          </w:p>
        </w:tc>
        <w:tc>
          <w:tcPr>
            <w:tcW w:w="1110" w:type="dxa"/>
            <w:vMerge w:val="continue"/>
            <w:vAlign w:val="center"/>
          </w:tcPr>
          <w:p w14:paraId="5415F325">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7ADA1139">
            <w:pPr>
              <w:keepNext w:val="0"/>
              <w:keepLines w:val="0"/>
              <w:suppressLineNumbers w:val="0"/>
              <w:spacing w:before="0" w:beforeAutospacing="0" w:after="0" w:afterAutospacing="0"/>
              <w:ind w:left="0" w:right="0"/>
              <w:jc w:val="center"/>
              <w:rPr>
                <w:rFonts w:hint="default"/>
                <w:sz w:val="24"/>
                <w:szCs w:val="32"/>
              </w:rPr>
            </w:pPr>
          </w:p>
        </w:tc>
      </w:tr>
      <w:tr w14:paraId="51D0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4AE1A0A">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E99E905">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BA73FCC">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E6E555D">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电池能量密度（wh/kg）</w:t>
            </w:r>
          </w:p>
        </w:tc>
        <w:tc>
          <w:tcPr>
            <w:tcW w:w="4635" w:type="dxa"/>
            <w:vAlign w:val="center"/>
          </w:tcPr>
          <w:p w14:paraId="0AC18641">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≥140</w:t>
            </w:r>
          </w:p>
        </w:tc>
        <w:tc>
          <w:tcPr>
            <w:tcW w:w="1110" w:type="dxa"/>
            <w:vMerge w:val="continue"/>
            <w:vAlign w:val="center"/>
          </w:tcPr>
          <w:p w14:paraId="484901DF">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ACFB5D7">
            <w:pPr>
              <w:keepNext w:val="0"/>
              <w:keepLines w:val="0"/>
              <w:suppressLineNumbers w:val="0"/>
              <w:spacing w:before="0" w:beforeAutospacing="0" w:after="0" w:afterAutospacing="0"/>
              <w:ind w:left="0" w:right="0"/>
              <w:jc w:val="center"/>
              <w:rPr>
                <w:rFonts w:hint="default"/>
                <w:sz w:val="24"/>
                <w:szCs w:val="32"/>
              </w:rPr>
            </w:pPr>
          </w:p>
        </w:tc>
      </w:tr>
      <w:tr w14:paraId="200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D6A2098">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4CE2A496">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B1F0DCF">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352B43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储能装置总储电量（kWh）</w:t>
            </w:r>
          </w:p>
        </w:tc>
        <w:tc>
          <w:tcPr>
            <w:tcW w:w="4635" w:type="dxa"/>
            <w:vAlign w:val="center"/>
          </w:tcPr>
          <w:p w14:paraId="0B795CF1">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≥140</w:t>
            </w:r>
          </w:p>
        </w:tc>
        <w:tc>
          <w:tcPr>
            <w:tcW w:w="1110" w:type="dxa"/>
            <w:vMerge w:val="continue"/>
            <w:vAlign w:val="center"/>
          </w:tcPr>
          <w:p w14:paraId="30A9891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779CB2B">
            <w:pPr>
              <w:keepNext w:val="0"/>
              <w:keepLines w:val="0"/>
              <w:suppressLineNumbers w:val="0"/>
              <w:spacing w:before="0" w:beforeAutospacing="0" w:after="0" w:afterAutospacing="0"/>
              <w:ind w:left="0" w:right="0"/>
              <w:jc w:val="center"/>
              <w:rPr>
                <w:rFonts w:hint="default"/>
                <w:sz w:val="24"/>
                <w:szCs w:val="32"/>
              </w:rPr>
            </w:pPr>
          </w:p>
        </w:tc>
      </w:tr>
      <w:tr w14:paraId="2265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0F2BCC6">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5ABEEEF">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67A5BC5">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9D2285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续航里程（km，等速法）</w:t>
            </w:r>
          </w:p>
        </w:tc>
        <w:tc>
          <w:tcPr>
            <w:tcW w:w="4635" w:type="dxa"/>
            <w:vAlign w:val="center"/>
          </w:tcPr>
          <w:p w14:paraId="4D4545BD">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≥280</w:t>
            </w:r>
          </w:p>
        </w:tc>
        <w:tc>
          <w:tcPr>
            <w:tcW w:w="1110" w:type="dxa"/>
            <w:vMerge w:val="continue"/>
            <w:vAlign w:val="center"/>
          </w:tcPr>
          <w:p w14:paraId="48432BDA">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7B6CE98">
            <w:pPr>
              <w:keepNext w:val="0"/>
              <w:keepLines w:val="0"/>
              <w:suppressLineNumbers w:val="0"/>
              <w:spacing w:before="0" w:beforeAutospacing="0" w:after="0" w:afterAutospacing="0"/>
              <w:ind w:left="0" w:right="0"/>
              <w:jc w:val="center"/>
              <w:rPr>
                <w:rFonts w:hint="default"/>
                <w:sz w:val="24"/>
                <w:szCs w:val="32"/>
              </w:rPr>
            </w:pPr>
          </w:p>
        </w:tc>
      </w:tr>
      <w:tr w14:paraId="6C4E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652F60A">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4334C554">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7B9B3E74">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22D0DC4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w:t>
            </w:r>
            <w:r>
              <w:rPr>
                <w:rFonts w:hint="eastAsia"/>
                <w:sz w:val="24"/>
                <w:szCs w:val="32"/>
                <w:lang w:val="zh-CN"/>
              </w:rPr>
              <w:t>电源电池种类</w:t>
            </w:r>
          </w:p>
        </w:tc>
        <w:tc>
          <w:tcPr>
            <w:tcW w:w="4635" w:type="dxa"/>
            <w:vAlign w:val="center"/>
          </w:tcPr>
          <w:p w14:paraId="6E4A478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磷酸铁锂电池或优于</w:t>
            </w:r>
          </w:p>
        </w:tc>
        <w:tc>
          <w:tcPr>
            <w:tcW w:w="1110" w:type="dxa"/>
            <w:vMerge w:val="continue"/>
            <w:vAlign w:val="center"/>
          </w:tcPr>
          <w:p w14:paraId="3293B586">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F862278">
            <w:pPr>
              <w:keepNext w:val="0"/>
              <w:keepLines w:val="0"/>
              <w:suppressLineNumbers w:val="0"/>
              <w:spacing w:before="0" w:beforeAutospacing="0" w:after="0" w:afterAutospacing="0"/>
              <w:ind w:left="0" w:right="0"/>
              <w:jc w:val="center"/>
              <w:rPr>
                <w:rFonts w:hint="default"/>
                <w:sz w:val="24"/>
                <w:szCs w:val="32"/>
              </w:rPr>
            </w:pPr>
          </w:p>
        </w:tc>
      </w:tr>
      <w:tr w14:paraId="384E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7C52AAC">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95538C8">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09E71B2">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24DBB4D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最大总质量(kg)</w:t>
            </w:r>
          </w:p>
        </w:tc>
        <w:tc>
          <w:tcPr>
            <w:tcW w:w="4635" w:type="dxa"/>
            <w:vAlign w:val="center"/>
          </w:tcPr>
          <w:p w14:paraId="4B15C08A">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≥12000</w:t>
            </w:r>
          </w:p>
        </w:tc>
        <w:tc>
          <w:tcPr>
            <w:tcW w:w="1110" w:type="dxa"/>
            <w:vMerge w:val="continue"/>
            <w:vAlign w:val="center"/>
          </w:tcPr>
          <w:p w14:paraId="1A46CA76">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77C42565">
            <w:pPr>
              <w:keepNext w:val="0"/>
              <w:keepLines w:val="0"/>
              <w:suppressLineNumbers w:val="0"/>
              <w:spacing w:before="0" w:beforeAutospacing="0" w:after="0" w:afterAutospacing="0"/>
              <w:ind w:left="0" w:right="0"/>
              <w:jc w:val="center"/>
              <w:rPr>
                <w:rFonts w:hint="default"/>
                <w:sz w:val="24"/>
                <w:szCs w:val="32"/>
              </w:rPr>
            </w:pPr>
          </w:p>
        </w:tc>
      </w:tr>
      <w:tr w14:paraId="08F8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937C816">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4796DF9">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2FEFE53">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10BCE9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整备质量(kg)</w:t>
            </w:r>
          </w:p>
        </w:tc>
        <w:tc>
          <w:tcPr>
            <w:tcW w:w="4635" w:type="dxa"/>
            <w:vAlign w:val="center"/>
          </w:tcPr>
          <w:p w14:paraId="25CC3B30">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≥6</w:t>
            </w:r>
            <w:r>
              <w:rPr>
                <w:rFonts w:hint="eastAsia"/>
                <w:sz w:val="24"/>
                <w:szCs w:val="32"/>
              </w:rPr>
              <w:t>2</w:t>
            </w:r>
            <w:r>
              <w:rPr>
                <w:rFonts w:hint="eastAsia"/>
                <w:sz w:val="24"/>
                <w:szCs w:val="32"/>
                <w:lang w:val="zh-CN"/>
              </w:rPr>
              <w:t>00</w:t>
            </w:r>
          </w:p>
        </w:tc>
        <w:tc>
          <w:tcPr>
            <w:tcW w:w="1110" w:type="dxa"/>
            <w:vMerge w:val="continue"/>
            <w:vAlign w:val="center"/>
          </w:tcPr>
          <w:p w14:paraId="593A690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283CA9FC">
            <w:pPr>
              <w:keepNext w:val="0"/>
              <w:keepLines w:val="0"/>
              <w:suppressLineNumbers w:val="0"/>
              <w:spacing w:before="0" w:beforeAutospacing="0" w:after="0" w:afterAutospacing="0"/>
              <w:ind w:left="0" w:right="0"/>
              <w:jc w:val="center"/>
              <w:rPr>
                <w:rFonts w:hint="default"/>
                <w:sz w:val="24"/>
                <w:szCs w:val="32"/>
              </w:rPr>
            </w:pPr>
          </w:p>
        </w:tc>
      </w:tr>
      <w:tr w14:paraId="5160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3BCAFC3">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3CF3664F">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85EC10D">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1BC29B8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额定载质量(kg)</w:t>
            </w:r>
          </w:p>
        </w:tc>
        <w:tc>
          <w:tcPr>
            <w:tcW w:w="4635" w:type="dxa"/>
            <w:vAlign w:val="center"/>
          </w:tcPr>
          <w:p w14:paraId="285E4608">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w:t>
            </w:r>
            <w:r>
              <w:rPr>
                <w:rFonts w:hint="eastAsia"/>
                <w:sz w:val="24"/>
                <w:szCs w:val="32"/>
              </w:rPr>
              <w:t>45</w:t>
            </w:r>
            <w:r>
              <w:rPr>
                <w:rFonts w:hint="eastAsia"/>
                <w:sz w:val="24"/>
                <w:szCs w:val="32"/>
                <w:lang w:val="zh-CN"/>
              </w:rPr>
              <w:t>00</w:t>
            </w:r>
          </w:p>
        </w:tc>
        <w:tc>
          <w:tcPr>
            <w:tcW w:w="1110" w:type="dxa"/>
            <w:vMerge w:val="continue"/>
            <w:vAlign w:val="center"/>
          </w:tcPr>
          <w:p w14:paraId="62E524E1">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2BF13997">
            <w:pPr>
              <w:keepNext w:val="0"/>
              <w:keepLines w:val="0"/>
              <w:suppressLineNumbers w:val="0"/>
              <w:spacing w:before="0" w:beforeAutospacing="0" w:after="0" w:afterAutospacing="0"/>
              <w:ind w:left="0" w:right="0"/>
              <w:jc w:val="center"/>
              <w:rPr>
                <w:rFonts w:hint="default"/>
                <w:sz w:val="24"/>
                <w:szCs w:val="32"/>
              </w:rPr>
            </w:pPr>
          </w:p>
        </w:tc>
      </w:tr>
      <w:tr w14:paraId="172E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9B95DAF">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E8B26B9">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1FE570C">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28C03659">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外形尺寸（长×宽×高(mm)</w:t>
            </w:r>
          </w:p>
        </w:tc>
        <w:tc>
          <w:tcPr>
            <w:tcW w:w="4635" w:type="dxa"/>
            <w:vAlign w:val="center"/>
          </w:tcPr>
          <w:p w14:paraId="34EFE077">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≥7000×2400×2500</w:t>
            </w:r>
          </w:p>
        </w:tc>
        <w:tc>
          <w:tcPr>
            <w:tcW w:w="1110" w:type="dxa"/>
            <w:vMerge w:val="continue"/>
            <w:vAlign w:val="center"/>
          </w:tcPr>
          <w:p w14:paraId="48055F38">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007621EE">
            <w:pPr>
              <w:keepNext w:val="0"/>
              <w:keepLines w:val="0"/>
              <w:suppressLineNumbers w:val="0"/>
              <w:spacing w:before="0" w:beforeAutospacing="0" w:after="0" w:afterAutospacing="0"/>
              <w:ind w:left="0" w:right="0"/>
              <w:jc w:val="center"/>
              <w:rPr>
                <w:rFonts w:hint="default"/>
                <w:sz w:val="24"/>
                <w:szCs w:val="32"/>
              </w:rPr>
            </w:pPr>
          </w:p>
        </w:tc>
      </w:tr>
      <w:tr w14:paraId="33CE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01B19A3">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534A405">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DD91CB3">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4610DF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不锈钢</w:t>
            </w:r>
            <w:r>
              <w:rPr>
                <w:rFonts w:hint="eastAsia"/>
                <w:sz w:val="24"/>
                <w:szCs w:val="32"/>
                <w:lang w:val="zh-CN"/>
              </w:rPr>
              <w:t>罐体</w:t>
            </w:r>
            <w:r>
              <w:rPr>
                <w:rFonts w:hint="eastAsia"/>
                <w:sz w:val="24"/>
                <w:szCs w:val="32"/>
              </w:rPr>
              <w:t>公告</w:t>
            </w:r>
            <w:r>
              <w:rPr>
                <w:rFonts w:hint="eastAsia"/>
                <w:sz w:val="24"/>
                <w:szCs w:val="32"/>
                <w:lang w:val="zh-CN"/>
              </w:rPr>
              <w:t>有效容积（m³）</w:t>
            </w:r>
          </w:p>
        </w:tc>
        <w:tc>
          <w:tcPr>
            <w:tcW w:w="4635" w:type="dxa"/>
            <w:vAlign w:val="center"/>
          </w:tcPr>
          <w:p w14:paraId="5894F8A2">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lang w:val="zh-CN"/>
              </w:rPr>
              <w:t>≥</w:t>
            </w:r>
            <w:r>
              <w:rPr>
                <w:rFonts w:hint="eastAsia"/>
                <w:sz w:val="24"/>
                <w:szCs w:val="32"/>
              </w:rPr>
              <w:t>4.5</w:t>
            </w:r>
          </w:p>
        </w:tc>
        <w:tc>
          <w:tcPr>
            <w:tcW w:w="1110" w:type="dxa"/>
            <w:vMerge w:val="continue"/>
            <w:vAlign w:val="center"/>
          </w:tcPr>
          <w:p w14:paraId="749A5F51">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A39DDD0">
            <w:pPr>
              <w:keepNext w:val="0"/>
              <w:keepLines w:val="0"/>
              <w:suppressLineNumbers w:val="0"/>
              <w:spacing w:before="0" w:beforeAutospacing="0" w:after="0" w:afterAutospacing="0"/>
              <w:ind w:left="0" w:right="0"/>
              <w:jc w:val="center"/>
              <w:rPr>
                <w:rFonts w:hint="default"/>
                <w:sz w:val="24"/>
                <w:szCs w:val="32"/>
              </w:rPr>
            </w:pPr>
          </w:p>
        </w:tc>
      </w:tr>
      <w:tr w14:paraId="6981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DB42D1D">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811FE4A">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1519BD5">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12904BB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★低压</w:t>
            </w:r>
            <w:r>
              <w:rPr>
                <w:rFonts w:hint="eastAsia"/>
                <w:sz w:val="24"/>
                <w:szCs w:val="32"/>
                <w:lang w:val="zh-CN"/>
              </w:rPr>
              <w:t>洒水泵扬程(m)</w:t>
            </w:r>
          </w:p>
        </w:tc>
        <w:tc>
          <w:tcPr>
            <w:tcW w:w="4635" w:type="dxa"/>
            <w:vAlign w:val="center"/>
          </w:tcPr>
          <w:p w14:paraId="66C00D35">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≥50</w:t>
            </w:r>
          </w:p>
        </w:tc>
        <w:tc>
          <w:tcPr>
            <w:tcW w:w="1110" w:type="dxa"/>
            <w:vMerge w:val="continue"/>
            <w:vAlign w:val="center"/>
          </w:tcPr>
          <w:p w14:paraId="13210C5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9A97F58">
            <w:pPr>
              <w:keepNext w:val="0"/>
              <w:keepLines w:val="0"/>
              <w:suppressLineNumbers w:val="0"/>
              <w:spacing w:before="0" w:beforeAutospacing="0" w:after="0" w:afterAutospacing="0"/>
              <w:ind w:left="0" w:right="0"/>
              <w:jc w:val="center"/>
              <w:rPr>
                <w:rFonts w:hint="default"/>
                <w:sz w:val="24"/>
                <w:szCs w:val="32"/>
              </w:rPr>
            </w:pPr>
          </w:p>
        </w:tc>
      </w:tr>
      <w:tr w14:paraId="5053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CB1402B">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233D6F4B">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ECA085F">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4167D876">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rPr>
              <w:t>★低压</w:t>
            </w:r>
            <w:r>
              <w:rPr>
                <w:rFonts w:hint="eastAsia"/>
                <w:sz w:val="24"/>
                <w:szCs w:val="32"/>
                <w:lang w:val="zh-CN"/>
              </w:rPr>
              <w:t>洒水泵最大流量(m³/h)</w:t>
            </w:r>
          </w:p>
        </w:tc>
        <w:tc>
          <w:tcPr>
            <w:tcW w:w="4635" w:type="dxa"/>
            <w:vAlign w:val="center"/>
          </w:tcPr>
          <w:p w14:paraId="75128DC4">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≥40</w:t>
            </w:r>
          </w:p>
        </w:tc>
        <w:tc>
          <w:tcPr>
            <w:tcW w:w="1110" w:type="dxa"/>
            <w:vMerge w:val="continue"/>
            <w:vAlign w:val="center"/>
          </w:tcPr>
          <w:p w14:paraId="364941D8">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C33AD54">
            <w:pPr>
              <w:keepNext w:val="0"/>
              <w:keepLines w:val="0"/>
              <w:suppressLineNumbers w:val="0"/>
              <w:spacing w:before="0" w:beforeAutospacing="0" w:after="0" w:afterAutospacing="0"/>
              <w:ind w:left="0" w:right="0"/>
              <w:jc w:val="center"/>
              <w:rPr>
                <w:rFonts w:hint="default"/>
                <w:sz w:val="24"/>
                <w:szCs w:val="32"/>
              </w:rPr>
            </w:pPr>
          </w:p>
        </w:tc>
      </w:tr>
      <w:tr w14:paraId="6E9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AD30DF4">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5D5BF07">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CC30336">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4A93C20">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冲洗宽度(m)</w:t>
            </w:r>
          </w:p>
        </w:tc>
        <w:tc>
          <w:tcPr>
            <w:tcW w:w="4635" w:type="dxa"/>
            <w:vAlign w:val="center"/>
          </w:tcPr>
          <w:p w14:paraId="25FE191E">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≥24</w:t>
            </w:r>
          </w:p>
        </w:tc>
        <w:tc>
          <w:tcPr>
            <w:tcW w:w="1110" w:type="dxa"/>
            <w:vMerge w:val="continue"/>
            <w:vAlign w:val="center"/>
          </w:tcPr>
          <w:p w14:paraId="2692F0FF">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38AE1D7">
            <w:pPr>
              <w:keepNext w:val="0"/>
              <w:keepLines w:val="0"/>
              <w:suppressLineNumbers w:val="0"/>
              <w:spacing w:before="0" w:beforeAutospacing="0" w:after="0" w:afterAutospacing="0"/>
              <w:ind w:left="0" w:right="0"/>
              <w:jc w:val="center"/>
              <w:rPr>
                <w:rFonts w:hint="default"/>
                <w:sz w:val="24"/>
                <w:szCs w:val="32"/>
              </w:rPr>
            </w:pPr>
          </w:p>
        </w:tc>
      </w:tr>
      <w:tr w14:paraId="695D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1410327">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40E564CC">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5AA697E2">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20452FF">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驾驶室调温措施</w:t>
            </w:r>
          </w:p>
        </w:tc>
        <w:tc>
          <w:tcPr>
            <w:tcW w:w="4635" w:type="dxa"/>
            <w:vAlign w:val="center"/>
          </w:tcPr>
          <w:p w14:paraId="294D8103">
            <w:pPr>
              <w:keepNext w:val="0"/>
              <w:keepLines w:val="0"/>
              <w:suppressLineNumbers w:val="0"/>
              <w:spacing w:before="0" w:beforeAutospacing="0" w:after="0" w:afterAutospacing="0"/>
              <w:ind w:left="0" w:right="0"/>
              <w:jc w:val="center"/>
              <w:rPr>
                <w:rFonts w:hint="default"/>
                <w:sz w:val="24"/>
                <w:szCs w:val="32"/>
                <w:lang w:val="zh-CN"/>
              </w:rPr>
            </w:pPr>
            <w:r>
              <w:rPr>
                <w:rFonts w:hint="eastAsia"/>
                <w:sz w:val="24"/>
                <w:szCs w:val="32"/>
                <w:lang w:val="zh-CN"/>
              </w:rPr>
              <w:t>配原厂冷暖空调</w:t>
            </w:r>
          </w:p>
        </w:tc>
        <w:tc>
          <w:tcPr>
            <w:tcW w:w="1110" w:type="dxa"/>
            <w:vMerge w:val="continue"/>
            <w:vAlign w:val="center"/>
          </w:tcPr>
          <w:p w14:paraId="460512B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D22CE29">
            <w:pPr>
              <w:keepNext w:val="0"/>
              <w:keepLines w:val="0"/>
              <w:suppressLineNumbers w:val="0"/>
              <w:spacing w:before="0" w:beforeAutospacing="0" w:after="0" w:afterAutospacing="0"/>
              <w:ind w:left="0" w:right="0"/>
              <w:jc w:val="center"/>
              <w:rPr>
                <w:rFonts w:hint="default"/>
                <w:sz w:val="24"/>
                <w:szCs w:val="32"/>
              </w:rPr>
            </w:pPr>
          </w:p>
        </w:tc>
      </w:tr>
      <w:tr w14:paraId="0D9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5179072">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34239824">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62B42884">
            <w:pPr>
              <w:keepNext w:val="0"/>
              <w:keepLines w:val="0"/>
              <w:suppressLineNumbers w:val="0"/>
              <w:spacing w:before="0" w:beforeAutospacing="0" w:after="0" w:afterAutospacing="0"/>
              <w:ind w:left="0" w:right="0"/>
              <w:jc w:val="center"/>
              <w:rPr>
                <w:rFonts w:hint="default"/>
                <w:sz w:val="24"/>
                <w:szCs w:val="32"/>
              </w:rPr>
            </w:pPr>
          </w:p>
        </w:tc>
        <w:tc>
          <w:tcPr>
            <w:tcW w:w="9255" w:type="dxa"/>
            <w:gridSpan w:val="2"/>
            <w:vAlign w:val="center"/>
          </w:tcPr>
          <w:p w14:paraId="74203CF3">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二、主要功能要求</w:t>
            </w:r>
          </w:p>
        </w:tc>
        <w:tc>
          <w:tcPr>
            <w:tcW w:w="1110" w:type="dxa"/>
            <w:vMerge w:val="continue"/>
            <w:vAlign w:val="center"/>
          </w:tcPr>
          <w:p w14:paraId="338D9FB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1DC7F0CC">
            <w:pPr>
              <w:keepNext w:val="0"/>
              <w:keepLines w:val="0"/>
              <w:suppressLineNumbers w:val="0"/>
              <w:spacing w:before="0" w:beforeAutospacing="0" w:after="0" w:afterAutospacing="0"/>
              <w:ind w:left="0" w:right="0"/>
              <w:jc w:val="center"/>
              <w:rPr>
                <w:rFonts w:hint="default"/>
                <w:sz w:val="24"/>
                <w:szCs w:val="32"/>
              </w:rPr>
            </w:pPr>
          </w:p>
        </w:tc>
      </w:tr>
      <w:tr w14:paraId="4D82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0" w:type="dxa"/>
            <w:vMerge w:val="continue"/>
            <w:vAlign w:val="center"/>
          </w:tcPr>
          <w:p w14:paraId="3C301132">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1F1E84C">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95EBFED">
            <w:pPr>
              <w:keepNext w:val="0"/>
              <w:keepLines w:val="0"/>
              <w:suppressLineNumbers w:val="0"/>
              <w:spacing w:before="0" w:beforeAutospacing="0" w:after="0" w:afterAutospacing="0"/>
              <w:ind w:left="0" w:right="0"/>
              <w:jc w:val="center"/>
              <w:rPr>
                <w:rFonts w:hint="default"/>
                <w:sz w:val="24"/>
                <w:szCs w:val="32"/>
              </w:rPr>
            </w:pPr>
          </w:p>
        </w:tc>
        <w:tc>
          <w:tcPr>
            <w:tcW w:w="9255" w:type="dxa"/>
            <w:gridSpan w:val="2"/>
            <w:vAlign w:val="center"/>
          </w:tcPr>
          <w:p w14:paraId="78747C05">
            <w:pPr>
              <w:keepNext w:val="0"/>
              <w:keepLines w:val="0"/>
              <w:suppressLineNumbers w:val="0"/>
              <w:spacing w:before="0" w:beforeAutospacing="0" w:after="0" w:afterAutospacing="0"/>
              <w:ind w:left="0" w:right="0"/>
              <w:rPr>
                <w:rFonts w:hint="default"/>
                <w:sz w:val="24"/>
                <w:szCs w:val="32"/>
              </w:rPr>
            </w:pPr>
            <w:r>
              <w:rPr>
                <w:rFonts w:hint="eastAsia"/>
                <w:sz w:val="24"/>
                <w:szCs w:val="32"/>
              </w:rPr>
              <w:t>1、适用于城市道路、公路、广场及港口码头等场地的清洗作业，以及绿化带植物的浇灌作业。</w:t>
            </w:r>
          </w:p>
          <w:p w14:paraId="7D9B8DB0">
            <w:pPr>
              <w:keepNext w:val="0"/>
              <w:keepLines w:val="0"/>
              <w:suppressLineNumbers w:val="0"/>
              <w:spacing w:before="0" w:beforeAutospacing="0" w:after="0" w:afterAutospacing="0"/>
              <w:ind w:left="0" w:right="0"/>
              <w:rPr>
                <w:rFonts w:hint="default"/>
                <w:sz w:val="24"/>
                <w:szCs w:val="32"/>
              </w:rPr>
            </w:pPr>
            <w:r>
              <w:rPr>
                <w:rFonts w:hint="eastAsia"/>
                <w:sz w:val="24"/>
                <w:szCs w:val="32"/>
              </w:rPr>
              <w:t>2、水泵采用自吸式双级离心泵，电机单独驱动低压水泵，保证低压水泵转速不受底盘行驶速度影响。</w:t>
            </w:r>
          </w:p>
          <w:p w14:paraId="2796A5BF">
            <w:pPr>
              <w:keepNext w:val="0"/>
              <w:keepLines w:val="0"/>
              <w:suppressLineNumbers w:val="0"/>
              <w:spacing w:before="0" w:beforeAutospacing="0" w:after="0" w:afterAutospacing="0"/>
              <w:ind w:left="0" w:right="0"/>
              <w:rPr>
                <w:rFonts w:hint="default"/>
                <w:sz w:val="24"/>
                <w:szCs w:val="32"/>
              </w:rPr>
            </w:pPr>
            <w:r>
              <w:rPr>
                <w:rFonts w:hint="eastAsia"/>
                <w:sz w:val="24"/>
                <w:szCs w:val="32"/>
              </w:rPr>
              <w:t>3、前冲洗装置，适用于冲洗路面及路沿，由气动进行控制。</w:t>
            </w:r>
          </w:p>
          <w:p w14:paraId="06119D88">
            <w:pPr>
              <w:keepNext w:val="0"/>
              <w:keepLines w:val="0"/>
              <w:suppressLineNumbers w:val="0"/>
              <w:spacing w:before="0" w:beforeAutospacing="0" w:after="0" w:afterAutospacing="0"/>
              <w:ind w:left="0" w:right="0"/>
              <w:rPr>
                <w:rFonts w:hint="default"/>
                <w:sz w:val="24"/>
                <w:szCs w:val="32"/>
              </w:rPr>
            </w:pPr>
            <w:r>
              <w:rPr>
                <w:rFonts w:hint="eastAsia"/>
                <w:sz w:val="24"/>
                <w:szCs w:val="32"/>
              </w:rPr>
              <w:t>4、中部柱状冲洗装置左右各一个圆锥喷嘴，双向冲洗，气动控制。</w:t>
            </w:r>
          </w:p>
          <w:p w14:paraId="16059108">
            <w:pPr>
              <w:keepNext w:val="0"/>
              <w:keepLines w:val="0"/>
              <w:suppressLineNumbers w:val="0"/>
              <w:spacing w:before="0" w:beforeAutospacing="0" w:after="0" w:afterAutospacing="0"/>
              <w:ind w:left="0" w:right="0"/>
              <w:rPr>
                <w:rFonts w:hint="default"/>
                <w:sz w:val="24"/>
                <w:szCs w:val="32"/>
              </w:rPr>
            </w:pPr>
            <w:r>
              <w:rPr>
                <w:rFonts w:hint="eastAsia"/>
                <w:sz w:val="24"/>
                <w:szCs w:val="32"/>
              </w:rPr>
              <w:t>5、后高喷远射程水枪，用于喷洗多种高度的物体，清除一些不易清洗的环卫死角。高喷水枪可左右360°旋转、枪体可上下俯仰操作。正反拧转枪体前部的调节套管，可调节水枪的喷射形状（柱状或雾状）及关闭水枪。还具有辅助消防功能。</w:t>
            </w:r>
          </w:p>
          <w:p w14:paraId="61EFAAE4">
            <w:pPr>
              <w:keepNext w:val="0"/>
              <w:keepLines w:val="0"/>
              <w:suppressLineNumbers w:val="0"/>
              <w:spacing w:before="0" w:beforeAutospacing="0" w:after="0" w:afterAutospacing="0"/>
              <w:ind w:left="0" w:right="0"/>
              <w:rPr>
                <w:rFonts w:hint="default"/>
                <w:sz w:val="24"/>
                <w:szCs w:val="32"/>
              </w:rPr>
            </w:pPr>
            <w:r>
              <w:rPr>
                <w:rFonts w:hint="eastAsia"/>
                <w:sz w:val="24"/>
                <w:szCs w:val="32"/>
              </w:rPr>
              <w:t>7、罐体内部采用防波板缓冲结构设计，底架采用框架结构。</w:t>
            </w:r>
          </w:p>
          <w:p w14:paraId="48E0AA77">
            <w:pPr>
              <w:keepNext w:val="0"/>
              <w:keepLines w:val="0"/>
              <w:suppressLineNumbers w:val="0"/>
              <w:spacing w:before="0" w:beforeAutospacing="0" w:after="0" w:afterAutospacing="0"/>
              <w:ind w:left="0" w:right="0"/>
              <w:rPr>
                <w:rFonts w:hint="default"/>
                <w:sz w:val="24"/>
                <w:szCs w:val="32"/>
              </w:rPr>
            </w:pPr>
            <w:r>
              <w:rPr>
                <w:rFonts w:hint="eastAsia"/>
                <w:sz w:val="24"/>
                <w:szCs w:val="32"/>
              </w:rPr>
              <w:t>8、水泵、管路、水阀均设放水排干功能，避免产品在低温环境下冻裂损坏。</w:t>
            </w:r>
          </w:p>
          <w:p w14:paraId="63F26F67">
            <w:pPr>
              <w:keepNext w:val="0"/>
              <w:keepLines w:val="0"/>
              <w:suppressLineNumbers w:val="0"/>
              <w:spacing w:before="0" w:beforeAutospacing="0" w:after="0" w:afterAutospacing="0"/>
              <w:ind w:left="0" w:right="0"/>
              <w:rPr>
                <w:rFonts w:hint="default"/>
                <w:sz w:val="24"/>
                <w:szCs w:val="32"/>
              </w:rPr>
            </w:pPr>
            <w:r>
              <w:rPr>
                <w:rFonts w:hint="eastAsia"/>
                <w:sz w:val="24"/>
                <w:szCs w:val="32"/>
              </w:rPr>
              <w:t>9、水罐设低水位报警系统，防止水泵缺水工作而损坏。</w:t>
            </w:r>
          </w:p>
        </w:tc>
        <w:tc>
          <w:tcPr>
            <w:tcW w:w="1110" w:type="dxa"/>
            <w:vMerge w:val="continue"/>
            <w:vAlign w:val="center"/>
          </w:tcPr>
          <w:p w14:paraId="6D8CFB02">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1665E5F">
            <w:pPr>
              <w:keepNext w:val="0"/>
              <w:keepLines w:val="0"/>
              <w:suppressLineNumbers w:val="0"/>
              <w:spacing w:before="0" w:beforeAutospacing="0" w:after="0" w:afterAutospacing="0"/>
              <w:ind w:left="0" w:right="0"/>
              <w:jc w:val="center"/>
              <w:rPr>
                <w:rFonts w:hint="default"/>
                <w:sz w:val="24"/>
                <w:szCs w:val="32"/>
              </w:rPr>
            </w:pPr>
          </w:p>
        </w:tc>
      </w:tr>
      <w:tr w14:paraId="31B5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31331BFF">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10吨纯电动园林垃圾运输车</w:t>
            </w:r>
          </w:p>
        </w:tc>
        <w:tc>
          <w:tcPr>
            <w:tcW w:w="795" w:type="dxa"/>
            <w:vMerge w:val="restart"/>
            <w:vAlign w:val="center"/>
          </w:tcPr>
          <w:p w14:paraId="62EF4EF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4</w:t>
            </w:r>
          </w:p>
        </w:tc>
        <w:tc>
          <w:tcPr>
            <w:tcW w:w="735" w:type="dxa"/>
            <w:vMerge w:val="restart"/>
            <w:vAlign w:val="center"/>
          </w:tcPr>
          <w:p w14:paraId="1999BCAC">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辆</w:t>
            </w:r>
          </w:p>
        </w:tc>
        <w:tc>
          <w:tcPr>
            <w:tcW w:w="9255" w:type="dxa"/>
            <w:gridSpan w:val="2"/>
            <w:vAlign w:val="center"/>
          </w:tcPr>
          <w:p w14:paraId="1B5766E3">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一、主要参数要求</w:t>
            </w:r>
          </w:p>
        </w:tc>
        <w:tc>
          <w:tcPr>
            <w:tcW w:w="1110" w:type="dxa"/>
            <w:vMerge w:val="restart"/>
            <w:vAlign w:val="center"/>
          </w:tcPr>
          <w:p w14:paraId="62104755">
            <w:pPr>
              <w:keepNext w:val="0"/>
              <w:keepLines w:val="0"/>
              <w:suppressLineNumbers w:val="0"/>
              <w:spacing w:before="0" w:beforeAutospacing="0" w:after="0" w:afterAutospacing="0"/>
              <w:ind w:left="0" w:right="0"/>
              <w:jc w:val="center"/>
              <w:rPr>
                <w:rFonts w:hint="default"/>
                <w:sz w:val="24"/>
                <w:szCs w:val="32"/>
              </w:rPr>
            </w:pPr>
          </w:p>
        </w:tc>
        <w:tc>
          <w:tcPr>
            <w:tcW w:w="1095" w:type="dxa"/>
            <w:vMerge w:val="restart"/>
            <w:vAlign w:val="center"/>
          </w:tcPr>
          <w:p w14:paraId="58E9334A">
            <w:pPr>
              <w:keepNext w:val="0"/>
              <w:keepLines w:val="0"/>
              <w:suppressLineNumbers w:val="0"/>
              <w:spacing w:before="0" w:beforeAutospacing="0" w:after="0" w:afterAutospacing="0"/>
              <w:ind w:left="0" w:right="0"/>
              <w:jc w:val="center"/>
              <w:rPr>
                <w:rFonts w:hint="default"/>
                <w:sz w:val="24"/>
                <w:szCs w:val="32"/>
              </w:rPr>
            </w:pPr>
          </w:p>
        </w:tc>
      </w:tr>
      <w:tr w14:paraId="730D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76D2E9A">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22452D13">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4631375B">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0F7137FB">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lang w:val="zh-CN"/>
              </w:rPr>
              <w:t>底盘类别</w:t>
            </w:r>
          </w:p>
        </w:tc>
        <w:tc>
          <w:tcPr>
            <w:tcW w:w="4635" w:type="dxa"/>
            <w:vAlign w:val="center"/>
          </w:tcPr>
          <w:p w14:paraId="09CA6F89">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lang w:val="zh-CN"/>
              </w:rPr>
              <w:t>二类载货汽车底盘</w:t>
            </w:r>
          </w:p>
        </w:tc>
        <w:tc>
          <w:tcPr>
            <w:tcW w:w="1110" w:type="dxa"/>
            <w:vMerge w:val="continue"/>
            <w:vAlign w:val="center"/>
          </w:tcPr>
          <w:p w14:paraId="513A0DB4">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B84424E">
            <w:pPr>
              <w:keepNext w:val="0"/>
              <w:keepLines w:val="0"/>
              <w:suppressLineNumbers w:val="0"/>
              <w:spacing w:before="0" w:beforeAutospacing="0" w:after="0" w:afterAutospacing="0"/>
              <w:ind w:left="0" w:right="0"/>
              <w:jc w:val="center"/>
              <w:rPr>
                <w:rFonts w:hint="default"/>
                <w:sz w:val="24"/>
                <w:szCs w:val="32"/>
              </w:rPr>
            </w:pPr>
          </w:p>
        </w:tc>
      </w:tr>
      <w:tr w14:paraId="0512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B5CDD63">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771B10EA">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7E7CFC64">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61146E05">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★底盘驱动电机峰值功率(kw)</w:t>
            </w:r>
          </w:p>
        </w:tc>
        <w:tc>
          <w:tcPr>
            <w:tcW w:w="4635" w:type="dxa"/>
            <w:vAlign w:val="center"/>
          </w:tcPr>
          <w:p w14:paraId="21020EEA">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≥140</w:t>
            </w:r>
          </w:p>
        </w:tc>
        <w:tc>
          <w:tcPr>
            <w:tcW w:w="1110" w:type="dxa"/>
            <w:vMerge w:val="continue"/>
            <w:vAlign w:val="center"/>
          </w:tcPr>
          <w:p w14:paraId="731FC109">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0D08FB71">
            <w:pPr>
              <w:keepNext w:val="0"/>
              <w:keepLines w:val="0"/>
              <w:suppressLineNumbers w:val="0"/>
              <w:spacing w:before="0" w:beforeAutospacing="0" w:after="0" w:afterAutospacing="0"/>
              <w:ind w:left="0" w:right="0"/>
              <w:jc w:val="center"/>
              <w:rPr>
                <w:rFonts w:hint="default"/>
                <w:sz w:val="24"/>
                <w:szCs w:val="32"/>
              </w:rPr>
            </w:pPr>
          </w:p>
        </w:tc>
      </w:tr>
      <w:tr w14:paraId="2830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5CE931E">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1FE73C96">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54F19C45">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12D7AD5F">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★电池能量密度 (w•h/kg)</w:t>
            </w:r>
          </w:p>
        </w:tc>
        <w:tc>
          <w:tcPr>
            <w:tcW w:w="4635" w:type="dxa"/>
            <w:vAlign w:val="center"/>
          </w:tcPr>
          <w:p w14:paraId="49D43A7F">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≥150</w:t>
            </w:r>
          </w:p>
        </w:tc>
        <w:tc>
          <w:tcPr>
            <w:tcW w:w="1110" w:type="dxa"/>
            <w:vMerge w:val="continue"/>
            <w:vAlign w:val="center"/>
          </w:tcPr>
          <w:p w14:paraId="4E9137D3">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F3919D9">
            <w:pPr>
              <w:keepNext w:val="0"/>
              <w:keepLines w:val="0"/>
              <w:suppressLineNumbers w:val="0"/>
              <w:spacing w:before="0" w:beforeAutospacing="0" w:after="0" w:afterAutospacing="0"/>
              <w:ind w:left="0" w:right="0"/>
              <w:jc w:val="center"/>
              <w:rPr>
                <w:rFonts w:hint="default"/>
                <w:sz w:val="24"/>
                <w:szCs w:val="32"/>
              </w:rPr>
            </w:pPr>
          </w:p>
        </w:tc>
      </w:tr>
      <w:tr w14:paraId="284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0511520">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8C58C15">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A523217">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63EF3A79">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★储能装置总储电量(kWh)</w:t>
            </w:r>
          </w:p>
        </w:tc>
        <w:tc>
          <w:tcPr>
            <w:tcW w:w="4635" w:type="dxa"/>
            <w:vAlign w:val="center"/>
          </w:tcPr>
          <w:p w14:paraId="5778D21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≥140</w:t>
            </w:r>
          </w:p>
        </w:tc>
        <w:tc>
          <w:tcPr>
            <w:tcW w:w="1110" w:type="dxa"/>
            <w:vMerge w:val="continue"/>
            <w:vAlign w:val="center"/>
          </w:tcPr>
          <w:p w14:paraId="1390B775">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24416430">
            <w:pPr>
              <w:keepNext w:val="0"/>
              <w:keepLines w:val="0"/>
              <w:suppressLineNumbers w:val="0"/>
              <w:spacing w:before="0" w:beforeAutospacing="0" w:after="0" w:afterAutospacing="0"/>
              <w:ind w:left="0" w:right="0"/>
              <w:jc w:val="center"/>
              <w:rPr>
                <w:rFonts w:hint="default"/>
                <w:sz w:val="24"/>
                <w:szCs w:val="32"/>
              </w:rPr>
            </w:pPr>
          </w:p>
        </w:tc>
      </w:tr>
      <w:tr w14:paraId="7191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C17682C">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D205F12">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66B6F16B">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3B09ADCA">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续驶里程（等速法）（km）</w:t>
            </w:r>
          </w:p>
        </w:tc>
        <w:tc>
          <w:tcPr>
            <w:tcW w:w="4635" w:type="dxa"/>
            <w:vAlign w:val="center"/>
          </w:tcPr>
          <w:p w14:paraId="7569B15B">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≥200</w:t>
            </w:r>
          </w:p>
        </w:tc>
        <w:tc>
          <w:tcPr>
            <w:tcW w:w="1110" w:type="dxa"/>
            <w:vMerge w:val="continue"/>
            <w:vAlign w:val="center"/>
          </w:tcPr>
          <w:p w14:paraId="3E879CEA">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E32482D">
            <w:pPr>
              <w:keepNext w:val="0"/>
              <w:keepLines w:val="0"/>
              <w:suppressLineNumbers w:val="0"/>
              <w:spacing w:before="0" w:beforeAutospacing="0" w:after="0" w:afterAutospacing="0"/>
              <w:ind w:left="0" w:right="0"/>
              <w:jc w:val="center"/>
              <w:rPr>
                <w:rFonts w:hint="default"/>
                <w:sz w:val="24"/>
                <w:szCs w:val="32"/>
              </w:rPr>
            </w:pPr>
          </w:p>
        </w:tc>
      </w:tr>
      <w:tr w14:paraId="6AEC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DA1DA88">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27415633">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52298021">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29C251D2">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★电池种类</w:t>
            </w:r>
          </w:p>
        </w:tc>
        <w:tc>
          <w:tcPr>
            <w:tcW w:w="4635" w:type="dxa"/>
            <w:vAlign w:val="center"/>
          </w:tcPr>
          <w:p w14:paraId="14513000">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磷酸铁锂电池</w:t>
            </w:r>
          </w:p>
        </w:tc>
        <w:tc>
          <w:tcPr>
            <w:tcW w:w="1110" w:type="dxa"/>
            <w:vMerge w:val="continue"/>
            <w:vAlign w:val="center"/>
          </w:tcPr>
          <w:p w14:paraId="6EA6816F">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14AF9D4">
            <w:pPr>
              <w:keepNext w:val="0"/>
              <w:keepLines w:val="0"/>
              <w:suppressLineNumbers w:val="0"/>
              <w:spacing w:before="0" w:beforeAutospacing="0" w:after="0" w:afterAutospacing="0"/>
              <w:ind w:left="0" w:right="0"/>
              <w:jc w:val="center"/>
              <w:rPr>
                <w:rFonts w:hint="default"/>
                <w:sz w:val="24"/>
                <w:szCs w:val="32"/>
              </w:rPr>
            </w:pPr>
          </w:p>
        </w:tc>
      </w:tr>
      <w:tr w14:paraId="2E5E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FFB344E">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7ED06349">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E80E4F7">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70A07E79">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总质量（kg）</w:t>
            </w:r>
          </w:p>
        </w:tc>
        <w:tc>
          <w:tcPr>
            <w:tcW w:w="4635" w:type="dxa"/>
            <w:vAlign w:val="center"/>
          </w:tcPr>
          <w:p w14:paraId="23A102F6">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≥11000</w:t>
            </w:r>
          </w:p>
        </w:tc>
        <w:tc>
          <w:tcPr>
            <w:tcW w:w="1110" w:type="dxa"/>
            <w:vMerge w:val="continue"/>
            <w:vAlign w:val="center"/>
          </w:tcPr>
          <w:p w14:paraId="3D630B3C">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00D1E4FA">
            <w:pPr>
              <w:keepNext w:val="0"/>
              <w:keepLines w:val="0"/>
              <w:suppressLineNumbers w:val="0"/>
              <w:spacing w:before="0" w:beforeAutospacing="0" w:after="0" w:afterAutospacing="0"/>
              <w:ind w:left="0" w:right="0"/>
              <w:jc w:val="center"/>
              <w:rPr>
                <w:rFonts w:hint="default"/>
                <w:sz w:val="24"/>
                <w:szCs w:val="32"/>
              </w:rPr>
            </w:pPr>
          </w:p>
        </w:tc>
      </w:tr>
      <w:tr w14:paraId="4B17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F50E606">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213457BD">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E8F7A98">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4FB51565">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整备质量（kg）</w:t>
            </w:r>
          </w:p>
        </w:tc>
        <w:tc>
          <w:tcPr>
            <w:tcW w:w="4635" w:type="dxa"/>
            <w:vAlign w:val="center"/>
          </w:tcPr>
          <w:p w14:paraId="052ABE6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≥4600</w:t>
            </w:r>
          </w:p>
        </w:tc>
        <w:tc>
          <w:tcPr>
            <w:tcW w:w="1110" w:type="dxa"/>
            <w:vMerge w:val="continue"/>
            <w:vAlign w:val="center"/>
          </w:tcPr>
          <w:p w14:paraId="04D093BE">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7DC202C">
            <w:pPr>
              <w:keepNext w:val="0"/>
              <w:keepLines w:val="0"/>
              <w:suppressLineNumbers w:val="0"/>
              <w:spacing w:before="0" w:beforeAutospacing="0" w:after="0" w:afterAutospacing="0"/>
              <w:ind w:left="0" w:right="0"/>
              <w:jc w:val="center"/>
              <w:rPr>
                <w:rFonts w:hint="default"/>
                <w:sz w:val="24"/>
                <w:szCs w:val="32"/>
              </w:rPr>
            </w:pPr>
          </w:p>
        </w:tc>
      </w:tr>
      <w:tr w14:paraId="6FE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30D69B9">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5A354340">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1DE821D2">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6E80EB1D">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额定载质量（kg）</w:t>
            </w:r>
          </w:p>
        </w:tc>
        <w:tc>
          <w:tcPr>
            <w:tcW w:w="4635" w:type="dxa"/>
            <w:vAlign w:val="center"/>
          </w:tcPr>
          <w:p w14:paraId="1C2FE460">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≥5000</w:t>
            </w:r>
          </w:p>
        </w:tc>
        <w:tc>
          <w:tcPr>
            <w:tcW w:w="1110" w:type="dxa"/>
            <w:vMerge w:val="continue"/>
            <w:vAlign w:val="center"/>
          </w:tcPr>
          <w:p w14:paraId="023BBC2B">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5F9958C4">
            <w:pPr>
              <w:keepNext w:val="0"/>
              <w:keepLines w:val="0"/>
              <w:suppressLineNumbers w:val="0"/>
              <w:spacing w:before="0" w:beforeAutospacing="0" w:after="0" w:afterAutospacing="0"/>
              <w:ind w:left="0" w:right="0"/>
              <w:jc w:val="center"/>
              <w:rPr>
                <w:rFonts w:hint="default"/>
                <w:sz w:val="24"/>
                <w:szCs w:val="32"/>
              </w:rPr>
            </w:pPr>
          </w:p>
        </w:tc>
      </w:tr>
      <w:tr w14:paraId="7B5C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F30236E">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3B71FB36">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612443DD">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417DA15F">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外形尺寸（长×宽×高(mm)</w:t>
            </w:r>
          </w:p>
        </w:tc>
        <w:tc>
          <w:tcPr>
            <w:tcW w:w="4635" w:type="dxa"/>
            <w:vAlign w:val="center"/>
          </w:tcPr>
          <w:p w14:paraId="1477132E">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≥5700×2100×2100</w:t>
            </w:r>
          </w:p>
        </w:tc>
        <w:tc>
          <w:tcPr>
            <w:tcW w:w="1110" w:type="dxa"/>
            <w:vMerge w:val="continue"/>
            <w:vAlign w:val="center"/>
          </w:tcPr>
          <w:p w14:paraId="571F280C">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F1362E2">
            <w:pPr>
              <w:keepNext w:val="0"/>
              <w:keepLines w:val="0"/>
              <w:suppressLineNumbers w:val="0"/>
              <w:spacing w:before="0" w:beforeAutospacing="0" w:after="0" w:afterAutospacing="0"/>
              <w:ind w:left="0" w:right="0"/>
              <w:jc w:val="center"/>
              <w:rPr>
                <w:rFonts w:hint="default"/>
                <w:sz w:val="24"/>
                <w:szCs w:val="32"/>
              </w:rPr>
            </w:pPr>
          </w:p>
        </w:tc>
      </w:tr>
      <w:tr w14:paraId="19C8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D4878AA">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84F8978">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09D11A6A">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5C4C8F82">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轴距（mm）</w:t>
            </w:r>
          </w:p>
        </w:tc>
        <w:tc>
          <w:tcPr>
            <w:tcW w:w="4635" w:type="dxa"/>
            <w:vAlign w:val="center"/>
          </w:tcPr>
          <w:p w14:paraId="25CD298A">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≥3300</w:t>
            </w:r>
          </w:p>
        </w:tc>
        <w:tc>
          <w:tcPr>
            <w:tcW w:w="1110" w:type="dxa"/>
            <w:vMerge w:val="continue"/>
            <w:vAlign w:val="center"/>
          </w:tcPr>
          <w:p w14:paraId="5BB3E9D9">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21881752">
            <w:pPr>
              <w:keepNext w:val="0"/>
              <w:keepLines w:val="0"/>
              <w:suppressLineNumbers w:val="0"/>
              <w:spacing w:before="0" w:beforeAutospacing="0" w:after="0" w:afterAutospacing="0"/>
              <w:ind w:left="0" w:right="0"/>
              <w:jc w:val="center"/>
              <w:rPr>
                <w:rFonts w:hint="default"/>
                <w:sz w:val="24"/>
                <w:szCs w:val="32"/>
              </w:rPr>
            </w:pPr>
          </w:p>
        </w:tc>
      </w:tr>
      <w:tr w14:paraId="61B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94736EE">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65D839CB">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55E784DD">
            <w:pPr>
              <w:keepNext w:val="0"/>
              <w:keepLines w:val="0"/>
              <w:suppressLineNumbers w:val="0"/>
              <w:spacing w:before="0" w:beforeAutospacing="0" w:after="0" w:afterAutospacing="0"/>
              <w:ind w:left="0" w:right="0"/>
              <w:jc w:val="center"/>
              <w:rPr>
                <w:rFonts w:hint="default"/>
                <w:sz w:val="24"/>
                <w:szCs w:val="32"/>
              </w:rPr>
            </w:pPr>
          </w:p>
        </w:tc>
        <w:tc>
          <w:tcPr>
            <w:tcW w:w="4620" w:type="dxa"/>
            <w:vAlign w:val="center"/>
          </w:tcPr>
          <w:p w14:paraId="06FCB676">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最高车速(km/h)</w:t>
            </w:r>
          </w:p>
        </w:tc>
        <w:tc>
          <w:tcPr>
            <w:tcW w:w="4635" w:type="dxa"/>
            <w:vAlign w:val="center"/>
          </w:tcPr>
          <w:p w14:paraId="53FC9C28">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≥80</w:t>
            </w:r>
          </w:p>
        </w:tc>
        <w:tc>
          <w:tcPr>
            <w:tcW w:w="1110" w:type="dxa"/>
            <w:vMerge w:val="continue"/>
            <w:vAlign w:val="center"/>
          </w:tcPr>
          <w:p w14:paraId="47506F93">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5DCD8DE">
            <w:pPr>
              <w:keepNext w:val="0"/>
              <w:keepLines w:val="0"/>
              <w:suppressLineNumbers w:val="0"/>
              <w:spacing w:before="0" w:beforeAutospacing="0" w:after="0" w:afterAutospacing="0"/>
              <w:ind w:left="0" w:right="0"/>
              <w:jc w:val="center"/>
              <w:rPr>
                <w:rFonts w:hint="default"/>
                <w:sz w:val="24"/>
                <w:szCs w:val="32"/>
              </w:rPr>
            </w:pPr>
          </w:p>
        </w:tc>
      </w:tr>
      <w:tr w14:paraId="79BC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E195FB4">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D563B9D">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3705500B">
            <w:pPr>
              <w:keepNext w:val="0"/>
              <w:keepLines w:val="0"/>
              <w:suppressLineNumbers w:val="0"/>
              <w:spacing w:before="0" w:beforeAutospacing="0" w:after="0" w:afterAutospacing="0"/>
              <w:ind w:left="0" w:right="0"/>
              <w:jc w:val="center"/>
              <w:rPr>
                <w:rFonts w:hint="default"/>
                <w:sz w:val="24"/>
                <w:szCs w:val="32"/>
              </w:rPr>
            </w:pPr>
          </w:p>
        </w:tc>
        <w:tc>
          <w:tcPr>
            <w:tcW w:w="9255" w:type="dxa"/>
            <w:gridSpan w:val="2"/>
            <w:vAlign w:val="center"/>
          </w:tcPr>
          <w:p w14:paraId="32243668">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二、主要功能要求</w:t>
            </w:r>
          </w:p>
        </w:tc>
        <w:tc>
          <w:tcPr>
            <w:tcW w:w="1110" w:type="dxa"/>
            <w:vMerge w:val="continue"/>
            <w:vAlign w:val="center"/>
          </w:tcPr>
          <w:p w14:paraId="7A9A6237">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3F3DEFDC">
            <w:pPr>
              <w:keepNext w:val="0"/>
              <w:keepLines w:val="0"/>
              <w:suppressLineNumbers w:val="0"/>
              <w:spacing w:before="0" w:beforeAutospacing="0" w:after="0" w:afterAutospacing="0"/>
              <w:ind w:left="0" w:right="0"/>
              <w:jc w:val="center"/>
              <w:rPr>
                <w:rFonts w:hint="default"/>
                <w:sz w:val="24"/>
                <w:szCs w:val="32"/>
              </w:rPr>
            </w:pPr>
          </w:p>
        </w:tc>
      </w:tr>
      <w:tr w14:paraId="21B8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EA87522">
            <w:pPr>
              <w:keepNext w:val="0"/>
              <w:keepLines w:val="0"/>
              <w:suppressLineNumbers w:val="0"/>
              <w:spacing w:before="0" w:beforeAutospacing="0" w:after="0" w:afterAutospacing="0"/>
              <w:ind w:left="0" w:right="0"/>
              <w:jc w:val="center"/>
              <w:rPr>
                <w:rFonts w:hint="default"/>
                <w:sz w:val="24"/>
                <w:szCs w:val="32"/>
              </w:rPr>
            </w:pPr>
          </w:p>
        </w:tc>
        <w:tc>
          <w:tcPr>
            <w:tcW w:w="795" w:type="dxa"/>
            <w:vMerge w:val="continue"/>
            <w:vAlign w:val="center"/>
          </w:tcPr>
          <w:p w14:paraId="0BC03669">
            <w:pPr>
              <w:keepNext w:val="0"/>
              <w:keepLines w:val="0"/>
              <w:suppressLineNumbers w:val="0"/>
              <w:spacing w:before="0" w:beforeAutospacing="0" w:after="0" w:afterAutospacing="0"/>
              <w:ind w:left="0" w:right="0"/>
              <w:jc w:val="center"/>
              <w:rPr>
                <w:rFonts w:hint="default"/>
                <w:sz w:val="24"/>
                <w:szCs w:val="32"/>
              </w:rPr>
            </w:pPr>
          </w:p>
        </w:tc>
        <w:tc>
          <w:tcPr>
            <w:tcW w:w="735" w:type="dxa"/>
            <w:vMerge w:val="continue"/>
            <w:vAlign w:val="center"/>
          </w:tcPr>
          <w:p w14:paraId="2F16B253">
            <w:pPr>
              <w:keepNext w:val="0"/>
              <w:keepLines w:val="0"/>
              <w:suppressLineNumbers w:val="0"/>
              <w:spacing w:before="0" w:beforeAutospacing="0" w:after="0" w:afterAutospacing="0"/>
              <w:ind w:left="0" w:right="0"/>
              <w:jc w:val="center"/>
              <w:rPr>
                <w:rFonts w:hint="default"/>
                <w:sz w:val="24"/>
                <w:szCs w:val="32"/>
              </w:rPr>
            </w:pPr>
          </w:p>
        </w:tc>
        <w:tc>
          <w:tcPr>
            <w:tcW w:w="9255" w:type="dxa"/>
            <w:gridSpan w:val="2"/>
            <w:vAlign w:val="center"/>
          </w:tcPr>
          <w:p w14:paraId="1C00BD51">
            <w:pPr>
              <w:pStyle w:val="69"/>
              <w:keepNext w:val="0"/>
              <w:keepLines w:val="0"/>
              <w:widowControl w:val="0"/>
              <w:numPr>
                <w:ilvl w:val="0"/>
                <w:numId w:val="12"/>
              </w:numPr>
              <w:suppressLineNumbers w:val="0"/>
              <w:spacing w:before="0" w:beforeAutospacing="0" w:after="0" w:afterAutospacing="0"/>
              <w:ind w:right="0" w:firstLineChars="0"/>
              <w:jc w:val="both"/>
              <w:rPr>
                <w:rFonts w:hint="default"/>
                <w:sz w:val="24"/>
                <w:szCs w:val="32"/>
              </w:rPr>
            </w:pPr>
            <w:r>
              <w:rPr>
                <w:rFonts w:hint="eastAsia"/>
                <w:sz w:val="24"/>
                <w:szCs w:val="32"/>
              </w:rPr>
              <w:t>采用底盘驱动电机驱动整车行驶，可用于散装垃圾、渣土等运输；</w:t>
            </w:r>
          </w:p>
          <w:p w14:paraId="513E7AE2">
            <w:pPr>
              <w:pStyle w:val="7"/>
              <w:keepNext w:val="0"/>
              <w:keepLines w:val="0"/>
              <w:widowControl w:val="0"/>
              <w:numPr>
                <w:ilvl w:val="0"/>
                <w:numId w:val="12"/>
              </w:numPr>
              <w:suppressLineNumbers w:val="0"/>
              <w:spacing w:before="0" w:beforeAutospacing="0" w:after="0" w:afterAutospacing="0"/>
              <w:ind w:right="0"/>
              <w:jc w:val="both"/>
              <w:rPr>
                <w:rFonts w:hint="default"/>
                <w:lang w:val="en-US" w:bidi="ar-SA"/>
              </w:rPr>
            </w:pPr>
            <w:r>
              <w:rPr>
                <w:rFonts w:hint="eastAsia"/>
                <w:lang w:val="en-US" w:bidi="ar-SA"/>
              </w:rPr>
              <w:t>具有自卸功能，可快速卸载物料；</w:t>
            </w:r>
          </w:p>
          <w:p w14:paraId="25DACF7A">
            <w:pPr>
              <w:pStyle w:val="7"/>
              <w:keepNext w:val="0"/>
              <w:keepLines w:val="0"/>
              <w:widowControl w:val="0"/>
              <w:numPr>
                <w:ilvl w:val="0"/>
                <w:numId w:val="12"/>
              </w:numPr>
              <w:suppressLineNumbers w:val="0"/>
              <w:spacing w:before="0" w:beforeAutospacing="0" w:after="0" w:afterAutospacing="0"/>
              <w:ind w:right="0"/>
              <w:jc w:val="both"/>
              <w:rPr>
                <w:rFonts w:hint="default"/>
                <w:lang w:val="en-US" w:bidi="ar-SA"/>
              </w:rPr>
            </w:pPr>
            <w:r>
              <w:rPr>
                <w:rFonts w:hint="default"/>
                <w:lang w:val="en-US" w:bidi="ar-SA"/>
              </w:rPr>
              <w:t>驾驶室匹配原厂空调。</w:t>
            </w:r>
          </w:p>
        </w:tc>
        <w:tc>
          <w:tcPr>
            <w:tcW w:w="1110" w:type="dxa"/>
            <w:vMerge w:val="continue"/>
            <w:vAlign w:val="center"/>
          </w:tcPr>
          <w:p w14:paraId="67FCD213">
            <w:pPr>
              <w:keepNext w:val="0"/>
              <w:keepLines w:val="0"/>
              <w:suppressLineNumbers w:val="0"/>
              <w:spacing w:before="0" w:beforeAutospacing="0" w:after="0" w:afterAutospacing="0"/>
              <w:ind w:left="0" w:right="0"/>
              <w:jc w:val="center"/>
              <w:rPr>
                <w:rFonts w:hint="default"/>
                <w:sz w:val="24"/>
                <w:szCs w:val="32"/>
              </w:rPr>
            </w:pPr>
          </w:p>
        </w:tc>
        <w:tc>
          <w:tcPr>
            <w:tcW w:w="1095" w:type="dxa"/>
            <w:vMerge w:val="continue"/>
            <w:vAlign w:val="center"/>
          </w:tcPr>
          <w:p w14:paraId="2C171ED2">
            <w:pPr>
              <w:keepNext w:val="0"/>
              <w:keepLines w:val="0"/>
              <w:suppressLineNumbers w:val="0"/>
              <w:spacing w:before="0" w:beforeAutospacing="0" w:after="0" w:afterAutospacing="0"/>
              <w:ind w:left="0" w:right="0"/>
              <w:jc w:val="center"/>
              <w:rPr>
                <w:rFonts w:hint="default"/>
                <w:sz w:val="24"/>
                <w:szCs w:val="32"/>
              </w:rPr>
            </w:pPr>
          </w:p>
        </w:tc>
      </w:tr>
      <w:tr w14:paraId="6085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gridSpan w:val="7"/>
            <w:vAlign w:val="center"/>
          </w:tcPr>
          <w:p w14:paraId="27EBC7F3">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合计：       元。</w:t>
            </w:r>
          </w:p>
        </w:tc>
      </w:tr>
    </w:tbl>
    <w:p w14:paraId="3BE43C85">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宋体" w:hAnsi="宋体" w:cs="宋体"/>
          <w:color w:val="000000"/>
          <w:kern w:val="0"/>
          <w:sz w:val="24"/>
          <w:szCs w:val="24"/>
        </w:rPr>
      </w:pPr>
    </w:p>
    <w:p w14:paraId="6FF79EAA">
      <w:pPr>
        <w:rPr>
          <w:rStyle w:val="41"/>
          <w:rFonts w:hint="eastAsia" w:ascii="宋体" w:hAnsi="宋体" w:eastAsia="宋体" w:cs="宋体"/>
          <w:color w:val="auto"/>
          <w:sz w:val="21"/>
          <w:szCs w:val="21"/>
        </w:rPr>
      </w:pPr>
    </w:p>
    <w:p w14:paraId="6BA94007">
      <w:pPr>
        <w:rPr>
          <w:rStyle w:val="41"/>
          <w:rFonts w:hint="eastAsia" w:ascii="宋体" w:hAnsi="宋体" w:cs="宋体"/>
          <w:color w:val="auto"/>
          <w:lang w:val="en-US" w:eastAsia="zh-CN"/>
        </w:rPr>
      </w:pPr>
      <w:bookmarkStart w:id="507" w:name="_Toc18100"/>
      <w:bookmarkStart w:id="508" w:name="_Toc13286"/>
      <w:r>
        <w:rPr>
          <w:rStyle w:val="41"/>
          <w:rFonts w:hint="eastAsia" w:ascii="宋体" w:hAnsi="宋体" w:cs="宋体"/>
          <w:color w:val="auto"/>
          <w:lang w:val="en-US" w:eastAsia="zh-CN"/>
        </w:rPr>
        <w:br w:type="page"/>
      </w:r>
    </w:p>
    <w:p w14:paraId="7D26B54E">
      <w:pPr>
        <w:numPr>
          <w:ilvl w:val="0"/>
          <w:numId w:val="0"/>
        </w:numPr>
        <w:spacing w:line="340" w:lineRule="exact"/>
        <w:ind w:leftChars="0"/>
        <w:jc w:val="center"/>
        <w:outlineLvl w:val="0"/>
        <w:rPr>
          <w:rStyle w:val="41"/>
          <w:rFonts w:hint="eastAsia" w:ascii="宋体" w:hAnsi="宋体" w:cs="宋体"/>
          <w:color w:val="auto"/>
          <w:lang w:val="en-US" w:eastAsia="zh-CN"/>
        </w:rPr>
      </w:pPr>
      <w:r>
        <w:rPr>
          <w:rStyle w:val="41"/>
          <w:rFonts w:hint="eastAsia" w:ascii="宋体" w:hAnsi="宋体" w:cs="宋体"/>
          <w:color w:val="auto"/>
          <w:lang w:val="en-US" w:eastAsia="zh-CN"/>
        </w:rPr>
        <w:t>第四章  评标办法（综合评分法）</w:t>
      </w:r>
      <w:bookmarkEnd w:id="503"/>
      <w:bookmarkEnd w:id="504"/>
      <w:bookmarkEnd w:id="505"/>
      <w:bookmarkEnd w:id="506"/>
      <w:bookmarkEnd w:id="507"/>
      <w:bookmarkEnd w:id="508"/>
      <w:bookmarkStart w:id="509" w:name="_Toc9836"/>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56"/>
        <w:gridCol w:w="1078"/>
        <w:gridCol w:w="56"/>
        <w:gridCol w:w="1939"/>
        <w:gridCol w:w="56"/>
        <w:gridCol w:w="5409"/>
      </w:tblGrid>
      <w:tr w14:paraId="6A6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996" w:type="dxa"/>
            <w:gridSpan w:val="4"/>
            <w:vAlign w:val="center"/>
          </w:tcPr>
          <w:p w14:paraId="35CB99C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995" w:type="dxa"/>
            <w:gridSpan w:val="2"/>
            <w:vAlign w:val="center"/>
          </w:tcPr>
          <w:p w14:paraId="6D6B31D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kern w:val="0"/>
                <w:sz w:val="24"/>
                <w:szCs w:val="24"/>
              </w:rPr>
              <w:t>评审因素</w:t>
            </w:r>
          </w:p>
        </w:tc>
        <w:tc>
          <w:tcPr>
            <w:tcW w:w="5409" w:type="dxa"/>
            <w:vAlign w:val="center"/>
          </w:tcPr>
          <w:p w14:paraId="497976BC">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sz w:val="24"/>
                <w:szCs w:val="24"/>
              </w:rPr>
            </w:pPr>
            <w:r>
              <w:rPr>
                <w:rFonts w:hint="eastAsia" w:ascii="宋体" w:hAnsi="宋体" w:eastAsia="宋体" w:cs="宋体"/>
                <w:kern w:val="0"/>
                <w:sz w:val="24"/>
                <w:szCs w:val="24"/>
              </w:rPr>
              <w:t>评审标准</w:t>
            </w:r>
          </w:p>
        </w:tc>
      </w:tr>
      <w:tr w14:paraId="735D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862" w:type="dxa"/>
            <w:gridSpan w:val="2"/>
            <w:vMerge w:val="restart"/>
            <w:vAlign w:val="center"/>
          </w:tcPr>
          <w:p w14:paraId="4AFAA0F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p w14:paraId="789E5E56">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1.1</w:t>
            </w:r>
          </w:p>
        </w:tc>
        <w:tc>
          <w:tcPr>
            <w:tcW w:w="1134" w:type="dxa"/>
            <w:gridSpan w:val="2"/>
            <w:vMerge w:val="restart"/>
            <w:vAlign w:val="center"/>
          </w:tcPr>
          <w:p w14:paraId="286A950D">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符合性评审标准</w:t>
            </w:r>
          </w:p>
        </w:tc>
        <w:tc>
          <w:tcPr>
            <w:tcW w:w="1995" w:type="dxa"/>
            <w:gridSpan w:val="2"/>
            <w:vAlign w:val="center"/>
          </w:tcPr>
          <w:p w14:paraId="17CC1E2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p>
        </w:tc>
        <w:tc>
          <w:tcPr>
            <w:tcW w:w="5409" w:type="dxa"/>
            <w:vAlign w:val="center"/>
          </w:tcPr>
          <w:p w14:paraId="2C54811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与营业执照一致</w:t>
            </w:r>
          </w:p>
        </w:tc>
      </w:tr>
      <w:tr w14:paraId="0463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862" w:type="dxa"/>
            <w:gridSpan w:val="2"/>
            <w:vMerge w:val="continue"/>
            <w:vAlign w:val="center"/>
          </w:tcPr>
          <w:p w14:paraId="13646D6B">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rPr>
            </w:pPr>
          </w:p>
        </w:tc>
        <w:tc>
          <w:tcPr>
            <w:tcW w:w="1134" w:type="dxa"/>
            <w:gridSpan w:val="2"/>
            <w:vMerge w:val="continue"/>
            <w:vAlign w:val="center"/>
          </w:tcPr>
          <w:p w14:paraId="23529F27">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2ED7EF5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409" w:type="dxa"/>
            <w:vAlign w:val="center"/>
          </w:tcPr>
          <w:p w14:paraId="7FF58936">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只有一个有效报价</w:t>
            </w:r>
          </w:p>
        </w:tc>
      </w:tr>
      <w:tr w14:paraId="1812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862" w:type="dxa"/>
            <w:gridSpan w:val="2"/>
            <w:vMerge w:val="continue"/>
            <w:vAlign w:val="center"/>
          </w:tcPr>
          <w:p w14:paraId="23FEE9F0">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rPr>
            </w:pPr>
          </w:p>
        </w:tc>
        <w:tc>
          <w:tcPr>
            <w:tcW w:w="1134" w:type="dxa"/>
            <w:gridSpan w:val="2"/>
            <w:vMerge w:val="continue"/>
            <w:vAlign w:val="center"/>
          </w:tcPr>
          <w:p w14:paraId="349A0B79">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0536160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eastAsia="en-US"/>
              </w:rPr>
              <w:t>投标文件格式</w:t>
            </w:r>
          </w:p>
        </w:tc>
        <w:tc>
          <w:tcPr>
            <w:tcW w:w="5409" w:type="dxa"/>
            <w:vAlign w:val="center"/>
          </w:tcPr>
          <w:p w14:paraId="04CF50D1">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eastAsia="en-US"/>
              </w:rPr>
              <w:t>符合 “投标文件格式”的要求</w:t>
            </w:r>
          </w:p>
        </w:tc>
      </w:tr>
      <w:tr w14:paraId="34F5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exact"/>
          <w:jc w:val="center"/>
        </w:trPr>
        <w:tc>
          <w:tcPr>
            <w:tcW w:w="862" w:type="dxa"/>
            <w:gridSpan w:val="2"/>
            <w:vMerge w:val="restart"/>
            <w:shd w:val="clear" w:color="auto" w:fill="auto"/>
            <w:vAlign w:val="center"/>
          </w:tcPr>
          <w:p w14:paraId="19166433">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1134" w:type="dxa"/>
            <w:gridSpan w:val="2"/>
            <w:vMerge w:val="restart"/>
            <w:shd w:val="clear" w:color="auto" w:fill="auto"/>
            <w:vAlign w:val="center"/>
          </w:tcPr>
          <w:p w14:paraId="4981682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1995" w:type="dxa"/>
            <w:gridSpan w:val="2"/>
            <w:vAlign w:val="center"/>
          </w:tcPr>
          <w:p w14:paraId="16BF6FAC">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c>
          <w:tcPr>
            <w:tcW w:w="5409" w:type="dxa"/>
            <w:vAlign w:val="center"/>
          </w:tcPr>
          <w:p w14:paraId="2AE46238">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供应商提供承诺书</w:t>
            </w:r>
          </w:p>
        </w:tc>
      </w:tr>
      <w:tr w14:paraId="29F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gridSpan w:val="2"/>
            <w:vMerge w:val="continue"/>
            <w:shd w:val="clear" w:color="auto" w:fill="auto"/>
            <w:vAlign w:val="center"/>
          </w:tcPr>
          <w:p w14:paraId="77CAB9BB">
            <w:pPr>
              <w:pStyle w:val="9"/>
              <w:keepNext w:val="0"/>
              <w:keepLines w:val="0"/>
              <w:suppressLineNumbers w:val="0"/>
              <w:spacing w:before="0" w:beforeAutospacing="0" w:after="0" w:afterAutospacing="0"/>
              <w:ind w:left="0" w:right="0" w:firstLine="0" w:firstLineChars="0"/>
              <w:jc w:val="center"/>
              <w:rPr>
                <w:rFonts w:hint="eastAsia" w:ascii="宋体" w:hAnsi="宋体" w:eastAsia="宋体" w:cs="宋体"/>
                <w:kern w:val="0"/>
                <w:sz w:val="24"/>
                <w:szCs w:val="24"/>
              </w:rPr>
            </w:pPr>
          </w:p>
        </w:tc>
        <w:tc>
          <w:tcPr>
            <w:tcW w:w="1134" w:type="dxa"/>
            <w:gridSpan w:val="2"/>
            <w:vMerge w:val="continue"/>
            <w:shd w:val="clear" w:color="auto" w:fill="auto"/>
            <w:vAlign w:val="center"/>
          </w:tcPr>
          <w:p w14:paraId="0CD529F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95" w:type="dxa"/>
            <w:gridSpan w:val="2"/>
            <w:vAlign w:val="center"/>
          </w:tcPr>
          <w:p w14:paraId="794F52E7">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409" w:type="dxa"/>
            <w:vAlign w:val="center"/>
          </w:tcPr>
          <w:p w14:paraId="3C00BB77">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cs="宋体"/>
                <w:sz w:val="24"/>
                <w:szCs w:val="24"/>
                <w:lang w:eastAsia="zh-CN"/>
              </w:rPr>
            </w:pPr>
            <w:r>
              <w:rPr>
                <w:rFonts w:hint="eastAsia" w:ascii="宋体" w:hAnsi="宋体" w:cs="宋体"/>
                <w:sz w:val="24"/>
                <w:szCs w:val="24"/>
                <w:lang w:eastAsia="zh-CN"/>
              </w:rPr>
              <w:t>供应商具有合格有效的营业执照；提供具有履行合同所必需的设备和专业技术能力（自行作出承诺，格式自拟）</w:t>
            </w:r>
            <w:r>
              <w:rPr>
                <w:rFonts w:hint="eastAsia" w:ascii="宋体" w:hAnsi="宋体" w:eastAsia="宋体" w:cs="宋体"/>
                <w:sz w:val="24"/>
                <w:szCs w:val="24"/>
              </w:rPr>
              <w:t xml:space="preserve"> </w:t>
            </w:r>
          </w:p>
        </w:tc>
      </w:tr>
      <w:tr w14:paraId="3F52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exact"/>
          <w:jc w:val="center"/>
        </w:trPr>
        <w:tc>
          <w:tcPr>
            <w:tcW w:w="862" w:type="dxa"/>
            <w:gridSpan w:val="2"/>
            <w:vMerge w:val="continue"/>
            <w:shd w:val="clear" w:color="auto" w:fill="auto"/>
            <w:vAlign w:val="center"/>
          </w:tcPr>
          <w:p w14:paraId="25335F00">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186BB84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E6CC84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lang w:eastAsia="zh-CN"/>
              </w:rPr>
              <w:t>无商业贿赂及无不正当竞争行为</w:t>
            </w:r>
          </w:p>
        </w:tc>
        <w:tc>
          <w:tcPr>
            <w:tcW w:w="5409" w:type="dxa"/>
            <w:vAlign w:val="center"/>
          </w:tcPr>
          <w:p w14:paraId="4014938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cs="宋体"/>
                <w:sz w:val="24"/>
                <w:szCs w:val="24"/>
                <w:lang w:eastAsia="zh-CN"/>
              </w:rPr>
              <w:t>供应商</w:t>
            </w:r>
            <w:r>
              <w:rPr>
                <w:rFonts w:hint="eastAsia" w:ascii="宋体" w:hAnsi="宋体" w:eastAsia="宋体" w:cs="宋体"/>
                <w:sz w:val="24"/>
                <w:szCs w:val="24"/>
                <w:lang w:eastAsia="zh-CN"/>
              </w:rPr>
              <w:t>出具的本单位无商业贿赂及无不正当竞争行为承诺书</w:t>
            </w:r>
            <w:r>
              <w:rPr>
                <w:rFonts w:hint="eastAsia" w:ascii="宋体" w:hAnsi="宋体" w:eastAsia="宋体" w:cs="宋体"/>
                <w:sz w:val="24"/>
                <w:szCs w:val="24"/>
              </w:rPr>
              <w:t>；</w:t>
            </w:r>
          </w:p>
        </w:tc>
      </w:tr>
      <w:tr w14:paraId="28B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jc w:val="center"/>
        </w:trPr>
        <w:tc>
          <w:tcPr>
            <w:tcW w:w="862" w:type="dxa"/>
            <w:gridSpan w:val="2"/>
            <w:vMerge w:val="continue"/>
            <w:shd w:val="clear" w:color="auto" w:fill="auto"/>
            <w:vAlign w:val="center"/>
          </w:tcPr>
          <w:p w14:paraId="369ED3A9">
            <w:pPr>
              <w:pStyle w:val="9"/>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2BA493D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A2F196E">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cs="宋体"/>
                <w:sz w:val="24"/>
                <w:szCs w:val="24"/>
                <w:lang w:eastAsia="zh-CN"/>
              </w:rPr>
              <w:t>无行贿记录</w:t>
            </w:r>
          </w:p>
        </w:tc>
        <w:tc>
          <w:tcPr>
            <w:tcW w:w="5409" w:type="dxa"/>
            <w:vAlign w:val="center"/>
          </w:tcPr>
          <w:p w14:paraId="19348D4D">
            <w:pPr>
              <w:pStyle w:val="21"/>
              <w:keepNext w:val="0"/>
              <w:keepLines w:val="0"/>
              <w:suppressLineNumbers w:val="0"/>
              <w:spacing w:before="0" w:beforeAutospacing="0" w:after="0" w:afterAutospacing="0" w:line="23" w:lineRule="atLeast"/>
              <w:ind w:left="0" w:right="0"/>
              <w:jc w:val="both"/>
              <w:rPr>
                <w:rFonts w:hint="eastAsia" w:ascii="宋体" w:hAnsi="宋体" w:eastAsia="宋体" w:cs="宋体"/>
                <w:kern w:val="0"/>
                <w:sz w:val="24"/>
                <w:szCs w:val="24"/>
                <w:highlight w:val="yellow"/>
              </w:rPr>
            </w:pPr>
            <w:r>
              <w:rPr>
                <w:rFonts w:hint="eastAsia" w:cs="宋体"/>
                <w:sz w:val="24"/>
                <w:szCs w:val="24"/>
                <w:lang w:eastAsia="zh-CN"/>
              </w:rPr>
              <w:t>供应商出具无行贿记录在中国裁判文书网自行查询或自行承诺（查询对象：企业、法定代表人）</w:t>
            </w:r>
          </w:p>
        </w:tc>
      </w:tr>
      <w:tr w14:paraId="2363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exact"/>
          <w:jc w:val="center"/>
        </w:trPr>
        <w:tc>
          <w:tcPr>
            <w:tcW w:w="862" w:type="dxa"/>
            <w:gridSpan w:val="2"/>
            <w:vMerge w:val="continue"/>
            <w:shd w:val="clear" w:color="auto" w:fill="auto"/>
            <w:vAlign w:val="center"/>
          </w:tcPr>
          <w:p w14:paraId="6F9A113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064AC12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29AB671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bookmarkStart w:id="510" w:name="OLE_LINK2"/>
            <w:r>
              <w:rPr>
                <w:rFonts w:hint="eastAsia" w:ascii="宋体" w:hAnsi="宋体" w:eastAsia="宋体" w:cs="宋体"/>
                <w:sz w:val="24"/>
                <w:szCs w:val="24"/>
              </w:rPr>
              <w:t>参加政府采购活动前三年内，在经营活动中没有重大违法记录</w:t>
            </w:r>
            <w:bookmarkEnd w:id="510"/>
          </w:p>
        </w:tc>
        <w:tc>
          <w:tcPr>
            <w:tcW w:w="5409" w:type="dxa"/>
            <w:vAlign w:val="center"/>
          </w:tcPr>
          <w:p w14:paraId="59DD99AC">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kern w:val="0"/>
                <w:sz w:val="24"/>
                <w:szCs w:val="24"/>
                <w:highlight w:val="yellow"/>
              </w:rPr>
            </w:pPr>
            <w:r>
              <w:rPr>
                <w:rFonts w:hint="eastAsia" w:ascii="宋体" w:hAnsi="宋体" w:eastAsia="宋体" w:cs="宋体"/>
                <w:sz w:val="24"/>
                <w:szCs w:val="24"/>
              </w:rPr>
              <w:t>参加政府采购活动前三年内，在经营活动中没有重大违法记录（提供书面声明）；</w:t>
            </w:r>
          </w:p>
        </w:tc>
      </w:tr>
      <w:tr w14:paraId="1DEF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exact"/>
          <w:jc w:val="center"/>
        </w:trPr>
        <w:tc>
          <w:tcPr>
            <w:tcW w:w="862" w:type="dxa"/>
            <w:gridSpan w:val="2"/>
            <w:vMerge w:val="continue"/>
            <w:shd w:val="clear" w:color="auto" w:fill="auto"/>
            <w:vAlign w:val="center"/>
          </w:tcPr>
          <w:p w14:paraId="608CA9A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4E77A99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gridSpan w:val="2"/>
            <w:vAlign w:val="center"/>
          </w:tcPr>
          <w:p w14:paraId="7AD80B2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rPr>
              <w:t>信用查询</w:t>
            </w:r>
          </w:p>
        </w:tc>
        <w:tc>
          <w:tcPr>
            <w:tcW w:w="5409" w:type="dxa"/>
            <w:vAlign w:val="center"/>
          </w:tcPr>
          <w:p w14:paraId="7D85A65C">
            <w:pPr>
              <w:pStyle w:val="21"/>
              <w:keepNext w:val="0"/>
              <w:keepLines w:val="0"/>
              <w:suppressLineNumbers w:val="0"/>
              <w:spacing w:before="0" w:beforeAutospacing="0" w:after="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p>
        </w:tc>
      </w:tr>
      <w:tr w14:paraId="3DC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62" w:type="dxa"/>
            <w:gridSpan w:val="2"/>
            <w:vMerge w:val="restart"/>
            <w:vAlign w:val="center"/>
          </w:tcPr>
          <w:p w14:paraId="015C49D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134" w:type="dxa"/>
            <w:gridSpan w:val="2"/>
            <w:vMerge w:val="restart"/>
            <w:vAlign w:val="center"/>
          </w:tcPr>
          <w:p w14:paraId="42D9DE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p>
        </w:tc>
        <w:tc>
          <w:tcPr>
            <w:tcW w:w="1995" w:type="dxa"/>
            <w:gridSpan w:val="2"/>
            <w:vAlign w:val="center"/>
          </w:tcPr>
          <w:p w14:paraId="738AE5B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投标文件签署、盖章</w:t>
            </w:r>
          </w:p>
        </w:tc>
        <w:tc>
          <w:tcPr>
            <w:tcW w:w="5409" w:type="dxa"/>
            <w:vAlign w:val="center"/>
          </w:tcPr>
          <w:p w14:paraId="212691C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投标文件按招标文件要求签署、盖章的</w:t>
            </w:r>
          </w:p>
        </w:tc>
      </w:tr>
      <w:tr w14:paraId="5581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62" w:type="dxa"/>
            <w:gridSpan w:val="2"/>
            <w:vMerge w:val="continue"/>
            <w:vAlign w:val="center"/>
          </w:tcPr>
          <w:p w14:paraId="2F020E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134" w:type="dxa"/>
            <w:gridSpan w:val="2"/>
            <w:vMerge w:val="continue"/>
            <w:vAlign w:val="center"/>
          </w:tcPr>
          <w:p w14:paraId="440599A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995" w:type="dxa"/>
            <w:gridSpan w:val="2"/>
            <w:vAlign w:val="center"/>
          </w:tcPr>
          <w:p w14:paraId="5D7B67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5409" w:type="dxa"/>
            <w:vAlign w:val="center"/>
          </w:tcPr>
          <w:p w14:paraId="3274CDB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不超过招标控制价，否则其投标做无效标处理</w:t>
            </w:r>
          </w:p>
        </w:tc>
      </w:tr>
      <w:tr w14:paraId="2B25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862" w:type="dxa"/>
            <w:gridSpan w:val="2"/>
            <w:vMerge w:val="continue"/>
            <w:vAlign w:val="center"/>
          </w:tcPr>
          <w:p w14:paraId="7B358A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6E679C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41D78A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内容</w:t>
            </w:r>
          </w:p>
        </w:tc>
        <w:tc>
          <w:tcPr>
            <w:tcW w:w="5409" w:type="dxa"/>
            <w:vAlign w:val="center"/>
          </w:tcPr>
          <w:p w14:paraId="70C4AADB">
            <w:pPr>
              <w:pStyle w:val="3"/>
              <w:numPr>
                <w:ilvl w:val="0"/>
                <w:numId w:val="0"/>
              </w:numPr>
              <w:suppressLineNumbers w:val="0"/>
              <w:tabs>
                <w:tab w:val="clear" w:pos="840"/>
              </w:tabs>
              <w:spacing w:before="0" w:beforeAutospacing="0" w:after="0" w:afterAutospacing="0" w:line="360" w:lineRule="auto"/>
              <w:ind w:right="0"/>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详见</w:t>
            </w:r>
            <w:r>
              <w:rPr>
                <w:rFonts w:hint="eastAsia" w:ascii="宋体" w:hAnsi="宋体" w:eastAsia="宋体" w:cs="宋体"/>
                <w:b w:val="0"/>
                <w:kern w:val="0"/>
                <w:sz w:val="24"/>
                <w:szCs w:val="24"/>
                <w:lang w:eastAsia="zh-CN"/>
              </w:rPr>
              <w:t>供应商</w:t>
            </w:r>
            <w:r>
              <w:rPr>
                <w:rFonts w:hint="eastAsia" w:ascii="宋体" w:hAnsi="宋体" w:eastAsia="宋体" w:cs="宋体"/>
                <w:b w:val="0"/>
                <w:kern w:val="0"/>
                <w:sz w:val="24"/>
                <w:szCs w:val="24"/>
              </w:rPr>
              <w:t>须知前附表</w:t>
            </w:r>
          </w:p>
          <w:p w14:paraId="30DEA21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r>
      <w:tr w14:paraId="1DE7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862" w:type="dxa"/>
            <w:gridSpan w:val="2"/>
            <w:vMerge w:val="continue"/>
            <w:vAlign w:val="center"/>
          </w:tcPr>
          <w:p w14:paraId="03B2E35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43F8C61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1D3A263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质保期</w:t>
            </w:r>
          </w:p>
        </w:tc>
        <w:tc>
          <w:tcPr>
            <w:tcW w:w="5409" w:type="dxa"/>
            <w:vAlign w:val="center"/>
          </w:tcPr>
          <w:p w14:paraId="7210DD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三电（电机、电控、电池）质保期为8年，除三电以外质保期为1年。</w:t>
            </w:r>
          </w:p>
        </w:tc>
      </w:tr>
      <w:tr w14:paraId="2A95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862" w:type="dxa"/>
            <w:gridSpan w:val="2"/>
            <w:vMerge w:val="continue"/>
            <w:vAlign w:val="center"/>
          </w:tcPr>
          <w:p w14:paraId="7439596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33F4C3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54FC695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交货地点</w:t>
            </w:r>
          </w:p>
        </w:tc>
        <w:tc>
          <w:tcPr>
            <w:tcW w:w="5409" w:type="dxa"/>
            <w:vAlign w:val="center"/>
          </w:tcPr>
          <w:p w14:paraId="2C8B2EB9">
            <w:pPr>
              <w:keepNext w:val="0"/>
              <w:keepLines w:val="0"/>
              <w:widowControl/>
              <w:suppressLineNumbers w:val="0"/>
              <w:spacing w:before="0" w:beforeAutospacing="0" w:after="0" w:afterAutospacing="0"/>
              <w:ind w:left="0" w:right="0" w:firstLine="1440" w:firstLineChars="6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采购人指定地点</w:t>
            </w:r>
          </w:p>
        </w:tc>
      </w:tr>
      <w:tr w14:paraId="48D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62" w:type="dxa"/>
            <w:gridSpan w:val="2"/>
            <w:vMerge w:val="continue"/>
            <w:vAlign w:val="center"/>
          </w:tcPr>
          <w:p w14:paraId="6C6F1E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9DEF6F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5FA5A65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409" w:type="dxa"/>
            <w:vAlign w:val="center"/>
          </w:tcPr>
          <w:p w14:paraId="092409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签订合同后45日历天交货</w:t>
            </w:r>
          </w:p>
        </w:tc>
      </w:tr>
      <w:tr w14:paraId="3672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62" w:type="dxa"/>
            <w:gridSpan w:val="2"/>
            <w:vMerge w:val="continue"/>
            <w:vAlign w:val="center"/>
          </w:tcPr>
          <w:p w14:paraId="69CC76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2B1B19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gridSpan w:val="2"/>
            <w:vAlign w:val="center"/>
          </w:tcPr>
          <w:p w14:paraId="734C89B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投标有效期</w:t>
            </w:r>
          </w:p>
        </w:tc>
        <w:tc>
          <w:tcPr>
            <w:tcW w:w="5409" w:type="dxa"/>
            <w:vAlign w:val="center"/>
          </w:tcPr>
          <w:p w14:paraId="0FE3CB6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397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996" w:type="dxa"/>
            <w:gridSpan w:val="4"/>
            <w:shd w:val="clear" w:color="auto" w:fill="auto"/>
            <w:vAlign w:val="center"/>
          </w:tcPr>
          <w:p w14:paraId="2C3A4D8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gridSpan w:val="2"/>
            <w:shd w:val="clear" w:color="auto" w:fill="auto"/>
            <w:vAlign w:val="center"/>
          </w:tcPr>
          <w:p w14:paraId="77D9546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条款内容</w:t>
            </w:r>
          </w:p>
        </w:tc>
        <w:tc>
          <w:tcPr>
            <w:tcW w:w="5409" w:type="dxa"/>
            <w:shd w:val="clear" w:color="auto" w:fill="auto"/>
            <w:vAlign w:val="center"/>
          </w:tcPr>
          <w:p w14:paraId="46924439">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编列内容</w:t>
            </w:r>
          </w:p>
        </w:tc>
      </w:tr>
      <w:tr w14:paraId="7D3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940" w:type="dxa"/>
            <w:gridSpan w:val="3"/>
            <w:shd w:val="clear" w:color="auto" w:fill="auto"/>
            <w:vAlign w:val="center"/>
          </w:tcPr>
          <w:p w14:paraId="4CB854C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1.2.1</w:t>
            </w:r>
          </w:p>
        </w:tc>
        <w:tc>
          <w:tcPr>
            <w:tcW w:w="1995" w:type="dxa"/>
            <w:gridSpan w:val="2"/>
            <w:shd w:val="clear" w:color="auto" w:fill="auto"/>
            <w:vAlign w:val="center"/>
          </w:tcPr>
          <w:p w14:paraId="64EC54A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分值构成(总分100分)</w:t>
            </w:r>
          </w:p>
        </w:tc>
        <w:tc>
          <w:tcPr>
            <w:tcW w:w="5465" w:type="dxa"/>
            <w:gridSpan w:val="2"/>
            <w:shd w:val="clear" w:color="auto" w:fill="auto"/>
            <w:vAlign w:val="center"/>
          </w:tcPr>
          <w:p w14:paraId="3EF1D79E">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rPr>
            </w:pPr>
            <w:r>
              <w:rPr>
                <w:rFonts w:hint="eastAsia" w:ascii="宋体" w:hAnsi="宋体" w:eastAsia="宋体" w:cs="宋体"/>
                <w:b/>
                <w:sz w:val="24"/>
                <w:szCs w:val="24"/>
              </w:rPr>
              <w:t>报价部分：30分</w:t>
            </w:r>
          </w:p>
          <w:p w14:paraId="066CD088">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rPr>
            </w:pPr>
            <w:r>
              <w:rPr>
                <w:rFonts w:hint="eastAsia" w:ascii="宋体" w:hAnsi="宋体" w:eastAsia="宋体" w:cs="宋体"/>
                <w:b/>
                <w:sz w:val="24"/>
                <w:szCs w:val="24"/>
              </w:rPr>
              <w:t>技术部分：</w:t>
            </w:r>
            <w:r>
              <w:rPr>
                <w:rFonts w:hint="eastAsia" w:ascii="宋体" w:hAnsi="宋体" w:eastAsia="宋体" w:cs="宋体"/>
                <w:b/>
                <w:sz w:val="24"/>
                <w:szCs w:val="24"/>
                <w:lang w:val="en-US" w:eastAsia="zh-CN"/>
              </w:rPr>
              <w:t>4</w:t>
            </w:r>
            <w:r>
              <w:rPr>
                <w:rFonts w:hint="eastAsia" w:ascii="宋体" w:hAnsi="宋体" w:cs="宋体"/>
                <w:b/>
                <w:sz w:val="24"/>
                <w:szCs w:val="24"/>
                <w:lang w:val="en-US" w:eastAsia="zh-CN"/>
              </w:rPr>
              <w:t>5</w:t>
            </w:r>
            <w:r>
              <w:rPr>
                <w:rFonts w:hint="eastAsia" w:ascii="宋体" w:hAnsi="宋体" w:eastAsia="宋体" w:cs="宋体"/>
                <w:b/>
                <w:sz w:val="24"/>
                <w:szCs w:val="24"/>
              </w:rPr>
              <w:t>分</w:t>
            </w:r>
          </w:p>
          <w:p w14:paraId="5C5E33DD">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宋体" w:hAnsi="宋体" w:eastAsia="宋体" w:cs="宋体"/>
                <w:b/>
                <w:sz w:val="24"/>
                <w:szCs w:val="24"/>
                <w:highlight w:val="yellow"/>
              </w:rPr>
            </w:pPr>
            <w:r>
              <w:rPr>
                <w:rFonts w:hint="eastAsia" w:ascii="宋体" w:hAnsi="宋体" w:eastAsia="宋体" w:cs="宋体"/>
                <w:b/>
                <w:sz w:val="24"/>
                <w:szCs w:val="24"/>
              </w:rPr>
              <w:t>商务部分：</w:t>
            </w:r>
            <w:r>
              <w:rPr>
                <w:rFonts w:hint="eastAsia" w:ascii="宋体" w:hAnsi="宋体" w:cs="宋体"/>
                <w:b/>
                <w:sz w:val="24"/>
                <w:szCs w:val="24"/>
                <w:lang w:val="en-US" w:eastAsia="zh-CN"/>
              </w:rPr>
              <w:t>25</w:t>
            </w:r>
            <w:r>
              <w:rPr>
                <w:rFonts w:hint="eastAsia" w:ascii="宋体" w:hAnsi="宋体" w:eastAsia="宋体" w:cs="宋体"/>
                <w:b/>
                <w:sz w:val="24"/>
                <w:szCs w:val="24"/>
              </w:rPr>
              <w:t>分</w:t>
            </w:r>
          </w:p>
        </w:tc>
      </w:tr>
      <w:tr w14:paraId="344D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40" w:type="dxa"/>
            <w:gridSpan w:val="3"/>
            <w:shd w:val="clear" w:color="auto" w:fill="auto"/>
            <w:vAlign w:val="center"/>
          </w:tcPr>
          <w:p w14:paraId="24F35AAD">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gridSpan w:val="2"/>
            <w:shd w:val="clear" w:color="auto" w:fill="auto"/>
            <w:vAlign w:val="center"/>
          </w:tcPr>
          <w:p w14:paraId="732E9D24">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评分因素</w:t>
            </w:r>
          </w:p>
        </w:tc>
        <w:tc>
          <w:tcPr>
            <w:tcW w:w="5465" w:type="dxa"/>
            <w:gridSpan w:val="2"/>
            <w:shd w:val="clear" w:color="auto" w:fill="auto"/>
            <w:vAlign w:val="center"/>
          </w:tcPr>
          <w:p w14:paraId="2F44AD96">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b/>
                <w:sz w:val="24"/>
                <w:szCs w:val="24"/>
                <w:highlight w:val="yellow"/>
              </w:rPr>
            </w:pPr>
            <w:r>
              <w:rPr>
                <w:rFonts w:hint="eastAsia" w:ascii="宋体" w:hAnsi="宋体" w:eastAsia="宋体" w:cs="宋体"/>
                <w:kern w:val="0"/>
                <w:sz w:val="24"/>
                <w:szCs w:val="24"/>
              </w:rPr>
              <w:t>评分标准</w:t>
            </w:r>
          </w:p>
        </w:tc>
      </w:tr>
      <w:tr w14:paraId="7B3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06" w:type="dxa"/>
            <w:vMerge w:val="restart"/>
            <w:vAlign w:val="center"/>
          </w:tcPr>
          <w:p w14:paraId="12BFAF2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1.2.2（1）</w:t>
            </w:r>
          </w:p>
        </w:tc>
        <w:tc>
          <w:tcPr>
            <w:tcW w:w="3129" w:type="dxa"/>
            <w:gridSpan w:val="4"/>
            <w:vAlign w:val="center"/>
          </w:tcPr>
          <w:p w14:paraId="0021345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投标报价（30分）</w:t>
            </w:r>
          </w:p>
        </w:tc>
        <w:tc>
          <w:tcPr>
            <w:tcW w:w="5465" w:type="dxa"/>
            <w:gridSpan w:val="2"/>
            <w:vAlign w:val="center"/>
          </w:tcPr>
          <w:p w14:paraId="2CB2F2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1、超出采购人最高限价的投标报价为无效报价、按废标处理。</w:t>
            </w:r>
          </w:p>
          <w:p w14:paraId="524064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2、所有未进入详细评审的投标为无效投标，其报价不作为评分依据。</w:t>
            </w:r>
          </w:p>
          <w:p w14:paraId="2A0150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3、价格分统一采用低价优先法计算，既满足招标文件要求且投标价格最低的投标报价为评标基准价，其价格分为满分。其他供应商的价格分统一按照下列公式计算：</w:t>
            </w:r>
          </w:p>
          <w:p w14:paraId="6FDC2B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供应商报价得分=（评标基准价/供应商投标报价）×30</w:t>
            </w:r>
          </w:p>
          <w:p w14:paraId="48215C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37CF13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200F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restart"/>
            <w:vAlign w:val="center"/>
          </w:tcPr>
          <w:p w14:paraId="0A351F0A">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1.2.2（2）</w:t>
            </w:r>
          </w:p>
        </w:tc>
        <w:tc>
          <w:tcPr>
            <w:tcW w:w="1134" w:type="dxa"/>
            <w:gridSpan w:val="2"/>
            <w:vMerge w:val="restart"/>
            <w:vAlign w:val="center"/>
          </w:tcPr>
          <w:p w14:paraId="72015230">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95" w:type="dxa"/>
            <w:gridSpan w:val="2"/>
            <w:vAlign w:val="center"/>
          </w:tcPr>
          <w:p w14:paraId="3FA7AA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技术规格、和功能要求（30分）</w:t>
            </w:r>
          </w:p>
        </w:tc>
        <w:tc>
          <w:tcPr>
            <w:tcW w:w="5465" w:type="dxa"/>
            <w:gridSpan w:val="2"/>
            <w:vAlign w:val="center"/>
          </w:tcPr>
          <w:p w14:paraId="2B0C92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完全满足招标文件技术条款的得30分；配置不详、技术参数不清、缺漏项的，视同负偏离处理。 </w:t>
            </w:r>
          </w:p>
          <w:p w14:paraId="62F6AC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（1）技术偏离表按照招标文件的参数要求逐项对应列出所投产品对应条件和参数，并注明响应与负偏离。不按要求列出的，计 0 分； </w:t>
            </w:r>
          </w:p>
          <w:p w14:paraId="088D32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（2）投标文件技术参数照抄招标文件原文的，计 0 分； </w:t>
            </w:r>
          </w:p>
          <w:p w14:paraId="1C047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（3）没有“货物说明一览表”或“技术偏离表”的，计 0 分； </w:t>
            </w:r>
          </w:p>
          <w:p w14:paraId="4D7957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（4）“货物说明一览表”没有写明具体制造商名称、品牌、规格型 号的，每处扣 1 分，扣完为止； </w:t>
            </w:r>
          </w:p>
          <w:p w14:paraId="4196C5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（5）“货物说明一览表”配置不详，技术参数不清，缺漏项的，每 处扣 1 分，扣完为止； </w:t>
            </w:r>
          </w:p>
          <w:p w14:paraId="789F46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（6）一般技术参数（非“★”参数）每负偏离的一项扣 2 分，扣完为止； </w:t>
            </w:r>
          </w:p>
          <w:p w14:paraId="5D5BEE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（7）“★”为重要参数，每负偏离的一项扣3分，扣完为止；</w:t>
            </w:r>
          </w:p>
        </w:tc>
      </w:tr>
      <w:tr w14:paraId="78E8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continue"/>
            <w:vAlign w:val="center"/>
          </w:tcPr>
          <w:p w14:paraId="21F5F205">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15A2419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659D5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产品综合性能（10分）</w:t>
            </w:r>
          </w:p>
        </w:tc>
        <w:tc>
          <w:tcPr>
            <w:tcW w:w="5465" w:type="dxa"/>
            <w:gridSpan w:val="2"/>
            <w:vAlign w:val="center"/>
          </w:tcPr>
          <w:p w14:paraId="1BCFD9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根据投标人所提供的产品技术先进性、设备的综合性能横向比较进行综合评分：</w:t>
            </w:r>
          </w:p>
          <w:p w14:paraId="66A439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第一档：产品技术先进、设备综合性能优、非常适用的，计10分；</w:t>
            </w:r>
          </w:p>
          <w:p w14:paraId="098A1A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第二档：产品技术良好、设备综合性能良好、基本满足，计7分；</w:t>
            </w:r>
          </w:p>
          <w:p w14:paraId="25EB77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第三档：产品技术一般、设备综合性能一般的，计4分；</w:t>
            </w:r>
          </w:p>
          <w:p w14:paraId="5574DD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第四档：产品技术差、设备综合性能差的，计0分；</w:t>
            </w:r>
          </w:p>
        </w:tc>
      </w:tr>
      <w:tr w14:paraId="2D2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6" w:type="dxa"/>
            <w:vMerge w:val="continue"/>
            <w:vAlign w:val="center"/>
          </w:tcPr>
          <w:p w14:paraId="529C70F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455C39FE">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69CAB7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产品质量保证措施（5分）</w:t>
            </w:r>
          </w:p>
        </w:tc>
        <w:tc>
          <w:tcPr>
            <w:tcW w:w="5465" w:type="dxa"/>
            <w:gridSpan w:val="2"/>
            <w:vAlign w:val="center"/>
          </w:tcPr>
          <w:p w14:paraId="5E9C34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供货进度安排及项目实施保证措施：</w:t>
            </w:r>
          </w:p>
          <w:p w14:paraId="49B9E9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或生产厂家针对本项目的所有产品分别提供供货进度安排及保证措施：①供货安装进度计划；②人员安排；③培训方案；④产品验收方案；⑤应急情况处理保障等。方案内容完整、合理且符合项目实际情况的得5分，有1 项内容缺失扣1 分；有1项内容不合理、不完整、不符合项目实际情况的扣0.5分。</w:t>
            </w:r>
          </w:p>
        </w:tc>
      </w:tr>
      <w:tr w14:paraId="15D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06" w:type="dxa"/>
            <w:vMerge w:val="restart"/>
            <w:vAlign w:val="center"/>
          </w:tcPr>
          <w:p w14:paraId="10AA6C14">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1.2.2（3）</w:t>
            </w:r>
          </w:p>
        </w:tc>
        <w:tc>
          <w:tcPr>
            <w:tcW w:w="1134" w:type="dxa"/>
            <w:gridSpan w:val="2"/>
            <w:vMerge w:val="restart"/>
            <w:vAlign w:val="center"/>
          </w:tcPr>
          <w:p w14:paraId="3E086556">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995" w:type="dxa"/>
            <w:gridSpan w:val="2"/>
            <w:vAlign w:val="center"/>
          </w:tcPr>
          <w:p w14:paraId="062A0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类似业绩（9分）</w:t>
            </w:r>
          </w:p>
        </w:tc>
        <w:tc>
          <w:tcPr>
            <w:tcW w:w="5465" w:type="dxa"/>
            <w:gridSpan w:val="2"/>
            <w:vAlign w:val="top"/>
          </w:tcPr>
          <w:p w14:paraId="2D68BA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投标人或生产厂家自 202</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年1月1日至投标截止日期，每提供1个类似经营业绩计3分，最多计9分，未提供不计分。</w:t>
            </w:r>
          </w:p>
          <w:p w14:paraId="26EC0E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须提供中标通知书和经营业绩的合同扫描件（包括合同首页、金额页和盖章页），并标记同类产品，盖投标人公章。否则，不计分。</w:t>
            </w:r>
          </w:p>
        </w:tc>
      </w:tr>
      <w:tr w14:paraId="4EF4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06" w:type="dxa"/>
            <w:vMerge w:val="continue"/>
            <w:vAlign w:val="center"/>
          </w:tcPr>
          <w:p w14:paraId="245EE69C">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08B790F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995" w:type="dxa"/>
            <w:gridSpan w:val="2"/>
            <w:vAlign w:val="center"/>
          </w:tcPr>
          <w:p w14:paraId="526C52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售后服务方案（8分）</w:t>
            </w:r>
          </w:p>
        </w:tc>
        <w:tc>
          <w:tcPr>
            <w:tcW w:w="5465" w:type="dxa"/>
            <w:gridSpan w:val="2"/>
            <w:vAlign w:val="center"/>
          </w:tcPr>
          <w:p w14:paraId="7D5C9B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投标人或生产厂家根据本项目特点提供售后服务方案，方案内容及措施 (至少应包含但不限于：售后人员配备名单、售后响应时间、售后流程、售后培训计划、售后服务承诺、故障解决流程、制造厂商售后服务承诺等) 进行分档计分：</w:t>
            </w:r>
          </w:p>
          <w:p w14:paraId="6B82D2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4E6395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3B2D4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第三档：方案思路欠清晰、欠合理、措施欠完善、欠科学、针对性一 般的计1分；</w:t>
            </w:r>
          </w:p>
          <w:p w14:paraId="558649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未提供的不计分。</w:t>
            </w:r>
          </w:p>
        </w:tc>
      </w:tr>
      <w:tr w14:paraId="797A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6" w:type="dxa"/>
            <w:vMerge w:val="continue"/>
            <w:vAlign w:val="center"/>
          </w:tcPr>
          <w:p w14:paraId="7D8608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22AF7D16">
            <w:pPr>
              <w:keepNext w:val="0"/>
              <w:keepLines w:val="0"/>
              <w:widowControl/>
              <w:suppressLineNumbers w:val="0"/>
              <w:spacing w:before="0" w:beforeAutospacing="0" w:after="0" w:afterAutospacing="0"/>
              <w:ind w:left="0" w:right="0"/>
              <w:rPr>
                <w:rFonts w:hint="eastAsia" w:ascii="宋体" w:hAnsi="宋体" w:eastAsia="宋体" w:cs="宋体"/>
                <w:kern w:val="0"/>
                <w:sz w:val="24"/>
                <w:szCs w:val="24"/>
                <w:highlight w:val="yellow"/>
              </w:rPr>
            </w:pPr>
          </w:p>
        </w:tc>
        <w:tc>
          <w:tcPr>
            <w:tcW w:w="1995" w:type="dxa"/>
            <w:gridSpan w:val="2"/>
            <w:vAlign w:val="center"/>
          </w:tcPr>
          <w:p w14:paraId="11D0C5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应急保障方案（8分）</w:t>
            </w:r>
          </w:p>
        </w:tc>
        <w:tc>
          <w:tcPr>
            <w:tcW w:w="5465" w:type="dxa"/>
            <w:gridSpan w:val="2"/>
            <w:vAlign w:val="center"/>
          </w:tcPr>
          <w:p w14:paraId="08F2F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投标人或生产厂家根据本项目特点提供应急保障方案，方案内容及措施 (至少应包含但不限于：应急保障方案的可操作性、应急救援保障服务能力、 完整的应急救援体系、完善的风险保障措施等) 进行分档计分：</w:t>
            </w:r>
          </w:p>
          <w:p w14:paraId="5DDFDE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27E13A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C9C8D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第三档：方案思路欠清晰、欠合理、措施欠完善、欠科学、针对性一 般的计1分；                                                  </w:t>
            </w:r>
          </w:p>
          <w:p w14:paraId="26792B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未提供的不计分。</w:t>
            </w:r>
          </w:p>
        </w:tc>
      </w:tr>
    </w:tbl>
    <w:p w14:paraId="172C11AD">
      <w:pPr>
        <w:spacing w:line="360" w:lineRule="auto"/>
        <w:rPr>
          <w:rFonts w:hint="eastAsia" w:ascii="宋体" w:hAnsi="宋体" w:eastAsia="宋体" w:cs="宋体"/>
          <w:bCs/>
          <w:sz w:val="24"/>
          <w:szCs w:val="24"/>
          <w:lang w:val="en-GB"/>
        </w:rPr>
      </w:pPr>
      <w:r>
        <w:rPr>
          <w:rFonts w:hint="eastAsia" w:ascii="宋体" w:hAnsi="宋体" w:eastAsia="宋体" w:cs="宋体"/>
          <w:bCs/>
          <w:sz w:val="24"/>
          <w:szCs w:val="24"/>
          <w:lang w:val="en-GB"/>
        </w:rPr>
        <w:t>备注：</w:t>
      </w:r>
    </w:p>
    <w:p w14:paraId="630868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cs="宋体"/>
          <w:sz w:val="24"/>
          <w:szCs w:val="24"/>
          <w:lang w:eastAsia="zh-CN"/>
        </w:rPr>
        <w:t>供应商</w:t>
      </w:r>
      <w:r>
        <w:rPr>
          <w:rFonts w:hint="eastAsia" w:ascii="宋体" w:hAnsi="宋体" w:eastAsia="宋体" w:cs="宋体"/>
          <w:sz w:val="24"/>
          <w:szCs w:val="24"/>
        </w:rPr>
        <w:t>挂靠借用资质、提供虚假业绩、证书投标行为，一经发现，将按照《政府采购法》给与行政处罚，将其列入“中国政府采购网” 政府采购严重违法失信行为记录名单，并予以公示。</w:t>
      </w:r>
    </w:p>
    <w:p w14:paraId="308D2F71">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根据87号令第四十四条规定，公开招标采购项目开标结束后，采购人或者采购代理机构应当依法对</w:t>
      </w:r>
      <w:r>
        <w:rPr>
          <w:rFonts w:hint="eastAsia" w:ascii="宋体" w:hAnsi="宋体" w:cs="宋体"/>
          <w:sz w:val="24"/>
          <w:szCs w:val="24"/>
          <w:lang w:val="en-US" w:eastAsia="zh-CN"/>
        </w:rPr>
        <w:t>供应商</w:t>
      </w:r>
      <w:r>
        <w:rPr>
          <w:rFonts w:hint="eastAsia" w:ascii="宋体" w:hAnsi="宋体" w:eastAsia="宋体" w:cs="宋体"/>
          <w:sz w:val="24"/>
          <w:szCs w:val="24"/>
          <w:lang w:val="en-GB"/>
        </w:rPr>
        <w:t>的资格进行审查，未通过资格审查的</w:t>
      </w:r>
      <w:r>
        <w:rPr>
          <w:rFonts w:hint="eastAsia" w:ascii="宋体" w:hAnsi="宋体" w:cs="宋体"/>
          <w:sz w:val="24"/>
          <w:szCs w:val="24"/>
          <w:lang w:val="en-US" w:eastAsia="zh-CN"/>
        </w:rPr>
        <w:t>供应商</w:t>
      </w:r>
      <w:r>
        <w:rPr>
          <w:rFonts w:hint="eastAsia" w:ascii="宋体" w:hAnsi="宋体" w:eastAsia="宋体" w:cs="宋体"/>
          <w:sz w:val="24"/>
          <w:szCs w:val="24"/>
          <w:lang w:val="en-GB"/>
        </w:rPr>
        <w:t>不参与评标。</w:t>
      </w:r>
    </w:p>
    <w:p w14:paraId="7ABBA980">
      <w:pPr>
        <w:spacing w:line="360" w:lineRule="auto"/>
        <w:ind w:firstLine="480" w:firstLineChars="200"/>
        <w:rPr>
          <w:rFonts w:hint="eastAsia" w:ascii="宋体" w:hAnsi="宋体" w:eastAsia="宋体" w:cs="宋体"/>
          <w:bCs/>
          <w:sz w:val="24"/>
          <w:szCs w:val="24"/>
          <w:lang w:val="en-GB"/>
        </w:rPr>
      </w:pPr>
      <w:r>
        <w:rPr>
          <w:rFonts w:hint="eastAsia" w:ascii="宋体" w:hAnsi="宋体" w:cs="宋体"/>
          <w:bCs/>
          <w:sz w:val="24"/>
          <w:szCs w:val="24"/>
          <w:lang w:val="en-US" w:eastAsia="zh-CN"/>
        </w:rPr>
        <w:t>a</w:t>
      </w:r>
      <w:r>
        <w:rPr>
          <w:rFonts w:hint="eastAsia" w:ascii="宋体" w:hAnsi="宋体" w:eastAsia="宋体" w:cs="宋体"/>
          <w:bCs/>
          <w:sz w:val="24"/>
          <w:szCs w:val="24"/>
          <w:lang w:val="en-GB"/>
        </w:rPr>
        <w:t>、小型和微型企业产品包括货物及其提供的服务与工程。</w:t>
      </w:r>
    </w:p>
    <w:p w14:paraId="39DBE7D2">
      <w:pPr>
        <w:spacing w:line="360" w:lineRule="auto"/>
        <w:ind w:firstLine="480" w:firstLineChars="200"/>
        <w:rPr>
          <w:rFonts w:hint="eastAsia" w:ascii="宋体" w:hAnsi="宋体" w:eastAsia="宋体" w:cs="宋体"/>
          <w:bCs/>
          <w:sz w:val="24"/>
          <w:szCs w:val="24"/>
          <w:lang w:val="en-GB"/>
        </w:rPr>
      </w:pPr>
      <w:r>
        <w:rPr>
          <w:rFonts w:hint="eastAsia" w:ascii="宋体" w:hAnsi="宋体" w:cs="宋体"/>
          <w:bCs/>
          <w:sz w:val="24"/>
          <w:szCs w:val="24"/>
          <w:lang w:val="en-US" w:eastAsia="zh-CN"/>
        </w:rPr>
        <w:t>b</w:t>
      </w:r>
      <w:r>
        <w:rPr>
          <w:rFonts w:hint="eastAsia" w:ascii="宋体" w:hAnsi="宋体" w:eastAsia="宋体" w:cs="宋体"/>
          <w:bCs/>
          <w:sz w:val="24"/>
          <w:szCs w:val="24"/>
          <w:lang w:val="en-GB"/>
        </w:rPr>
        <w:t>、中小企业、残疾人福利性单位提供其他企业制造的货物的，则该货物的制造商也必须为上述企业，否则不能享受价格优惠。</w:t>
      </w:r>
    </w:p>
    <w:p w14:paraId="018DF879">
      <w:pPr>
        <w:spacing w:line="360" w:lineRule="auto"/>
        <w:ind w:firstLine="480" w:firstLineChars="200"/>
        <w:rPr>
          <w:rFonts w:hint="eastAsia" w:ascii="宋体" w:hAnsi="宋体" w:eastAsia="宋体" w:cs="宋体"/>
          <w:sz w:val="24"/>
          <w:szCs w:val="24"/>
        </w:rPr>
      </w:pPr>
      <w:r>
        <w:rPr>
          <w:rFonts w:hint="eastAsia" w:ascii="宋体" w:hAnsi="宋体" w:cs="宋体"/>
          <w:bCs/>
          <w:sz w:val="24"/>
          <w:szCs w:val="24"/>
          <w:lang w:val="en-US" w:eastAsia="zh-CN"/>
        </w:rPr>
        <w:t>c</w:t>
      </w:r>
      <w:r>
        <w:rPr>
          <w:rFonts w:hint="eastAsia" w:ascii="宋体" w:hAnsi="宋体" w:eastAsia="宋体" w:cs="宋体"/>
          <w:bCs/>
          <w:sz w:val="24"/>
          <w:szCs w:val="24"/>
          <w:lang w:val="en-GB"/>
        </w:rPr>
        <w:t>、残疾人福利性单位属于小型、微型企业的，不重复享受政策。</w:t>
      </w:r>
    </w:p>
    <w:p w14:paraId="7AEFBFF2">
      <w:pPr>
        <w:spacing w:line="360" w:lineRule="auto"/>
        <w:rPr>
          <w:rFonts w:hint="eastAsia" w:ascii="宋体" w:hAnsi="宋体" w:eastAsia="宋体" w:cs="宋体"/>
          <w:sz w:val="24"/>
          <w:szCs w:val="24"/>
        </w:rPr>
      </w:pPr>
      <w:bookmarkStart w:id="511" w:name="_Toc13371"/>
      <w:bookmarkStart w:id="512" w:name="_Toc26309"/>
      <w:bookmarkStart w:id="513" w:name="_Toc5114"/>
      <w:bookmarkStart w:id="514" w:name="_Toc5251"/>
      <w:bookmarkStart w:id="515" w:name="_Toc30301"/>
      <w:bookmarkStart w:id="516" w:name="_Toc31078"/>
      <w:bookmarkStart w:id="517" w:name="_Toc25637"/>
      <w:bookmarkStart w:id="518" w:name="_Toc3589"/>
      <w:bookmarkStart w:id="519" w:name="_Toc711"/>
      <w:bookmarkStart w:id="520" w:name="_Toc3242"/>
      <w:r>
        <w:rPr>
          <w:rFonts w:hint="eastAsia" w:ascii="宋体" w:hAnsi="宋体" w:eastAsia="宋体" w:cs="宋体"/>
          <w:sz w:val="24"/>
          <w:szCs w:val="24"/>
        </w:rPr>
        <w:t>评标办法</w:t>
      </w:r>
      <w:bookmarkEnd w:id="509"/>
      <w:bookmarkEnd w:id="511"/>
      <w:bookmarkEnd w:id="512"/>
      <w:bookmarkEnd w:id="513"/>
      <w:bookmarkEnd w:id="514"/>
      <w:bookmarkEnd w:id="515"/>
      <w:bookmarkEnd w:id="516"/>
      <w:bookmarkEnd w:id="517"/>
      <w:bookmarkEnd w:id="518"/>
      <w:bookmarkEnd w:id="519"/>
      <w:bookmarkEnd w:id="520"/>
    </w:p>
    <w:p w14:paraId="76D4F7CC">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本次招标采用综合评分法评标，投标文件满足招标文件全部实质性要求，且按照评审因素的量化指标评审得分由高到低选取中标候选人的评标方法。</w:t>
      </w:r>
    </w:p>
    <w:p w14:paraId="4E973790">
      <w:pPr>
        <w:pStyle w:val="4"/>
        <w:numPr>
          <w:ilvl w:val="0"/>
          <w:numId w:val="13"/>
        </w:numPr>
        <w:rPr>
          <w:rFonts w:hint="eastAsia" w:ascii="宋体" w:hAnsi="宋体" w:eastAsia="宋体" w:cs="宋体"/>
          <w:sz w:val="24"/>
          <w:szCs w:val="24"/>
        </w:rPr>
      </w:pPr>
      <w:bookmarkStart w:id="521" w:name="_Toc6135"/>
      <w:bookmarkStart w:id="522" w:name="_Toc1402"/>
      <w:bookmarkStart w:id="523" w:name="_Toc29522"/>
      <w:bookmarkStart w:id="524" w:name="_Toc9043_WPSOffice_Level2"/>
      <w:bookmarkStart w:id="525" w:name="_Toc13150088"/>
      <w:bookmarkStart w:id="526" w:name="_Toc70"/>
      <w:bookmarkStart w:id="527" w:name="_Toc2783"/>
      <w:bookmarkStart w:id="528" w:name="_Toc32637"/>
      <w:bookmarkStart w:id="529" w:name="_Toc3406"/>
      <w:bookmarkStart w:id="530" w:name="_Toc4003"/>
      <w:bookmarkStart w:id="531" w:name="_Toc20383_WPSOffice_Level2"/>
      <w:bookmarkStart w:id="532" w:name="_Toc26533"/>
      <w:bookmarkStart w:id="533" w:name="_Toc14806"/>
      <w:bookmarkStart w:id="534" w:name="_Toc15517"/>
      <w:bookmarkStart w:id="535" w:name="_Toc21995"/>
      <w:bookmarkStart w:id="536" w:name="_Toc5920"/>
      <w:bookmarkStart w:id="537" w:name="_Toc11771"/>
      <w:r>
        <w:rPr>
          <w:rFonts w:hint="eastAsia" w:ascii="宋体" w:hAnsi="宋体" w:eastAsia="宋体" w:cs="宋体"/>
          <w:sz w:val="24"/>
          <w:szCs w:val="24"/>
        </w:rPr>
        <w:t>评审标准</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B700625">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bookmarkStart w:id="538" w:name="_Toc20701"/>
      <w:bookmarkStart w:id="539" w:name="_Toc4247"/>
      <w:bookmarkStart w:id="540" w:name="_Toc24699"/>
      <w:bookmarkStart w:id="541" w:name="_Toc13150089"/>
      <w:bookmarkStart w:id="542" w:name="_Toc27379"/>
      <w:bookmarkStart w:id="543" w:name="_Toc6998"/>
      <w:bookmarkStart w:id="544" w:name="_Toc19624"/>
      <w:bookmarkStart w:id="545" w:name="_Toc21651"/>
      <w:bookmarkStart w:id="546" w:name="_Toc21567"/>
      <w:bookmarkStart w:id="547" w:name="_Toc12847"/>
      <w:bookmarkStart w:id="548" w:name="_Toc6703"/>
      <w:r>
        <w:rPr>
          <w:rFonts w:hint="eastAsia" w:ascii="宋体" w:hAnsi="宋体" w:eastAsia="宋体" w:cs="宋体"/>
          <w:kern w:val="0"/>
          <w:sz w:val="24"/>
          <w:szCs w:val="24"/>
        </w:rPr>
        <w:t>1.1 符合性评审标准：见评标办法前附表；</w:t>
      </w:r>
    </w:p>
    <w:p w14:paraId="3F2B9992">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 资格性评审标准：见评标办法前附表；</w:t>
      </w:r>
    </w:p>
    <w:p w14:paraId="58A9E739">
      <w:pPr>
        <w:autoSpaceDE w:val="0"/>
        <w:autoSpaceDN w:val="0"/>
        <w:adjustRightInd w:val="0"/>
        <w:spacing w:line="360" w:lineRule="auto"/>
        <w:ind w:right="-2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bookmarkEnd w:id="538"/>
      <w:bookmarkEnd w:id="539"/>
      <w:bookmarkEnd w:id="540"/>
      <w:bookmarkEnd w:id="541"/>
      <w:bookmarkEnd w:id="542"/>
      <w:bookmarkEnd w:id="543"/>
      <w:bookmarkEnd w:id="544"/>
      <w:bookmarkEnd w:id="545"/>
      <w:bookmarkEnd w:id="546"/>
      <w:bookmarkEnd w:id="547"/>
      <w:bookmarkEnd w:id="548"/>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r>
        <w:rPr>
          <w:rFonts w:hint="eastAsia" w:ascii="宋体" w:hAnsi="宋体" w:eastAsia="宋体" w:cs="宋体"/>
          <w:kern w:val="0"/>
          <w:sz w:val="24"/>
          <w:szCs w:val="24"/>
        </w:rPr>
        <w:t>：见评标办法前附表；</w:t>
      </w:r>
    </w:p>
    <w:p w14:paraId="015EDF00">
      <w:pPr>
        <w:pStyle w:val="4"/>
        <w:rPr>
          <w:rFonts w:hint="eastAsia" w:ascii="宋体" w:hAnsi="宋体" w:eastAsia="宋体" w:cs="宋体"/>
          <w:sz w:val="24"/>
          <w:szCs w:val="24"/>
        </w:rPr>
      </w:pPr>
      <w:bookmarkStart w:id="549" w:name="_Toc29139"/>
      <w:bookmarkStart w:id="550" w:name="_Toc28336"/>
      <w:bookmarkStart w:id="551" w:name="_Toc31413"/>
      <w:bookmarkStart w:id="552" w:name="_Toc6495"/>
      <w:bookmarkStart w:id="553" w:name="_Toc29190"/>
      <w:bookmarkStart w:id="554" w:name="_Toc17437"/>
      <w:bookmarkStart w:id="555" w:name="_Toc31651"/>
      <w:bookmarkStart w:id="556" w:name="_Toc17735"/>
      <w:bookmarkStart w:id="557" w:name="_Toc18343"/>
      <w:bookmarkStart w:id="558" w:name="_Toc7259"/>
      <w:bookmarkStart w:id="559" w:name="_Toc3482"/>
      <w:bookmarkStart w:id="560" w:name="_Toc30052"/>
      <w:bookmarkStart w:id="561" w:name="_Toc13150090"/>
      <w:r>
        <w:rPr>
          <w:rFonts w:hint="eastAsia" w:ascii="宋体" w:hAnsi="宋体" w:eastAsia="宋体" w:cs="宋体"/>
          <w:sz w:val="24"/>
          <w:szCs w:val="24"/>
        </w:rPr>
        <w:t>1.2 分值构成与评分标准</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0D401705">
      <w:pPr>
        <w:autoSpaceDE w:val="0"/>
        <w:autoSpaceDN w:val="0"/>
        <w:adjustRightInd w:val="0"/>
        <w:spacing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1.2.1 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构成</w:t>
      </w:r>
    </w:p>
    <w:p w14:paraId="6A5770F7">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报价部分：见评标办法前附表；</w:t>
      </w:r>
    </w:p>
    <w:p w14:paraId="7A6786B0">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技术部分：见评标办法前附表；</w:t>
      </w:r>
    </w:p>
    <w:p w14:paraId="0E02BCFA">
      <w:pPr>
        <w:numPr>
          <w:ilvl w:val="0"/>
          <w:numId w:val="1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商务部分：见评标办法前附表；</w:t>
      </w:r>
    </w:p>
    <w:p w14:paraId="66CF0887">
      <w:pPr>
        <w:autoSpaceDE w:val="0"/>
        <w:autoSpaceDN w:val="0"/>
        <w:adjustRightInd w:val="0"/>
        <w:spacing w:before="7"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1.2.2 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标准</w:t>
      </w:r>
    </w:p>
    <w:p w14:paraId="7F9988A4">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（1）报价评分标准：见评标办法前附表；</w:t>
      </w:r>
    </w:p>
    <w:p w14:paraId="587F44C3">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（2）技术评分标准：见评标办法前附表；</w:t>
      </w:r>
    </w:p>
    <w:p w14:paraId="6591F2FC">
      <w:pPr>
        <w:autoSpaceDE w:val="0"/>
        <w:autoSpaceDN w:val="0"/>
        <w:adjustRightInd w:val="0"/>
        <w:spacing w:line="360" w:lineRule="auto"/>
        <w:ind w:left="420" w:leftChars="200" w:right="40"/>
        <w:jc w:val="left"/>
        <w:rPr>
          <w:rFonts w:hint="eastAsia" w:ascii="宋体" w:hAnsi="宋体" w:eastAsia="宋体" w:cs="宋体"/>
          <w:sz w:val="24"/>
          <w:szCs w:val="24"/>
        </w:rPr>
      </w:pPr>
      <w:r>
        <w:rPr>
          <w:rFonts w:hint="eastAsia" w:ascii="宋体" w:hAnsi="宋体" w:eastAsia="宋体" w:cs="宋体"/>
          <w:kern w:val="0"/>
          <w:sz w:val="24"/>
          <w:szCs w:val="24"/>
        </w:rPr>
        <w:t>（3）商务评分标准：见评标办法前附表；</w:t>
      </w:r>
    </w:p>
    <w:p w14:paraId="7F24D9DC">
      <w:pPr>
        <w:pStyle w:val="4"/>
        <w:numPr>
          <w:ilvl w:val="0"/>
          <w:numId w:val="13"/>
        </w:numPr>
        <w:rPr>
          <w:rFonts w:hint="eastAsia" w:ascii="宋体" w:hAnsi="宋体" w:eastAsia="宋体" w:cs="宋体"/>
          <w:sz w:val="24"/>
          <w:szCs w:val="24"/>
        </w:rPr>
      </w:pPr>
      <w:bookmarkStart w:id="562" w:name="_Toc4603"/>
      <w:bookmarkStart w:id="563" w:name="_Toc21564_WPSOffice_Level2"/>
      <w:bookmarkStart w:id="564" w:name="_Toc4338"/>
      <w:bookmarkStart w:id="565" w:name="_Toc31277"/>
      <w:bookmarkStart w:id="566" w:name="_Toc12793_WPSOffice_Level2"/>
      <w:bookmarkStart w:id="567" w:name="_Toc32653"/>
      <w:bookmarkStart w:id="568" w:name="_Toc11872"/>
      <w:bookmarkStart w:id="569" w:name="_Toc26726"/>
      <w:bookmarkStart w:id="570" w:name="_Toc5255"/>
      <w:bookmarkStart w:id="571" w:name="_Toc16356"/>
      <w:bookmarkStart w:id="572" w:name="_Toc13150091"/>
      <w:bookmarkStart w:id="573" w:name="_Toc4929"/>
      <w:bookmarkStart w:id="574" w:name="_Toc3161"/>
      <w:bookmarkStart w:id="575" w:name="_Toc21732"/>
      <w:bookmarkStart w:id="576" w:name="_Toc30199"/>
      <w:bookmarkStart w:id="577" w:name="_Toc27262"/>
      <w:bookmarkStart w:id="578" w:name="_Toc28724"/>
      <w:r>
        <w:rPr>
          <w:rFonts w:hint="eastAsia" w:ascii="宋体" w:hAnsi="宋体" w:eastAsia="宋体" w:cs="宋体"/>
          <w:sz w:val="24"/>
          <w:szCs w:val="24"/>
        </w:rPr>
        <w:t>评标程序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94BBC89">
      <w:pPr>
        <w:pStyle w:val="4"/>
        <w:rPr>
          <w:rFonts w:hint="eastAsia" w:ascii="宋体" w:hAnsi="宋体" w:eastAsia="宋体" w:cs="宋体"/>
          <w:sz w:val="24"/>
          <w:szCs w:val="24"/>
        </w:rPr>
      </w:pPr>
      <w:bookmarkStart w:id="579" w:name="_Toc2597"/>
      <w:bookmarkStart w:id="580" w:name="_Toc5708"/>
      <w:bookmarkStart w:id="581" w:name="_Toc32038"/>
      <w:bookmarkStart w:id="582" w:name="_Toc1174"/>
      <w:bookmarkStart w:id="583" w:name="_Toc32083"/>
      <w:bookmarkStart w:id="584" w:name="_Toc4311"/>
      <w:bookmarkStart w:id="585" w:name="_Toc9443"/>
      <w:bookmarkStart w:id="586" w:name="_Toc13097"/>
      <w:bookmarkStart w:id="587" w:name="_Toc13150092"/>
      <w:bookmarkStart w:id="588" w:name="_Toc10682"/>
      <w:bookmarkStart w:id="589" w:name="_Toc12112"/>
      <w:bookmarkStart w:id="590" w:name="_Toc1654"/>
      <w:bookmarkStart w:id="591" w:name="_Toc16287"/>
      <w:r>
        <w:rPr>
          <w:rFonts w:hint="eastAsia" w:ascii="宋体" w:hAnsi="宋体" w:eastAsia="宋体" w:cs="宋体"/>
          <w:sz w:val="24"/>
          <w:szCs w:val="24"/>
        </w:rPr>
        <w:t>2.1 符合性审查</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2B7D9F6B">
      <w:pPr>
        <w:autoSpaceDE w:val="0"/>
        <w:autoSpaceDN w:val="0"/>
        <w:adjustRightInd w:val="0"/>
        <w:spacing w:line="360" w:lineRule="auto"/>
        <w:ind w:left="100" w:right="40" w:firstLine="420"/>
        <w:jc w:val="left"/>
        <w:rPr>
          <w:rFonts w:hint="eastAsia" w:ascii="宋体" w:hAnsi="宋体" w:eastAsia="宋体" w:cs="宋体"/>
          <w:b/>
          <w:spacing w:val="-2"/>
          <w:kern w:val="0"/>
          <w:sz w:val="24"/>
          <w:szCs w:val="24"/>
        </w:rPr>
      </w:pP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依</w:t>
      </w:r>
      <w:r>
        <w:rPr>
          <w:rFonts w:hint="eastAsia" w:ascii="宋体" w:hAnsi="宋体" w:eastAsia="宋体" w:cs="宋体"/>
          <w:kern w:val="0"/>
          <w:sz w:val="24"/>
          <w:szCs w:val="24"/>
        </w:rPr>
        <w:t>据本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评标办法前附表</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的标</w:t>
      </w:r>
      <w:r>
        <w:rPr>
          <w:rFonts w:hint="eastAsia" w:ascii="宋体" w:hAnsi="宋体" w:eastAsia="宋体" w:cs="宋体"/>
          <w:kern w:val="0"/>
          <w:sz w:val="24"/>
          <w:szCs w:val="24"/>
        </w:rPr>
        <w:t>准，对</w:t>
      </w:r>
      <w:r>
        <w:rPr>
          <w:rFonts w:hint="eastAsia" w:ascii="宋体" w:hAnsi="宋体" w:eastAsia="宋体" w:cs="宋体"/>
          <w:spacing w:val="-2"/>
          <w:kern w:val="0"/>
          <w:sz w:val="24"/>
          <w:szCs w:val="24"/>
        </w:rPr>
        <w:t>符合资格的</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的投标文件进行</w:t>
      </w:r>
      <w:r>
        <w:rPr>
          <w:rFonts w:hint="eastAsia" w:ascii="宋体" w:hAnsi="宋体" w:cs="宋体"/>
          <w:spacing w:val="-2"/>
          <w:kern w:val="0"/>
          <w:sz w:val="24"/>
          <w:szCs w:val="24"/>
          <w:lang w:val="en-US" w:eastAsia="zh-CN"/>
        </w:rPr>
        <w:t>响应</w:t>
      </w:r>
      <w:r>
        <w:rPr>
          <w:rFonts w:hint="eastAsia" w:ascii="宋体" w:hAnsi="宋体" w:eastAsia="宋体" w:cs="宋体"/>
          <w:spacing w:val="-2"/>
          <w:kern w:val="0"/>
          <w:sz w:val="24"/>
          <w:szCs w:val="24"/>
        </w:rPr>
        <w:t>性审查和符合性审查，以确定其是否满足招标文件的实质性要求</w:t>
      </w:r>
      <w:r>
        <w:rPr>
          <w:rFonts w:hint="eastAsia" w:ascii="宋体" w:hAnsi="宋体" w:eastAsia="宋体" w:cs="宋体"/>
          <w:kern w:val="0"/>
          <w:sz w:val="24"/>
          <w:szCs w:val="24"/>
        </w:rPr>
        <w:t>，</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一</w:t>
      </w:r>
      <w:r>
        <w:rPr>
          <w:rFonts w:hint="eastAsia" w:ascii="宋体" w:hAnsi="宋体" w:eastAsia="宋体" w:cs="宋体"/>
          <w:spacing w:val="-2"/>
          <w:kern w:val="0"/>
          <w:sz w:val="24"/>
          <w:szCs w:val="24"/>
        </w:rPr>
        <w:t>项</w:t>
      </w:r>
      <w:r>
        <w:rPr>
          <w:rFonts w:hint="eastAsia" w:ascii="宋体" w:hAnsi="宋体" w:eastAsia="宋体" w:cs="宋体"/>
          <w:kern w:val="0"/>
          <w:sz w:val="24"/>
          <w:szCs w:val="24"/>
        </w:rPr>
        <w:t>不</w:t>
      </w:r>
      <w:r>
        <w:rPr>
          <w:rFonts w:hint="eastAsia" w:ascii="宋体" w:hAnsi="宋体" w:eastAsia="宋体" w:cs="宋体"/>
          <w:spacing w:val="-2"/>
          <w:kern w:val="0"/>
          <w:sz w:val="24"/>
          <w:szCs w:val="24"/>
        </w:rPr>
        <w:t>符</w:t>
      </w:r>
      <w:r>
        <w:rPr>
          <w:rFonts w:hint="eastAsia" w:ascii="宋体" w:hAnsi="宋体" w:eastAsia="宋体" w:cs="宋体"/>
          <w:kern w:val="0"/>
          <w:sz w:val="24"/>
          <w:szCs w:val="24"/>
        </w:rPr>
        <w:t>合评审</w:t>
      </w:r>
      <w:r>
        <w:rPr>
          <w:rFonts w:hint="eastAsia" w:ascii="宋体" w:hAnsi="宋体" w:eastAsia="宋体" w:cs="宋体"/>
          <w:spacing w:val="-2"/>
          <w:kern w:val="0"/>
          <w:sz w:val="24"/>
          <w:szCs w:val="24"/>
        </w:rPr>
        <w:t>标</w:t>
      </w:r>
      <w:r>
        <w:rPr>
          <w:rFonts w:hint="eastAsia" w:ascii="宋体" w:hAnsi="宋体" w:eastAsia="宋体" w:cs="宋体"/>
          <w:kern w:val="0"/>
          <w:sz w:val="24"/>
          <w:szCs w:val="24"/>
        </w:rPr>
        <w:t>准</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w:t>
      </w:r>
      <w:r>
        <w:rPr>
          <w:rFonts w:hint="eastAsia" w:ascii="宋体" w:hAnsi="宋体" w:eastAsia="宋体" w:cs="宋体"/>
          <w:spacing w:val="-2"/>
          <w:kern w:val="0"/>
          <w:sz w:val="24"/>
          <w:szCs w:val="24"/>
        </w:rPr>
        <w:t>评标委员会</w:t>
      </w:r>
      <w:r>
        <w:rPr>
          <w:rFonts w:hint="eastAsia" w:ascii="宋体" w:hAnsi="宋体" w:eastAsia="宋体" w:cs="宋体"/>
          <w:kern w:val="0"/>
          <w:sz w:val="24"/>
          <w:szCs w:val="24"/>
        </w:rPr>
        <w:t>应当</w:t>
      </w:r>
      <w:r>
        <w:rPr>
          <w:rFonts w:hint="eastAsia" w:ascii="宋体" w:hAnsi="宋体" w:eastAsia="宋体" w:cs="宋体"/>
          <w:sz w:val="24"/>
          <w:szCs w:val="24"/>
        </w:rPr>
        <w:t>认定其投标无效</w:t>
      </w:r>
      <w:r>
        <w:rPr>
          <w:rFonts w:hint="eastAsia" w:ascii="宋体" w:hAnsi="宋体" w:eastAsia="宋体" w:cs="宋体"/>
          <w:spacing w:val="-2"/>
          <w:kern w:val="0"/>
          <w:sz w:val="24"/>
          <w:szCs w:val="24"/>
        </w:rPr>
        <w:t>。</w:t>
      </w:r>
    </w:p>
    <w:p w14:paraId="3C391250">
      <w:pPr>
        <w:pStyle w:val="4"/>
        <w:rPr>
          <w:rFonts w:hint="eastAsia" w:ascii="宋体" w:hAnsi="宋体" w:eastAsia="宋体" w:cs="宋体"/>
          <w:sz w:val="24"/>
          <w:szCs w:val="24"/>
        </w:rPr>
      </w:pPr>
      <w:bookmarkStart w:id="592" w:name="_Toc10132"/>
      <w:bookmarkStart w:id="593" w:name="_Toc23593"/>
      <w:bookmarkStart w:id="594" w:name="_Toc1221"/>
      <w:bookmarkStart w:id="595" w:name="_Toc25601"/>
      <w:bookmarkStart w:id="596" w:name="_Toc12596"/>
      <w:bookmarkStart w:id="597" w:name="_Toc4232"/>
      <w:bookmarkStart w:id="598" w:name="_Toc29056"/>
      <w:bookmarkStart w:id="599" w:name="_Toc5425"/>
      <w:bookmarkStart w:id="600" w:name="_Toc13336"/>
      <w:bookmarkStart w:id="601" w:name="_Toc18705"/>
      <w:bookmarkStart w:id="602" w:name="_Toc13150093"/>
      <w:bookmarkStart w:id="603" w:name="_Toc30428"/>
      <w:bookmarkStart w:id="604" w:name="_Toc14717"/>
      <w:r>
        <w:rPr>
          <w:rFonts w:hint="eastAsia" w:ascii="宋体" w:hAnsi="宋体" w:eastAsia="宋体" w:cs="宋体"/>
          <w:sz w:val="24"/>
          <w:szCs w:val="24"/>
        </w:rPr>
        <w:t>2.2 详细评审</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73588D27">
      <w:pPr>
        <w:autoSpaceDE w:val="0"/>
        <w:autoSpaceDN w:val="0"/>
        <w:adjustRightInd w:val="0"/>
        <w:spacing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2.2.1 评标委员会</w:t>
      </w:r>
      <w:r>
        <w:rPr>
          <w:rFonts w:hint="eastAsia" w:ascii="宋体" w:hAnsi="宋体" w:eastAsia="宋体" w:cs="宋体"/>
          <w:spacing w:val="-2"/>
          <w:kern w:val="0"/>
          <w:sz w:val="24"/>
          <w:szCs w:val="24"/>
        </w:rPr>
        <w:t>按</w:t>
      </w:r>
      <w:r>
        <w:rPr>
          <w:rFonts w:hint="eastAsia" w:ascii="宋体" w:hAnsi="宋体" w:eastAsia="宋体" w:cs="宋体"/>
          <w:kern w:val="0"/>
          <w:sz w:val="24"/>
          <w:szCs w:val="24"/>
        </w:rPr>
        <w:t>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评标方法规</w:t>
      </w:r>
      <w:r>
        <w:rPr>
          <w:rFonts w:hint="eastAsia" w:ascii="宋体" w:hAnsi="宋体" w:eastAsia="宋体" w:cs="宋体"/>
          <w:spacing w:val="-2"/>
          <w:kern w:val="0"/>
          <w:sz w:val="24"/>
          <w:szCs w:val="24"/>
        </w:rPr>
        <w:t>定</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量</w:t>
      </w:r>
      <w:r>
        <w:rPr>
          <w:rFonts w:hint="eastAsia" w:ascii="宋体" w:hAnsi="宋体" w:eastAsia="宋体" w:cs="宋体"/>
          <w:kern w:val="0"/>
          <w:sz w:val="24"/>
          <w:szCs w:val="24"/>
        </w:rPr>
        <w:t>化</w:t>
      </w:r>
      <w:r>
        <w:rPr>
          <w:rFonts w:hint="eastAsia" w:ascii="宋体" w:hAnsi="宋体" w:eastAsia="宋体" w:cs="宋体"/>
          <w:spacing w:val="-2"/>
          <w:kern w:val="0"/>
          <w:sz w:val="24"/>
          <w:szCs w:val="24"/>
        </w:rPr>
        <w:t>因</w:t>
      </w:r>
      <w:r>
        <w:rPr>
          <w:rFonts w:hint="eastAsia" w:ascii="宋体" w:hAnsi="宋体" w:eastAsia="宋体" w:cs="宋体"/>
          <w:kern w:val="0"/>
          <w:sz w:val="24"/>
          <w:szCs w:val="24"/>
        </w:rPr>
        <w:t>素</w:t>
      </w:r>
      <w:r>
        <w:rPr>
          <w:rFonts w:hint="eastAsia" w:ascii="宋体" w:hAnsi="宋体" w:eastAsia="宋体" w:cs="宋体"/>
          <w:spacing w:val="-2"/>
          <w:kern w:val="0"/>
          <w:sz w:val="24"/>
          <w:szCs w:val="24"/>
        </w:rPr>
        <w:t>和</w:t>
      </w:r>
      <w:r>
        <w:rPr>
          <w:rFonts w:hint="eastAsia" w:ascii="宋体" w:hAnsi="宋体" w:eastAsia="宋体" w:cs="宋体"/>
          <w:kern w:val="0"/>
          <w:sz w:val="24"/>
          <w:szCs w:val="24"/>
        </w:rPr>
        <w:t>分值</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行</w:t>
      </w:r>
      <w:r>
        <w:rPr>
          <w:rFonts w:hint="eastAsia" w:ascii="宋体" w:hAnsi="宋体" w:eastAsia="宋体" w:cs="宋体"/>
          <w:spacing w:val="-2"/>
          <w:kern w:val="0"/>
          <w:sz w:val="24"/>
          <w:szCs w:val="24"/>
        </w:rPr>
        <w:t>打</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计</w:t>
      </w:r>
      <w:r>
        <w:rPr>
          <w:rFonts w:hint="eastAsia" w:ascii="宋体" w:hAnsi="宋体" w:eastAsia="宋体" w:cs="宋体"/>
          <w:kern w:val="0"/>
          <w:sz w:val="24"/>
          <w:szCs w:val="24"/>
        </w:rPr>
        <w:t>算</w:t>
      </w:r>
      <w:r>
        <w:rPr>
          <w:rFonts w:hint="eastAsia" w:ascii="宋体" w:hAnsi="宋体" w:eastAsia="宋体" w:cs="宋体"/>
          <w:spacing w:val="-2"/>
          <w:kern w:val="0"/>
          <w:sz w:val="24"/>
          <w:szCs w:val="24"/>
        </w:rPr>
        <w:t>出综</w:t>
      </w:r>
      <w:r>
        <w:rPr>
          <w:rFonts w:hint="eastAsia" w:ascii="宋体" w:hAnsi="宋体" w:eastAsia="宋体" w:cs="宋体"/>
          <w:kern w:val="0"/>
          <w:sz w:val="24"/>
          <w:szCs w:val="24"/>
        </w:rPr>
        <w:t>合得</w:t>
      </w:r>
      <w:r>
        <w:rPr>
          <w:rFonts w:hint="eastAsia" w:ascii="宋体" w:hAnsi="宋体" w:eastAsia="宋体" w:cs="宋体"/>
          <w:spacing w:val="-2"/>
          <w:kern w:val="0"/>
          <w:sz w:val="24"/>
          <w:szCs w:val="24"/>
        </w:rPr>
        <w:t>分，</w:t>
      </w:r>
    </w:p>
    <w:p w14:paraId="5CAA1FA5">
      <w:pPr>
        <w:numPr>
          <w:ilvl w:val="0"/>
          <w:numId w:val="1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按本章第1.2.2（1）目规定的评审因素和分值对报价部分计算出得分A；</w:t>
      </w:r>
    </w:p>
    <w:p w14:paraId="000D3A04">
      <w:pPr>
        <w:numPr>
          <w:ilvl w:val="0"/>
          <w:numId w:val="1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按本章第1.2.2（2）目规定的评审因素和分值对技术部分计算出得分B：</w:t>
      </w:r>
    </w:p>
    <w:p w14:paraId="479B627E">
      <w:pPr>
        <w:numPr>
          <w:ilvl w:val="0"/>
          <w:numId w:val="15"/>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按本章第1.2.2（3）目规定的评审因素和分值对综合部分计算出得分C。</w:t>
      </w:r>
    </w:p>
    <w:p w14:paraId="508485A4">
      <w:pPr>
        <w:autoSpaceDE w:val="0"/>
        <w:autoSpaceDN w:val="0"/>
        <w:adjustRightInd w:val="0"/>
        <w:spacing w:before="42"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计</w:t>
      </w:r>
      <w:r>
        <w:rPr>
          <w:rFonts w:hint="eastAsia" w:ascii="宋体" w:hAnsi="宋体" w:eastAsia="宋体" w:cs="宋体"/>
          <w:spacing w:val="-2"/>
          <w:kern w:val="0"/>
          <w:sz w:val="24"/>
          <w:szCs w:val="24"/>
        </w:rPr>
        <w:t>算</w:t>
      </w:r>
      <w:r>
        <w:rPr>
          <w:rFonts w:hint="eastAsia" w:ascii="宋体" w:hAnsi="宋体" w:eastAsia="宋体" w:cs="宋体"/>
          <w:kern w:val="0"/>
          <w:sz w:val="24"/>
          <w:szCs w:val="24"/>
        </w:rPr>
        <w:t>保</w:t>
      </w:r>
      <w:r>
        <w:rPr>
          <w:rFonts w:hint="eastAsia" w:ascii="宋体" w:hAnsi="宋体" w:eastAsia="宋体" w:cs="宋体"/>
          <w:spacing w:val="-2"/>
          <w:kern w:val="0"/>
          <w:sz w:val="24"/>
          <w:szCs w:val="24"/>
        </w:rPr>
        <w:t>留小</w:t>
      </w:r>
      <w:r>
        <w:rPr>
          <w:rFonts w:hint="eastAsia" w:ascii="宋体" w:hAnsi="宋体" w:eastAsia="宋体" w:cs="宋体"/>
          <w:kern w:val="0"/>
          <w:sz w:val="24"/>
          <w:szCs w:val="24"/>
        </w:rPr>
        <w:t>数点</w:t>
      </w:r>
      <w:r>
        <w:rPr>
          <w:rFonts w:hint="eastAsia" w:ascii="宋体" w:hAnsi="宋体" w:eastAsia="宋体" w:cs="宋体"/>
          <w:spacing w:val="-2"/>
          <w:kern w:val="0"/>
          <w:sz w:val="24"/>
          <w:szCs w:val="24"/>
        </w:rPr>
        <w:t>后</w:t>
      </w:r>
      <w:r>
        <w:rPr>
          <w:rFonts w:hint="eastAsia" w:ascii="宋体" w:hAnsi="宋体" w:eastAsia="宋体" w:cs="宋体"/>
          <w:kern w:val="0"/>
          <w:sz w:val="24"/>
          <w:szCs w:val="24"/>
        </w:rPr>
        <w:t>两</w:t>
      </w:r>
      <w:r>
        <w:rPr>
          <w:rFonts w:hint="eastAsia" w:ascii="宋体" w:hAnsi="宋体" w:eastAsia="宋体" w:cs="宋体"/>
          <w:spacing w:val="-2"/>
          <w:kern w:val="0"/>
          <w:sz w:val="24"/>
          <w:szCs w:val="24"/>
        </w:rPr>
        <w:t>位</w:t>
      </w:r>
      <w:r>
        <w:rPr>
          <w:rFonts w:hint="eastAsia" w:ascii="宋体" w:hAnsi="宋体" w:eastAsia="宋体" w:cs="宋体"/>
          <w:kern w:val="0"/>
          <w:sz w:val="24"/>
          <w:szCs w:val="24"/>
        </w:rPr>
        <w:t>，</w:t>
      </w:r>
      <w:r>
        <w:rPr>
          <w:rFonts w:hint="eastAsia" w:ascii="宋体" w:hAnsi="宋体" w:eastAsia="宋体" w:cs="宋体"/>
          <w:spacing w:val="-2"/>
          <w:kern w:val="0"/>
          <w:sz w:val="24"/>
          <w:szCs w:val="24"/>
        </w:rPr>
        <w:t>小</w:t>
      </w:r>
      <w:r>
        <w:rPr>
          <w:rFonts w:hint="eastAsia" w:ascii="宋体" w:hAnsi="宋体" w:eastAsia="宋体" w:cs="宋体"/>
          <w:kern w:val="0"/>
          <w:sz w:val="24"/>
          <w:szCs w:val="24"/>
        </w:rPr>
        <w:t>数</w:t>
      </w:r>
      <w:r>
        <w:rPr>
          <w:rFonts w:hint="eastAsia" w:ascii="宋体" w:hAnsi="宋体" w:eastAsia="宋体" w:cs="宋体"/>
          <w:spacing w:val="-2"/>
          <w:kern w:val="0"/>
          <w:sz w:val="24"/>
          <w:szCs w:val="24"/>
        </w:rPr>
        <w:t>点</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第</w:t>
      </w:r>
      <w:r>
        <w:rPr>
          <w:rFonts w:hint="eastAsia" w:ascii="宋体" w:hAnsi="宋体" w:eastAsia="宋体" w:cs="宋体"/>
          <w:kern w:val="0"/>
          <w:sz w:val="24"/>
          <w:szCs w:val="24"/>
        </w:rPr>
        <w:t>三位</w:t>
      </w:r>
      <w:r>
        <w:rPr>
          <w:rFonts w:hint="eastAsia" w:ascii="宋体" w:hAnsi="宋体" w:eastAsia="宋体" w:cs="宋体"/>
          <w:spacing w:val="-3"/>
          <w:kern w:val="0"/>
          <w:sz w:val="24"/>
          <w:szCs w:val="24"/>
        </w:rPr>
        <w:t>“</w:t>
      </w:r>
      <w:r>
        <w:rPr>
          <w:rFonts w:hint="eastAsia" w:ascii="宋体" w:hAnsi="宋体" w:eastAsia="宋体" w:cs="宋体"/>
          <w:kern w:val="0"/>
          <w:sz w:val="24"/>
          <w:szCs w:val="24"/>
        </w:rPr>
        <w:t>四</w:t>
      </w:r>
      <w:r>
        <w:rPr>
          <w:rFonts w:hint="eastAsia" w:ascii="宋体" w:hAnsi="宋体" w:eastAsia="宋体" w:cs="宋体"/>
          <w:spacing w:val="-2"/>
          <w:kern w:val="0"/>
          <w:sz w:val="24"/>
          <w:szCs w:val="24"/>
        </w:rPr>
        <w:t>舍</w:t>
      </w:r>
      <w:r>
        <w:rPr>
          <w:rFonts w:hint="eastAsia" w:ascii="宋体" w:hAnsi="宋体" w:eastAsia="宋体" w:cs="宋体"/>
          <w:kern w:val="0"/>
          <w:sz w:val="24"/>
          <w:szCs w:val="24"/>
        </w:rPr>
        <w:t>五入</w:t>
      </w:r>
      <w:r>
        <w:rPr>
          <w:rFonts w:hint="eastAsia" w:ascii="宋体" w:hAnsi="宋体" w:eastAsia="宋体" w:cs="宋体"/>
          <w:spacing w:val="-3"/>
          <w:kern w:val="0"/>
          <w:sz w:val="24"/>
          <w:szCs w:val="24"/>
        </w:rPr>
        <w:t>”</w:t>
      </w:r>
      <w:r>
        <w:rPr>
          <w:rFonts w:hint="eastAsia" w:ascii="宋体" w:hAnsi="宋体" w:eastAsia="宋体" w:cs="宋体"/>
          <w:kern w:val="0"/>
          <w:sz w:val="24"/>
          <w:szCs w:val="24"/>
        </w:rPr>
        <w:t>。</w:t>
      </w:r>
    </w:p>
    <w:p w14:paraId="26614267">
      <w:pPr>
        <w:autoSpaceDE w:val="0"/>
        <w:autoSpaceDN w:val="0"/>
        <w:adjustRightInd w:val="0"/>
        <w:spacing w:before="42" w:line="360" w:lineRule="auto"/>
        <w:ind w:left="520" w:right="-20"/>
        <w:jc w:val="left"/>
        <w:rPr>
          <w:rFonts w:hint="eastAsia" w:ascii="宋体" w:hAnsi="宋体" w:eastAsia="宋体" w:cs="宋体"/>
          <w:kern w:val="0"/>
          <w:sz w:val="24"/>
          <w:szCs w:val="24"/>
        </w:rPr>
      </w:pPr>
      <w:r>
        <w:rPr>
          <w:rFonts w:hint="eastAsia" w:ascii="宋体" w:hAnsi="宋体" w:eastAsia="宋体" w:cs="宋体"/>
          <w:kern w:val="0"/>
          <w:sz w:val="24"/>
          <w:szCs w:val="24"/>
        </w:rPr>
        <w:t>2.2.3</w:t>
      </w:r>
      <w:r>
        <w:rPr>
          <w:rFonts w:hint="eastAsia" w:ascii="宋体" w:hAnsi="宋体" w:eastAsia="宋体" w:cs="宋体"/>
          <w:spacing w:val="51"/>
          <w:kern w:val="0"/>
          <w:sz w:val="24"/>
          <w:szCs w:val="24"/>
        </w:rPr>
        <w:t xml:space="preserve"> </w:t>
      </w:r>
      <w:r>
        <w:rPr>
          <w:rFonts w:hint="eastAsia" w:ascii="宋体" w:hAnsi="宋体" w:cs="宋体"/>
          <w:kern w:val="0"/>
          <w:sz w:val="24"/>
          <w:szCs w:val="24"/>
          <w:lang w:eastAsia="zh-CN"/>
        </w:rPr>
        <w:t>供应商</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得</w:t>
      </w:r>
      <w:r>
        <w:rPr>
          <w:rFonts w:hint="eastAsia" w:ascii="宋体" w:hAnsi="宋体" w:eastAsia="宋体" w:cs="宋体"/>
          <w:kern w:val="0"/>
          <w:sz w:val="24"/>
          <w:szCs w:val="24"/>
        </w:rPr>
        <w:t>分</w:t>
      </w:r>
      <w:r>
        <w:rPr>
          <w:rFonts w:hint="eastAsia" w:ascii="宋体" w:hAnsi="宋体" w:eastAsia="宋体" w:cs="宋体"/>
          <w:spacing w:val="-1"/>
          <w:kern w:val="0"/>
          <w:sz w:val="24"/>
          <w:szCs w:val="24"/>
        </w:rPr>
        <w:t>=A</w:t>
      </w:r>
      <w:r>
        <w:rPr>
          <w:rFonts w:hint="eastAsia" w:ascii="宋体" w:hAnsi="宋体" w:eastAsia="宋体" w:cs="宋体"/>
          <w:spacing w:val="1"/>
          <w:kern w:val="0"/>
          <w:sz w:val="24"/>
          <w:szCs w:val="24"/>
        </w:rPr>
        <w:t>+</w:t>
      </w:r>
      <w:r>
        <w:rPr>
          <w:rFonts w:hint="eastAsia" w:ascii="宋体" w:hAnsi="宋体" w:eastAsia="宋体" w:cs="宋体"/>
          <w:spacing w:val="-2"/>
          <w:kern w:val="0"/>
          <w:sz w:val="24"/>
          <w:szCs w:val="24"/>
        </w:rPr>
        <w:t>B+C</w:t>
      </w:r>
      <w:r>
        <w:rPr>
          <w:rFonts w:hint="eastAsia" w:ascii="宋体" w:hAnsi="宋体" w:eastAsia="宋体" w:cs="宋体"/>
          <w:kern w:val="0"/>
          <w:sz w:val="24"/>
          <w:szCs w:val="24"/>
        </w:rPr>
        <w:t>。</w:t>
      </w:r>
    </w:p>
    <w:p w14:paraId="035C3E96">
      <w:pPr>
        <w:pStyle w:val="4"/>
        <w:rPr>
          <w:rFonts w:hint="eastAsia" w:ascii="宋体" w:hAnsi="宋体" w:eastAsia="宋体" w:cs="宋体"/>
          <w:sz w:val="24"/>
          <w:szCs w:val="24"/>
        </w:rPr>
      </w:pPr>
      <w:bookmarkStart w:id="605" w:name="_Toc19568"/>
      <w:bookmarkStart w:id="606" w:name="_Toc18083"/>
      <w:bookmarkStart w:id="607" w:name="_Toc18738"/>
      <w:bookmarkStart w:id="608" w:name="_Toc7845"/>
      <w:bookmarkStart w:id="609" w:name="_Toc13854"/>
      <w:bookmarkStart w:id="610" w:name="_Toc11722"/>
      <w:bookmarkStart w:id="611" w:name="_Toc11785"/>
      <w:bookmarkStart w:id="612" w:name="_Toc31327"/>
      <w:bookmarkStart w:id="613" w:name="_Toc18469"/>
      <w:bookmarkStart w:id="614" w:name="_Toc3021"/>
      <w:bookmarkStart w:id="615" w:name="_Toc25051"/>
      <w:bookmarkStart w:id="616" w:name="_Toc13150094"/>
      <w:bookmarkStart w:id="617" w:name="_Toc5640"/>
      <w:r>
        <w:rPr>
          <w:rFonts w:hint="eastAsia" w:ascii="宋体" w:hAnsi="宋体" w:eastAsia="宋体" w:cs="宋体"/>
          <w:sz w:val="24"/>
          <w:szCs w:val="24"/>
        </w:rPr>
        <w:t>2.3 投标文件的澄清</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1421C623">
      <w:pPr>
        <w:autoSpaceDE w:val="0"/>
        <w:autoSpaceDN w:val="0"/>
        <w:adjustRightInd w:val="0"/>
        <w:spacing w:line="360" w:lineRule="auto"/>
        <w:ind w:left="100" w:right="139" w:firstLine="420"/>
        <w:rPr>
          <w:rFonts w:hint="eastAsia" w:ascii="宋体" w:hAnsi="宋体" w:eastAsia="宋体" w:cs="宋体"/>
          <w:kern w:val="0"/>
          <w:sz w:val="24"/>
          <w:szCs w:val="24"/>
        </w:rPr>
      </w:pPr>
      <w:r>
        <w:rPr>
          <w:rFonts w:hint="eastAsia" w:ascii="宋体" w:hAnsi="宋体" w:eastAsia="宋体" w:cs="宋体"/>
          <w:kern w:val="0"/>
          <w:sz w:val="24"/>
          <w:szCs w:val="24"/>
        </w:rPr>
        <w:t>2.3.1 在</w:t>
      </w:r>
      <w:r>
        <w:rPr>
          <w:rFonts w:hint="eastAsia" w:ascii="宋体" w:hAnsi="宋体" w:eastAsia="宋体" w:cs="宋体"/>
          <w:spacing w:val="-2"/>
          <w:kern w:val="0"/>
          <w:sz w:val="24"/>
          <w:szCs w:val="24"/>
        </w:rPr>
        <w:t>评</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过</w:t>
      </w:r>
      <w:r>
        <w:rPr>
          <w:rFonts w:hint="eastAsia" w:ascii="宋体" w:hAnsi="宋体" w:eastAsia="宋体" w:cs="宋体"/>
          <w:kern w:val="0"/>
          <w:sz w:val="24"/>
          <w:szCs w:val="24"/>
        </w:rPr>
        <w:t>程中</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评标委员会可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形</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kern w:val="0"/>
          <w:sz w:val="24"/>
          <w:szCs w:val="24"/>
        </w:rPr>
        <w:t>对</w:t>
      </w:r>
      <w:r>
        <w:rPr>
          <w:rFonts w:hint="eastAsia" w:ascii="宋体" w:hAnsi="宋体" w:eastAsia="宋体" w:cs="宋体"/>
          <w:spacing w:val="-2"/>
          <w:kern w:val="0"/>
          <w:sz w:val="24"/>
          <w:szCs w:val="24"/>
        </w:rPr>
        <w:t>投标文件中</w:t>
      </w:r>
      <w:r>
        <w:rPr>
          <w:rFonts w:hint="eastAsia" w:ascii="宋体" w:hAnsi="宋体" w:eastAsia="宋体" w:cs="宋体"/>
          <w:kern w:val="0"/>
          <w:sz w:val="24"/>
          <w:szCs w:val="24"/>
        </w:rPr>
        <w:t>含</w:t>
      </w:r>
      <w:r>
        <w:rPr>
          <w:rFonts w:hint="eastAsia" w:ascii="宋体" w:hAnsi="宋体" w:eastAsia="宋体" w:cs="宋体"/>
          <w:spacing w:val="-2"/>
          <w:kern w:val="0"/>
          <w:sz w:val="24"/>
          <w:szCs w:val="24"/>
        </w:rPr>
        <w:t>义</w:t>
      </w:r>
      <w:r>
        <w:rPr>
          <w:rFonts w:hint="eastAsia" w:ascii="宋体" w:hAnsi="宋体" w:eastAsia="宋体" w:cs="宋体"/>
          <w:kern w:val="0"/>
          <w:sz w:val="24"/>
          <w:szCs w:val="24"/>
        </w:rPr>
        <w:t>不明</w:t>
      </w:r>
      <w:r>
        <w:rPr>
          <w:rFonts w:hint="eastAsia" w:ascii="宋体" w:hAnsi="宋体" w:eastAsia="宋体" w:cs="宋体"/>
          <w:spacing w:val="-2"/>
          <w:kern w:val="0"/>
          <w:sz w:val="24"/>
          <w:szCs w:val="24"/>
        </w:rPr>
        <w:t>确</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对</w:t>
      </w:r>
      <w:r>
        <w:rPr>
          <w:rFonts w:hint="eastAsia" w:ascii="宋体" w:hAnsi="宋体" w:eastAsia="宋体" w:cs="宋体"/>
          <w:kern w:val="0"/>
          <w:sz w:val="24"/>
          <w:szCs w:val="24"/>
        </w:rPr>
        <w:t>同类问题表述不一</w:t>
      </w:r>
      <w:r>
        <w:rPr>
          <w:rFonts w:hint="eastAsia" w:ascii="宋体" w:hAnsi="宋体" w:eastAsia="宋体" w:cs="宋体"/>
          <w:spacing w:val="-2"/>
          <w:kern w:val="0"/>
          <w:sz w:val="24"/>
          <w:szCs w:val="24"/>
        </w:rPr>
        <w:t>致</w:t>
      </w:r>
      <w:r>
        <w:rPr>
          <w:rFonts w:hint="eastAsia" w:ascii="宋体" w:hAnsi="宋体" w:eastAsia="宋体" w:cs="宋体"/>
          <w:kern w:val="0"/>
          <w:sz w:val="24"/>
          <w:szCs w:val="24"/>
        </w:rPr>
        <w:t>或者</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明显文字和计算</w:t>
      </w:r>
      <w:r>
        <w:rPr>
          <w:rFonts w:hint="eastAsia" w:ascii="宋体" w:hAnsi="宋体" w:eastAsia="宋体" w:cs="宋体"/>
          <w:spacing w:val="-2"/>
          <w:kern w:val="0"/>
          <w:sz w:val="24"/>
          <w:szCs w:val="24"/>
        </w:rPr>
        <w:t>错</w:t>
      </w:r>
      <w:r>
        <w:rPr>
          <w:rFonts w:hint="eastAsia" w:ascii="宋体" w:hAnsi="宋体" w:eastAsia="宋体" w:cs="宋体"/>
          <w:kern w:val="0"/>
          <w:sz w:val="24"/>
          <w:szCs w:val="24"/>
        </w:rPr>
        <w:t>误的</w:t>
      </w:r>
      <w:r>
        <w:rPr>
          <w:rFonts w:hint="eastAsia" w:ascii="宋体" w:hAnsi="宋体" w:eastAsia="宋体" w:cs="宋体"/>
          <w:spacing w:val="-2"/>
          <w:kern w:val="0"/>
          <w:sz w:val="24"/>
          <w:szCs w:val="24"/>
        </w:rPr>
        <w:t>内</w:t>
      </w:r>
      <w:r>
        <w:rPr>
          <w:rFonts w:hint="eastAsia" w:ascii="宋体" w:hAnsi="宋体" w:eastAsia="宋体" w:cs="宋体"/>
          <w:kern w:val="0"/>
          <w:sz w:val="24"/>
          <w:szCs w:val="24"/>
        </w:rPr>
        <w:t>容作必要的澄</w:t>
      </w:r>
      <w:r>
        <w:rPr>
          <w:rFonts w:hint="eastAsia" w:ascii="宋体" w:hAnsi="宋体" w:eastAsia="宋体" w:cs="宋体"/>
          <w:spacing w:val="1"/>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补正。澄</w:t>
      </w:r>
      <w:r>
        <w:rPr>
          <w:rFonts w:hint="eastAsia" w:ascii="宋体" w:hAnsi="宋体" w:eastAsia="宋体" w:cs="宋体"/>
          <w:spacing w:val="1"/>
          <w:kern w:val="0"/>
          <w:sz w:val="24"/>
          <w:szCs w:val="24"/>
        </w:rPr>
        <w:t>清</w:t>
      </w:r>
      <w:r>
        <w:rPr>
          <w:rFonts w:hint="eastAsia" w:ascii="宋体" w:hAnsi="宋体" w:eastAsia="宋体" w:cs="宋体"/>
          <w:kern w:val="0"/>
          <w:sz w:val="24"/>
          <w:szCs w:val="24"/>
        </w:rPr>
        <w:t>、</w:t>
      </w:r>
      <w:r>
        <w:rPr>
          <w:rFonts w:hint="eastAsia" w:ascii="宋体" w:hAnsi="宋体" w:eastAsia="宋体" w:cs="宋体"/>
          <w:spacing w:val="-2"/>
          <w:kern w:val="0"/>
          <w:sz w:val="24"/>
          <w:szCs w:val="24"/>
        </w:rPr>
        <w:t>说</w:t>
      </w:r>
      <w:r>
        <w:rPr>
          <w:rFonts w:hint="eastAsia" w:ascii="宋体" w:hAnsi="宋体" w:eastAsia="宋体" w:cs="宋体"/>
          <w:kern w:val="0"/>
          <w:sz w:val="24"/>
          <w:szCs w:val="24"/>
        </w:rPr>
        <w:t>明或补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方</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进</w:t>
      </w:r>
      <w:r>
        <w:rPr>
          <w:rFonts w:hint="eastAsia" w:ascii="宋体" w:hAnsi="宋体" w:eastAsia="宋体" w:cs="宋体"/>
          <w:spacing w:val="-2"/>
          <w:kern w:val="0"/>
          <w:sz w:val="24"/>
          <w:szCs w:val="24"/>
        </w:rPr>
        <w:t>行</w:t>
      </w:r>
      <w:r>
        <w:rPr>
          <w:rFonts w:hint="eastAsia" w:ascii="宋体" w:hAnsi="宋体" w:eastAsia="宋体" w:cs="宋体"/>
          <w:sz w:val="24"/>
          <w:szCs w:val="24"/>
        </w:rPr>
        <w:t>，并加盖公章，或者由法定代表人或其授权的代表签字</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接</w:t>
      </w:r>
      <w:r>
        <w:rPr>
          <w:rFonts w:hint="eastAsia" w:ascii="宋体" w:hAnsi="宋体" w:eastAsia="宋体" w:cs="宋体"/>
          <w:spacing w:val="-2"/>
          <w:kern w:val="0"/>
          <w:sz w:val="24"/>
          <w:szCs w:val="24"/>
        </w:rPr>
        <w:t>受</w:t>
      </w:r>
      <w:r>
        <w:rPr>
          <w:rFonts w:hint="eastAsia" w:ascii="宋体" w:hAnsi="宋体" w:cs="宋体"/>
          <w:kern w:val="0"/>
          <w:sz w:val="24"/>
          <w:szCs w:val="24"/>
          <w:lang w:eastAsia="zh-CN"/>
        </w:rPr>
        <w:t>供应商</w:t>
      </w:r>
      <w:r>
        <w:rPr>
          <w:rFonts w:hint="eastAsia" w:ascii="宋体" w:hAnsi="宋体" w:eastAsia="宋体" w:cs="宋体"/>
          <w:kern w:val="0"/>
          <w:sz w:val="24"/>
          <w:szCs w:val="24"/>
        </w:rPr>
        <w:t>主</w:t>
      </w:r>
      <w:r>
        <w:rPr>
          <w:rFonts w:hint="eastAsia" w:ascii="宋体" w:hAnsi="宋体" w:eastAsia="宋体" w:cs="宋体"/>
          <w:spacing w:val="-2"/>
          <w:kern w:val="0"/>
          <w:sz w:val="24"/>
          <w:szCs w:val="24"/>
        </w:rPr>
        <w:t>动</w:t>
      </w:r>
      <w:r>
        <w:rPr>
          <w:rFonts w:hint="eastAsia" w:ascii="宋体" w:hAnsi="宋体" w:eastAsia="宋体" w:cs="宋体"/>
          <w:kern w:val="0"/>
          <w:sz w:val="24"/>
          <w:szCs w:val="24"/>
        </w:rPr>
        <w:t>提</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w:t>
      </w:r>
    </w:p>
    <w:p w14:paraId="0D201E3C">
      <w:pPr>
        <w:autoSpaceDE w:val="0"/>
        <w:autoSpaceDN w:val="0"/>
        <w:adjustRightInd w:val="0"/>
        <w:spacing w:before="10" w:line="360" w:lineRule="auto"/>
        <w:ind w:left="100" w:right="139" w:firstLine="420"/>
        <w:rPr>
          <w:rFonts w:hint="eastAsia" w:ascii="宋体" w:hAnsi="宋体" w:eastAsia="宋体" w:cs="宋体"/>
          <w:kern w:val="0"/>
          <w:sz w:val="24"/>
          <w:szCs w:val="24"/>
        </w:rPr>
      </w:pPr>
      <w:r>
        <w:rPr>
          <w:rFonts w:hint="eastAsia" w:ascii="宋体" w:hAnsi="宋体" w:eastAsia="宋体" w:cs="宋体"/>
          <w:kern w:val="0"/>
          <w:sz w:val="24"/>
          <w:szCs w:val="24"/>
        </w:rPr>
        <w:t>2.3.2 澄清</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得超</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投标文件的</w:t>
      </w:r>
      <w:r>
        <w:rPr>
          <w:rFonts w:hint="eastAsia" w:ascii="宋体" w:hAnsi="宋体" w:eastAsia="宋体" w:cs="宋体"/>
          <w:spacing w:val="-2"/>
          <w:kern w:val="0"/>
          <w:sz w:val="24"/>
          <w:szCs w:val="24"/>
        </w:rPr>
        <w:t>范</w:t>
      </w:r>
      <w:r>
        <w:rPr>
          <w:rFonts w:hint="eastAsia" w:ascii="宋体" w:hAnsi="宋体" w:eastAsia="宋体" w:cs="宋体"/>
          <w:kern w:val="0"/>
          <w:sz w:val="24"/>
          <w:szCs w:val="24"/>
        </w:rPr>
        <w:t>围</w:t>
      </w:r>
      <w:r>
        <w:rPr>
          <w:rFonts w:hint="eastAsia" w:ascii="宋体" w:hAnsi="宋体" w:eastAsia="宋体" w:cs="宋体"/>
          <w:spacing w:val="-2"/>
          <w:kern w:val="0"/>
          <w:sz w:val="24"/>
          <w:szCs w:val="24"/>
        </w:rPr>
        <w:t>且</w:t>
      </w:r>
      <w:r>
        <w:rPr>
          <w:rFonts w:hint="eastAsia" w:ascii="宋体" w:hAnsi="宋体" w:eastAsia="宋体" w:cs="宋体"/>
          <w:kern w:val="0"/>
          <w:sz w:val="24"/>
          <w:szCs w:val="24"/>
        </w:rPr>
        <w:t>不得</w:t>
      </w:r>
      <w:r>
        <w:rPr>
          <w:rFonts w:hint="eastAsia" w:ascii="宋体" w:hAnsi="宋体" w:eastAsia="宋体" w:cs="宋体"/>
          <w:spacing w:val="-2"/>
          <w:kern w:val="0"/>
          <w:sz w:val="24"/>
          <w:szCs w:val="24"/>
        </w:rPr>
        <w:t>改</w:t>
      </w:r>
      <w:r>
        <w:rPr>
          <w:rFonts w:hint="eastAsia" w:ascii="宋体" w:hAnsi="宋体" w:eastAsia="宋体" w:cs="宋体"/>
          <w:kern w:val="0"/>
          <w:sz w:val="24"/>
          <w:szCs w:val="24"/>
        </w:rPr>
        <w:t>变</w:t>
      </w:r>
      <w:r>
        <w:rPr>
          <w:rFonts w:hint="eastAsia" w:ascii="宋体" w:hAnsi="宋体" w:eastAsia="宋体" w:cs="宋体"/>
          <w:spacing w:val="-2"/>
          <w:kern w:val="0"/>
          <w:sz w:val="24"/>
          <w:szCs w:val="24"/>
        </w:rPr>
        <w:t>投标文件的</w:t>
      </w:r>
      <w:r>
        <w:rPr>
          <w:rFonts w:hint="eastAsia" w:ascii="宋体" w:hAnsi="宋体" w:eastAsia="宋体" w:cs="宋体"/>
          <w:kern w:val="0"/>
          <w:sz w:val="24"/>
          <w:szCs w:val="24"/>
        </w:rPr>
        <w:t>实</w:t>
      </w:r>
      <w:r>
        <w:rPr>
          <w:rFonts w:hint="eastAsia" w:ascii="宋体" w:hAnsi="宋体" w:eastAsia="宋体" w:cs="宋体"/>
          <w:spacing w:val="-2"/>
          <w:kern w:val="0"/>
          <w:sz w:val="24"/>
          <w:szCs w:val="24"/>
        </w:rPr>
        <w:t>质</w:t>
      </w:r>
      <w:r>
        <w:rPr>
          <w:rFonts w:hint="eastAsia" w:ascii="宋体" w:hAnsi="宋体" w:eastAsia="宋体" w:cs="宋体"/>
          <w:kern w:val="0"/>
          <w:sz w:val="24"/>
          <w:szCs w:val="24"/>
        </w:rPr>
        <w:t>性内</w:t>
      </w:r>
      <w:r>
        <w:rPr>
          <w:rFonts w:hint="eastAsia" w:ascii="宋体" w:hAnsi="宋体" w:eastAsia="宋体" w:cs="宋体"/>
          <w:spacing w:val="-2"/>
          <w:kern w:val="0"/>
          <w:sz w:val="24"/>
          <w:szCs w:val="24"/>
        </w:rPr>
        <w:t>容</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并</w:t>
      </w:r>
      <w:r>
        <w:rPr>
          <w:rFonts w:hint="eastAsia" w:ascii="宋体" w:hAnsi="宋体" w:eastAsia="宋体" w:cs="宋体"/>
          <w:kern w:val="0"/>
          <w:sz w:val="24"/>
          <w:szCs w:val="24"/>
        </w:rPr>
        <w:t>构成投标文件的</w:t>
      </w:r>
      <w:r>
        <w:rPr>
          <w:rFonts w:hint="eastAsia" w:ascii="宋体" w:hAnsi="宋体" w:eastAsia="宋体" w:cs="宋体"/>
          <w:spacing w:val="-2"/>
          <w:kern w:val="0"/>
          <w:sz w:val="24"/>
          <w:szCs w:val="24"/>
        </w:rPr>
        <w:t>组</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部</w:t>
      </w:r>
      <w:r>
        <w:rPr>
          <w:rFonts w:hint="eastAsia" w:ascii="宋体" w:hAnsi="宋体" w:eastAsia="宋体" w:cs="宋体"/>
          <w:kern w:val="0"/>
          <w:sz w:val="24"/>
          <w:szCs w:val="24"/>
        </w:rPr>
        <w:t>分。</w:t>
      </w:r>
    </w:p>
    <w:p w14:paraId="4750BF7F">
      <w:pPr>
        <w:autoSpaceDE w:val="0"/>
        <w:autoSpaceDN w:val="0"/>
        <w:adjustRightInd w:val="0"/>
        <w:spacing w:before="11" w:line="360" w:lineRule="auto"/>
        <w:ind w:left="100" w:right="34" w:firstLine="420"/>
        <w:jc w:val="left"/>
        <w:rPr>
          <w:rFonts w:hint="eastAsia" w:ascii="宋体" w:hAnsi="宋体" w:eastAsia="宋体" w:cs="宋体"/>
          <w:kern w:val="0"/>
          <w:sz w:val="24"/>
          <w:szCs w:val="24"/>
        </w:rPr>
      </w:pPr>
      <w:r>
        <w:rPr>
          <w:rFonts w:hint="eastAsia" w:ascii="宋体" w:hAnsi="宋体" w:eastAsia="宋体" w:cs="宋体"/>
          <w:kern w:val="0"/>
          <w:sz w:val="24"/>
          <w:szCs w:val="24"/>
        </w:rPr>
        <w:t>2.3.3</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对</w:t>
      </w:r>
      <w:r>
        <w:rPr>
          <w:rFonts w:hint="eastAsia" w:ascii="宋体" w:hAnsi="宋体" w:cs="宋体"/>
          <w:kern w:val="0"/>
          <w:sz w:val="24"/>
          <w:szCs w:val="24"/>
          <w:lang w:eastAsia="zh-CN"/>
        </w:rPr>
        <w:t>供应商</w:t>
      </w:r>
      <w:r>
        <w:rPr>
          <w:rFonts w:hint="eastAsia" w:ascii="宋体" w:hAnsi="宋体" w:eastAsia="宋体" w:cs="宋体"/>
          <w:kern w:val="0"/>
          <w:sz w:val="24"/>
          <w:szCs w:val="24"/>
        </w:rPr>
        <w:t>提交</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澄清</w:t>
      </w:r>
      <w:r>
        <w:rPr>
          <w:rFonts w:hint="eastAsia" w:ascii="宋体" w:hAnsi="宋体" w:eastAsia="宋体" w:cs="宋体"/>
          <w:spacing w:val="-94"/>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疑问的</w:t>
      </w:r>
      <w:r>
        <w:rPr>
          <w:rFonts w:hint="eastAsia" w:ascii="宋体" w:hAnsi="宋体" w:eastAsia="宋体" w:cs="宋体"/>
          <w:spacing w:val="-94"/>
          <w:kern w:val="0"/>
          <w:sz w:val="24"/>
          <w:szCs w:val="24"/>
        </w:rPr>
        <w:t>，</w:t>
      </w:r>
      <w:r>
        <w:rPr>
          <w:rFonts w:hint="eastAsia" w:ascii="宋体" w:hAnsi="宋体" w:eastAsia="宋体" w:cs="宋体"/>
          <w:kern w:val="0"/>
          <w:sz w:val="24"/>
          <w:szCs w:val="24"/>
        </w:rPr>
        <w:t>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一步</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w:t>
      </w:r>
      <w:r>
        <w:rPr>
          <w:rFonts w:hint="eastAsia" w:ascii="宋体" w:hAnsi="宋体" w:eastAsia="宋体" w:cs="宋体"/>
          <w:spacing w:val="-3"/>
          <w:kern w:val="0"/>
          <w:sz w:val="24"/>
          <w:szCs w:val="24"/>
        </w:rPr>
        <w:t>正</w:t>
      </w:r>
      <w:r>
        <w:rPr>
          <w:rFonts w:hint="eastAsia" w:ascii="宋体" w:hAnsi="宋体" w:eastAsia="宋体" w:cs="宋体"/>
          <w:kern w:val="0"/>
          <w:sz w:val="24"/>
          <w:szCs w:val="24"/>
        </w:rPr>
        <w:t>，</w:t>
      </w:r>
      <w:r>
        <w:rPr>
          <w:rFonts w:hint="eastAsia" w:ascii="宋体" w:hAnsi="宋体" w:eastAsia="宋体" w:cs="宋体"/>
          <w:spacing w:val="-2"/>
          <w:kern w:val="0"/>
          <w:sz w:val="24"/>
          <w:szCs w:val="24"/>
        </w:rPr>
        <w:t>直</w:t>
      </w:r>
      <w:r>
        <w:rPr>
          <w:rFonts w:hint="eastAsia" w:ascii="宋体" w:hAnsi="宋体" w:eastAsia="宋体" w:cs="宋体"/>
          <w:kern w:val="0"/>
          <w:sz w:val="24"/>
          <w:szCs w:val="24"/>
        </w:rPr>
        <w:t>至</w:t>
      </w:r>
      <w:r>
        <w:rPr>
          <w:rFonts w:hint="eastAsia" w:ascii="宋体" w:hAnsi="宋体" w:eastAsia="宋体" w:cs="宋体"/>
          <w:spacing w:val="-2"/>
          <w:kern w:val="0"/>
          <w:sz w:val="24"/>
          <w:szCs w:val="24"/>
        </w:rPr>
        <w:t>满</w:t>
      </w:r>
      <w:r>
        <w:rPr>
          <w:rFonts w:hint="eastAsia" w:ascii="宋体" w:hAnsi="宋体" w:eastAsia="宋体" w:cs="宋体"/>
          <w:kern w:val="0"/>
          <w:sz w:val="24"/>
          <w:szCs w:val="24"/>
        </w:rPr>
        <w:t>足评标委员会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eastAsia="宋体" w:cs="宋体"/>
          <w:kern w:val="0"/>
          <w:sz w:val="24"/>
          <w:szCs w:val="24"/>
        </w:rPr>
        <w:t>。</w:t>
      </w:r>
    </w:p>
    <w:p w14:paraId="6BAC685F">
      <w:pPr>
        <w:pStyle w:val="4"/>
        <w:rPr>
          <w:rFonts w:hint="eastAsia" w:ascii="宋体" w:hAnsi="宋体" w:eastAsia="宋体" w:cs="宋体"/>
          <w:sz w:val="24"/>
          <w:szCs w:val="24"/>
        </w:rPr>
      </w:pPr>
      <w:bookmarkStart w:id="618" w:name="_Toc25388"/>
      <w:bookmarkStart w:id="619" w:name="_Toc13150095"/>
      <w:bookmarkStart w:id="620" w:name="_Toc10336"/>
      <w:bookmarkStart w:id="621" w:name="_Toc25857"/>
      <w:bookmarkStart w:id="622" w:name="_Toc4217"/>
      <w:bookmarkStart w:id="623" w:name="_Toc12108"/>
      <w:bookmarkStart w:id="624" w:name="_Toc16166"/>
      <w:bookmarkStart w:id="625" w:name="_Toc26739"/>
      <w:bookmarkStart w:id="626" w:name="_Toc11237"/>
      <w:bookmarkStart w:id="627" w:name="_Toc17538"/>
      <w:bookmarkStart w:id="628" w:name="_Toc30334"/>
      <w:bookmarkStart w:id="629" w:name="_Toc27845"/>
      <w:bookmarkStart w:id="630" w:name="_Toc19426"/>
      <w:r>
        <w:rPr>
          <w:rFonts w:hint="eastAsia" w:ascii="宋体" w:hAnsi="宋体" w:eastAsia="宋体" w:cs="宋体"/>
          <w:sz w:val="24"/>
          <w:szCs w:val="24"/>
        </w:rPr>
        <w:t>2.4 评标结果</w:t>
      </w:r>
      <w:bookmarkEnd w:id="618"/>
      <w:bookmarkEnd w:id="619"/>
      <w:bookmarkEnd w:id="620"/>
      <w:bookmarkEnd w:id="621"/>
      <w:bookmarkEnd w:id="622"/>
      <w:bookmarkEnd w:id="623"/>
      <w:bookmarkEnd w:id="624"/>
      <w:bookmarkEnd w:id="625"/>
      <w:bookmarkEnd w:id="626"/>
      <w:bookmarkEnd w:id="627"/>
      <w:bookmarkEnd w:id="628"/>
      <w:bookmarkEnd w:id="629"/>
      <w:bookmarkEnd w:id="630"/>
    </w:p>
    <w:p w14:paraId="07D20EC0">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2.4.1 除采购人授权直接确定中标人外，</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按照综合得分由高到低的顺序推荐3名中标候选人，若不同</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的综合得分相同时：</w:t>
      </w:r>
    </w:p>
    <w:p w14:paraId="0BB7F6B2">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（1）按“报价部分”得分由高到低顺序排序；</w:t>
      </w:r>
    </w:p>
    <w:p w14:paraId="552F4AF7">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（2）若“报价部分”得分仍相同，按“</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部分”得分由高到低顺序排序；</w:t>
      </w:r>
    </w:p>
    <w:p w14:paraId="16B3636F">
      <w:pPr>
        <w:autoSpaceDE w:val="0"/>
        <w:autoSpaceDN w:val="0"/>
        <w:adjustRightInd w:val="0"/>
        <w:spacing w:before="11" w:line="360" w:lineRule="auto"/>
        <w:ind w:left="100" w:right="34" w:firstLine="420"/>
        <w:jc w:val="left"/>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（3）若“</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部分”得分仍相同，按“技术部分”得分由高到低顺序排序。</w:t>
      </w:r>
    </w:p>
    <w:p w14:paraId="3E219820">
      <w:pPr>
        <w:autoSpaceDE w:val="0"/>
        <w:autoSpaceDN w:val="0"/>
        <w:adjustRightInd w:val="0"/>
        <w:spacing w:before="40" w:line="360" w:lineRule="auto"/>
        <w:ind w:left="100" w:right="140" w:firstLine="420"/>
        <w:rPr>
          <w:rFonts w:hint="eastAsia" w:ascii="宋体" w:hAnsi="宋体" w:eastAsia="宋体" w:cs="宋体"/>
          <w:spacing w:val="-2"/>
          <w:kern w:val="0"/>
          <w:sz w:val="24"/>
          <w:szCs w:val="24"/>
        </w:rPr>
        <w:sectPr>
          <w:footerReference r:id="rId7" w:type="default"/>
          <w:pgSz w:w="11906" w:h="16838"/>
          <w:pgMar w:top="1417" w:right="1417" w:bottom="1417" w:left="1417" w:header="777" w:footer="641" w:gutter="0"/>
          <w:pgNumType w:fmt="decimal" w:start="1"/>
          <w:cols w:space="720" w:num="1"/>
        </w:sectPr>
      </w:pPr>
      <w:r>
        <w:rPr>
          <w:rFonts w:hint="eastAsia" w:ascii="宋体" w:hAnsi="宋体" w:eastAsia="宋体" w:cs="宋体"/>
          <w:kern w:val="0"/>
          <w:sz w:val="24"/>
          <w:szCs w:val="24"/>
        </w:rPr>
        <w:t>2.4.2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评标</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当</w:t>
      </w:r>
      <w:r>
        <w:rPr>
          <w:rFonts w:hint="eastAsia" w:ascii="宋体" w:hAnsi="宋体" w:eastAsia="宋体" w:cs="宋体"/>
          <w:spacing w:val="-2"/>
          <w:kern w:val="0"/>
          <w:sz w:val="24"/>
          <w:szCs w:val="24"/>
        </w:rPr>
        <w:t>向采购人提交书面评标报告和中标候选人名单。</w:t>
      </w:r>
    </w:p>
    <w:p w14:paraId="25914D04">
      <w:pPr>
        <w:numPr>
          <w:ilvl w:val="0"/>
          <w:numId w:val="0"/>
        </w:numPr>
        <w:spacing w:line="340" w:lineRule="exact"/>
        <w:ind w:leftChars="0"/>
        <w:jc w:val="center"/>
        <w:outlineLvl w:val="0"/>
        <w:rPr>
          <w:rStyle w:val="41"/>
          <w:rFonts w:hint="eastAsia" w:ascii="宋体" w:hAnsi="宋体" w:cs="宋体"/>
          <w:color w:val="auto"/>
          <w:lang w:val="en-US" w:eastAsia="zh-CN"/>
        </w:rPr>
      </w:pPr>
      <w:bookmarkStart w:id="631" w:name="_Toc18056"/>
      <w:bookmarkStart w:id="632" w:name="_Toc7959"/>
      <w:bookmarkStart w:id="633" w:name="_Toc5144"/>
      <w:bookmarkStart w:id="634" w:name="_Toc9202_WPSOffice_Level1"/>
      <w:bookmarkStart w:id="635" w:name="_Toc18202"/>
      <w:bookmarkStart w:id="636" w:name="_Toc26742"/>
      <w:bookmarkStart w:id="637" w:name="_Toc312133549"/>
      <w:r>
        <w:rPr>
          <w:rStyle w:val="41"/>
          <w:rFonts w:hint="eastAsia" w:ascii="宋体" w:hAnsi="宋体" w:cs="宋体"/>
          <w:color w:val="auto"/>
          <w:lang w:val="en-US" w:eastAsia="zh-CN"/>
        </w:rPr>
        <w:t>第五章  合同条款及格式（仅供参考）</w:t>
      </w:r>
      <w:bookmarkEnd w:id="631"/>
      <w:bookmarkEnd w:id="632"/>
      <w:bookmarkEnd w:id="633"/>
      <w:bookmarkEnd w:id="634"/>
      <w:bookmarkEnd w:id="635"/>
      <w:bookmarkEnd w:id="636"/>
    </w:p>
    <w:p w14:paraId="7004395F">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17DA7A34">
      <w:pPr>
        <w:spacing w:line="500" w:lineRule="exact"/>
        <w:jc w:val="center"/>
        <w:rPr>
          <w:rFonts w:hint="eastAsia" w:ascii="宋体" w:hAnsi="宋体" w:eastAsia="宋体" w:cs="宋体"/>
          <w:b/>
          <w:sz w:val="24"/>
          <w:szCs w:val="24"/>
          <w:u w:val="single"/>
        </w:rPr>
      </w:pPr>
      <w:bookmarkStart w:id="638" w:name="_Toc9314"/>
      <w:bookmarkEnd w:id="638"/>
    </w:p>
    <w:p w14:paraId="707465BD">
      <w:pPr>
        <w:spacing w:line="500" w:lineRule="exact"/>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639" w:name="_Toc15899"/>
      <w:bookmarkStart w:id="640" w:name="_Toc32180_WPSOffice_Level2"/>
      <w:bookmarkStart w:id="641" w:name="_Toc25921"/>
      <w:bookmarkStart w:id="642" w:name="_Toc6809_WPSOffice_Level2"/>
      <w:r>
        <w:rPr>
          <w:rFonts w:hint="eastAsia" w:ascii="宋体" w:hAnsi="宋体" w:eastAsia="宋体" w:cs="宋体"/>
          <w:b/>
          <w:sz w:val="24"/>
          <w:szCs w:val="24"/>
        </w:rPr>
        <w:t>项目合同</w:t>
      </w:r>
      <w:bookmarkEnd w:id="639"/>
      <w:bookmarkEnd w:id="640"/>
      <w:bookmarkEnd w:id="641"/>
      <w:bookmarkEnd w:id="642"/>
    </w:p>
    <w:p w14:paraId="57BA0F5B">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3A7923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F7E7D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690F6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D3E14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F1CA44">
      <w:pPr>
        <w:snapToGrid w:val="0"/>
        <w:spacing w:line="360" w:lineRule="auto"/>
        <w:ind w:firstLine="480" w:firstLineChars="200"/>
        <w:rPr>
          <w:rFonts w:hint="eastAsia" w:ascii="宋体" w:hAnsi="宋体" w:eastAsia="宋体" w:cs="宋体"/>
          <w:sz w:val="24"/>
          <w:szCs w:val="24"/>
          <w:u w:val="single"/>
        </w:rPr>
      </w:pPr>
      <w:bookmarkStart w:id="643" w:name="_Toc18936_WPSOffice_Level2"/>
      <w:bookmarkStart w:id="644" w:name="_Toc14583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643"/>
      <w:bookmarkEnd w:id="644"/>
    </w:p>
    <w:p w14:paraId="31B28ACD">
      <w:pPr>
        <w:spacing w:line="360" w:lineRule="auto"/>
        <w:ind w:firstLine="480" w:firstLineChars="200"/>
        <w:rPr>
          <w:rFonts w:hint="eastAsia" w:ascii="宋体" w:hAnsi="宋体" w:eastAsia="宋体" w:cs="宋体"/>
          <w:b/>
          <w:sz w:val="24"/>
          <w:szCs w:val="24"/>
        </w:rPr>
      </w:pPr>
      <w:bookmarkStart w:id="645" w:name="_Toc29648_WPSOffice_Level2"/>
      <w:bookmarkStart w:id="646" w:name="_Toc26333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人）</w:t>
      </w:r>
      <w:bookmarkEnd w:id="645"/>
      <w:bookmarkEnd w:id="646"/>
    </w:p>
    <w:p w14:paraId="4E0E1BF1">
      <w:pPr>
        <w:spacing w:line="500" w:lineRule="exact"/>
        <w:outlineLvl w:val="1"/>
        <w:rPr>
          <w:rFonts w:hint="eastAsia" w:ascii="宋体" w:hAnsi="宋体" w:eastAsia="宋体" w:cs="宋体"/>
          <w:b/>
          <w:sz w:val="24"/>
          <w:szCs w:val="24"/>
        </w:rPr>
      </w:pPr>
      <w:bookmarkStart w:id="647" w:name="_Toc1328"/>
      <w:bookmarkStart w:id="648" w:name="_Toc17551_WPSOffice_Level2"/>
      <w:bookmarkStart w:id="649" w:name="_Toc32542"/>
      <w:bookmarkStart w:id="650" w:name="_Toc14490_WPSOffice_Level2"/>
      <w:r>
        <w:rPr>
          <w:rFonts w:hint="eastAsia" w:ascii="宋体" w:hAnsi="宋体" w:eastAsia="宋体" w:cs="宋体"/>
          <w:b/>
          <w:sz w:val="24"/>
          <w:szCs w:val="24"/>
        </w:rPr>
        <w:t>1．总则</w:t>
      </w:r>
      <w:bookmarkEnd w:id="647"/>
      <w:bookmarkEnd w:id="648"/>
      <w:bookmarkEnd w:id="649"/>
      <w:bookmarkEnd w:id="650"/>
      <w:r>
        <w:rPr>
          <w:rFonts w:hint="eastAsia" w:ascii="宋体" w:hAnsi="宋体" w:eastAsia="宋体" w:cs="宋体"/>
          <w:b/>
          <w:sz w:val="24"/>
          <w:szCs w:val="24"/>
        </w:rPr>
        <w:t xml:space="preserve"> </w:t>
      </w:r>
    </w:p>
    <w:p w14:paraId="7E42B18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0E44C5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3CD7011C">
      <w:pPr>
        <w:spacing w:line="500" w:lineRule="exact"/>
        <w:outlineLvl w:val="1"/>
        <w:rPr>
          <w:rFonts w:hint="eastAsia" w:ascii="宋体" w:hAnsi="宋体" w:eastAsia="宋体" w:cs="宋体"/>
          <w:b/>
          <w:sz w:val="24"/>
          <w:szCs w:val="24"/>
        </w:rPr>
      </w:pPr>
      <w:bookmarkStart w:id="651" w:name="_Toc28941"/>
      <w:bookmarkStart w:id="652" w:name="_Toc15652"/>
      <w:bookmarkStart w:id="653" w:name="_Toc8702_WPSOffice_Level2"/>
      <w:bookmarkStart w:id="654" w:name="_Toc9399_WPSOffice_Level2"/>
      <w:r>
        <w:rPr>
          <w:rFonts w:hint="eastAsia" w:ascii="宋体" w:hAnsi="宋体" w:eastAsia="宋体" w:cs="宋体"/>
          <w:b/>
          <w:sz w:val="24"/>
          <w:szCs w:val="24"/>
        </w:rPr>
        <w:t>2．合同文件</w:t>
      </w:r>
      <w:bookmarkEnd w:id="651"/>
      <w:bookmarkEnd w:id="652"/>
      <w:bookmarkEnd w:id="653"/>
      <w:bookmarkEnd w:id="654"/>
    </w:p>
    <w:p w14:paraId="75C2720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6D60A6B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4A2F75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393E32B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294FB30B">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77680B6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0A22B349">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58453F04">
      <w:pPr>
        <w:spacing w:line="500" w:lineRule="exact"/>
        <w:outlineLvl w:val="1"/>
        <w:rPr>
          <w:rFonts w:hint="eastAsia" w:ascii="宋体" w:hAnsi="宋体" w:eastAsia="宋体" w:cs="宋体"/>
          <w:b/>
          <w:sz w:val="24"/>
          <w:szCs w:val="24"/>
        </w:rPr>
      </w:pPr>
      <w:bookmarkStart w:id="655" w:name="_Toc7084"/>
      <w:bookmarkStart w:id="656" w:name="_Toc27808_WPSOffice_Level2"/>
      <w:bookmarkStart w:id="657" w:name="_Toc24590_WPSOffice_Level2"/>
      <w:bookmarkStart w:id="658" w:name="_Toc10063"/>
      <w:r>
        <w:rPr>
          <w:rFonts w:hint="eastAsia" w:ascii="宋体" w:hAnsi="宋体" w:eastAsia="宋体" w:cs="宋体"/>
          <w:b/>
          <w:sz w:val="24"/>
          <w:szCs w:val="24"/>
        </w:rPr>
        <w:t>3．货物名称、型号、规格、配置、技术参数、数量及合同价款</w:t>
      </w:r>
      <w:bookmarkEnd w:id="655"/>
      <w:bookmarkEnd w:id="656"/>
      <w:bookmarkEnd w:id="657"/>
      <w:bookmarkEnd w:id="658"/>
    </w:p>
    <w:tbl>
      <w:tblPr>
        <w:tblStyle w:val="23"/>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0E04CC54">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7D76205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67F4737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519F9D98">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型号规格配置</w:t>
            </w:r>
          </w:p>
          <w:p w14:paraId="646602AC">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5D39AC3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3F4BA16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54098D4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1FE9A66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47ED6478">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A590C1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06A83B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DCCB01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1A5724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5D6826A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BAFCD3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242318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40C1F6E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4B467B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8C79CE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5868DA3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2D83176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49B3545">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DB08AA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51BA70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2541B181">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9F1E7A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779906DA">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2A8593B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6C720AF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7316DEA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5B622E5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532DE33E">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0F53BB1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CB1B93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108B7B6">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275543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953A10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309734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6FB50FC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38E6C3E1">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53FD6D45">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3203616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4421B72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D779142">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20324818">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w:t>
            </w:r>
          </w:p>
        </w:tc>
      </w:tr>
      <w:tr w14:paraId="7388B713">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231BB26E">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51D701ED">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r>
    </w:tbl>
    <w:p w14:paraId="798F454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2C8C2591">
      <w:pPr>
        <w:snapToGrid w:val="0"/>
        <w:spacing w:line="500" w:lineRule="exact"/>
        <w:outlineLvl w:val="1"/>
        <w:rPr>
          <w:rFonts w:hint="eastAsia" w:ascii="宋体" w:hAnsi="宋体" w:eastAsia="宋体" w:cs="宋体"/>
          <w:b/>
          <w:sz w:val="24"/>
          <w:szCs w:val="24"/>
        </w:rPr>
      </w:pPr>
      <w:bookmarkStart w:id="659" w:name="_Toc17832"/>
      <w:bookmarkStart w:id="660" w:name="_Toc24234"/>
      <w:bookmarkStart w:id="661" w:name="_Toc13554_WPSOffice_Level2"/>
      <w:bookmarkStart w:id="662" w:name="_Toc32026_WPSOffice_Level2"/>
      <w:r>
        <w:rPr>
          <w:rFonts w:hint="eastAsia" w:ascii="宋体" w:hAnsi="宋体" w:eastAsia="宋体" w:cs="宋体"/>
          <w:b/>
          <w:sz w:val="24"/>
          <w:szCs w:val="24"/>
        </w:rPr>
        <w:t>4．合同的范围，交货时间、地点及方式。</w:t>
      </w:r>
      <w:bookmarkEnd w:id="659"/>
      <w:bookmarkEnd w:id="660"/>
      <w:bookmarkEnd w:id="661"/>
      <w:bookmarkEnd w:id="662"/>
    </w:p>
    <w:p w14:paraId="212CF19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7E4EA1D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6FBF39F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4C66E97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1FEEF8FE">
      <w:pPr>
        <w:snapToGrid w:val="0"/>
        <w:spacing w:line="500" w:lineRule="exact"/>
        <w:outlineLvl w:val="1"/>
        <w:rPr>
          <w:rFonts w:hint="eastAsia" w:ascii="宋体" w:hAnsi="宋体" w:eastAsia="宋体" w:cs="宋体"/>
          <w:b/>
          <w:sz w:val="24"/>
          <w:szCs w:val="24"/>
        </w:rPr>
      </w:pPr>
      <w:bookmarkStart w:id="663" w:name="_Toc23365"/>
      <w:bookmarkStart w:id="664" w:name="_Toc17649"/>
      <w:bookmarkStart w:id="665" w:name="_Toc4733_WPSOffice_Level2"/>
      <w:bookmarkStart w:id="666" w:name="_Toc11324_WPSOffice_Level2"/>
      <w:r>
        <w:rPr>
          <w:rFonts w:hint="eastAsia" w:ascii="宋体" w:hAnsi="宋体" w:eastAsia="宋体" w:cs="宋体"/>
          <w:b/>
          <w:sz w:val="24"/>
          <w:szCs w:val="24"/>
        </w:rPr>
        <w:t>5．合同条款及特别条款</w:t>
      </w:r>
      <w:bookmarkEnd w:id="663"/>
      <w:bookmarkEnd w:id="664"/>
      <w:bookmarkEnd w:id="665"/>
      <w:bookmarkEnd w:id="666"/>
    </w:p>
    <w:p w14:paraId="203883D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0A6B508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7A5E89EA">
      <w:pPr>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5186438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5.1.3 验收:</w:t>
      </w:r>
    </w:p>
    <w:p w14:paraId="3B9D3F3C">
      <w:pPr>
        <w:snapToGrid w:val="0"/>
        <w:spacing w:line="360" w:lineRule="auto"/>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42530C05">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D7B6EAD">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508B1E3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71F409CA">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02EB55A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7505258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4AEF161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7ED97CA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1A7B67A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3090679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71050EB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00FF242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09F950B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64A8DF80">
      <w:pPr>
        <w:snapToGrid w:val="0"/>
        <w:spacing w:line="500" w:lineRule="exact"/>
        <w:outlineLvl w:val="1"/>
        <w:rPr>
          <w:rFonts w:hint="eastAsia" w:ascii="宋体" w:hAnsi="宋体" w:eastAsia="宋体" w:cs="宋体"/>
          <w:b/>
          <w:sz w:val="24"/>
          <w:szCs w:val="24"/>
        </w:rPr>
      </w:pPr>
      <w:bookmarkStart w:id="667" w:name="_Toc2284_WPSOffice_Level2"/>
      <w:bookmarkStart w:id="668" w:name="_Toc29414"/>
      <w:bookmarkStart w:id="669" w:name="_Toc21192"/>
      <w:bookmarkStart w:id="670" w:name="_Toc29072_WPSOffice_Level2"/>
      <w:r>
        <w:rPr>
          <w:rFonts w:hint="eastAsia" w:ascii="宋体" w:hAnsi="宋体" w:eastAsia="宋体" w:cs="宋体"/>
          <w:b/>
          <w:sz w:val="24"/>
          <w:szCs w:val="24"/>
        </w:rPr>
        <w:t>6.违约行为</w:t>
      </w:r>
      <w:bookmarkEnd w:id="667"/>
      <w:bookmarkEnd w:id="668"/>
      <w:bookmarkEnd w:id="669"/>
      <w:bookmarkEnd w:id="670"/>
    </w:p>
    <w:p w14:paraId="3EC2844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2643CD8F">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2C30662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559F334F">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442CA98C">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78ACEA2F">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6C01FC67">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5C3172C7">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4C8D0A8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40B1629A">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12844E0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060D4F23">
      <w:pPr>
        <w:snapToGrid w:val="0"/>
        <w:spacing w:line="500" w:lineRule="exact"/>
        <w:outlineLvl w:val="1"/>
        <w:rPr>
          <w:rFonts w:hint="eastAsia" w:ascii="宋体" w:hAnsi="宋体" w:eastAsia="宋体" w:cs="宋体"/>
          <w:b/>
          <w:sz w:val="24"/>
          <w:szCs w:val="24"/>
        </w:rPr>
      </w:pPr>
      <w:bookmarkStart w:id="671" w:name="_Toc25417"/>
      <w:bookmarkStart w:id="672" w:name="_Toc19806_WPSOffice_Level2"/>
      <w:bookmarkStart w:id="673" w:name="_Toc3097_WPSOffice_Level2"/>
      <w:bookmarkStart w:id="674" w:name="_Toc15340"/>
      <w:r>
        <w:rPr>
          <w:rFonts w:hint="eastAsia" w:ascii="宋体" w:hAnsi="宋体" w:eastAsia="宋体" w:cs="宋体"/>
          <w:b/>
          <w:sz w:val="24"/>
          <w:szCs w:val="24"/>
        </w:rPr>
        <w:t>7. 违约责任</w:t>
      </w:r>
      <w:bookmarkEnd w:id="671"/>
      <w:bookmarkEnd w:id="672"/>
      <w:bookmarkEnd w:id="673"/>
      <w:bookmarkEnd w:id="674"/>
    </w:p>
    <w:p w14:paraId="2A4F18C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7A4A78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238CB2B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61497CA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5C5FA10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0B5604C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4BECEF0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0297FF5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23103095">
      <w:pPr>
        <w:snapToGrid w:val="0"/>
        <w:spacing w:line="500" w:lineRule="exact"/>
        <w:outlineLvl w:val="1"/>
        <w:rPr>
          <w:rFonts w:hint="eastAsia" w:ascii="宋体" w:hAnsi="宋体" w:eastAsia="宋体" w:cs="宋体"/>
          <w:b/>
          <w:sz w:val="24"/>
          <w:szCs w:val="24"/>
        </w:rPr>
      </w:pPr>
      <w:bookmarkStart w:id="675" w:name="_Toc18940_WPSOffice_Level2"/>
      <w:bookmarkStart w:id="676" w:name="_Toc2681"/>
      <w:bookmarkStart w:id="677" w:name="_Toc27196"/>
      <w:bookmarkStart w:id="678" w:name="_Toc5342_WPSOffice_Level2"/>
      <w:r>
        <w:rPr>
          <w:rFonts w:hint="eastAsia" w:ascii="宋体" w:hAnsi="宋体" w:eastAsia="宋体" w:cs="宋体"/>
          <w:b/>
          <w:sz w:val="24"/>
          <w:szCs w:val="24"/>
        </w:rPr>
        <w:t>8．</w:t>
      </w:r>
      <w:r>
        <w:rPr>
          <w:rFonts w:hint="eastAsia" w:ascii="宋体" w:hAnsi="宋体" w:eastAsia="宋体" w:cs="宋体"/>
          <w:sz w:val="24"/>
          <w:szCs w:val="24"/>
        </w:rPr>
        <w:t>付款方式：根据招标文件内规定或以甲乙双方协商为准。</w:t>
      </w:r>
      <w:bookmarkEnd w:id="675"/>
      <w:bookmarkEnd w:id="676"/>
      <w:bookmarkEnd w:id="677"/>
      <w:bookmarkEnd w:id="678"/>
    </w:p>
    <w:p w14:paraId="2031EEC8">
      <w:pPr>
        <w:snapToGrid w:val="0"/>
        <w:spacing w:line="500" w:lineRule="exact"/>
        <w:outlineLvl w:val="1"/>
        <w:rPr>
          <w:rFonts w:hint="eastAsia" w:ascii="宋体" w:hAnsi="宋体" w:eastAsia="宋体" w:cs="宋体"/>
          <w:b/>
          <w:sz w:val="24"/>
          <w:szCs w:val="24"/>
        </w:rPr>
      </w:pPr>
      <w:bookmarkStart w:id="679" w:name="_Toc27039_WPSOffice_Level2"/>
      <w:bookmarkStart w:id="680" w:name="_Toc31510"/>
      <w:bookmarkStart w:id="681" w:name="_Toc19472"/>
      <w:bookmarkStart w:id="682" w:name="_Toc29363_WPSOffice_Level2"/>
      <w:r>
        <w:rPr>
          <w:rFonts w:hint="eastAsia" w:ascii="宋体" w:hAnsi="宋体" w:eastAsia="宋体" w:cs="宋体"/>
          <w:b/>
          <w:sz w:val="24"/>
          <w:szCs w:val="24"/>
        </w:rPr>
        <w:t>9．合同生效</w:t>
      </w:r>
      <w:bookmarkEnd w:id="679"/>
      <w:bookmarkEnd w:id="680"/>
      <w:bookmarkEnd w:id="681"/>
      <w:bookmarkEnd w:id="682"/>
    </w:p>
    <w:p w14:paraId="355DEEEC">
      <w:pPr>
        <w:snapToGrid w:val="0"/>
        <w:spacing w:line="500" w:lineRule="exact"/>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0A8B1DB2">
      <w:pPr>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7BD9105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F6BA312">
      <w:pPr>
        <w:spacing w:line="360" w:lineRule="auto"/>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2C7E90FD">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74088400">
      <w:pPr>
        <w:spacing w:line="360" w:lineRule="auto"/>
        <w:rPr>
          <w:rFonts w:hint="eastAsia" w:ascii="宋体" w:hAnsi="宋体" w:eastAsia="宋体" w:cs="宋体"/>
          <w:sz w:val="24"/>
          <w:szCs w:val="24"/>
        </w:rPr>
      </w:pPr>
      <w:r>
        <w:rPr>
          <w:rFonts w:hint="eastAsia" w:ascii="宋体" w:hAnsi="宋体" w:eastAsia="宋体" w:cs="宋体"/>
          <w:sz w:val="24"/>
          <w:szCs w:val="24"/>
        </w:rPr>
        <w:t>邮政编码：                                       邮政编码：</w:t>
      </w:r>
    </w:p>
    <w:p w14:paraId="0986DE8E">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061CA571">
      <w:pPr>
        <w:spacing w:line="360" w:lineRule="auto"/>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2CB43409">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6E8FFE4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帐号：                                           帐号：                                            </w:t>
      </w:r>
    </w:p>
    <w:p w14:paraId="20559E8A">
      <w:pPr>
        <w:spacing w:line="360" w:lineRule="auto"/>
        <w:rPr>
          <w:rFonts w:hint="eastAsia" w:ascii="宋体" w:hAnsi="宋体" w:eastAsia="宋体" w:cs="宋体"/>
          <w:sz w:val="24"/>
          <w:szCs w:val="24"/>
        </w:rPr>
        <w:sectPr>
          <w:pgSz w:w="11900" w:h="16838"/>
          <w:pgMar w:top="1440" w:right="1406" w:bottom="650" w:left="1440" w:header="0" w:footer="0" w:gutter="0"/>
          <w:pgNumType w:fmt="decimal"/>
          <w:cols w:space="720" w:num="1"/>
        </w:sectPr>
      </w:pPr>
      <w:r>
        <w:rPr>
          <w:rFonts w:hint="eastAsia" w:ascii="宋体" w:hAnsi="宋体" w:eastAsia="宋体" w:cs="宋体"/>
          <w:sz w:val="24"/>
          <w:szCs w:val="24"/>
        </w:rPr>
        <w:t>签订时间：                                       签订时间：</w:t>
      </w:r>
      <w:bookmarkEnd w:id="637"/>
    </w:p>
    <w:p w14:paraId="0E6B2091">
      <w:pPr>
        <w:pStyle w:val="49"/>
        <w:spacing w:line="360" w:lineRule="auto"/>
        <w:ind w:firstLine="480"/>
        <w:rPr>
          <w:rFonts w:ascii="宋体" w:hAnsi="宋体" w:cs="宋体"/>
          <w:sz w:val="24"/>
          <w:szCs w:val="24"/>
        </w:rPr>
      </w:pPr>
    </w:p>
    <w:p w14:paraId="792A008D">
      <w:pPr>
        <w:pStyle w:val="2"/>
        <w:bidi w:val="0"/>
      </w:pPr>
      <w:bookmarkStart w:id="683" w:name="_Toc16598"/>
      <w:bookmarkStart w:id="684" w:name="_Toc12613"/>
      <w:bookmarkStart w:id="685" w:name="_Toc19164"/>
      <w:bookmarkStart w:id="686" w:name="_Toc26080"/>
      <w:bookmarkStart w:id="687" w:name="_Toc30112_WPSOffice_Level1"/>
      <w:bookmarkStart w:id="688" w:name="_Toc32190"/>
      <w:r>
        <w:rPr>
          <w:rFonts w:hint="eastAsia"/>
        </w:rPr>
        <w:t>第六章  投标文件格式</w:t>
      </w:r>
      <w:bookmarkEnd w:id="683"/>
      <w:bookmarkEnd w:id="684"/>
      <w:bookmarkEnd w:id="685"/>
      <w:bookmarkEnd w:id="686"/>
      <w:bookmarkEnd w:id="687"/>
      <w:bookmarkEnd w:id="688"/>
    </w:p>
    <w:p w14:paraId="165F4350">
      <w:pPr>
        <w:pStyle w:val="13"/>
        <w:spacing w:beforeLines="100" w:afterLines="100" w:line="600" w:lineRule="exact"/>
        <w:jc w:val="center"/>
        <w:rPr>
          <w:rFonts w:hAnsi="宋体" w:cs="宋体"/>
          <w:b/>
          <w:sz w:val="52"/>
          <w:szCs w:val="52"/>
        </w:rPr>
      </w:pPr>
    </w:p>
    <w:p w14:paraId="5935A1FF">
      <w:pPr>
        <w:pStyle w:val="13"/>
        <w:spacing w:beforeLines="100" w:afterLines="100" w:line="600" w:lineRule="exact"/>
        <w:jc w:val="center"/>
        <w:outlineLvl w:val="0"/>
        <w:rPr>
          <w:rFonts w:hint="eastAsia" w:hAnsi="宋体" w:eastAsia="宋体" w:cs="宋体"/>
          <w:b/>
          <w:sz w:val="44"/>
          <w:szCs w:val="44"/>
          <w:u w:val="single"/>
          <w:lang w:val="en-US" w:eastAsia="zh-CN"/>
        </w:rPr>
      </w:pPr>
      <w:r>
        <w:rPr>
          <w:rFonts w:hint="eastAsia" w:hAnsi="宋体" w:cs="宋体"/>
          <w:b/>
          <w:sz w:val="44"/>
          <w:szCs w:val="44"/>
          <w:u w:val="single"/>
        </w:rPr>
        <w:t xml:space="preserve">                    </w:t>
      </w:r>
      <w:r>
        <w:rPr>
          <w:rFonts w:hint="eastAsia" w:hAnsi="宋体" w:cs="宋体"/>
          <w:b/>
          <w:sz w:val="44"/>
          <w:szCs w:val="44"/>
          <w:lang w:eastAsia="zh-CN"/>
        </w:rPr>
        <w:t>（</w:t>
      </w:r>
      <w:r>
        <w:rPr>
          <w:rFonts w:hint="eastAsia" w:hAnsi="宋体" w:cs="宋体"/>
          <w:b/>
          <w:sz w:val="44"/>
          <w:szCs w:val="44"/>
          <w:lang w:val="en-US" w:eastAsia="zh-CN"/>
        </w:rPr>
        <w:t>项目名称</w:t>
      </w:r>
      <w:r>
        <w:rPr>
          <w:rFonts w:hint="eastAsia" w:hAnsi="宋体" w:cs="宋体"/>
          <w:b/>
          <w:sz w:val="44"/>
          <w:szCs w:val="44"/>
          <w:lang w:eastAsia="zh-CN"/>
        </w:rPr>
        <w:t>）</w:t>
      </w:r>
    </w:p>
    <w:p w14:paraId="0ED24460">
      <w:pPr>
        <w:pStyle w:val="13"/>
        <w:spacing w:beforeLines="100" w:afterLines="100"/>
        <w:jc w:val="center"/>
        <w:outlineLvl w:val="0"/>
        <w:rPr>
          <w:rFonts w:hAnsi="宋体" w:cs="宋体"/>
          <w:b/>
          <w:bCs/>
          <w:sz w:val="48"/>
          <w:szCs w:val="48"/>
        </w:rPr>
      </w:pPr>
      <w:bookmarkStart w:id="689" w:name="_Toc25978_WPSOffice_Level1"/>
      <w:bookmarkStart w:id="690" w:name="_Toc27141"/>
      <w:bookmarkStart w:id="691" w:name="_Toc14724"/>
      <w:bookmarkStart w:id="692" w:name="_Toc18960_WPSOffice_Level1"/>
      <w:r>
        <w:rPr>
          <w:rFonts w:hint="eastAsia" w:hAnsi="宋体" w:cs="宋体"/>
          <w:b/>
          <w:bCs/>
          <w:sz w:val="48"/>
          <w:szCs w:val="48"/>
        </w:rPr>
        <w:t>投标文件</w:t>
      </w:r>
      <w:bookmarkEnd w:id="689"/>
      <w:bookmarkEnd w:id="690"/>
      <w:bookmarkEnd w:id="691"/>
      <w:bookmarkEnd w:id="692"/>
    </w:p>
    <w:p w14:paraId="42821425">
      <w:pPr>
        <w:spacing w:line="360" w:lineRule="auto"/>
        <w:ind w:left="-420" w:leftChars="-200" w:firstLine="3360" w:firstLineChars="1200"/>
        <w:rPr>
          <w:rFonts w:ascii="宋体" w:hAnsi="宋体" w:cs="宋体"/>
          <w:b/>
          <w:bCs/>
          <w:color w:val="FF0000"/>
          <w:sz w:val="28"/>
          <w:szCs w:val="28"/>
        </w:rPr>
      </w:pPr>
    </w:p>
    <w:p w14:paraId="2B434A64">
      <w:pPr>
        <w:spacing w:line="360" w:lineRule="auto"/>
        <w:ind w:left="-420" w:leftChars="-200" w:firstLine="2700" w:firstLineChars="900"/>
        <w:outlineLvl w:val="0"/>
        <w:rPr>
          <w:rFonts w:ascii="宋体" w:hAnsi="宋体" w:cs="宋体"/>
          <w:b/>
          <w:sz w:val="30"/>
          <w:szCs w:val="30"/>
        </w:rPr>
      </w:pPr>
      <w:bookmarkStart w:id="693" w:name="_Toc7574"/>
      <w:bookmarkStart w:id="694" w:name="_Toc7558"/>
      <w:r>
        <w:rPr>
          <w:rFonts w:hint="eastAsia" w:ascii="宋体" w:hAnsi="宋体" w:cs="宋体"/>
          <w:b/>
          <w:sz w:val="30"/>
          <w:szCs w:val="30"/>
        </w:rPr>
        <w:t>采购编号：</w:t>
      </w:r>
      <w:bookmarkEnd w:id="693"/>
      <w:bookmarkEnd w:id="694"/>
    </w:p>
    <w:p w14:paraId="16F1AD16">
      <w:pPr>
        <w:pStyle w:val="13"/>
        <w:spacing w:beforeLines="100" w:afterLines="100" w:line="600" w:lineRule="exact"/>
        <w:jc w:val="center"/>
        <w:rPr>
          <w:rFonts w:hAnsi="宋体" w:cs="宋体"/>
          <w:b/>
          <w:bCs/>
          <w:sz w:val="32"/>
          <w:u w:val="single"/>
        </w:rPr>
      </w:pPr>
    </w:p>
    <w:p w14:paraId="72268D12">
      <w:pPr>
        <w:pStyle w:val="13"/>
        <w:spacing w:beforeLines="100" w:afterLines="100" w:line="600" w:lineRule="exact"/>
        <w:rPr>
          <w:rFonts w:hAnsi="宋体" w:cs="宋体"/>
          <w:b/>
          <w:bCs/>
          <w:sz w:val="32"/>
          <w:u w:val="single"/>
        </w:rPr>
      </w:pPr>
    </w:p>
    <w:p w14:paraId="2CD971D4">
      <w:pPr>
        <w:pStyle w:val="13"/>
        <w:spacing w:beforeLines="100" w:afterLines="100" w:line="600" w:lineRule="exact"/>
        <w:rPr>
          <w:rFonts w:hAnsi="宋体" w:cs="宋体"/>
          <w:b/>
          <w:bCs/>
          <w:sz w:val="32"/>
          <w:u w:val="single"/>
        </w:rPr>
      </w:pPr>
    </w:p>
    <w:p w14:paraId="2461B6AE">
      <w:pPr>
        <w:pStyle w:val="13"/>
        <w:spacing w:beforeLines="100" w:afterLines="100" w:line="600" w:lineRule="exact"/>
        <w:rPr>
          <w:rFonts w:hAnsi="宋体" w:cs="宋体"/>
          <w:b/>
          <w:bCs/>
          <w:sz w:val="32"/>
          <w:u w:val="single"/>
        </w:rPr>
      </w:pPr>
    </w:p>
    <w:p w14:paraId="4FD2CCED">
      <w:pPr>
        <w:pStyle w:val="13"/>
        <w:spacing w:beforeLines="100" w:afterLines="100" w:line="600" w:lineRule="exact"/>
        <w:jc w:val="center"/>
        <w:rPr>
          <w:rFonts w:hAnsi="宋体" w:cs="宋体"/>
          <w:b/>
          <w:bCs/>
          <w:sz w:val="32"/>
          <w:u w:val="single"/>
        </w:rPr>
      </w:pPr>
    </w:p>
    <w:p w14:paraId="4EC4557F">
      <w:pPr>
        <w:pStyle w:val="13"/>
        <w:spacing w:beforeLines="100" w:afterLines="100" w:line="600" w:lineRule="exact"/>
        <w:jc w:val="center"/>
        <w:outlineLvl w:val="0"/>
        <w:rPr>
          <w:rFonts w:hAnsi="宋体" w:cs="宋体"/>
          <w:b/>
          <w:bCs/>
          <w:sz w:val="32"/>
          <w:u w:val="single"/>
        </w:rPr>
      </w:pPr>
      <w:bookmarkStart w:id="695" w:name="_Toc25852"/>
      <w:bookmarkStart w:id="696" w:name="_Toc17592"/>
      <w:bookmarkStart w:id="697" w:name="_Toc27732_WPSOffice_Level1"/>
      <w:bookmarkStart w:id="698" w:name="_Toc23525"/>
      <w:bookmarkStart w:id="699" w:name="_Toc25373_WPSOffice_Level1"/>
      <w:bookmarkStart w:id="700" w:name="_Toc7822"/>
      <w:r>
        <w:rPr>
          <w:rFonts w:hint="eastAsia" w:hAnsi="宋体" w:cs="宋体"/>
          <w:b/>
          <w:bCs/>
          <w:sz w:val="32"/>
        </w:rPr>
        <w:t>供 应 商：</w:t>
      </w:r>
      <w:r>
        <w:rPr>
          <w:rFonts w:hint="eastAsia" w:hAnsi="宋体" w:cs="宋体"/>
          <w:b/>
          <w:bCs/>
          <w:sz w:val="32"/>
          <w:u w:val="single"/>
        </w:rPr>
        <w:t xml:space="preserve">                          </w:t>
      </w:r>
      <w:r>
        <w:rPr>
          <w:rFonts w:hint="eastAsia" w:hAnsi="宋体" w:cs="宋体"/>
          <w:b/>
          <w:bCs/>
          <w:sz w:val="32"/>
        </w:rPr>
        <w:t>（盖单位章）</w:t>
      </w:r>
      <w:bookmarkEnd w:id="695"/>
      <w:bookmarkEnd w:id="696"/>
      <w:bookmarkEnd w:id="697"/>
      <w:bookmarkEnd w:id="698"/>
      <w:bookmarkEnd w:id="699"/>
      <w:bookmarkEnd w:id="700"/>
    </w:p>
    <w:p w14:paraId="520AC571">
      <w:pPr>
        <w:pStyle w:val="13"/>
        <w:spacing w:beforeLines="100" w:afterLines="100" w:line="600" w:lineRule="exact"/>
        <w:ind w:firstLine="594" w:firstLineChars="198"/>
        <w:outlineLvl w:val="0"/>
        <w:rPr>
          <w:rFonts w:hAnsi="宋体" w:cs="宋体"/>
          <w:b/>
          <w:bCs/>
          <w:sz w:val="30"/>
          <w:szCs w:val="30"/>
        </w:rPr>
      </w:pPr>
      <w:bookmarkStart w:id="701" w:name="_Toc5581_WPSOffice_Level2"/>
      <w:bookmarkStart w:id="702" w:name="_Toc25487"/>
      <w:bookmarkStart w:id="703" w:name="_Toc12341"/>
      <w:bookmarkStart w:id="704" w:name="_Toc13305_WPSOffice_Level2"/>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bookmarkEnd w:id="701"/>
      <w:bookmarkEnd w:id="702"/>
      <w:bookmarkEnd w:id="703"/>
      <w:bookmarkEnd w:id="704"/>
    </w:p>
    <w:p w14:paraId="538F9538">
      <w:pPr>
        <w:pStyle w:val="11"/>
        <w:spacing w:line="500" w:lineRule="exact"/>
        <w:ind w:left="0" w:leftChars="0" w:firstLine="2121" w:firstLineChars="707"/>
        <w:outlineLvl w:val="0"/>
        <w:rPr>
          <w:rFonts w:ascii="宋体" w:hAnsi="宋体" w:cs="宋体"/>
          <w:b/>
          <w:bCs/>
          <w:sz w:val="30"/>
          <w:szCs w:val="30"/>
        </w:rPr>
      </w:pPr>
      <w:bookmarkStart w:id="705" w:name="_Toc3712"/>
      <w:bookmarkStart w:id="706" w:name="_Toc26936_WPSOffice_Level2"/>
      <w:bookmarkStart w:id="707" w:name="_Toc6129"/>
      <w:bookmarkStart w:id="708" w:name="_Toc13875_WPSOffice_Level2"/>
      <w:r>
        <w:rPr>
          <w:rFonts w:hint="eastAsia" w:ascii="宋体" w:hAnsi="宋体" w:cs="宋体"/>
          <w:b/>
          <w:bCs/>
          <w:sz w:val="30"/>
          <w:szCs w:val="30"/>
        </w:rPr>
        <w:t>日      期：       年    月    日</w:t>
      </w:r>
      <w:bookmarkEnd w:id="705"/>
      <w:bookmarkEnd w:id="706"/>
      <w:bookmarkEnd w:id="707"/>
      <w:bookmarkEnd w:id="708"/>
    </w:p>
    <w:p w14:paraId="2A1BAF75">
      <w:pPr>
        <w:pStyle w:val="11"/>
        <w:spacing w:line="500" w:lineRule="exact"/>
        <w:ind w:left="0" w:leftChars="0" w:firstLine="2121" w:firstLineChars="707"/>
        <w:outlineLvl w:val="0"/>
        <w:rPr>
          <w:rFonts w:ascii="宋体" w:hAnsi="宋体" w:cs="宋体"/>
          <w:b/>
          <w:bCs/>
          <w:sz w:val="30"/>
          <w:szCs w:val="30"/>
        </w:rPr>
      </w:pPr>
    </w:p>
    <w:p w14:paraId="72383CA6">
      <w:pPr>
        <w:pStyle w:val="11"/>
        <w:spacing w:line="500" w:lineRule="exact"/>
        <w:ind w:left="0" w:leftChars="0" w:firstLine="2121" w:firstLineChars="707"/>
        <w:outlineLvl w:val="0"/>
        <w:rPr>
          <w:rFonts w:ascii="宋体" w:hAnsi="宋体" w:cs="宋体"/>
          <w:b/>
          <w:bCs/>
          <w:sz w:val="30"/>
          <w:szCs w:val="30"/>
        </w:rPr>
      </w:pPr>
    </w:p>
    <w:p w14:paraId="4204CB4D">
      <w:pPr>
        <w:pStyle w:val="11"/>
        <w:spacing w:line="500" w:lineRule="exact"/>
        <w:ind w:left="0" w:leftChars="0" w:firstLine="2121" w:firstLineChars="707"/>
        <w:outlineLvl w:val="0"/>
        <w:rPr>
          <w:rFonts w:ascii="宋体" w:hAnsi="宋体" w:cs="宋体"/>
          <w:b/>
          <w:bCs/>
          <w:sz w:val="30"/>
          <w:szCs w:val="30"/>
        </w:rPr>
      </w:pPr>
    </w:p>
    <w:p w14:paraId="01A6684E">
      <w:pPr>
        <w:pStyle w:val="11"/>
        <w:spacing w:line="500" w:lineRule="exact"/>
        <w:ind w:left="0" w:leftChars="0" w:firstLine="3021" w:firstLineChars="1007"/>
        <w:outlineLvl w:val="0"/>
        <w:rPr>
          <w:rFonts w:ascii="宋体" w:hAnsi="宋体" w:cs="宋体"/>
          <w:b/>
          <w:bCs/>
          <w:sz w:val="30"/>
          <w:szCs w:val="30"/>
        </w:rPr>
      </w:pPr>
      <w:bookmarkStart w:id="709" w:name="_Toc458"/>
      <w:r>
        <w:rPr>
          <w:rFonts w:hint="eastAsia" w:ascii="宋体" w:hAnsi="宋体" w:cs="宋体"/>
          <w:b/>
          <w:bCs/>
          <w:sz w:val="30"/>
          <w:szCs w:val="30"/>
        </w:rPr>
        <w:t>目录（格式自拟）</w:t>
      </w:r>
      <w:bookmarkEnd w:id="709"/>
    </w:p>
    <w:p w14:paraId="7C7A3BA3">
      <w:pPr>
        <w:pStyle w:val="11"/>
        <w:spacing w:line="500" w:lineRule="exact"/>
        <w:ind w:left="0" w:leftChars="0" w:firstLine="2121" w:firstLineChars="707"/>
        <w:outlineLvl w:val="0"/>
        <w:rPr>
          <w:rFonts w:ascii="宋体" w:hAnsi="宋体" w:cs="宋体"/>
          <w:b/>
          <w:bCs/>
          <w:sz w:val="30"/>
          <w:szCs w:val="30"/>
        </w:rPr>
      </w:pPr>
    </w:p>
    <w:p w14:paraId="71121B62">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71790C71">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5AA75294">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0B50E99">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6323375D">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五、设备技术性能偏离表</w:t>
      </w:r>
    </w:p>
    <w:p w14:paraId="0DF89CCC">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六、资格审查资料</w:t>
      </w:r>
    </w:p>
    <w:p w14:paraId="75175826">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七、技术部分</w:t>
      </w:r>
    </w:p>
    <w:p w14:paraId="539CEBBB">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八、商务部分</w:t>
      </w:r>
    </w:p>
    <w:p w14:paraId="3474B207">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7CC423FE">
      <w:pPr>
        <w:pStyle w:val="11"/>
        <w:spacing w:line="500" w:lineRule="exact"/>
        <w:outlineLvl w:val="0"/>
        <w:rPr>
          <w:rFonts w:hint="eastAsia" w:ascii="宋体" w:hAnsi="宋体" w:eastAsia="宋体" w:cs="宋体"/>
          <w:b/>
          <w:bCs/>
          <w:sz w:val="24"/>
          <w:szCs w:val="24"/>
        </w:rPr>
      </w:pPr>
      <w:bookmarkStart w:id="710" w:name="_Toc1387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十、其他资料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bookmarkEnd w:id="710"/>
    </w:p>
    <w:p w14:paraId="0D0C7FDD">
      <w:pPr>
        <w:pStyle w:val="11"/>
        <w:spacing w:line="500" w:lineRule="exact"/>
        <w:ind w:left="0" w:leftChars="0" w:firstLine="2121" w:firstLineChars="707"/>
        <w:outlineLvl w:val="0"/>
        <w:rPr>
          <w:rFonts w:ascii="宋体" w:hAnsi="宋体" w:cs="宋体"/>
          <w:b/>
          <w:bCs/>
          <w:sz w:val="30"/>
          <w:szCs w:val="30"/>
        </w:rPr>
      </w:pPr>
    </w:p>
    <w:p w14:paraId="2E21EA3F">
      <w:pPr>
        <w:pStyle w:val="11"/>
        <w:spacing w:line="500" w:lineRule="exact"/>
        <w:ind w:left="0" w:leftChars="0" w:firstLine="2121" w:firstLineChars="707"/>
        <w:outlineLvl w:val="0"/>
        <w:rPr>
          <w:rFonts w:ascii="宋体" w:hAnsi="宋体" w:cs="宋体"/>
          <w:b/>
          <w:bCs/>
          <w:sz w:val="30"/>
          <w:szCs w:val="30"/>
        </w:rPr>
      </w:pPr>
    </w:p>
    <w:p w14:paraId="2F59FBB8">
      <w:pPr>
        <w:pStyle w:val="11"/>
        <w:spacing w:line="500" w:lineRule="exact"/>
        <w:ind w:left="0" w:leftChars="0" w:firstLine="2121" w:firstLineChars="707"/>
        <w:outlineLvl w:val="0"/>
        <w:rPr>
          <w:rFonts w:ascii="宋体" w:hAnsi="宋体" w:cs="宋体"/>
          <w:b/>
          <w:bCs/>
          <w:sz w:val="30"/>
          <w:szCs w:val="30"/>
        </w:rPr>
      </w:pPr>
    </w:p>
    <w:p w14:paraId="1B6C6EDC">
      <w:pPr>
        <w:pStyle w:val="11"/>
        <w:spacing w:line="500" w:lineRule="exact"/>
        <w:ind w:left="0" w:leftChars="0" w:firstLine="2121" w:firstLineChars="707"/>
        <w:outlineLvl w:val="0"/>
        <w:rPr>
          <w:rFonts w:ascii="宋体" w:hAnsi="宋体" w:cs="宋体"/>
          <w:b/>
          <w:bCs/>
          <w:sz w:val="30"/>
          <w:szCs w:val="30"/>
        </w:rPr>
      </w:pPr>
    </w:p>
    <w:p w14:paraId="73812892">
      <w:pPr>
        <w:pStyle w:val="11"/>
        <w:spacing w:line="500" w:lineRule="exact"/>
        <w:ind w:left="0" w:leftChars="0" w:firstLine="2121" w:firstLineChars="707"/>
        <w:outlineLvl w:val="0"/>
        <w:rPr>
          <w:rFonts w:ascii="宋体" w:hAnsi="宋体" w:cs="宋体"/>
          <w:b/>
          <w:bCs/>
          <w:sz w:val="30"/>
          <w:szCs w:val="30"/>
        </w:rPr>
      </w:pPr>
    </w:p>
    <w:p w14:paraId="6CB0E8C9">
      <w:pPr>
        <w:pStyle w:val="11"/>
        <w:spacing w:line="500" w:lineRule="exact"/>
        <w:ind w:left="0" w:leftChars="0" w:firstLine="2121" w:firstLineChars="707"/>
        <w:outlineLvl w:val="0"/>
        <w:rPr>
          <w:rFonts w:ascii="宋体" w:hAnsi="宋体" w:cs="宋体"/>
          <w:b/>
          <w:bCs/>
          <w:sz w:val="30"/>
          <w:szCs w:val="30"/>
        </w:rPr>
      </w:pPr>
    </w:p>
    <w:p w14:paraId="2326730F">
      <w:pPr>
        <w:pStyle w:val="11"/>
        <w:spacing w:line="500" w:lineRule="exact"/>
        <w:ind w:left="0" w:leftChars="0" w:firstLine="2121" w:firstLineChars="707"/>
        <w:outlineLvl w:val="0"/>
        <w:rPr>
          <w:rFonts w:ascii="宋体" w:hAnsi="宋体" w:cs="宋体"/>
          <w:b/>
          <w:bCs/>
          <w:sz w:val="30"/>
          <w:szCs w:val="30"/>
        </w:rPr>
      </w:pPr>
    </w:p>
    <w:p w14:paraId="4A8C32DB">
      <w:pPr>
        <w:pStyle w:val="11"/>
        <w:spacing w:line="500" w:lineRule="exact"/>
        <w:ind w:left="0" w:leftChars="0" w:firstLine="2121" w:firstLineChars="707"/>
        <w:outlineLvl w:val="0"/>
        <w:rPr>
          <w:rFonts w:ascii="宋体" w:hAnsi="宋体" w:cs="宋体"/>
          <w:b/>
          <w:bCs/>
          <w:sz w:val="30"/>
          <w:szCs w:val="30"/>
        </w:rPr>
      </w:pPr>
    </w:p>
    <w:p w14:paraId="0E010474">
      <w:pPr>
        <w:pStyle w:val="11"/>
        <w:spacing w:line="500" w:lineRule="exact"/>
        <w:ind w:left="0" w:leftChars="0" w:firstLine="2121" w:firstLineChars="707"/>
        <w:outlineLvl w:val="0"/>
        <w:rPr>
          <w:rFonts w:ascii="宋体" w:hAnsi="宋体" w:cs="宋体"/>
          <w:b/>
          <w:bCs/>
          <w:sz w:val="30"/>
          <w:szCs w:val="30"/>
        </w:rPr>
      </w:pPr>
    </w:p>
    <w:p w14:paraId="314E2A47">
      <w:pPr>
        <w:pStyle w:val="11"/>
        <w:spacing w:line="500" w:lineRule="exact"/>
        <w:ind w:left="0" w:leftChars="0" w:firstLine="2121" w:firstLineChars="707"/>
        <w:outlineLvl w:val="0"/>
        <w:rPr>
          <w:rFonts w:ascii="宋体" w:hAnsi="宋体" w:cs="宋体"/>
          <w:b/>
          <w:bCs/>
          <w:sz w:val="30"/>
          <w:szCs w:val="30"/>
        </w:rPr>
      </w:pPr>
    </w:p>
    <w:p w14:paraId="2A45FCF3">
      <w:pPr>
        <w:pStyle w:val="11"/>
        <w:spacing w:line="500" w:lineRule="exact"/>
        <w:ind w:left="0" w:leftChars="0" w:firstLine="2121" w:firstLineChars="707"/>
        <w:outlineLvl w:val="0"/>
        <w:rPr>
          <w:rFonts w:ascii="宋体" w:hAnsi="宋体" w:cs="宋体"/>
          <w:b/>
          <w:bCs/>
          <w:sz w:val="30"/>
          <w:szCs w:val="30"/>
        </w:rPr>
      </w:pPr>
    </w:p>
    <w:p w14:paraId="043B0FF3">
      <w:pPr>
        <w:pStyle w:val="11"/>
        <w:spacing w:line="500" w:lineRule="exact"/>
        <w:ind w:left="0" w:leftChars="0" w:firstLine="2121" w:firstLineChars="707"/>
        <w:outlineLvl w:val="0"/>
        <w:rPr>
          <w:rFonts w:ascii="宋体" w:hAnsi="宋体" w:cs="宋体"/>
          <w:b/>
          <w:bCs/>
          <w:sz w:val="30"/>
          <w:szCs w:val="30"/>
        </w:rPr>
      </w:pPr>
    </w:p>
    <w:p w14:paraId="63424197">
      <w:pPr>
        <w:pStyle w:val="11"/>
        <w:spacing w:line="500" w:lineRule="exact"/>
        <w:ind w:left="0" w:leftChars="0" w:firstLine="2121" w:firstLineChars="707"/>
        <w:outlineLvl w:val="0"/>
        <w:rPr>
          <w:rFonts w:ascii="宋体" w:hAnsi="宋体" w:cs="宋体"/>
          <w:b/>
          <w:bCs/>
          <w:sz w:val="30"/>
          <w:szCs w:val="30"/>
        </w:rPr>
      </w:pPr>
    </w:p>
    <w:p w14:paraId="28CCC488">
      <w:pPr>
        <w:pStyle w:val="11"/>
        <w:spacing w:line="500" w:lineRule="exact"/>
        <w:ind w:left="0" w:leftChars="0" w:firstLine="2121" w:firstLineChars="707"/>
        <w:outlineLvl w:val="0"/>
        <w:rPr>
          <w:rFonts w:ascii="宋体" w:hAnsi="宋体" w:cs="宋体"/>
          <w:b/>
          <w:bCs/>
          <w:sz w:val="30"/>
          <w:szCs w:val="30"/>
        </w:rPr>
      </w:pPr>
    </w:p>
    <w:p w14:paraId="7D9EAA97">
      <w:pPr>
        <w:pStyle w:val="11"/>
        <w:spacing w:line="500" w:lineRule="exact"/>
        <w:ind w:left="0" w:leftChars="0" w:firstLine="2121" w:firstLineChars="707"/>
        <w:outlineLvl w:val="0"/>
        <w:rPr>
          <w:rFonts w:ascii="宋体" w:hAnsi="宋体" w:cs="宋体"/>
          <w:b/>
          <w:bCs/>
          <w:sz w:val="30"/>
          <w:szCs w:val="30"/>
        </w:rPr>
      </w:pPr>
    </w:p>
    <w:p w14:paraId="27D2613B">
      <w:pPr>
        <w:pStyle w:val="11"/>
        <w:spacing w:line="500" w:lineRule="exact"/>
        <w:ind w:left="0" w:leftChars="0" w:firstLine="2121" w:firstLineChars="707"/>
        <w:outlineLvl w:val="0"/>
        <w:rPr>
          <w:rFonts w:ascii="宋体" w:hAnsi="宋体" w:cs="宋体"/>
          <w:b/>
          <w:bCs/>
          <w:sz w:val="30"/>
          <w:szCs w:val="30"/>
        </w:rPr>
      </w:pPr>
    </w:p>
    <w:p w14:paraId="61BAC34B">
      <w:pPr>
        <w:pStyle w:val="11"/>
        <w:spacing w:line="500" w:lineRule="exact"/>
        <w:ind w:left="0" w:leftChars="0" w:firstLine="2121" w:firstLineChars="707"/>
        <w:outlineLvl w:val="0"/>
        <w:rPr>
          <w:rFonts w:ascii="宋体" w:hAnsi="宋体" w:cs="宋体"/>
          <w:b/>
          <w:bCs/>
          <w:sz w:val="30"/>
          <w:szCs w:val="30"/>
        </w:rPr>
      </w:pPr>
    </w:p>
    <w:p w14:paraId="49AF6A39">
      <w:pPr>
        <w:rPr>
          <w:rFonts w:ascii="宋体" w:hAnsi="宋体" w:cs="宋体"/>
          <w:bCs/>
          <w:szCs w:val="21"/>
          <w:lang w:val="zh-CN"/>
        </w:rPr>
      </w:pPr>
      <w:bookmarkStart w:id="711" w:name="_Toc8403"/>
      <w:bookmarkStart w:id="712" w:name="_Toc20146"/>
    </w:p>
    <w:p w14:paraId="59C4DCC1">
      <w:pPr>
        <w:pStyle w:val="3"/>
        <w:numPr>
          <w:ilvl w:val="0"/>
          <w:numId w:val="16"/>
        </w:numPr>
        <w:wordWrap w:val="0"/>
        <w:topLinePunct/>
        <w:spacing w:before="0" w:after="0" w:line="360" w:lineRule="auto"/>
        <w:ind w:left="0" w:firstLine="0"/>
        <w:rPr>
          <w:rFonts w:ascii="宋体" w:hAnsi="宋体" w:eastAsia="宋体" w:cs="宋体"/>
          <w:b w:val="0"/>
          <w:szCs w:val="32"/>
        </w:rPr>
      </w:pPr>
      <w:bookmarkStart w:id="713" w:name="_Toc29363_WPSOffice_Level1"/>
      <w:bookmarkStart w:id="714" w:name="_Toc2977"/>
      <w:bookmarkStart w:id="715" w:name="_Toc27188"/>
      <w:bookmarkStart w:id="716" w:name="_Toc27323"/>
      <w:bookmarkStart w:id="717" w:name="_Toc28236"/>
      <w:r>
        <w:rPr>
          <w:rFonts w:hint="eastAsia" w:ascii="宋体" w:hAnsi="宋体" w:eastAsia="宋体" w:cs="宋体"/>
          <w:bCs/>
          <w:szCs w:val="32"/>
        </w:rPr>
        <w:t>投标</w:t>
      </w:r>
      <w:r>
        <w:rPr>
          <w:rFonts w:hint="eastAsia" w:ascii="宋体" w:hAnsi="宋体" w:eastAsia="宋体" w:cs="宋体"/>
          <w:bCs/>
          <w:szCs w:val="32"/>
          <w:lang w:val="zh-CN"/>
        </w:rPr>
        <w:t>函及</w:t>
      </w:r>
      <w:r>
        <w:rPr>
          <w:rFonts w:hint="eastAsia" w:ascii="宋体" w:hAnsi="宋体" w:eastAsia="宋体" w:cs="宋体"/>
          <w:bCs/>
          <w:szCs w:val="32"/>
        </w:rPr>
        <w:t>投标</w:t>
      </w:r>
      <w:r>
        <w:rPr>
          <w:rFonts w:hint="eastAsia" w:ascii="宋体" w:hAnsi="宋体" w:eastAsia="宋体" w:cs="宋体"/>
          <w:bCs/>
          <w:szCs w:val="32"/>
          <w:lang w:val="zh-CN"/>
        </w:rPr>
        <w:t>函附录</w:t>
      </w:r>
      <w:bookmarkEnd w:id="711"/>
      <w:bookmarkEnd w:id="712"/>
      <w:bookmarkEnd w:id="713"/>
      <w:bookmarkEnd w:id="714"/>
      <w:bookmarkEnd w:id="715"/>
      <w:bookmarkEnd w:id="716"/>
      <w:bookmarkEnd w:id="717"/>
    </w:p>
    <w:p w14:paraId="12584A5F">
      <w:pPr>
        <w:pStyle w:val="4"/>
        <w:jc w:val="center"/>
        <w:rPr>
          <w:rFonts w:cs="宋体"/>
          <w:sz w:val="28"/>
          <w:szCs w:val="28"/>
        </w:rPr>
      </w:pPr>
      <w:bookmarkStart w:id="718" w:name="_Toc27246"/>
      <w:bookmarkStart w:id="719" w:name="_Toc2192"/>
      <w:bookmarkStart w:id="720" w:name="_Toc13150100"/>
      <w:bookmarkStart w:id="721" w:name="_Toc26089"/>
      <w:bookmarkStart w:id="722" w:name="_Toc576"/>
      <w:bookmarkStart w:id="723" w:name="_Toc23950"/>
      <w:bookmarkStart w:id="724" w:name="_Toc6812"/>
      <w:bookmarkStart w:id="725" w:name="_Toc6773"/>
      <w:bookmarkStart w:id="726" w:name="_Toc14460_WPSOffice_Level2"/>
      <w:bookmarkStart w:id="727" w:name="_Toc5011"/>
      <w:bookmarkStart w:id="728" w:name="_Toc10629_WPSOffice_Level2"/>
      <w:bookmarkStart w:id="729" w:name="_Toc11974"/>
      <w:r>
        <w:rPr>
          <w:rFonts w:hint="eastAsia" w:cs="宋体"/>
          <w:sz w:val="28"/>
          <w:szCs w:val="28"/>
          <w:lang w:val="zh-CN"/>
        </w:rPr>
        <w:t>（一）</w:t>
      </w:r>
      <w:bookmarkEnd w:id="718"/>
      <w:bookmarkEnd w:id="719"/>
      <w:bookmarkEnd w:id="720"/>
      <w:bookmarkEnd w:id="721"/>
      <w:bookmarkEnd w:id="722"/>
      <w:bookmarkEnd w:id="723"/>
      <w:r>
        <w:rPr>
          <w:rFonts w:hint="eastAsia" w:cs="宋体"/>
          <w:sz w:val="28"/>
          <w:szCs w:val="28"/>
        </w:rPr>
        <w:t>投标函</w:t>
      </w:r>
      <w:bookmarkEnd w:id="724"/>
      <w:bookmarkEnd w:id="725"/>
      <w:bookmarkEnd w:id="726"/>
      <w:bookmarkEnd w:id="727"/>
      <w:bookmarkEnd w:id="728"/>
      <w:bookmarkEnd w:id="729"/>
    </w:p>
    <w:p w14:paraId="4AE6D88A">
      <w:pPr>
        <w:spacing w:line="44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w:t>
      </w:r>
    </w:p>
    <w:p w14:paraId="56C6D362">
      <w:pPr>
        <w:pStyle w:val="12"/>
        <w:widowControl/>
        <w:numPr>
          <w:ilvl w:val="0"/>
          <w:numId w:val="17"/>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 xml:space="preserve"> 我方已仔细研究了采购编号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（项目名称）采购项目招标文件的全部内容，愿意以人民币</w:t>
      </w:r>
      <w:r>
        <w:rPr>
          <w:rFonts w:hint="eastAsia" w:ascii="宋体" w:hAnsi="宋体" w:eastAsia="宋体" w:cs="宋体"/>
          <w:sz w:val="24"/>
          <w:szCs w:val="22"/>
          <w:u w:val="single"/>
        </w:rPr>
        <w:t xml:space="preserve">      </w:t>
      </w:r>
      <w:r>
        <w:rPr>
          <w:rFonts w:hint="eastAsia" w:ascii="宋体" w:hAnsi="宋体" w:eastAsia="宋体" w:cs="宋体"/>
          <w:sz w:val="24"/>
          <w:szCs w:val="22"/>
        </w:rPr>
        <w:t>（大写）（</w:t>
      </w:r>
      <w:r>
        <w:rPr>
          <w:rFonts w:hint="eastAsia" w:ascii="宋体" w:hAnsi="宋体" w:eastAsia="宋体" w:cs="宋体"/>
          <w:sz w:val="24"/>
          <w:szCs w:val="22"/>
          <w:u w:val="single"/>
        </w:rPr>
        <w:t xml:space="preserve">    </w:t>
      </w:r>
      <w:r>
        <w:rPr>
          <w:rFonts w:hint="eastAsia" w:ascii="宋体" w:hAnsi="宋体" w:eastAsia="宋体" w:cs="宋体"/>
          <w:sz w:val="24"/>
          <w:szCs w:val="22"/>
        </w:rPr>
        <w:t>）（小写）的投标报价，</w:t>
      </w:r>
      <w:r>
        <w:rPr>
          <w:rFonts w:hint="eastAsia" w:ascii="宋体" w:hAnsi="宋体" w:eastAsia="宋体" w:cs="宋体"/>
          <w:sz w:val="24"/>
          <w:szCs w:val="24"/>
        </w:rPr>
        <w:t>质量要求</w:t>
      </w:r>
      <w:r>
        <w:rPr>
          <w:rFonts w:hint="eastAsia" w:ascii="宋体" w:hAnsi="宋体" w:eastAsia="宋体" w:cs="宋体"/>
          <w:sz w:val="24"/>
          <w:szCs w:val="24"/>
          <w:u w:val="single"/>
        </w:rPr>
        <w:t xml:space="preserve">             </w:t>
      </w:r>
      <w:r>
        <w:rPr>
          <w:rFonts w:hint="eastAsia" w:ascii="宋体" w:hAnsi="宋体" w:eastAsia="宋体" w:cs="宋体"/>
          <w:sz w:val="24"/>
          <w:szCs w:val="24"/>
        </w:rPr>
        <w:t>，按合同约定完成全部工作。</w:t>
      </w:r>
    </w:p>
    <w:p w14:paraId="6C860D52">
      <w:pPr>
        <w:pStyle w:val="12"/>
        <w:widowControl/>
        <w:numPr>
          <w:ilvl w:val="0"/>
          <w:numId w:val="17"/>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如果我方成交，我方将按招标文件的规定签订并严格履行合同中的责任和义务，在签订合同时不向你方提出附加条件，在合同约定的期限内完成合同规定的全部内容。</w:t>
      </w:r>
    </w:p>
    <w:p w14:paraId="161E27C4">
      <w:pPr>
        <w:pStyle w:val="12"/>
        <w:widowControl/>
        <w:numPr>
          <w:ilvl w:val="0"/>
          <w:numId w:val="17"/>
        </w:numPr>
        <w:tabs>
          <w:tab w:val="left" w:pos="72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我方已详细审查全部招标文件，包括修改文件以及全部参考资料和有关附件。我们完全理解并同意放弃对这方面有不明及误解的权力。</w:t>
      </w:r>
    </w:p>
    <w:p w14:paraId="2B86DFBD">
      <w:pPr>
        <w:pStyle w:val="12"/>
        <w:widowControl/>
        <w:numPr>
          <w:ilvl w:val="0"/>
          <w:numId w:val="17"/>
        </w:numPr>
        <w:tabs>
          <w:tab w:val="left" w:pos="720"/>
          <w:tab w:val="clear" w:pos="420"/>
        </w:tabs>
        <w:wordWrap w:val="0"/>
        <w:topLinePunct/>
        <w:spacing w:before="100" w:beforeAutospacing="1" w:after="100" w:afterAutospacing="1" w:line="440" w:lineRule="exact"/>
        <w:ind w:hanging="60"/>
        <w:jc w:val="left"/>
        <w:rPr>
          <w:rFonts w:ascii="宋体" w:hAnsi="宋体" w:eastAsia="宋体" w:cs="宋体"/>
          <w:sz w:val="24"/>
          <w:szCs w:val="24"/>
        </w:rPr>
      </w:pPr>
      <w:r>
        <w:rPr>
          <w:rFonts w:hint="eastAsia" w:ascii="宋体" w:hAnsi="宋体" w:eastAsia="宋体" w:cs="宋体"/>
          <w:sz w:val="24"/>
          <w:szCs w:val="24"/>
        </w:rPr>
        <w:t>投标有效期为提交首次投标文件的截止之日起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p w14:paraId="3FEA87E1">
      <w:pPr>
        <w:pStyle w:val="12"/>
        <w:widowControl/>
        <w:numPr>
          <w:ilvl w:val="0"/>
          <w:numId w:val="17"/>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我方在此声明，所递交的投标文件及有关资料内容完整、真实和准确</w:t>
      </w:r>
    </w:p>
    <w:p w14:paraId="6A193CF3">
      <w:pPr>
        <w:pStyle w:val="12"/>
        <w:widowControl/>
        <w:numPr>
          <w:ilvl w:val="0"/>
          <w:numId w:val="17"/>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我方同意提供按照贵方可能要求的与其投标有关的一切数据或资料。</w:t>
      </w:r>
    </w:p>
    <w:p w14:paraId="4806B36A">
      <w:pPr>
        <w:spacing w:line="500" w:lineRule="exact"/>
        <w:rPr>
          <w:rFonts w:ascii="宋体" w:hAnsi="宋体" w:cs="宋体"/>
          <w:sz w:val="24"/>
          <w:szCs w:val="24"/>
        </w:rPr>
      </w:pPr>
    </w:p>
    <w:p w14:paraId="328AEB49">
      <w:pPr>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017D1A4D">
      <w:pPr>
        <w:spacing w:line="44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5F923E79">
      <w:pPr>
        <w:spacing w:line="440" w:lineRule="exact"/>
        <w:ind w:left="240" w:hanging="240" w:hangingChars="100"/>
        <w:rPr>
          <w:rFonts w:hint="eastAsia" w:ascii="宋体" w:hAnsi="宋体" w:cs="宋体"/>
          <w:sz w:val="24"/>
          <w:szCs w:val="24"/>
          <w:u w:val="single"/>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6285D752">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邮政编码：                               </w:t>
      </w:r>
    </w:p>
    <w:p w14:paraId="5D9B40E6">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电话：                                   </w:t>
      </w:r>
    </w:p>
    <w:p w14:paraId="6D8EFA68">
      <w:pPr>
        <w:spacing w:line="500" w:lineRule="exact"/>
        <w:ind w:firstLine="3840" w:firstLineChars="1600"/>
        <w:rPr>
          <w:rFonts w:hint="eastAsia" w:ascii="宋体" w:hAnsi="宋体" w:cs="宋体"/>
          <w:sz w:val="24"/>
          <w:szCs w:val="24"/>
        </w:rPr>
      </w:pPr>
      <w:r>
        <w:rPr>
          <w:rFonts w:hint="eastAsia" w:ascii="宋体" w:hAnsi="宋体" w:cs="宋体"/>
          <w:sz w:val="24"/>
          <w:szCs w:val="24"/>
        </w:rPr>
        <w:t>日期：     年     月      日</w:t>
      </w:r>
    </w:p>
    <w:p w14:paraId="37C970E1">
      <w:pPr>
        <w:rPr>
          <w:rFonts w:ascii="宋体" w:hAnsi="宋体" w:cs="宋体"/>
          <w:szCs w:val="21"/>
        </w:rPr>
      </w:pPr>
    </w:p>
    <w:p w14:paraId="0DC053CC">
      <w:pPr>
        <w:spacing w:afterLines="50" w:line="480" w:lineRule="exact"/>
        <w:rPr>
          <w:rFonts w:ascii="宋体" w:hAnsi="宋体" w:cs="宋体"/>
          <w:szCs w:val="21"/>
        </w:rPr>
        <w:sectPr>
          <w:footerReference r:id="rId8" w:type="default"/>
          <w:pgSz w:w="11907" w:h="16840"/>
          <w:pgMar w:top="1400" w:right="1418" w:bottom="1089" w:left="1418" w:header="624" w:footer="748" w:gutter="0"/>
          <w:pgNumType w:fmt="decimal"/>
          <w:cols w:space="720" w:num="1"/>
          <w:docGrid w:type="linesAndChars" w:linePitch="312" w:charSpace="0"/>
        </w:sectPr>
      </w:pPr>
    </w:p>
    <w:p w14:paraId="2187B7D2">
      <w:pPr>
        <w:pStyle w:val="4"/>
        <w:jc w:val="center"/>
        <w:rPr>
          <w:rFonts w:cs="宋体"/>
          <w:sz w:val="28"/>
          <w:szCs w:val="28"/>
          <w:lang w:val="zh-CN"/>
        </w:rPr>
      </w:pPr>
      <w:bookmarkStart w:id="730" w:name="_Toc20920"/>
      <w:bookmarkStart w:id="731" w:name="_Toc792"/>
      <w:bookmarkStart w:id="732" w:name="_Toc14371_WPSOffice_Level2"/>
      <w:bookmarkStart w:id="733" w:name="_Toc5690"/>
      <w:bookmarkStart w:id="734" w:name="_Toc16482"/>
      <w:bookmarkStart w:id="735" w:name="_Toc23230_WPSOffice_Level2"/>
      <w:bookmarkStart w:id="736" w:name="_Toc25337"/>
      <w:bookmarkStart w:id="737" w:name="_Toc3896"/>
      <w:bookmarkStart w:id="738" w:name="_Toc21386"/>
      <w:bookmarkStart w:id="739" w:name="_Toc27107"/>
      <w:bookmarkStart w:id="740" w:name="_Toc13150101"/>
      <w:bookmarkStart w:id="741" w:name="_Toc24833"/>
      <w:bookmarkStart w:id="742" w:name="_Toc7723"/>
      <w:bookmarkStart w:id="743" w:name="_Toc13989"/>
      <w:bookmarkStart w:id="744" w:name="_Toc21652"/>
      <w:r>
        <w:rPr>
          <w:rFonts w:hint="eastAsia" w:cs="宋体"/>
          <w:sz w:val="28"/>
          <w:szCs w:val="28"/>
          <w:lang w:val="zh-CN"/>
        </w:rPr>
        <w:t>（二）</w:t>
      </w:r>
      <w:r>
        <w:rPr>
          <w:rFonts w:hint="eastAsia" w:cs="宋体"/>
          <w:sz w:val="28"/>
          <w:szCs w:val="28"/>
        </w:rPr>
        <w:t>投标</w:t>
      </w:r>
      <w:r>
        <w:rPr>
          <w:rFonts w:hint="eastAsia" w:cs="宋体"/>
          <w:sz w:val="28"/>
          <w:szCs w:val="28"/>
          <w:lang w:val="zh-CN"/>
        </w:rPr>
        <w:t>函附录</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69"/>
      </w:tblGrid>
      <w:tr w14:paraId="45F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75F0E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rPr>
              <w:t>项目名称</w:t>
            </w:r>
          </w:p>
        </w:tc>
        <w:tc>
          <w:tcPr>
            <w:tcW w:w="6069" w:type="dxa"/>
            <w:tcBorders>
              <w:top w:val="single" w:color="auto" w:sz="4" w:space="0"/>
              <w:left w:val="single" w:color="auto" w:sz="4" w:space="0"/>
              <w:bottom w:val="single" w:color="auto" w:sz="4" w:space="0"/>
              <w:right w:val="single" w:color="auto" w:sz="4" w:space="0"/>
            </w:tcBorders>
            <w:vAlign w:val="center"/>
          </w:tcPr>
          <w:p w14:paraId="3B55126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094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B9FBF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供应商</w:t>
            </w:r>
          </w:p>
        </w:tc>
        <w:tc>
          <w:tcPr>
            <w:tcW w:w="6069" w:type="dxa"/>
            <w:tcBorders>
              <w:top w:val="single" w:color="auto" w:sz="4" w:space="0"/>
              <w:left w:val="single" w:color="auto" w:sz="4" w:space="0"/>
              <w:bottom w:val="single" w:color="auto" w:sz="4" w:space="0"/>
              <w:right w:val="single" w:color="auto" w:sz="4" w:space="0"/>
            </w:tcBorders>
            <w:vAlign w:val="center"/>
          </w:tcPr>
          <w:p w14:paraId="402ADD1C">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4F2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906EC5F">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采购编号</w:t>
            </w:r>
          </w:p>
        </w:tc>
        <w:tc>
          <w:tcPr>
            <w:tcW w:w="6069" w:type="dxa"/>
            <w:tcBorders>
              <w:top w:val="single" w:color="auto" w:sz="4" w:space="0"/>
              <w:left w:val="single" w:color="auto" w:sz="4" w:space="0"/>
              <w:bottom w:val="single" w:color="auto" w:sz="4" w:space="0"/>
              <w:right w:val="single" w:color="auto" w:sz="4" w:space="0"/>
            </w:tcBorders>
            <w:vAlign w:val="center"/>
          </w:tcPr>
          <w:p w14:paraId="31AEA9DE">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52AA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0E7D2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采购范围</w:t>
            </w:r>
          </w:p>
        </w:tc>
        <w:tc>
          <w:tcPr>
            <w:tcW w:w="6069" w:type="dxa"/>
            <w:tcBorders>
              <w:top w:val="single" w:color="auto" w:sz="4" w:space="0"/>
              <w:left w:val="single" w:color="auto" w:sz="4" w:space="0"/>
              <w:bottom w:val="single" w:color="auto" w:sz="4" w:space="0"/>
              <w:right w:val="single" w:color="auto" w:sz="4" w:space="0"/>
            </w:tcBorders>
            <w:vAlign w:val="center"/>
          </w:tcPr>
          <w:p w14:paraId="07A4E50B">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019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03F7238">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投标报价</w:t>
            </w:r>
          </w:p>
        </w:tc>
        <w:tc>
          <w:tcPr>
            <w:tcW w:w="6069" w:type="dxa"/>
            <w:tcBorders>
              <w:top w:val="single" w:color="auto" w:sz="4" w:space="0"/>
              <w:left w:val="single" w:color="auto" w:sz="4" w:space="0"/>
              <w:bottom w:val="single" w:color="auto" w:sz="4" w:space="0"/>
              <w:right w:val="single" w:color="auto" w:sz="4" w:space="0"/>
            </w:tcBorders>
            <w:vAlign w:val="center"/>
          </w:tcPr>
          <w:p w14:paraId="56430C31">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rPr>
            </w:pPr>
            <w:r>
              <w:rPr>
                <w:rFonts w:hint="eastAsia" w:ascii="宋体" w:hAnsi="宋体" w:cs="宋体"/>
                <w:sz w:val="24"/>
                <w:szCs w:val="24"/>
              </w:rPr>
              <w:t>大写：</w:t>
            </w:r>
            <w:r>
              <w:rPr>
                <w:rFonts w:hint="eastAsia" w:ascii="宋体" w:hAnsi="宋体" w:cs="宋体"/>
                <w:b/>
                <w:bCs/>
                <w:sz w:val="24"/>
                <w:szCs w:val="24"/>
                <w:u w:val="single"/>
              </w:rPr>
              <w:t xml:space="preserve">                     </w:t>
            </w:r>
          </w:p>
          <w:p w14:paraId="0191CAB8">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tc>
      </w:tr>
      <w:tr w14:paraId="63B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377377A">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交货期</w:t>
            </w:r>
          </w:p>
        </w:tc>
        <w:tc>
          <w:tcPr>
            <w:tcW w:w="6069" w:type="dxa"/>
            <w:tcBorders>
              <w:top w:val="single" w:color="auto" w:sz="4" w:space="0"/>
              <w:left w:val="single" w:color="auto" w:sz="4" w:space="0"/>
              <w:bottom w:val="single" w:color="auto" w:sz="4" w:space="0"/>
              <w:right w:val="single" w:color="auto" w:sz="4" w:space="0"/>
            </w:tcBorders>
            <w:vAlign w:val="center"/>
          </w:tcPr>
          <w:p w14:paraId="6D9DDB71">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3CC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314B6A2F">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质保期</w:t>
            </w:r>
          </w:p>
        </w:tc>
        <w:tc>
          <w:tcPr>
            <w:tcW w:w="6069" w:type="dxa"/>
            <w:tcBorders>
              <w:top w:val="single" w:color="auto" w:sz="4" w:space="0"/>
              <w:left w:val="single" w:color="auto" w:sz="4" w:space="0"/>
              <w:right w:val="single" w:color="auto" w:sz="4" w:space="0"/>
            </w:tcBorders>
            <w:vAlign w:val="center"/>
          </w:tcPr>
          <w:p w14:paraId="19ECD47A">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75F5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250B1D11">
            <w:pPr>
              <w:keepNext w:val="0"/>
              <w:keepLines w:val="0"/>
              <w:widowControl/>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eastAsia="宋体" w:cs="宋体"/>
                <w:sz w:val="24"/>
                <w:szCs w:val="24"/>
              </w:rPr>
              <w:t>投标有效期</w:t>
            </w:r>
          </w:p>
        </w:tc>
        <w:tc>
          <w:tcPr>
            <w:tcW w:w="6069" w:type="dxa"/>
            <w:tcBorders>
              <w:top w:val="single" w:color="auto" w:sz="4" w:space="0"/>
              <w:left w:val="single" w:color="auto" w:sz="4" w:space="0"/>
              <w:right w:val="single" w:color="auto" w:sz="4" w:space="0"/>
            </w:tcBorders>
            <w:vAlign w:val="center"/>
          </w:tcPr>
          <w:p w14:paraId="436C4409">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53E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1AB5F56">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质量要求</w:t>
            </w:r>
          </w:p>
        </w:tc>
        <w:tc>
          <w:tcPr>
            <w:tcW w:w="6069" w:type="dxa"/>
            <w:tcBorders>
              <w:top w:val="single" w:color="auto" w:sz="4" w:space="0"/>
              <w:left w:val="single" w:color="auto" w:sz="4" w:space="0"/>
              <w:bottom w:val="single" w:color="auto" w:sz="4" w:space="0"/>
              <w:right w:val="single" w:color="auto" w:sz="4" w:space="0"/>
            </w:tcBorders>
            <w:vAlign w:val="center"/>
          </w:tcPr>
          <w:p w14:paraId="57A2ED97">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 xml:space="preserve"> </w:t>
            </w:r>
          </w:p>
        </w:tc>
      </w:tr>
      <w:tr w14:paraId="321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BEA6B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联系人及电话</w:t>
            </w:r>
          </w:p>
        </w:tc>
        <w:tc>
          <w:tcPr>
            <w:tcW w:w="6069" w:type="dxa"/>
            <w:tcBorders>
              <w:top w:val="single" w:color="auto" w:sz="4" w:space="0"/>
              <w:left w:val="single" w:color="auto" w:sz="4" w:space="0"/>
              <w:bottom w:val="single" w:color="auto" w:sz="4" w:space="0"/>
              <w:right w:val="single" w:color="auto" w:sz="4" w:space="0"/>
            </w:tcBorders>
            <w:vAlign w:val="center"/>
          </w:tcPr>
          <w:p w14:paraId="1B9F218D">
            <w:pPr>
              <w:keepNext w:val="0"/>
              <w:keepLines w:val="0"/>
              <w:widowControl/>
              <w:suppressLineNumbers w:val="0"/>
              <w:spacing w:before="0" w:beforeAutospacing="0" w:after="0" w:afterAutospacing="0" w:line="360" w:lineRule="auto"/>
              <w:ind w:left="0" w:right="0"/>
              <w:jc w:val="center"/>
              <w:rPr>
                <w:rFonts w:hint="eastAsia" w:ascii="宋体" w:hAnsi="宋体" w:cs="宋体"/>
                <w:sz w:val="24"/>
                <w:szCs w:val="24"/>
              </w:rPr>
            </w:pPr>
          </w:p>
        </w:tc>
      </w:tr>
      <w:tr w14:paraId="184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6E6E44">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其他说明</w:t>
            </w:r>
          </w:p>
        </w:tc>
        <w:tc>
          <w:tcPr>
            <w:tcW w:w="6069" w:type="dxa"/>
            <w:tcBorders>
              <w:top w:val="single" w:color="auto" w:sz="4" w:space="0"/>
              <w:left w:val="single" w:color="auto" w:sz="4" w:space="0"/>
              <w:bottom w:val="single" w:color="auto" w:sz="4" w:space="0"/>
              <w:right w:val="single" w:color="auto" w:sz="4" w:space="0"/>
            </w:tcBorders>
            <w:vAlign w:val="center"/>
          </w:tcPr>
          <w:p w14:paraId="6B421F7F">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（可另附页）</w:t>
            </w:r>
          </w:p>
        </w:tc>
      </w:tr>
      <w:tr w14:paraId="190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664558">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  注</w:t>
            </w:r>
          </w:p>
        </w:tc>
        <w:tc>
          <w:tcPr>
            <w:tcW w:w="6069" w:type="dxa"/>
            <w:tcBorders>
              <w:top w:val="single" w:color="auto" w:sz="4" w:space="0"/>
              <w:left w:val="single" w:color="auto" w:sz="4" w:space="0"/>
              <w:bottom w:val="single" w:color="auto" w:sz="4" w:space="0"/>
              <w:right w:val="single" w:color="auto" w:sz="4" w:space="0"/>
            </w:tcBorders>
            <w:vAlign w:val="center"/>
          </w:tcPr>
          <w:p w14:paraId="633E8068">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bl>
    <w:p w14:paraId="7DC85849">
      <w:pPr>
        <w:rPr>
          <w:rFonts w:ascii="宋体" w:hAnsi="宋体" w:cs="宋体"/>
          <w:sz w:val="24"/>
          <w:szCs w:val="24"/>
        </w:rPr>
      </w:pPr>
    </w:p>
    <w:p w14:paraId="762947CD">
      <w:pPr>
        <w:rPr>
          <w:rFonts w:ascii="宋体" w:hAnsi="宋体" w:cs="宋体"/>
          <w:sz w:val="24"/>
          <w:szCs w:val="24"/>
        </w:rPr>
      </w:pPr>
    </w:p>
    <w:p w14:paraId="1A9FB6FA">
      <w:pPr>
        <w:rPr>
          <w:rFonts w:ascii="宋体" w:hAnsi="宋体" w:cs="宋体"/>
          <w:sz w:val="24"/>
          <w:szCs w:val="24"/>
        </w:rPr>
      </w:pPr>
    </w:p>
    <w:p w14:paraId="331EC7C1">
      <w:pPr>
        <w:pStyle w:val="9"/>
        <w:rPr>
          <w:rFonts w:ascii="宋体" w:hAnsi="宋体" w:eastAsia="宋体" w:cs="宋体"/>
          <w:sz w:val="24"/>
          <w:szCs w:val="24"/>
        </w:rPr>
      </w:pPr>
    </w:p>
    <w:p w14:paraId="7B9CCE30">
      <w:pPr>
        <w:pStyle w:val="9"/>
        <w:rPr>
          <w:rFonts w:ascii="宋体" w:hAnsi="宋体" w:eastAsia="宋体" w:cs="宋体"/>
          <w:sz w:val="24"/>
          <w:szCs w:val="24"/>
        </w:rPr>
      </w:pPr>
    </w:p>
    <w:p w14:paraId="3F61589E">
      <w:pPr>
        <w:pStyle w:val="9"/>
        <w:rPr>
          <w:rFonts w:ascii="宋体" w:hAnsi="宋体" w:eastAsia="宋体" w:cs="宋体"/>
          <w:sz w:val="24"/>
          <w:szCs w:val="24"/>
        </w:rPr>
      </w:pPr>
    </w:p>
    <w:p w14:paraId="1A551BC7">
      <w:pPr>
        <w:rPr>
          <w:rFonts w:ascii="宋体" w:hAnsi="宋体" w:cs="宋体"/>
          <w:sz w:val="24"/>
          <w:szCs w:val="24"/>
        </w:rPr>
      </w:pPr>
    </w:p>
    <w:p w14:paraId="7F4FDF3E">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0D25FA08">
      <w:pPr>
        <w:rPr>
          <w:rFonts w:ascii="宋体" w:hAnsi="宋体" w:cs="宋体"/>
          <w:sz w:val="24"/>
          <w:szCs w:val="24"/>
        </w:rPr>
      </w:pPr>
      <w:r>
        <w:rPr>
          <w:rFonts w:hint="eastAsia" w:ascii="宋体" w:hAnsi="宋体" w:cs="宋体"/>
          <w:sz w:val="24"/>
          <w:szCs w:val="24"/>
        </w:rPr>
        <w:t xml:space="preserve">     </w:t>
      </w:r>
    </w:p>
    <w:p w14:paraId="0867B4E2">
      <w:pPr>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（签章）</w:t>
      </w:r>
    </w:p>
    <w:p w14:paraId="700661CC">
      <w:pPr>
        <w:rPr>
          <w:rFonts w:ascii="宋体" w:hAnsi="宋体" w:cs="宋体"/>
          <w:sz w:val="24"/>
          <w:szCs w:val="24"/>
        </w:rPr>
      </w:pPr>
    </w:p>
    <w:p w14:paraId="12B81BD8">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065A336">
      <w:pPr>
        <w:rPr>
          <w:rFonts w:ascii="宋体" w:hAnsi="宋体" w:cs="宋体"/>
        </w:rPr>
      </w:pPr>
    </w:p>
    <w:p w14:paraId="0674D585">
      <w:pPr>
        <w:pStyle w:val="3"/>
        <w:numPr>
          <w:ilvl w:val="0"/>
          <w:numId w:val="16"/>
        </w:numPr>
        <w:wordWrap w:val="0"/>
        <w:topLinePunct/>
        <w:spacing w:before="0" w:after="0" w:line="360" w:lineRule="auto"/>
        <w:ind w:left="0" w:firstLine="0"/>
        <w:rPr>
          <w:rFonts w:ascii="宋体" w:hAnsi="宋体" w:eastAsia="宋体" w:cs="宋体"/>
          <w:bCs/>
          <w:szCs w:val="24"/>
          <w:lang w:val="zh-CN"/>
        </w:rPr>
      </w:pPr>
      <w:r>
        <w:rPr>
          <w:rFonts w:hint="eastAsia" w:ascii="宋体" w:hAnsi="宋体" w:eastAsia="宋体" w:cs="宋体"/>
          <w:bCs/>
          <w:szCs w:val="24"/>
          <w:lang w:val="zh-CN"/>
        </w:rPr>
        <w:br w:type="page"/>
      </w:r>
      <w:bookmarkStart w:id="745" w:name="_Toc7696"/>
      <w:bookmarkStart w:id="746" w:name="_Toc30050"/>
      <w:bookmarkStart w:id="747" w:name="_Toc6410"/>
      <w:bookmarkStart w:id="748" w:name="_Toc7963_WPSOffice_Level1"/>
      <w:bookmarkStart w:id="749" w:name="_Toc26581"/>
      <w:bookmarkStart w:id="750" w:name="_Toc10578"/>
      <w:bookmarkStart w:id="751" w:name="_Toc15910"/>
      <w:r>
        <w:rPr>
          <w:rFonts w:hint="eastAsia" w:ascii="宋体" w:hAnsi="宋体" w:eastAsia="宋体" w:cs="宋体"/>
          <w:bCs/>
          <w:szCs w:val="24"/>
          <w:lang w:val="zh-CN"/>
        </w:rPr>
        <w:t>法定代表人身份证明或法定代表人授权委托书</w:t>
      </w:r>
      <w:bookmarkEnd w:id="745"/>
      <w:bookmarkEnd w:id="746"/>
      <w:bookmarkEnd w:id="747"/>
      <w:bookmarkEnd w:id="748"/>
      <w:bookmarkEnd w:id="749"/>
    </w:p>
    <w:p w14:paraId="0FC73BA1">
      <w:pPr>
        <w:pStyle w:val="3"/>
        <w:numPr>
          <w:ilvl w:val="0"/>
          <w:numId w:val="0"/>
        </w:numPr>
        <w:topLinePunct/>
        <w:spacing w:before="0" w:after="0" w:line="360" w:lineRule="auto"/>
        <w:rPr>
          <w:rFonts w:ascii="宋体" w:hAnsi="宋体" w:eastAsia="宋体" w:cs="宋体"/>
          <w:bCs/>
          <w:szCs w:val="24"/>
          <w:lang w:val="zh-CN"/>
        </w:rPr>
      </w:pPr>
      <w:bookmarkStart w:id="752" w:name="_Toc3097"/>
      <w:bookmarkStart w:id="753" w:name="_Toc28064_WPSOffice_Level1"/>
      <w:bookmarkStart w:id="754" w:name="_Toc23087"/>
      <w:bookmarkStart w:id="755" w:name="_Toc32767"/>
      <w:bookmarkStart w:id="756" w:name="_Toc16082"/>
      <w:bookmarkStart w:id="757" w:name="_Toc17647"/>
      <w:bookmarkStart w:id="758" w:name="_Toc17543"/>
      <w:bookmarkStart w:id="759" w:name="_Toc19596_WPSOffice_Level1"/>
      <w:r>
        <w:rPr>
          <w:rFonts w:hint="eastAsia" w:ascii="宋体" w:hAnsi="宋体" w:eastAsia="宋体" w:cs="宋体"/>
          <w:bCs/>
          <w:szCs w:val="24"/>
          <w:lang w:val="zh-CN"/>
        </w:rPr>
        <w:t>法定代表人身份证明</w:t>
      </w:r>
      <w:bookmarkEnd w:id="744"/>
      <w:bookmarkEnd w:id="750"/>
      <w:bookmarkEnd w:id="751"/>
      <w:bookmarkEnd w:id="752"/>
      <w:bookmarkEnd w:id="753"/>
      <w:bookmarkEnd w:id="754"/>
      <w:bookmarkEnd w:id="755"/>
      <w:bookmarkEnd w:id="756"/>
      <w:bookmarkEnd w:id="757"/>
      <w:bookmarkEnd w:id="758"/>
      <w:bookmarkEnd w:id="759"/>
    </w:p>
    <w:p w14:paraId="40D6BB83">
      <w:pPr>
        <w:autoSpaceDE w:val="0"/>
        <w:autoSpaceDN w:val="0"/>
        <w:adjustRightInd w:val="0"/>
        <w:spacing w:line="480" w:lineRule="auto"/>
        <w:rPr>
          <w:rFonts w:ascii="宋体" w:hAnsi="宋体" w:cs="宋体"/>
          <w:kern w:val="0"/>
        </w:rPr>
      </w:pPr>
    </w:p>
    <w:p w14:paraId="371A77AB">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hint="eastAsia" w:ascii="宋体" w:hAnsi="宋体" w:cs="宋体"/>
          <w:kern w:val="0"/>
          <w:sz w:val="24"/>
          <w:szCs w:val="24"/>
          <w:u w:val="single"/>
        </w:rPr>
        <w:t xml:space="preserve">                          </w:t>
      </w:r>
    </w:p>
    <w:p w14:paraId="0653E3DF">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w:t>
      </w:r>
      <w:r>
        <w:rPr>
          <w:rFonts w:hint="eastAsia" w:ascii="宋体" w:hAnsi="宋体" w:cs="宋体"/>
          <w:kern w:val="0"/>
          <w:sz w:val="24"/>
          <w:szCs w:val="24"/>
          <w:u w:val="single"/>
        </w:rPr>
        <w:t xml:space="preserve">                 </w:t>
      </w:r>
    </w:p>
    <w:p w14:paraId="384F8D4C">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名称）的法定代表人。</w:t>
      </w:r>
    </w:p>
    <w:p w14:paraId="27D40AAC">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特此证明。</w:t>
      </w:r>
    </w:p>
    <w:p w14:paraId="4095ECC7">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 xml:space="preserve">附：法定代表人身份证复印件。 </w:t>
      </w:r>
    </w:p>
    <w:p w14:paraId="068372B0">
      <w:pPr>
        <w:autoSpaceDE w:val="0"/>
        <w:autoSpaceDN w:val="0"/>
        <w:adjustRightInd w:val="0"/>
        <w:spacing w:line="480" w:lineRule="auto"/>
        <w:rPr>
          <w:rFonts w:ascii="宋体" w:hAnsi="宋体" w:cs="宋体"/>
          <w:kern w:val="0"/>
          <w:sz w:val="24"/>
          <w:szCs w:val="24"/>
        </w:rPr>
      </w:pPr>
    </w:p>
    <w:p w14:paraId="4F271599">
      <w:pPr>
        <w:autoSpaceDE w:val="0"/>
        <w:autoSpaceDN w:val="0"/>
        <w:adjustRightInd w:val="0"/>
        <w:spacing w:line="480" w:lineRule="auto"/>
        <w:rPr>
          <w:rFonts w:ascii="宋体" w:hAnsi="宋体" w:cs="宋体"/>
          <w:kern w:val="0"/>
          <w:sz w:val="24"/>
          <w:szCs w:val="24"/>
        </w:rPr>
      </w:pPr>
    </w:p>
    <w:p w14:paraId="443F5530">
      <w:pPr>
        <w:autoSpaceDE w:val="0"/>
        <w:autoSpaceDN w:val="0"/>
        <w:adjustRightInd w:val="0"/>
        <w:spacing w:line="480" w:lineRule="auto"/>
        <w:rPr>
          <w:rFonts w:ascii="宋体" w:hAnsi="宋体" w:cs="宋体"/>
          <w:kern w:val="0"/>
          <w:sz w:val="24"/>
          <w:szCs w:val="24"/>
        </w:rPr>
      </w:pPr>
    </w:p>
    <w:p w14:paraId="2A140D18">
      <w:pPr>
        <w:autoSpaceDE w:val="0"/>
        <w:autoSpaceDN w:val="0"/>
        <w:adjustRightInd w:val="0"/>
        <w:spacing w:line="480" w:lineRule="auto"/>
        <w:rPr>
          <w:rFonts w:ascii="宋体" w:hAnsi="宋体" w:cs="宋体"/>
          <w:kern w:val="0"/>
          <w:sz w:val="24"/>
          <w:szCs w:val="24"/>
        </w:rPr>
      </w:pPr>
    </w:p>
    <w:p w14:paraId="781CDA6A">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（盖章）</w:t>
      </w:r>
    </w:p>
    <w:p w14:paraId="598615AD">
      <w:pPr>
        <w:rPr>
          <w:rFonts w:ascii="宋体" w:hAnsi="宋体" w:cs="宋体"/>
          <w:sz w:val="24"/>
          <w:szCs w:val="24"/>
        </w:rPr>
      </w:pPr>
      <w:r>
        <w:rPr>
          <w:rFonts w:hint="eastAsia" w:ascii="宋体" w:hAnsi="宋体" w:cs="宋体"/>
          <w:sz w:val="24"/>
          <w:szCs w:val="24"/>
        </w:rPr>
        <w:t xml:space="preserve">     </w:t>
      </w:r>
    </w:p>
    <w:p w14:paraId="39B62F8D">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0D1511E">
      <w:pPr>
        <w:tabs>
          <w:tab w:val="left" w:pos="5340"/>
          <w:tab w:val="left" w:pos="6180"/>
          <w:tab w:val="left" w:pos="7020"/>
        </w:tabs>
        <w:autoSpaceDE w:val="0"/>
        <w:autoSpaceDN w:val="0"/>
        <w:adjustRightInd w:val="0"/>
        <w:ind w:left="4721" w:right="-20"/>
        <w:rPr>
          <w:rFonts w:ascii="宋体" w:hAnsi="宋体" w:cs="宋体"/>
          <w:kern w:val="0"/>
        </w:rPr>
      </w:pPr>
    </w:p>
    <w:p w14:paraId="46430943">
      <w:pPr>
        <w:rPr>
          <w:rFonts w:ascii="宋体" w:hAnsi="宋体" w:cs="宋体"/>
        </w:rPr>
      </w:pPr>
      <w:r>
        <w:rPr>
          <w:rFonts w:hint="eastAsia" w:ascii="宋体" w:hAnsi="宋体" w:cs="宋体"/>
        </w:rPr>
        <w:br w:type="page"/>
      </w:r>
    </w:p>
    <w:p w14:paraId="3FEADB87">
      <w:pPr>
        <w:pStyle w:val="3"/>
        <w:numPr>
          <w:ilvl w:val="0"/>
          <w:numId w:val="0"/>
        </w:numPr>
        <w:topLinePunct/>
        <w:spacing w:before="0" w:after="0" w:line="360" w:lineRule="auto"/>
        <w:ind w:left="839" w:hanging="420"/>
        <w:rPr>
          <w:rFonts w:ascii="宋体" w:hAnsi="宋体" w:eastAsia="宋体" w:cs="宋体"/>
          <w:bCs/>
          <w:szCs w:val="24"/>
          <w:lang w:val="zh-CN"/>
        </w:rPr>
      </w:pPr>
      <w:bookmarkStart w:id="760" w:name="_Toc25981"/>
      <w:bookmarkStart w:id="761" w:name="_Toc6199_WPSOffice_Level1"/>
      <w:bookmarkStart w:id="762" w:name="_Toc14530"/>
      <w:bookmarkStart w:id="763" w:name="_Toc6674"/>
      <w:bookmarkStart w:id="764" w:name="_Toc432"/>
      <w:bookmarkStart w:id="765" w:name="_Toc25376"/>
      <w:bookmarkStart w:id="766" w:name="_Toc28529_WPSOffice_Level1"/>
      <w:bookmarkStart w:id="767" w:name="_Toc25685"/>
      <w:bookmarkStart w:id="768" w:name="_Toc12134"/>
      <w:bookmarkStart w:id="769" w:name="_Toc29605"/>
      <w:bookmarkStart w:id="770" w:name="_Toc28309"/>
      <w:bookmarkStart w:id="771" w:name="_Toc30588"/>
      <w:bookmarkStart w:id="772" w:name="_Toc11454"/>
      <w:bookmarkStart w:id="773" w:name="_Toc26330"/>
      <w:r>
        <w:rPr>
          <w:rFonts w:hint="eastAsia" w:ascii="宋体" w:hAnsi="宋体" w:eastAsia="宋体" w:cs="宋体"/>
          <w:bCs/>
          <w:szCs w:val="24"/>
          <w:lang w:val="zh-CN"/>
        </w:rPr>
        <w:t>法定代表人授权委托书</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07FC6FE7">
      <w:pPr>
        <w:autoSpaceDE w:val="0"/>
        <w:autoSpaceDN w:val="0"/>
        <w:adjustRightInd w:val="0"/>
        <w:spacing w:line="200" w:lineRule="exact"/>
        <w:rPr>
          <w:rFonts w:ascii="宋体" w:hAnsi="宋体" w:cs="宋体"/>
          <w:kern w:val="0"/>
          <w:sz w:val="20"/>
          <w:szCs w:val="20"/>
        </w:rPr>
      </w:pPr>
    </w:p>
    <w:p w14:paraId="022D8180">
      <w:pPr>
        <w:tabs>
          <w:tab w:val="left" w:pos="3880"/>
        </w:tabs>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名称）的法定代表人，现委托</w:t>
      </w:r>
      <w:r>
        <w:rPr>
          <w:rFonts w:hint="eastAsia" w:ascii="宋体" w:hAnsi="宋体" w:cs="宋体"/>
          <w:sz w:val="24"/>
          <w:szCs w:val="24"/>
          <w:u w:val="single"/>
        </w:rPr>
        <w:t xml:space="preserve">                 </w:t>
      </w:r>
      <w:r>
        <w:rPr>
          <w:rFonts w:hint="eastAsia" w:ascii="宋体" w:hAnsi="宋体" w:cs="宋体"/>
          <w:sz w:val="24"/>
          <w:szCs w:val="24"/>
        </w:rPr>
        <w:t>（姓名、职务）为我方代理人。</w:t>
      </w:r>
      <w:r>
        <w:rPr>
          <w:rFonts w:hint="eastAsia" w:ascii="宋体" w:hAnsi="宋体" w:cs="宋体"/>
          <w:kern w:val="0"/>
          <w:position w:val="-2"/>
          <w:sz w:val="24"/>
          <w:szCs w:val="24"/>
        </w:rPr>
        <w:t>代理</w:t>
      </w:r>
      <w:r>
        <w:rPr>
          <w:rFonts w:hint="eastAsia" w:ascii="宋体" w:hAnsi="宋体" w:cs="宋体"/>
          <w:spacing w:val="-2"/>
          <w:kern w:val="0"/>
          <w:position w:val="-2"/>
          <w:sz w:val="24"/>
          <w:szCs w:val="24"/>
        </w:rPr>
        <w:t>人</w:t>
      </w:r>
      <w:r>
        <w:rPr>
          <w:rFonts w:hint="eastAsia" w:ascii="宋体" w:hAnsi="宋体" w:cs="宋体"/>
          <w:kern w:val="0"/>
          <w:position w:val="-2"/>
          <w:sz w:val="24"/>
          <w:szCs w:val="24"/>
        </w:rPr>
        <w:t>根据授权，</w:t>
      </w:r>
      <w:r>
        <w:rPr>
          <w:rFonts w:hint="eastAsia" w:ascii="宋体" w:hAnsi="宋体" w:cs="宋体"/>
          <w:spacing w:val="-2"/>
          <w:kern w:val="0"/>
          <w:position w:val="-2"/>
          <w:sz w:val="24"/>
          <w:szCs w:val="24"/>
        </w:rPr>
        <w:t>以</w:t>
      </w:r>
      <w:r>
        <w:rPr>
          <w:rFonts w:hint="eastAsia" w:ascii="宋体" w:hAnsi="宋体" w:cs="宋体"/>
          <w:kern w:val="0"/>
          <w:position w:val="-2"/>
          <w:sz w:val="24"/>
          <w:szCs w:val="24"/>
        </w:rPr>
        <w:t>我方名</w:t>
      </w:r>
      <w:r>
        <w:rPr>
          <w:rFonts w:hint="eastAsia" w:ascii="宋体" w:hAnsi="宋体" w:cs="宋体"/>
          <w:sz w:val="24"/>
          <w:szCs w:val="24"/>
        </w:rPr>
        <w:t>义签署、澄清确认、递交、撤回、修改采购项目投标文件、签订合同和处理有关事宜，其法律后果由我方承担。</w:t>
      </w:r>
    </w:p>
    <w:p w14:paraId="6822CF99">
      <w:pPr>
        <w:spacing w:line="360" w:lineRule="auto"/>
        <w:ind w:firstLine="420"/>
        <w:rPr>
          <w:rFonts w:ascii="宋体" w:hAnsi="宋体" w:cs="宋体"/>
          <w:sz w:val="24"/>
          <w:szCs w:val="24"/>
        </w:rPr>
      </w:pPr>
    </w:p>
    <w:p w14:paraId="6D5E20E4">
      <w:pPr>
        <w:spacing w:line="500" w:lineRule="exact"/>
        <w:ind w:firstLine="480" w:firstLineChars="200"/>
        <w:rPr>
          <w:rFonts w:ascii="宋体" w:hAnsi="宋体" w:cs="宋体"/>
          <w:sz w:val="24"/>
          <w:szCs w:val="24"/>
          <w:u w:val="single"/>
        </w:rPr>
      </w:pPr>
      <w:r>
        <w:rPr>
          <w:rFonts w:hint="eastAsia" w:ascii="宋体" w:hAnsi="宋体" w:cs="宋体"/>
          <w:sz w:val="24"/>
          <w:szCs w:val="24"/>
        </w:rPr>
        <w:t>委托期限：</w:t>
      </w:r>
      <w:r>
        <w:rPr>
          <w:rFonts w:hint="eastAsia" w:ascii="宋体" w:hAnsi="宋体" w:cs="宋体"/>
          <w:sz w:val="24"/>
          <w:szCs w:val="24"/>
          <w:u w:val="single"/>
        </w:rPr>
        <w:t xml:space="preserve">                  </w:t>
      </w:r>
    </w:p>
    <w:p w14:paraId="72817801">
      <w:pPr>
        <w:spacing w:line="500" w:lineRule="exact"/>
        <w:ind w:firstLine="480" w:firstLineChars="200"/>
        <w:rPr>
          <w:rFonts w:ascii="宋体" w:hAnsi="宋体" w:cs="宋体"/>
          <w:sz w:val="24"/>
          <w:szCs w:val="24"/>
        </w:rPr>
      </w:pPr>
      <w:r>
        <w:rPr>
          <w:rFonts w:hint="eastAsia" w:ascii="宋体" w:hAnsi="宋体" w:cs="宋体"/>
          <w:sz w:val="24"/>
          <w:szCs w:val="24"/>
        </w:rPr>
        <w:t>代理人无转委托权。</w:t>
      </w:r>
    </w:p>
    <w:p w14:paraId="18140F76">
      <w:pPr>
        <w:spacing w:line="500" w:lineRule="exact"/>
        <w:ind w:firstLine="480" w:firstLineChars="200"/>
        <w:rPr>
          <w:rFonts w:ascii="宋体" w:hAnsi="宋体" w:cs="宋体"/>
          <w:sz w:val="24"/>
          <w:szCs w:val="24"/>
        </w:rPr>
      </w:pPr>
      <w:r>
        <w:rPr>
          <w:rFonts w:hint="eastAsia" w:ascii="宋体" w:hAnsi="宋体" w:cs="宋体"/>
          <w:sz w:val="24"/>
          <w:szCs w:val="24"/>
        </w:rPr>
        <w:t>附：</w:t>
      </w:r>
      <w:r>
        <w:rPr>
          <w:rFonts w:hint="eastAsia" w:ascii="宋体" w:hAnsi="宋体" w:cs="宋体"/>
          <w:kern w:val="0"/>
          <w:sz w:val="24"/>
          <w:szCs w:val="24"/>
        </w:rPr>
        <w:t>委</w:t>
      </w:r>
      <w:r>
        <w:rPr>
          <w:rFonts w:hint="eastAsia" w:ascii="宋体" w:hAnsi="宋体" w:cs="宋体"/>
          <w:spacing w:val="-2"/>
          <w:kern w:val="0"/>
          <w:sz w:val="24"/>
          <w:szCs w:val="24"/>
        </w:rPr>
        <w:t>托</w:t>
      </w:r>
      <w:r>
        <w:rPr>
          <w:rFonts w:hint="eastAsia" w:ascii="宋体" w:hAnsi="宋体" w:cs="宋体"/>
          <w:kern w:val="0"/>
          <w:sz w:val="24"/>
          <w:szCs w:val="24"/>
        </w:rPr>
        <w:t>代</w:t>
      </w:r>
      <w:r>
        <w:rPr>
          <w:rFonts w:hint="eastAsia" w:ascii="宋体" w:hAnsi="宋体" w:cs="宋体"/>
          <w:spacing w:val="-2"/>
          <w:kern w:val="0"/>
          <w:sz w:val="24"/>
          <w:szCs w:val="24"/>
        </w:rPr>
        <w:t>理</w:t>
      </w:r>
      <w:r>
        <w:rPr>
          <w:rFonts w:hint="eastAsia" w:ascii="宋体" w:hAnsi="宋体" w:cs="宋体"/>
          <w:kern w:val="0"/>
          <w:sz w:val="24"/>
          <w:szCs w:val="24"/>
        </w:rPr>
        <w:t>人</w:t>
      </w:r>
      <w:r>
        <w:rPr>
          <w:rFonts w:hint="eastAsia" w:ascii="宋体" w:hAnsi="宋体" w:cs="宋体"/>
          <w:spacing w:val="-2"/>
          <w:kern w:val="0"/>
          <w:sz w:val="24"/>
          <w:szCs w:val="24"/>
        </w:rPr>
        <w:t>身</w:t>
      </w:r>
      <w:r>
        <w:rPr>
          <w:rFonts w:hint="eastAsia" w:ascii="宋体" w:hAnsi="宋体" w:cs="宋体"/>
          <w:kern w:val="0"/>
          <w:sz w:val="24"/>
          <w:szCs w:val="24"/>
        </w:rPr>
        <w:t>份</w:t>
      </w:r>
      <w:r>
        <w:rPr>
          <w:rFonts w:hint="eastAsia" w:ascii="宋体" w:hAnsi="宋体" w:cs="宋体"/>
          <w:spacing w:val="-2"/>
          <w:kern w:val="0"/>
          <w:sz w:val="24"/>
          <w:szCs w:val="24"/>
        </w:rPr>
        <w:t>证</w:t>
      </w:r>
      <w:r>
        <w:rPr>
          <w:rFonts w:hint="eastAsia" w:ascii="宋体" w:hAnsi="宋体" w:cs="宋体"/>
          <w:kern w:val="0"/>
          <w:sz w:val="24"/>
          <w:szCs w:val="24"/>
        </w:rPr>
        <w:t>复印件</w:t>
      </w:r>
    </w:p>
    <w:p w14:paraId="3069945B">
      <w:pPr>
        <w:spacing w:line="500" w:lineRule="exact"/>
        <w:rPr>
          <w:rFonts w:ascii="宋体" w:hAnsi="宋体" w:cs="宋体"/>
          <w:sz w:val="24"/>
          <w:szCs w:val="24"/>
        </w:rPr>
      </w:pPr>
    </w:p>
    <w:p w14:paraId="5463B94C">
      <w:pPr>
        <w:spacing w:line="500" w:lineRule="exact"/>
        <w:rPr>
          <w:rFonts w:ascii="宋体" w:hAnsi="宋体" w:cs="宋体"/>
          <w:sz w:val="24"/>
          <w:szCs w:val="24"/>
        </w:rPr>
      </w:pPr>
    </w:p>
    <w:p w14:paraId="2A358DBB">
      <w:pPr>
        <w:spacing w:line="480" w:lineRule="auto"/>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（盖章）</w:t>
      </w:r>
    </w:p>
    <w:p w14:paraId="7263591D">
      <w:pPr>
        <w:pStyle w:val="39"/>
        <w:spacing w:line="480" w:lineRule="auto"/>
        <w:jc w:val="right"/>
        <w:rPr>
          <w:rFonts w:hAnsi="宋体"/>
          <w:color w:val="auto"/>
          <w:kern w:val="2"/>
          <w:sz w:val="24"/>
          <w:szCs w:val="24"/>
        </w:rPr>
      </w:pPr>
      <w:r>
        <w:rPr>
          <w:rFonts w:hint="eastAsia" w:hAnsi="宋体"/>
          <w:color w:val="auto"/>
          <w:kern w:val="2"/>
          <w:sz w:val="24"/>
          <w:szCs w:val="24"/>
        </w:rPr>
        <w:t>法定代表人：</w:t>
      </w:r>
      <w:r>
        <w:rPr>
          <w:rFonts w:hint="eastAsia" w:hAnsi="宋体"/>
          <w:color w:val="auto"/>
          <w:sz w:val="24"/>
          <w:szCs w:val="24"/>
          <w:u w:val="single"/>
        </w:rPr>
        <w:t xml:space="preserve">                    </w:t>
      </w:r>
      <w:r>
        <w:rPr>
          <w:rFonts w:hint="eastAsia" w:hAnsi="宋体"/>
          <w:color w:val="auto"/>
          <w:kern w:val="2"/>
          <w:sz w:val="24"/>
          <w:szCs w:val="24"/>
        </w:rPr>
        <w:t>（签章）</w:t>
      </w:r>
    </w:p>
    <w:p w14:paraId="4491FBAC">
      <w:pPr>
        <w:pStyle w:val="39"/>
        <w:spacing w:line="480" w:lineRule="auto"/>
        <w:jc w:val="right"/>
        <w:rPr>
          <w:rFonts w:hAnsi="宋体"/>
          <w:color w:val="auto"/>
          <w:kern w:val="2"/>
          <w:sz w:val="24"/>
          <w:szCs w:val="24"/>
        </w:rPr>
      </w:pPr>
      <w:r>
        <w:rPr>
          <w:rFonts w:hint="eastAsia" w:hAnsi="宋体"/>
          <w:color w:val="auto"/>
          <w:kern w:val="2"/>
          <w:sz w:val="24"/>
          <w:szCs w:val="24"/>
        </w:rPr>
        <w:t xml:space="preserve">                  </w:t>
      </w:r>
      <w:r>
        <w:rPr>
          <w:rFonts w:hint="eastAsia" w:hAnsi="宋体"/>
          <w:color w:val="auto"/>
          <w:sz w:val="24"/>
          <w:szCs w:val="24"/>
          <w:u w:val="single"/>
        </w:rPr>
        <w:t xml:space="preserve">     </w:t>
      </w:r>
      <w:r>
        <w:rPr>
          <w:rFonts w:hint="eastAsia" w:hAnsi="宋体"/>
          <w:color w:val="auto"/>
          <w:spacing w:val="43"/>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3C9E1CC1">
      <w:pPr>
        <w:spacing w:line="500" w:lineRule="exact"/>
        <w:rPr>
          <w:rFonts w:ascii="宋体" w:hAnsi="宋体" w:cs="宋体"/>
        </w:rPr>
      </w:pPr>
    </w:p>
    <w:p w14:paraId="7BC84F54">
      <w:pPr>
        <w:pStyle w:val="3"/>
        <w:numPr>
          <w:ilvl w:val="0"/>
          <w:numId w:val="0"/>
        </w:numPr>
        <w:wordWrap w:val="0"/>
        <w:topLinePunct/>
        <w:spacing w:before="0" w:after="0" w:line="360" w:lineRule="auto"/>
        <w:jc w:val="both"/>
        <w:rPr>
          <w:rFonts w:ascii="宋体" w:hAnsi="宋体" w:eastAsia="宋体" w:cs="宋体"/>
          <w:bCs/>
          <w:szCs w:val="24"/>
          <w:lang w:val="zh-CN"/>
        </w:rPr>
      </w:pPr>
    </w:p>
    <w:p w14:paraId="5E5193FE">
      <w:pPr>
        <w:rPr>
          <w:rFonts w:ascii="宋体" w:hAnsi="宋体" w:cs="宋体"/>
        </w:rPr>
      </w:pPr>
    </w:p>
    <w:p w14:paraId="66C900FB">
      <w:pPr>
        <w:spacing w:line="360" w:lineRule="auto"/>
        <w:rPr>
          <w:rFonts w:ascii="宋体" w:hAnsi="宋体" w:cs="宋体"/>
        </w:rPr>
      </w:pPr>
    </w:p>
    <w:p w14:paraId="53E90A61">
      <w:pPr>
        <w:spacing w:line="360" w:lineRule="auto"/>
        <w:rPr>
          <w:rFonts w:ascii="宋体" w:hAnsi="宋体" w:cs="宋体"/>
        </w:rPr>
      </w:pPr>
    </w:p>
    <w:p w14:paraId="24FD35F0">
      <w:pPr>
        <w:spacing w:line="360" w:lineRule="auto"/>
        <w:rPr>
          <w:rFonts w:ascii="宋体" w:hAnsi="宋体" w:cs="宋体"/>
        </w:rPr>
      </w:pPr>
    </w:p>
    <w:p w14:paraId="4D983170">
      <w:pPr>
        <w:spacing w:line="360" w:lineRule="auto"/>
        <w:rPr>
          <w:rFonts w:ascii="宋体" w:hAnsi="宋体" w:cs="宋体"/>
        </w:rPr>
      </w:pPr>
    </w:p>
    <w:p w14:paraId="652964FB">
      <w:pPr>
        <w:spacing w:line="460" w:lineRule="exact"/>
        <w:rPr>
          <w:rFonts w:ascii="宋体" w:hAnsi="宋体" w:cs="宋体"/>
        </w:rPr>
      </w:pPr>
    </w:p>
    <w:p w14:paraId="7DC2320B">
      <w:pPr>
        <w:pStyle w:val="3"/>
        <w:spacing w:line="360" w:lineRule="auto"/>
        <w:jc w:val="both"/>
        <w:rPr>
          <w:rFonts w:ascii="宋体" w:hAnsi="宋体" w:eastAsia="宋体" w:cs="宋体"/>
        </w:rPr>
        <w:sectPr>
          <w:footerReference r:id="rId11" w:type="first"/>
          <w:footerReference r:id="rId9" w:type="default"/>
          <w:footerReference r:id="rId10" w:type="even"/>
          <w:pgSz w:w="11906" w:h="16838"/>
          <w:pgMar w:top="1304" w:right="1797" w:bottom="1304" w:left="1797" w:header="851" w:footer="754" w:gutter="0"/>
          <w:pgNumType w:fmt="decimal"/>
          <w:cols w:space="720" w:num="1"/>
          <w:docGrid w:type="lines" w:linePitch="312" w:charSpace="0"/>
        </w:sectPr>
      </w:pPr>
      <w:bookmarkStart w:id="774" w:name="_Toc265572092"/>
    </w:p>
    <w:p w14:paraId="124A7748">
      <w:pPr>
        <w:pStyle w:val="3"/>
        <w:numPr>
          <w:ilvl w:val="0"/>
          <w:numId w:val="0"/>
        </w:numPr>
        <w:wordWrap w:val="0"/>
        <w:topLinePunct/>
        <w:spacing w:before="0" w:after="0" w:line="360" w:lineRule="auto"/>
        <w:rPr>
          <w:rFonts w:ascii="宋体" w:hAnsi="宋体" w:eastAsia="宋体" w:cs="宋体"/>
          <w:b w:val="0"/>
          <w:sz w:val="28"/>
          <w:szCs w:val="28"/>
        </w:rPr>
      </w:pPr>
      <w:bookmarkStart w:id="775" w:name="_Toc26972"/>
      <w:bookmarkStart w:id="776" w:name="_Toc22742"/>
      <w:bookmarkStart w:id="777" w:name="_Toc2791"/>
      <w:bookmarkStart w:id="778" w:name="_Toc6306"/>
      <w:bookmarkStart w:id="779" w:name="_Toc18351_WPSOffice_Level1"/>
      <w:bookmarkStart w:id="780" w:name="_Toc16946"/>
      <w:r>
        <w:rPr>
          <w:rFonts w:hint="eastAsia" w:ascii="宋体" w:hAnsi="宋体" w:eastAsia="宋体" w:cs="宋体"/>
          <w:b w:val="0"/>
          <w:szCs w:val="32"/>
        </w:rPr>
        <w:t>三、</w:t>
      </w:r>
      <w:r>
        <w:rPr>
          <w:rFonts w:hint="eastAsia" w:ascii="宋体" w:hAnsi="宋体" w:eastAsia="宋体" w:cs="宋体"/>
          <w:szCs w:val="32"/>
        </w:rPr>
        <w:t>投标设备分项报价表（格式）</w:t>
      </w:r>
      <w:bookmarkEnd w:id="775"/>
      <w:bookmarkEnd w:id="776"/>
      <w:bookmarkEnd w:id="777"/>
      <w:bookmarkEnd w:id="778"/>
      <w:bookmarkEnd w:id="779"/>
    </w:p>
    <w:tbl>
      <w:tblPr>
        <w:tblStyle w:val="23"/>
        <w:tblW w:w="8817" w:type="dxa"/>
        <w:tblInd w:w="135" w:type="dxa"/>
        <w:tblLayout w:type="fixed"/>
        <w:tblCellMar>
          <w:top w:w="0" w:type="dxa"/>
          <w:left w:w="108" w:type="dxa"/>
          <w:bottom w:w="0" w:type="dxa"/>
          <w:right w:w="108" w:type="dxa"/>
        </w:tblCellMar>
      </w:tblPr>
      <w:tblGrid>
        <w:gridCol w:w="849"/>
        <w:gridCol w:w="1978"/>
        <w:gridCol w:w="1023"/>
        <w:gridCol w:w="934"/>
        <w:gridCol w:w="853"/>
        <w:gridCol w:w="1128"/>
        <w:gridCol w:w="870"/>
        <w:gridCol w:w="1182"/>
      </w:tblGrid>
      <w:tr w14:paraId="28153ED9">
        <w:tblPrEx>
          <w:tblCellMar>
            <w:top w:w="0" w:type="dxa"/>
            <w:left w:w="108" w:type="dxa"/>
            <w:bottom w:w="0" w:type="dxa"/>
            <w:right w:w="108" w:type="dxa"/>
          </w:tblCellMar>
        </w:tblPrEx>
        <w:trPr>
          <w:cantSplit/>
          <w:trHeight w:val="2339" w:hRule="atLeast"/>
        </w:trPr>
        <w:tc>
          <w:tcPr>
            <w:tcW w:w="849" w:type="dxa"/>
            <w:tcBorders>
              <w:top w:val="single" w:color="auto" w:sz="4" w:space="0"/>
              <w:left w:val="single" w:color="auto" w:sz="4" w:space="0"/>
              <w:bottom w:val="single" w:color="auto" w:sz="4" w:space="0"/>
              <w:right w:val="single" w:color="auto" w:sz="4" w:space="0"/>
            </w:tcBorders>
            <w:vAlign w:val="center"/>
          </w:tcPr>
          <w:p w14:paraId="3D75691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78" w:type="dxa"/>
            <w:tcBorders>
              <w:top w:val="single" w:color="auto" w:sz="4" w:space="0"/>
              <w:left w:val="nil"/>
              <w:bottom w:val="single" w:color="auto" w:sz="4" w:space="0"/>
              <w:right w:val="single" w:color="auto" w:sz="4" w:space="0"/>
            </w:tcBorders>
            <w:vAlign w:val="center"/>
          </w:tcPr>
          <w:p w14:paraId="3DB7F26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023" w:type="dxa"/>
            <w:tcBorders>
              <w:top w:val="single" w:color="auto" w:sz="4" w:space="0"/>
              <w:left w:val="nil"/>
              <w:bottom w:val="single" w:color="auto" w:sz="4" w:space="0"/>
              <w:right w:val="single" w:color="auto" w:sz="4" w:space="0"/>
            </w:tcBorders>
            <w:vAlign w:val="center"/>
          </w:tcPr>
          <w:p w14:paraId="68798727">
            <w:pPr>
              <w:keepNext w:val="0"/>
              <w:keepLines w:val="0"/>
              <w:suppressLineNumbers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生产厂家（或销售商）</w:t>
            </w:r>
          </w:p>
        </w:tc>
        <w:tc>
          <w:tcPr>
            <w:tcW w:w="934" w:type="dxa"/>
            <w:tcBorders>
              <w:top w:val="single" w:color="auto" w:sz="4" w:space="0"/>
              <w:left w:val="nil"/>
              <w:bottom w:val="single" w:color="auto" w:sz="4" w:space="0"/>
              <w:right w:val="single" w:color="auto" w:sz="4" w:space="0"/>
            </w:tcBorders>
            <w:vAlign w:val="center"/>
          </w:tcPr>
          <w:p w14:paraId="6BFB66C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53" w:type="dxa"/>
            <w:tcBorders>
              <w:top w:val="single" w:color="auto" w:sz="4" w:space="0"/>
              <w:left w:val="nil"/>
              <w:bottom w:val="single" w:color="auto" w:sz="4" w:space="0"/>
              <w:right w:val="single" w:color="auto" w:sz="4" w:space="0"/>
            </w:tcBorders>
            <w:vAlign w:val="center"/>
          </w:tcPr>
          <w:p w14:paraId="7F5446B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28" w:type="dxa"/>
            <w:tcBorders>
              <w:top w:val="single" w:color="auto" w:sz="4" w:space="0"/>
              <w:left w:val="nil"/>
              <w:bottom w:val="single" w:color="auto" w:sz="4" w:space="0"/>
              <w:right w:val="single" w:color="auto" w:sz="4" w:space="0"/>
            </w:tcBorders>
            <w:vAlign w:val="center"/>
          </w:tcPr>
          <w:p w14:paraId="0B76326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870" w:type="dxa"/>
            <w:tcBorders>
              <w:top w:val="single" w:color="auto" w:sz="4" w:space="0"/>
              <w:left w:val="nil"/>
              <w:bottom w:val="single" w:color="auto" w:sz="4" w:space="0"/>
              <w:right w:val="single" w:color="auto" w:sz="4" w:space="0"/>
            </w:tcBorders>
            <w:vAlign w:val="center"/>
          </w:tcPr>
          <w:p w14:paraId="490EDDF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小计</w:t>
            </w:r>
          </w:p>
        </w:tc>
        <w:tc>
          <w:tcPr>
            <w:tcW w:w="1182" w:type="dxa"/>
            <w:tcBorders>
              <w:top w:val="single" w:color="auto" w:sz="4" w:space="0"/>
              <w:left w:val="nil"/>
              <w:bottom w:val="single" w:color="auto" w:sz="4" w:space="0"/>
              <w:right w:val="single" w:color="auto" w:sz="4" w:space="0"/>
            </w:tcBorders>
            <w:vAlign w:val="center"/>
          </w:tcPr>
          <w:p w14:paraId="4BFB4A6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交货地点及时间</w:t>
            </w:r>
          </w:p>
        </w:tc>
      </w:tr>
      <w:tr w14:paraId="6076E08B">
        <w:tblPrEx>
          <w:tblCellMar>
            <w:top w:w="0" w:type="dxa"/>
            <w:left w:w="108" w:type="dxa"/>
            <w:bottom w:w="0" w:type="dxa"/>
            <w:right w:w="108" w:type="dxa"/>
          </w:tblCellMar>
        </w:tblPrEx>
        <w:trPr>
          <w:cantSplit/>
          <w:trHeight w:val="585" w:hRule="atLeast"/>
        </w:trPr>
        <w:tc>
          <w:tcPr>
            <w:tcW w:w="849" w:type="dxa"/>
            <w:tcBorders>
              <w:top w:val="single" w:color="auto" w:sz="4" w:space="0"/>
              <w:left w:val="single" w:color="auto" w:sz="4" w:space="0"/>
              <w:bottom w:val="single" w:color="auto" w:sz="4" w:space="0"/>
              <w:right w:val="single" w:color="auto" w:sz="4" w:space="0"/>
            </w:tcBorders>
          </w:tcPr>
          <w:p w14:paraId="21F56EA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978" w:type="dxa"/>
            <w:tcBorders>
              <w:top w:val="single" w:color="auto" w:sz="4" w:space="0"/>
              <w:left w:val="nil"/>
              <w:bottom w:val="single" w:color="auto" w:sz="4" w:space="0"/>
              <w:right w:val="single" w:color="auto" w:sz="4" w:space="0"/>
            </w:tcBorders>
            <w:vAlign w:val="center"/>
          </w:tcPr>
          <w:p w14:paraId="20147FF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4976C3D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5825B3A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297A4CD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AC3514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83C3D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969A3F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097FB17">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F87F09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978" w:type="dxa"/>
            <w:tcBorders>
              <w:top w:val="single" w:color="auto" w:sz="4" w:space="0"/>
              <w:left w:val="nil"/>
              <w:bottom w:val="single" w:color="auto" w:sz="4" w:space="0"/>
              <w:right w:val="single" w:color="auto" w:sz="4" w:space="0"/>
            </w:tcBorders>
            <w:vAlign w:val="center"/>
          </w:tcPr>
          <w:p w14:paraId="49D19A39">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kern w:val="0"/>
                <w:sz w:val="24"/>
                <w:szCs w:val="24"/>
              </w:rPr>
            </w:pPr>
          </w:p>
        </w:tc>
        <w:tc>
          <w:tcPr>
            <w:tcW w:w="1023" w:type="dxa"/>
            <w:tcBorders>
              <w:top w:val="single" w:color="auto" w:sz="4" w:space="0"/>
              <w:left w:val="nil"/>
              <w:bottom w:val="single" w:color="auto" w:sz="4" w:space="0"/>
              <w:right w:val="single" w:color="auto" w:sz="4" w:space="0"/>
            </w:tcBorders>
          </w:tcPr>
          <w:p w14:paraId="599CED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551889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D02C88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3383E8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32668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4B89487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3FF67BA6">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5F4822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978" w:type="dxa"/>
            <w:tcBorders>
              <w:top w:val="single" w:color="auto" w:sz="4" w:space="0"/>
              <w:left w:val="nil"/>
              <w:bottom w:val="single" w:color="auto" w:sz="4" w:space="0"/>
              <w:right w:val="single" w:color="auto" w:sz="4" w:space="0"/>
            </w:tcBorders>
          </w:tcPr>
          <w:p w14:paraId="2565D9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423FD94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72B12F4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6615647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AE1FB9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AD52EC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2F18BE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50CA338F">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1F80320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978" w:type="dxa"/>
            <w:tcBorders>
              <w:top w:val="single" w:color="auto" w:sz="4" w:space="0"/>
              <w:left w:val="nil"/>
              <w:bottom w:val="single" w:color="auto" w:sz="4" w:space="0"/>
              <w:right w:val="single" w:color="auto" w:sz="4" w:space="0"/>
            </w:tcBorders>
          </w:tcPr>
          <w:p w14:paraId="5C1AB76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25B279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5C1A367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412347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215929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4709F5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03A0A6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C524532">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1CBAE8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978" w:type="dxa"/>
            <w:tcBorders>
              <w:top w:val="single" w:color="auto" w:sz="4" w:space="0"/>
              <w:left w:val="nil"/>
              <w:bottom w:val="single" w:color="auto" w:sz="4" w:space="0"/>
              <w:right w:val="single" w:color="auto" w:sz="4" w:space="0"/>
            </w:tcBorders>
          </w:tcPr>
          <w:p w14:paraId="33A416D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156B61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054094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CF5C0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0E7D4D4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18BC00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6A23CE3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187DB989">
        <w:tblPrEx>
          <w:tblCellMar>
            <w:top w:w="0" w:type="dxa"/>
            <w:left w:w="108" w:type="dxa"/>
            <w:bottom w:w="0" w:type="dxa"/>
            <w:right w:w="108" w:type="dxa"/>
          </w:tblCellMar>
        </w:tblPrEx>
        <w:trPr>
          <w:trHeight w:val="597" w:hRule="atLeast"/>
        </w:trPr>
        <w:tc>
          <w:tcPr>
            <w:tcW w:w="849" w:type="dxa"/>
            <w:tcBorders>
              <w:top w:val="single" w:color="auto" w:sz="4" w:space="0"/>
              <w:left w:val="single" w:color="auto" w:sz="4" w:space="0"/>
              <w:bottom w:val="single" w:color="auto" w:sz="4" w:space="0"/>
              <w:right w:val="single" w:color="auto" w:sz="4" w:space="0"/>
            </w:tcBorders>
          </w:tcPr>
          <w:p w14:paraId="2299031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978" w:type="dxa"/>
            <w:tcBorders>
              <w:top w:val="single" w:color="auto" w:sz="4" w:space="0"/>
              <w:left w:val="nil"/>
              <w:bottom w:val="single" w:color="auto" w:sz="4" w:space="0"/>
              <w:right w:val="single" w:color="auto" w:sz="4" w:space="0"/>
            </w:tcBorders>
          </w:tcPr>
          <w:p w14:paraId="7CD82B2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023" w:type="dxa"/>
            <w:tcBorders>
              <w:top w:val="single" w:color="auto" w:sz="4" w:space="0"/>
              <w:left w:val="nil"/>
              <w:bottom w:val="single" w:color="auto" w:sz="4" w:space="0"/>
              <w:right w:val="single" w:color="auto" w:sz="4" w:space="0"/>
            </w:tcBorders>
          </w:tcPr>
          <w:p w14:paraId="4D7B85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0F58586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C948E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B41967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688F3B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1F4F3E7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bl>
    <w:p w14:paraId="08DFB633">
      <w:pPr>
        <w:rPr>
          <w:rFonts w:hint="eastAsia" w:ascii="宋体" w:hAnsi="宋体" w:eastAsia="宋体" w:cs="宋体"/>
          <w:sz w:val="24"/>
          <w:szCs w:val="24"/>
        </w:rPr>
      </w:pPr>
    </w:p>
    <w:p w14:paraId="5851D897">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6DB0AD37">
      <w:pPr>
        <w:numPr>
          <w:ilvl w:val="0"/>
          <w:numId w:val="18"/>
        </w:num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投标费用包括项目实施所需的人工费、服务费、运输费、安装调试费、购买及制作标书费、税费及其他一切费用。</w:t>
      </w:r>
    </w:p>
    <w:p w14:paraId="546221CD">
      <w:pPr>
        <w:pStyle w:val="9"/>
        <w:ind w:firstLine="0" w:firstLineChars="0"/>
        <w:rPr>
          <w:rFonts w:hint="eastAsia" w:ascii="宋体" w:hAnsi="宋体" w:eastAsia="宋体" w:cs="宋体"/>
          <w:sz w:val="24"/>
          <w:szCs w:val="24"/>
        </w:rPr>
      </w:pPr>
    </w:p>
    <w:p w14:paraId="503C55AD">
      <w:pPr>
        <w:pStyle w:val="9"/>
        <w:ind w:firstLine="0" w:firstLineChars="0"/>
        <w:rPr>
          <w:rFonts w:hint="eastAsia" w:ascii="宋体" w:hAnsi="宋体" w:eastAsia="宋体" w:cs="宋体"/>
          <w:sz w:val="24"/>
          <w:szCs w:val="24"/>
        </w:rPr>
      </w:pPr>
    </w:p>
    <w:p w14:paraId="7ED5372D">
      <w:pPr>
        <w:pStyle w:val="9"/>
        <w:ind w:firstLine="0" w:firstLineChars="0"/>
        <w:rPr>
          <w:rFonts w:hint="eastAsia" w:ascii="宋体" w:hAnsi="宋体" w:eastAsia="宋体" w:cs="宋体"/>
          <w:sz w:val="24"/>
          <w:szCs w:val="24"/>
        </w:rPr>
      </w:pPr>
    </w:p>
    <w:p w14:paraId="7B1CB647">
      <w:pPr>
        <w:pStyle w:val="9"/>
        <w:ind w:firstLine="0" w:firstLineChars="0"/>
        <w:rPr>
          <w:rFonts w:hint="eastAsia" w:ascii="宋体" w:hAnsi="宋体" w:eastAsia="宋体" w:cs="宋体"/>
          <w:sz w:val="24"/>
          <w:szCs w:val="24"/>
        </w:rPr>
      </w:pPr>
    </w:p>
    <w:p w14:paraId="50F1833F">
      <w:pPr>
        <w:pStyle w:val="9"/>
        <w:ind w:firstLine="0" w:firstLineChars="0"/>
        <w:rPr>
          <w:rFonts w:hint="eastAsia" w:ascii="宋体" w:hAnsi="宋体" w:eastAsia="宋体" w:cs="宋体"/>
          <w:sz w:val="24"/>
          <w:szCs w:val="24"/>
        </w:rPr>
      </w:pPr>
    </w:p>
    <w:p w14:paraId="022AC665">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bookmarkStart w:id="781" w:name="_Toc32392_WPSOffice_Level2"/>
      <w:bookmarkStart w:id="782" w:name="_Toc25076_WPSOffice_Level2"/>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bookmarkEnd w:id="781"/>
      <w:bookmarkEnd w:id="782"/>
    </w:p>
    <w:p w14:paraId="09D78102">
      <w:pPr>
        <w:ind w:firstLine="4113" w:firstLineChars="1714"/>
        <w:jc w:val="right"/>
        <w:rPr>
          <w:rFonts w:hint="eastAsia" w:ascii="宋体" w:hAnsi="宋体" w:eastAsia="宋体" w:cs="宋体"/>
          <w:sz w:val="24"/>
          <w:szCs w:val="24"/>
        </w:rPr>
      </w:pPr>
      <w:r>
        <w:rPr>
          <w:rFonts w:hint="eastAsia" w:ascii="宋体" w:hAnsi="宋体" w:eastAsia="宋体" w:cs="宋体"/>
          <w:sz w:val="24"/>
          <w:szCs w:val="24"/>
        </w:rPr>
        <w:t xml:space="preserve"> </w:t>
      </w:r>
    </w:p>
    <w:p w14:paraId="5CB891F9">
      <w:pPr>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cs="宋体"/>
          <w:sz w:val="24"/>
          <w:szCs w:val="24"/>
          <w:lang w:val="en-US" w:eastAsia="zh-CN"/>
        </w:rPr>
        <w:t>定</w:t>
      </w:r>
      <w:r>
        <w:rPr>
          <w:rFonts w:hint="eastAsia" w:ascii="宋体" w:hAnsi="宋体" w:eastAsia="宋体" w:cs="宋体"/>
          <w:sz w:val="24"/>
          <w:szCs w:val="24"/>
        </w:rPr>
        <w:t>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670AB204">
      <w:pPr>
        <w:ind w:firstLine="4113" w:firstLineChars="1714"/>
        <w:rPr>
          <w:rFonts w:hint="eastAsia" w:ascii="宋体" w:hAnsi="宋体" w:eastAsia="宋体" w:cs="宋体"/>
          <w:sz w:val="24"/>
          <w:szCs w:val="24"/>
        </w:rPr>
      </w:pPr>
      <w:r>
        <w:rPr>
          <w:rFonts w:hint="eastAsia" w:ascii="宋体" w:hAnsi="宋体" w:eastAsia="宋体" w:cs="宋体"/>
          <w:sz w:val="24"/>
          <w:szCs w:val="24"/>
        </w:rPr>
        <w:t xml:space="preserve"> </w:t>
      </w:r>
    </w:p>
    <w:p w14:paraId="46E99C61">
      <w:pPr>
        <w:ind w:right="420" w:firstLine="480" w:firstLineChars="200"/>
        <w:rPr>
          <w:rFonts w:hint="eastAsia" w:ascii="宋体" w:hAnsi="宋体" w:eastAsia="宋体" w:cs="宋体"/>
          <w:sz w:val="24"/>
          <w:szCs w:val="24"/>
          <w:lang w:val="zh-CN"/>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9B099AE">
      <w:pPr>
        <w:pStyle w:val="3"/>
        <w:numPr>
          <w:ilvl w:val="0"/>
          <w:numId w:val="19"/>
        </w:numPr>
        <w:spacing w:line="360" w:lineRule="auto"/>
        <w:rPr>
          <w:lang w:val="zh-CN"/>
        </w:rPr>
      </w:pPr>
      <w:r>
        <w:rPr>
          <w:rFonts w:hint="eastAsia" w:ascii="宋体" w:hAnsi="宋体" w:eastAsia="宋体" w:cs="宋体"/>
          <w:bCs/>
          <w:szCs w:val="24"/>
          <w:lang w:val="zh-CN"/>
        </w:rPr>
        <w:br w:type="page"/>
      </w:r>
      <w:bookmarkEnd w:id="780"/>
      <w:bookmarkStart w:id="783" w:name="_Toc15351"/>
      <w:bookmarkStart w:id="784" w:name="_Toc5859_WPSOffice_Level1"/>
      <w:bookmarkStart w:id="785" w:name="_Toc19742"/>
      <w:bookmarkStart w:id="786" w:name="_Toc16225"/>
      <w:bookmarkStart w:id="787" w:name="_Toc10111"/>
      <w:r>
        <w:rPr>
          <w:rFonts w:hint="eastAsia" w:ascii="宋体" w:hAnsi="宋体" w:eastAsia="宋体" w:cs="宋体"/>
          <w:bCs/>
          <w:szCs w:val="24"/>
          <w:lang w:val="zh-CN"/>
        </w:rPr>
        <w:t>投标设备技术参数</w:t>
      </w:r>
      <w:bookmarkEnd w:id="783"/>
      <w:bookmarkEnd w:id="784"/>
    </w:p>
    <w:tbl>
      <w:tblPr>
        <w:tblStyle w:val="23"/>
        <w:tblW w:w="0" w:type="auto"/>
        <w:tblInd w:w="102" w:type="dxa"/>
        <w:tblLayout w:type="fixed"/>
        <w:tblCellMar>
          <w:top w:w="0" w:type="dxa"/>
          <w:left w:w="108" w:type="dxa"/>
          <w:bottom w:w="0" w:type="dxa"/>
          <w:right w:w="108" w:type="dxa"/>
        </w:tblCellMar>
      </w:tblPr>
      <w:tblGrid>
        <w:gridCol w:w="1139"/>
        <w:gridCol w:w="3325"/>
        <w:gridCol w:w="3914"/>
      </w:tblGrid>
      <w:tr w14:paraId="01D708A3">
        <w:tblPrEx>
          <w:tblCellMar>
            <w:top w:w="0" w:type="dxa"/>
            <w:left w:w="108" w:type="dxa"/>
            <w:bottom w:w="0" w:type="dxa"/>
            <w:right w:w="108" w:type="dxa"/>
          </w:tblCellMar>
        </w:tblPrEx>
        <w:trPr>
          <w:cantSplit/>
          <w:trHeight w:val="1061" w:hRule="atLeast"/>
        </w:trPr>
        <w:tc>
          <w:tcPr>
            <w:tcW w:w="1139" w:type="dxa"/>
            <w:tcBorders>
              <w:top w:val="single" w:color="auto" w:sz="4" w:space="0"/>
              <w:left w:val="single" w:color="auto" w:sz="4" w:space="0"/>
              <w:bottom w:val="single" w:color="auto" w:sz="4" w:space="0"/>
              <w:right w:val="single" w:color="auto" w:sz="4" w:space="0"/>
            </w:tcBorders>
            <w:vAlign w:val="center"/>
          </w:tcPr>
          <w:p w14:paraId="3482DD56">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bookmarkStart w:id="788" w:name="OLE_LINK1"/>
            <w:r>
              <w:rPr>
                <w:rFonts w:hint="eastAsia" w:ascii="宋体" w:hAnsi="宋体" w:eastAsia="宋体" w:cs="宋体"/>
                <w:b/>
                <w:sz w:val="24"/>
                <w:szCs w:val="24"/>
              </w:rPr>
              <w:t>序号</w:t>
            </w:r>
          </w:p>
        </w:tc>
        <w:tc>
          <w:tcPr>
            <w:tcW w:w="3325" w:type="dxa"/>
            <w:tcBorders>
              <w:top w:val="single" w:color="auto" w:sz="4" w:space="0"/>
              <w:left w:val="nil"/>
              <w:bottom w:val="single" w:color="auto" w:sz="4" w:space="0"/>
              <w:right w:val="single" w:color="auto" w:sz="4" w:space="0"/>
            </w:tcBorders>
            <w:vAlign w:val="center"/>
          </w:tcPr>
          <w:p w14:paraId="785FC6E8">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3914" w:type="dxa"/>
            <w:tcBorders>
              <w:top w:val="single" w:color="auto" w:sz="4" w:space="0"/>
              <w:left w:val="nil"/>
              <w:bottom w:val="single" w:color="auto" w:sz="4" w:space="0"/>
              <w:right w:val="single" w:color="auto" w:sz="4" w:space="0"/>
            </w:tcBorders>
            <w:vAlign w:val="center"/>
          </w:tcPr>
          <w:p w14:paraId="151C474F">
            <w:pPr>
              <w:keepNext w:val="0"/>
              <w:keepLines w:val="0"/>
              <w:suppressLineNumbers w:val="0"/>
              <w:spacing w:before="0" w:beforeAutospacing="0" w:after="0" w:afterAutospacing="0" w:line="5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技术参数</w:t>
            </w:r>
          </w:p>
        </w:tc>
      </w:tr>
      <w:tr w14:paraId="23FBC93A">
        <w:tblPrEx>
          <w:tblCellMar>
            <w:top w:w="0" w:type="dxa"/>
            <w:left w:w="108" w:type="dxa"/>
            <w:bottom w:w="0" w:type="dxa"/>
            <w:right w:w="108" w:type="dxa"/>
          </w:tblCellMar>
        </w:tblPrEx>
        <w:trPr>
          <w:cantSplit/>
          <w:trHeight w:val="767" w:hRule="atLeast"/>
        </w:trPr>
        <w:tc>
          <w:tcPr>
            <w:tcW w:w="1139" w:type="dxa"/>
            <w:tcBorders>
              <w:top w:val="single" w:color="auto" w:sz="4" w:space="0"/>
              <w:left w:val="single" w:color="auto" w:sz="4" w:space="0"/>
              <w:bottom w:val="single" w:color="auto" w:sz="4" w:space="0"/>
              <w:right w:val="single" w:color="auto" w:sz="4" w:space="0"/>
            </w:tcBorders>
          </w:tcPr>
          <w:p w14:paraId="5C7E011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3325" w:type="dxa"/>
            <w:tcBorders>
              <w:top w:val="single" w:color="auto" w:sz="4" w:space="0"/>
              <w:left w:val="nil"/>
              <w:bottom w:val="single" w:color="auto" w:sz="4" w:space="0"/>
              <w:right w:val="single" w:color="auto" w:sz="4" w:space="0"/>
            </w:tcBorders>
          </w:tcPr>
          <w:p w14:paraId="585F500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270C764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00E25605">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5638AD07">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3325" w:type="dxa"/>
            <w:tcBorders>
              <w:top w:val="single" w:color="auto" w:sz="4" w:space="0"/>
              <w:left w:val="nil"/>
              <w:bottom w:val="single" w:color="auto" w:sz="4" w:space="0"/>
              <w:right w:val="single" w:color="auto" w:sz="4" w:space="0"/>
            </w:tcBorders>
          </w:tcPr>
          <w:p w14:paraId="307D5D0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156392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20D4BC72">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2023685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3325" w:type="dxa"/>
            <w:tcBorders>
              <w:top w:val="single" w:color="auto" w:sz="4" w:space="0"/>
              <w:left w:val="nil"/>
              <w:bottom w:val="single" w:color="auto" w:sz="4" w:space="0"/>
              <w:right w:val="single" w:color="auto" w:sz="4" w:space="0"/>
            </w:tcBorders>
          </w:tcPr>
          <w:p w14:paraId="2280806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0D71EC7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4FAC47D9">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17B99A40">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3325" w:type="dxa"/>
            <w:tcBorders>
              <w:top w:val="single" w:color="auto" w:sz="4" w:space="0"/>
              <w:left w:val="nil"/>
              <w:bottom w:val="single" w:color="auto" w:sz="4" w:space="0"/>
              <w:right w:val="single" w:color="auto" w:sz="4" w:space="0"/>
            </w:tcBorders>
          </w:tcPr>
          <w:p w14:paraId="6C95DC2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6AC35FF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826EA22">
        <w:tblPrEx>
          <w:tblCellMar>
            <w:top w:w="0" w:type="dxa"/>
            <w:left w:w="108" w:type="dxa"/>
            <w:bottom w:w="0" w:type="dxa"/>
            <w:right w:w="108" w:type="dxa"/>
          </w:tblCellMar>
        </w:tblPrEx>
        <w:trPr>
          <w:trHeight w:val="767" w:hRule="atLeast"/>
        </w:trPr>
        <w:tc>
          <w:tcPr>
            <w:tcW w:w="1139" w:type="dxa"/>
            <w:tcBorders>
              <w:top w:val="single" w:color="auto" w:sz="4" w:space="0"/>
              <w:left w:val="single" w:color="auto" w:sz="4" w:space="0"/>
              <w:bottom w:val="single" w:color="auto" w:sz="4" w:space="0"/>
              <w:right w:val="single" w:color="auto" w:sz="4" w:space="0"/>
            </w:tcBorders>
          </w:tcPr>
          <w:p w14:paraId="589C3B2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3325" w:type="dxa"/>
            <w:tcBorders>
              <w:top w:val="single" w:color="auto" w:sz="4" w:space="0"/>
              <w:left w:val="nil"/>
              <w:bottom w:val="single" w:color="auto" w:sz="4" w:space="0"/>
              <w:right w:val="single" w:color="auto" w:sz="4" w:space="0"/>
            </w:tcBorders>
          </w:tcPr>
          <w:p w14:paraId="3EFCC8D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3914" w:type="dxa"/>
            <w:tcBorders>
              <w:top w:val="single" w:color="auto" w:sz="4" w:space="0"/>
              <w:left w:val="nil"/>
              <w:bottom w:val="single" w:color="auto" w:sz="4" w:space="0"/>
              <w:right w:val="single" w:color="auto" w:sz="4" w:space="0"/>
            </w:tcBorders>
          </w:tcPr>
          <w:p w14:paraId="60C0680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3E2CB3CB">
        <w:tblPrEx>
          <w:tblCellMar>
            <w:top w:w="0" w:type="dxa"/>
            <w:left w:w="108" w:type="dxa"/>
            <w:bottom w:w="0" w:type="dxa"/>
            <w:right w:w="108" w:type="dxa"/>
          </w:tblCellMar>
        </w:tblPrEx>
        <w:trPr>
          <w:trHeight w:val="780" w:hRule="atLeast"/>
        </w:trPr>
        <w:tc>
          <w:tcPr>
            <w:tcW w:w="1139" w:type="dxa"/>
            <w:tcBorders>
              <w:top w:val="single" w:color="auto" w:sz="4" w:space="0"/>
              <w:left w:val="single" w:color="auto" w:sz="4" w:space="0"/>
              <w:bottom w:val="single" w:color="auto" w:sz="4" w:space="0"/>
              <w:right w:val="single" w:color="auto" w:sz="4" w:space="0"/>
            </w:tcBorders>
          </w:tcPr>
          <w:p w14:paraId="65629B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3325" w:type="dxa"/>
            <w:tcBorders>
              <w:top w:val="single" w:color="auto" w:sz="4" w:space="0"/>
              <w:left w:val="nil"/>
              <w:bottom w:val="single" w:color="auto" w:sz="4" w:space="0"/>
              <w:right w:val="single" w:color="auto" w:sz="4" w:space="0"/>
            </w:tcBorders>
          </w:tcPr>
          <w:p w14:paraId="02B55D0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3914" w:type="dxa"/>
            <w:tcBorders>
              <w:top w:val="single" w:color="auto" w:sz="4" w:space="0"/>
              <w:left w:val="nil"/>
              <w:bottom w:val="single" w:color="auto" w:sz="4" w:space="0"/>
              <w:right w:val="single" w:color="auto" w:sz="4" w:space="0"/>
            </w:tcBorders>
          </w:tcPr>
          <w:p w14:paraId="712B840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bookmarkEnd w:id="788"/>
    </w:tbl>
    <w:p w14:paraId="64C0DC13">
      <w:pPr>
        <w:rPr>
          <w:rFonts w:hint="eastAsia" w:ascii="宋体" w:hAnsi="宋体" w:eastAsia="宋体" w:cs="宋体"/>
          <w:sz w:val="24"/>
          <w:szCs w:val="24"/>
          <w:lang w:val="zh-CN"/>
        </w:rPr>
      </w:pPr>
    </w:p>
    <w:p w14:paraId="50F283E6">
      <w:pPr>
        <w:pStyle w:val="3"/>
        <w:numPr>
          <w:ilvl w:val="0"/>
          <w:numId w:val="0"/>
        </w:num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注：自行添加表格</w:t>
      </w:r>
    </w:p>
    <w:p w14:paraId="2B4A4E91">
      <w:pPr>
        <w:rPr>
          <w:rFonts w:hint="eastAsia" w:ascii="宋体" w:hAnsi="宋体" w:eastAsia="宋体" w:cs="宋体"/>
          <w:bCs/>
          <w:sz w:val="24"/>
          <w:szCs w:val="24"/>
          <w:lang w:val="zh-CN"/>
        </w:rPr>
      </w:pPr>
    </w:p>
    <w:p w14:paraId="3A80C02B">
      <w:pPr>
        <w:pStyle w:val="9"/>
        <w:rPr>
          <w:rFonts w:hint="eastAsia" w:ascii="宋体" w:hAnsi="宋体" w:eastAsia="宋体" w:cs="宋体"/>
          <w:bCs/>
          <w:sz w:val="24"/>
          <w:szCs w:val="24"/>
          <w:lang w:val="zh-CN"/>
        </w:rPr>
      </w:pPr>
    </w:p>
    <w:p w14:paraId="7B148F16">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p>
    <w:p w14:paraId="7111642D">
      <w:pPr>
        <w:rPr>
          <w:rFonts w:hint="eastAsia" w:ascii="宋体" w:hAnsi="宋体" w:eastAsia="宋体" w:cs="宋体"/>
          <w:sz w:val="24"/>
          <w:szCs w:val="24"/>
        </w:rPr>
      </w:pPr>
      <w:r>
        <w:rPr>
          <w:rFonts w:hint="eastAsia" w:ascii="宋体" w:hAnsi="宋体" w:eastAsia="宋体" w:cs="宋体"/>
          <w:sz w:val="24"/>
          <w:szCs w:val="24"/>
        </w:rPr>
        <w:t xml:space="preserve">     </w:t>
      </w:r>
    </w:p>
    <w:p w14:paraId="052EC63A">
      <w:pPr>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4D821E12">
      <w:pPr>
        <w:rPr>
          <w:rFonts w:hint="eastAsia" w:ascii="宋体" w:hAnsi="宋体" w:eastAsia="宋体" w:cs="宋体"/>
          <w:sz w:val="24"/>
          <w:szCs w:val="24"/>
        </w:rPr>
      </w:pPr>
    </w:p>
    <w:p w14:paraId="53E0E400">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4B29F58">
      <w:pPr>
        <w:pStyle w:val="9"/>
        <w:rPr>
          <w:rFonts w:hint="eastAsia" w:ascii="宋体" w:hAnsi="宋体" w:eastAsia="宋体" w:cs="宋体"/>
          <w:bCs/>
          <w:sz w:val="24"/>
          <w:szCs w:val="24"/>
          <w:lang w:val="zh-CN"/>
        </w:rPr>
      </w:pPr>
    </w:p>
    <w:p w14:paraId="1BBAFBD5">
      <w:pPr>
        <w:pStyle w:val="9"/>
        <w:rPr>
          <w:rFonts w:ascii="宋体" w:hAnsi="宋体" w:eastAsia="宋体" w:cs="宋体"/>
          <w:bCs/>
          <w:lang w:val="zh-CN"/>
        </w:rPr>
      </w:pPr>
    </w:p>
    <w:p w14:paraId="33318428">
      <w:pPr>
        <w:pStyle w:val="9"/>
        <w:rPr>
          <w:rFonts w:ascii="宋体" w:hAnsi="宋体" w:eastAsia="宋体" w:cs="宋体"/>
          <w:bCs/>
          <w:lang w:val="zh-CN"/>
        </w:rPr>
      </w:pPr>
    </w:p>
    <w:p w14:paraId="6CED73D2">
      <w:pPr>
        <w:pStyle w:val="9"/>
        <w:rPr>
          <w:rFonts w:ascii="宋体" w:hAnsi="宋体" w:eastAsia="宋体" w:cs="宋体"/>
          <w:bCs/>
          <w:lang w:val="zh-CN"/>
        </w:rPr>
      </w:pPr>
    </w:p>
    <w:p w14:paraId="408BDCEF">
      <w:pPr>
        <w:pStyle w:val="9"/>
        <w:rPr>
          <w:rFonts w:ascii="宋体" w:hAnsi="宋体" w:eastAsia="宋体" w:cs="宋体"/>
          <w:bCs/>
          <w:lang w:val="zh-CN"/>
        </w:rPr>
      </w:pPr>
    </w:p>
    <w:p w14:paraId="5ACB2A5E">
      <w:pPr>
        <w:pStyle w:val="9"/>
        <w:rPr>
          <w:rFonts w:ascii="宋体" w:hAnsi="宋体" w:eastAsia="宋体" w:cs="宋体"/>
          <w:bCs/>
          <w:lang w:val="zh-CN"/>
        </w:rPr>
      </w:pPr>
    </w:p>
    <w:p w14:paraId="345350CB">
      <w:pPr>
        <w:pStyle w:val="9"/>
        <w:rPr>
          <w:rFonts w:ascii="宋体" w:hAnsi="宋体" w:eastAsia="宋体" w:cs="宋体"/>
          <w:bCs/>
          <w:lang w:val="zh-CN"/>
        </w:rPr>
      </w:pPr>
    </w:p>
    <w:p w14:paraId="639E4DB2">
      <w:pPr>
        <w:pStyle w:val="9"/>
        <w:rPr>
          <w:rFonts w:ascii="宋体" w:hAnsi="宋体" w:eastAsia="宋体" w:cs="宋体"/>
          <w:bCs/>
          <w:lang w:val="zh-CN"/>
        </w:rPr>
      </w:pPr>
    </w:p>
    <w:p w14:paraId="52959E06">
      <w:pPr>
        <w:pStyle w:val="9"/>
        <w:rPr>
          <w:rFonts w:ascii="宋体" w:hAnsi="宋体" w:eastAsia="宋体" w:cs="宋体"/>
          <w:bCs/>
          <w:lang w:val="zh-CN"/>
        </w:rPr>
      </w:pPr>
    </w:p>
    <w:p w14:paraId="575D66CD">
      <w:pPr>
        <w:pStyle w:val="9"/>
        <w:rPr>
          <w:rFonts w:ascii="宋体" w:hAnsi="宋体" w:eastAsia="宋体" w:cs="宋体"/>
          <w:bCs/>
          <w:lang w:val="zh-CN"/>
        </w:rPr>
      </w:pPr>
    </w:p>
    <w:p w14:paraId="099D2160">
      <w:pPr>
        <w:pStyle w:val="3"/>
        <w:numPr>
          <w:ilvl w:val="0"/>
          <w:numId w:val="0"/>
        </w:numPr>
        <w:spacing w:line="360" w:lineRule="auto"/>
        <w:rPr>
          <w:rFonts w:ascii="宋体" w:hAnsi="宋体" w:eastAsia="宋体" w:cs="宋体"/>
          <w:szCs w:val="32"/>
        </w:rPr>
      </w:pPr>
      <w:bookmarkStart w:id="789" w:name="_Toc12056_WPSOffice_Level1"/>
      <w:bookmarkStart w:id="790" w:name="_Toc2951"/>
      <w:r>
        <w:rPr>
          <w:rFonts w:hint="eastAsia" w:ascii="宋体" w:hAnsi="宋体" w:eastAsia="宋体" w:cs="宋体"/>
          <w:szCs w:val="32"/>
          <w:lang w:val="en-US" w:eastAsia="zh-CN"/>
        </w:rPr>
        <w:t>五</w:t>
      </w:r>
      <w:r>
        <w:rPr>
          <w:rFonts w:hint="eastAsia" w:ascii="宋体" w:hAnsi="宋体" w:eastAsia="宋体" w:cs="宋体"/>
          <w:szCs w:val="32"/>
        </w:rPr>
        <w:t>、设备技术性能偏离表</w:t>
      </w:r>
      <w:bookmarkEnd w:id="785"/>
      <w:bookmarkEnd w:id="786"/>
      <w:bookmarkEnd w:id="787"/>
      <w:bookmarkEnd w:id="789"/>
      <w:bookmarkEnd w:id="790"/>
    </w:p>
    <w:tbl>
      <w:tblPr>
        <w:tblStyle w:val="23"/>
        <w:tblW w:w="0" w:type="auto"/>
        <w:tblInd w:w="0" w:type="dxa"/>
        <w:tblLayout w:type="fixed"/>
        <w:tblCellMar>
          <w:top w:w="0" w:type="dxa"/>
          <w:left w:w="108" w:type="dxa"/>
          <w:bottom w:w="0" w:type="dxa"/>
          <w:right w:w="108" w:type="dxa"/>
        </w:tblCellMar>
      </w:tblPr>
      <w:tblGrid>
        <w:gridCol w:w="876"/>
        <w:gridCol w:w="1332"/>
        <w:gridCol w:w="2250"/>
        <w:gridCol w:w="2155"/>
        <w:gridCol w:w="2265"/>
      </w:tblGrid>
      <w:tr w14:paraId="04B524A0">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7DFC5AE">
            <w:pPr>
              <w:keepNext w:val="0"/>
              <w:keepLines w:val="0"/>
              <w:suppressLineNumbers w:val="0"/>
              <w:spacing w:before="0" w:beforeAutospacing="0" w:after="0" w:afterAutospacing="0"/>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序号</w:t>
            </w:r>
          </w:p>
        </w:tc>
        <w:tc>
          <w:tcPr>
            <w:tcW w:w="1332" w:type="dxa"/>
            <w:tcBorders>
              <w:top w:val="single" w:color="auto" w:sz="4" w:space="0"/>
              <w:left w:val="nil"/>
              <w:bottom w:val="single" w:color="auto" w:sz="4" w:space="0"/>
              <w:right w:val="single" w:color="auto" w:sz="4" w:space="0"/>
            </w:tcBorders>
            <w:vAlign w:val="center"/>
          </w:tcPr>
          <w:p w14:paraId="457B7C49">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2250" w:type="dxa"/>
            <w:tcBorders>
              <w:top w:val="single" w:color="auto" w:sz="4" w:space="0"/>
              <w:left w:val="nil"/>
              <w:bottom w:val="single" w:color="auto" w:sz="4" w:space="0"/>
              <w:right w:val="single" w:color="auto" w:sz="4" w:space="0"/>
            </w:tcBorders>
            <w:vAlign w:val="center"/>
          </w:tcPr>
          <w:p w14:paraId="29DE410D">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采购参数要求</w:t>
            </w:r>
          </w:p>
        </w:tc>
        <w:tc>
          <w:tcPr>
            <w:tcW w:w="2155" w:type="dxa"/>
            <w:tcBorders>
              <w:top w:val="single" w:color="auto" w:sz="4" w:space="0"/>
              <w:left w:val="nil"/>
              <w:bottom w:val="single" w:color="auto" w:sz="4" w:space="0"/>
              <w:right w:val="single" w:color="auto" w:sz="4" w:space="0"/>
            </w:tcBorders>
            <w:vAlign w:val="center"/>
          </w:tcPr>
          <w:p w14:paraId="5307AB66">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响应规格参数要求</w:t>
            </w:r>
          </w:p>
        </w:tc>
        <w:tc>
          <w:tcPr>
            <w:tcW w:w="2265" w:type="dxa"/>
            <w:tcBorders>
              <w:top w:val="single" w:color="auto" w:sz="4" w:space="0"/>
              <w:left w:val="nil"/>
              <w:bottom w:val="single" w:color="auto" w:sz="4" w:space="0"/>
              <w:right w:val="single" w:color="auto" w:sz="4" w:space="0"/>
            </w:tcBorders>
            <w:vAlign w:val="center"/>
          </w:tcPr>
          <w:p w14:paraId="3EECBA75">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偏离说明</w:t>
            </w:r>
          </w:p>
        </w:tc>
      </w:tr>
      <w:tr w14:paraId="015145E4">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1CF63D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5179DB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71D746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A683D5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F04F1A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10AC893">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E94752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42580E1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EE2DCD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3E4CB6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EFA4C0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A26E071">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394239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20ACE7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9405BF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E5A52A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CFBD4D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E788486">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06598B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093381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537BE3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4C47A0C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097992D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E8CB7E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2B1F012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AE6C34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1327F7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965B9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35209CF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ABAA6FC">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743896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5E2426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B05A3E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E5485D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401123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4E8F096C">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6640636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50E32D8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A14771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776E31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57C4920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A508F8B">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04DD72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2506EAE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01BF97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606BF2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606664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8C4E240">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EA0C86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61C88A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5599C9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E073B4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1CD045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CD98729">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669FD71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D0589E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02C4BC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956B13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0E5EBE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3ABB40D2">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EECE08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1AF6BB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2BD2F11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1FD60A2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28FB75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DEBBA34">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81D4CB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5D5C6BE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w:t>
            </w:r>
          </w:p>
        </w:tc>
        <w:tc>
          <w:tcPr>
            <w:tcW w:w="2250" w:type="dxa"/>
            <w:tcBorders>
              <w:top w:val="single" w:color="auto" w:sz="4" w:space="0"/>
              <w:left w:val="nil"/>
              <w:bottom w:val="single" w:color="auto" w:sz="4" w:space="0"/>
              <w:right w:val="single" w:color="auto" w:sz="4" w:space="0"/>
            </w:tcBorders>
            <w:vAlign w:val="center"/>
          </w:tcPr>
          <w:p w14:paraId="69F8D1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A32F8F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7CE2F3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bl>
    <w:p w14:paraId="7EC69236">
      <w:pPr>
        <w:spacing w:line="400" w:lineRule="exact"/>
        <w:ind w:firstLine="482" w:firstLineChars="200"/>
        <w:rPr>
          <w:rFonts w:hint="eastAsia" w:ascii="宋体" w:hAnsi="宋体" w:eastAsia="宋体" w:cs="宋体"/>
          <w:b/>
          <w:sz w:val="24"/>
          <w:szCs w:val="24"/>
        </w:rPr>
      </w:pPr>
      <w:bookmarkStart w:id="791" w:name="OLE_LINK5"/>
      <w:r>
        <w:rPr>
          <w:rFonts w:hint="eastAsia" w:ascii="宋体" w:hAnsi="宋体" w:eastAsia="宋体" w:cs="宋体"/>
          <w:b/>
          <w:sz w:val="24"/>
          <w:szCs w:val="24"/>
        </w:rPr>
        <w:t>说明：</w:t>
      </w:r>
    </w:p>
    <w:p w14:paraId="002D03B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1、“偏离说明”一栏中响应人应对所投设备的技术参数与招标文件的要求进行对比，如无偏差请填写“无”的字样，如有偏差请注明“正偏离或负偏离”字样；</w:t>
      </w:r>
    </w:p>
    <w:p w14:paraId="40AE941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2、“偏离说明”一栏中由响应人对所投设备的技术性能对应招标文件要求就偏差之处作以重点描述；</w:t>
      </w:r>
    </w:p>
    <w:p w14:paraId="49D6B0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bookmarkEnd w:id="791"/>
    </w:p>
    <w:p w14:paraId="6451D1AD">
      <w:pPr>
        <w:pStyle w:val="5"/>
        <w:spacing w:line="360" w:lineRule="auto"/>
        <w:ind w:firstLine="0"/>
        <w:rPr>
          <w:rFonts w:hint="eastAsia" w:ascii="宋体" w:hAnsi="宋体" w:eastAsia="宋体" w:cs="宋体"/>
          <w:bCs/>
          <w:sz w:val="24"/>
          <w:szCs w:val="24"/>
        </w:rPr>
      </w:pPr>
    </w:p>
    <w:p w14:paraId="181130A9">
      <w:pPr>
        <w:spacing w:beforeLines="50" w:afterLines="50" w:line="440" w:lineRule="exact"/>
        <w:ind w:left="717" w:leftChars="227" w:hanging="240" w:hangingChars="100"/>
        <w:jc w:val="right"/>
        <w:rPr>
          <w:rFonts w:hint="eastAsia" w:ascii="宋体" w:hAnsi="宋体" w:eastAsia="宋体" w:cs="宋体"/>
          <w:sz w:val="24"/>
          <w:szCs w:val="24"/>
        </w:rPr>
      </w:pPr>
    </w:p>
    <w:p w14:paraId="64E5507A">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（盖章）</w:t>
      </w:r>
    </w:p>
    <w:p w14:paraId="64C99F41">
      <w:pPr>
        <w:rPr>
          <w:rFonts w:hint="eastAsia" w:ascii="宋体" w:hAnsi="宋体" w:eastAsia="宋体" w:cs="宋体"/>
          <w:sz w:val="24"/>
          <w:szCs w:val="24"/>
        </w:rPr>
      </w:pPr>
      <w:r>
        <w:rPr>
          <w:rFonts w:hint="eastAsia" w:ascii="宋体" w:hAnsi="宋体" w:eastAsia="宋体" w:cs="宋体"/>
          <w:sz w:val="24"/>
          <w:szCs w:val="24"/>
        </w:rPr>
        <w:t xml:space="preserve">     </w:t>
      </w:r>
    </w:p>
    <w:p w14:paraId="763C09C8">
      <w:pPr>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签章</w:t>
      </w:r>
      <w:r>
        <w:rPr>
          <w:rFonts w:hint="eastAsia" w:ascii="宋体" w:hAnsi="宋体" w:eastAsia="宋体" w:cs="宋体"/>
          <w:sz w:val="24"/>
          <w:szCs w:val="24"/>
        </w:rPr>
        <w:t>)</w:t>
      </w:r>
    </w:p>
    <w:p w14:paraId="5CD859F4">
      <w:pPr>
        <w:rPr>
          <w:rFonts w:hint="eastAsia" w:ascii="宋体" w:hAnsi="宋体" w:eastAsia="宋体" w:cs="宋体"/>
          <w:sz w:val="24"/>
          <w:szCs w:val="24"/>
        </w:rPr>
      </w:pPr>
    </w:p>
    <w:p w14:paraId="38782052">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8335FFB">
      <w:pPr>
        <w:pStyle w:val="9"/>
        <w:ind w:firstLine="0" w:firstLineChars="0"/>
        <w:jc w:val="center"/>
        <w:outlineLvl w:val="0"/>
        <w:rPr>
          <w:rFonts w:hint="default" w:ascii="宋体" w:hAnsi="宋体" w:eastAsia="宋体" w:cs="宋体"/>
          <w:b/>
          <w:bCs/>
          <w:sz w:val="32"/>
          <w:szCs w:val="32"/>
          <w:lang w:val="en-US" w:eastAsia="zh-CN"/>
        </w:rPr>
      </w:pPr>
      <w:bookmarkStart w:id="792" w:name="_Toc8534"/>
      <w:bookmarkStart w:id="793" w:name="_Toc30842_WPSOffice_Level1"/>
      <w:bookmarkStart w:id="794" w:name="_Toc28408"/>
      <w:bookmarkStart w:id="795" w:name="_Toc4870"/>
      <w:bookmarkStart w:id="796" w:name="_Toc29849"/>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bookmarkEnd w:id="792"/>
      <w:bookmarkEnd w:id="793"/>
      <w:bookmarkEnd w:id="794"/>
      <w:bookmarkEnd w:id="795"/>
      <w:r>
        <w:rPr>
          <w:rFonts w:hint="eastAsia" w:ascii="宋体" w:hAnsi="宋体" w:eastAsia="宋体" w:cs="宋体"/>
          <w:b/>
          <w:bCs/>
          <w:sz w:val="32"/>
          <w:szCs w:val="32"/>
          <w:lang w:val="en-US" w:eastAsia="zh-CN"/>
        </w:rPr>
        <w:t>资格审查资料</w:t>
      </w:r>
      <w:bookmarkEnd w:id="796"/>
    </w:p>
    <w:p w14:paraId="217C74D7">
      <w:pPr>
        <w:pStyle w:val="9"/>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格式自拟</w:t>
      </w:r>
      <w:r>
        <w:rPr>
          <w:rFonts w:hint="eastAsia" w:ascii="宋体" w:hAnsi="宋体" w:eastAsia="宋体" w:cs="宋体"/>
          <w:b/>
          <w:bCs/>
          <w:sz w:val="28"/>
          <w:szCs w:val="28"/>
          <w:lang w:eastAsia="zh-CN"/>
        </w:rPr>
        <w:t>）</w:t>
      </w:r>
    </w:p>
    <w:p w14:paraId="381F0F4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70102E7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4152A07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7AA7D37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628E9CD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供应商具有合格有效的营业执照；提供具有履行合同所必需的设备和专业技术能力（自行作出承诺，格式自拟）</w:t>
      </w:r>
      <w:r>
        <w:rPr>
          <w:rFonts w:hint="eastAsia" w:ascii="宋体" w:hAnsi="宋体" w:eastAsia="宋体" w:cs="宋体"/>
          <w:color w:val="auto"/>
          <w:sz w:val="24"/>
          <w:szCs w:val="24"/>
        </w:rPr>
        <w:t xml:space="preserve">； </w:t>
      </w:r>
    </w:p>
    <w:p w14:paraId="3193F0C7">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74DA4BA5">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供应商出具无行贿记录在中国裁判文书网自行查询或自行承诺（查询对象：企业、法定代表人）</w:t>
      </w:r>
    </w:p>
    <w:p w14:paraId="7726DD4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1BC507C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429F358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5167101D">
      <w:pPr>
        <w:pStyle w:val="9"/>
        <w:ind w:left="0" w:leftChars="0" w:firstLine="0" w:firstLineChars="0"/>
        <w:rPr>
          <w:rFonts w:ascii="宋体" w:hAnsi="宋体" w:eastAsia="宋体" w:cs="宋体"/>
          <w:sz w:val="24"/>
        </w:rPr>
      </w:pPr>
    </w:p>
    <w:p w14:paraId="6F4D6446">
      <w:pPr>
        <w:rPr>
          <w:rFonts w:ascii="宋体" w:hAnsi="宋体" w:cs="宋体"/>
        </w:rPr>
      </w:pPr>
      <w:bookmarkStart w:id="797" w:name="_Toc13712"/>
      <w:bookmarkStart w:id="798" w:name="_Toc8720"/>
    </w:p>
    <w:p w14:paraId="78AFA168">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（盖章）</w:t>
      </w:r>
    </w:p>
    <w:p w14:paraId="42E66CFB">
      <w:pPr>
        <w:rPr>
          <w:rFonts w:ascii="宋体" w:hAnsi="宋体" w:cs="宋体"/>
        </w:rPr>
      </w:pPr>
      <w:r>
        <w:rPr>
          <w:rFonts w:hint="eastAsia" w:ascii="宋体" w:hAnsi="宋体" w:cs="宋体"/>
        </w:rPr>
        <w:t xml:space="preserve">     </w:t>
      </w:r>
    </w:p>
    <w:p w14:paraId="330C6784">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签章</w:t>
      </w:r>
      <w:r>
        <w:rPr>
          <w:rFonts w:hint="eastAsia" w:ascii="宋体" w:hAnsi="宋体" w:cs="宋体"/>
        </w:rPr>
        <w:t>)</w:t>
      </w:r>
    </w:p>
    <w:p w14:paraId="1D3F1A24">
      <w:pPr>
        <w:rPr>
          <w:rFonts w:ascii="宋体" w:hAnsi="宋体" w:cs="宋体"/>
        </w:rPr>
      </w:pPr>
    </w:p>
    <w:p w14:paraId="71ED1A99">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3444D3F2">
      <w:pPr>
        <w:pStyle w:val="4"/>
        <w:spacing w:before="0" w:after="0" w:line="360" w:lineRule="auto"/>
        <w:jc w:val="both"/>
        <w:rPr>
          <w:rFonts w:cs="宋体"/>
          <w:bCs/>
          <w:sz w:val="24"/>
          <w:szCs w:val="24"/>
          <w:lang w:val="zh-CN"/>
        </w:rPr>
      </w:pPr>
    </w:p>
    <w:p w14:paraId="7D83BF86">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eastAsia="宋体" w:cs="宋体"/>
          <w:bCs/>
          <w:szCs w:val="24"/>
          <w:lang w:val="zh-CN"/>
        </w:rPr>
        <w:br w:type="page"/>
      </w:r>
      <w:bookmarkEnd w:id="797"/>
      <w:bookmarkEnd w:id="798"/>
    </w:p>
    <w:p w14:paraId="58E4AA4F">
      <w:pPr>
        <w:pStyle w:val="9"/>
        <w:numPr>
          <w:ilvl w:val="0"/>
          <w:numId w:val="20"/>
        </w:numPr>
        <w:ind w:firstLine="0" w:firstLineChars="0"/>
        <w:jc w:val="center"/>
        <w:outlineLvl w:val="0"/>
        <w:rPr>
          <w:rFonts w:hint="eastAsia"/>
          <w:sz w:val="28"/>
          <w:szCs w:val="24"/>
          <w:u w:val="none"/>
          <w:lang w:val="en-US" w:eastAsia="zh-CN"/>
        </w:rPr>
      </w:pPr>
      <w:bookmarkStart w:id="799" w:name="_Toc25911"/>
      <w:r>
        <w:rPr>
          <w:rFonts w:hint="eastAsia" w:ascii="宋体" w:hAnsi="宋体" w:eastAsia="宋体" w:cs="宋体"/>
          <w:b/>
          <w:bCs/>
          <w:sz w:val="32"/>
          <w:szCs w:val="32"/>
          <w:lang w:val="en-US" w:eastAsia="zh-CN"/>
        </w:rPr>
        <w:t>技术部分</w:t>
      </w:r>
      <w:bookmarkEnd w:id="799"/>
    </w:p>
    <w:p w14:paraId="207EB4EB">
      <w:pPr>
        <w:pStyle w:val="5"/>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75371CF7">
      <w:pPr>
        <w:numPr>
          <w:ilvl w:val="0"/>
          <w:numId w:val="0"/>
        </w:numPr>
        <w:ind w:leftChars="0"/>
        <w:jc w:val="center"/>
        <w:rPr>
          <w:rFonts w:hint="eastAsia" w:ascii="宋体" w:hAnsi="宋体" w:cs="宋体"/>
          <w:sz w:val="21"/>
          <w:lang w:val="en-US" w:eastAsia="zh-CN"/>
        </w:rPr>
      </w:pPr>
      <w:bookmarkStart w:id="800" w:name="_Toc275795959"/>
      <w:r>
        <w:rPr>
          <w:rFonts w:hint="eastAsia" w:ascii="宋体" w:hAnsi="宋体" w:eastAsia="宋体" w:cs="宋体"/>
          <w:sz w:val="21"/>
        </w:rPr>
        <w:br w:type="page"/>
      </w:r>
      <w:bookmarkStart w:id="801" w:name="_Toc21193"/>
      <w:bookmarkStart w:id="802" w:name="_Toc19441"/>
      <w:bookmarkStart w:id="803" w:name="_Toc339972632"/>
      <w:bookmarkStart w:id="804" w:name="_Toc20487"/>
      <w:bookmarkStart w:id="805" w:name="_Toc28100"/>
      <w:bookmarkStart w:id="806" w:name="_Toc17693"/>
      <w:bookmarkStart w:id="807" w:name="_Toc27384"/>
      <w:bookmarkStart w:id="808" w:name="_Toc355809725"/>
      <w:bookmarkStart w:id="809" w:name="_Toc10988"/>
      <w:bookmarkStart w:id="810" w:name="_Toc4766_WPSOffice_Level1"/>
      <w:bookmarkStart w:id="811" w:name="_Toc11394"/>
      <w:r>
        <w:rPr>
          <w:rFonts w:hint="eastAsia" w:ascii="宋体" w:hAnsi="宋体" w:eastAsia="宋体" w:cs="宋体"/>
          <w:b/>
          <w:bCs/>
          <w:kern w:val="2"/>
          <w:sz w:val="32"/>
          <w:szCs w:val="24"/>
          <w:lang w:val="en-US" w:eastAsia="zh-CN" w:bidi="ar-SA"/>
        </w:rPr>
        <w:t>八、商务部分</w:t>
      </w:r>
    </w:p>
    <w:p w14:paraId="2DA93313">
      <w:pPr>
        <w:numPr>
          <w:ilvl w:val="0"/>
          <w:numId w:val="0"/>
        </w:numPr>
        <w:ind w:leftChars="0"/>
        <w:jc w:val="center"/>
        <w:rPr>
          <w:rFonts w:hint="default" w:ascii="宋体" w:hAnsi="宋体" w:cs="宋体"/>
          <w:sz w:val="21"/>
          <w:lang w:val="en-US" w:eastAsia="zh-CN"/>
        </w:rPr>
      </w:pPr>
      <w:r>
        <w:rPr>
          <w:rFonts w:hint="eastAsia" w:ascii="宋体" w:hAnsi="宋体" w:cs="宋体"/>
          <w:sz w:val="21"/>
          <w:lang w:val="en-US" w:eastAsia="zh-CN"/>
        </w:rPr>
        <w:t>（格式自拟）</w:t>
      </w:r>
    </w:p>
    <w:p w14:paraId="4572E8B8">
      <w:pPr>
        <w:rPr>
          <w:rFonts w:hint="eastAsia" w:ascii="宋体" w:hAnsi="宋体" w:eastAsia="宋体" w:cs="宋体"/>
          <w:bCs/>
          <w:szCs w:val="24"/>
          <w:lang w:val="en-US" w:eastAsia="zh-CN"/>
        </w:rPr>
      </w:pPr>
      <w:r>
        <w:rPr>
          <w:rFonts w:hint="eastAsia" w:ascii="宋体" w:hAnsi="宋体" w:eastAsia="宋体" w:cs="宋体"/>
          <w:bCs/>
          <w:szCs w:val="24"/>
          <w:lang w:val="en-US" w:eastAsia="zh-CN"/>
        </w:rPr>
        <w:br w:type="page"/>
      </w:r>
    </w:p>
    <w:p w14:paraId="53F1619E">
      <w:pPr>
        <w:pStyle w:val="3"/>
        <w:numPr>
          <w:ilvl w:val="0"/>
          <w:numId w:val="0"/>
        </w:numPr>
        <w:wordWrap w:val="0"/>
        <w:topLinePunct/>
        <w:spacing w:before="0" w:after="0" w:line="360" w:lineRule="auto"/>
        <w:rPr>
          <w:rFonts w:ascii="宋体" w:hAnsi="宋体" w:eastAsia="宋体" w:cs="宋体"/>
          <w:szCs w:val="24"/>
        </w:rPr>
      </w:pPr>
      <w:r>
        <w:rPr>
          <w:rFonts w:hint="eastAsia" w:ascii="宋体" w:hAnsi="宋体" w:eastAsia="宋体" w:cs="宋体"/>
          <w:bCs/>
          <w:szCs w:val="24"/>
          <w:lang w:val="en-US" w:eastAsia="zh-CN"/>
        </w:rPr>
        <w:t>九</w:t>
      </w:r>
      <w:r>
        <w:rPr>
          <w:rFonts w:hint="eastAsia" w:ascii="宋体" w:hAnsi="宋体" w:eastAsia="宋体" w:cs="宋体"/>
          <w:bCs/>
          <w:szCs w:val="24"/>
          <w:lang w:val="zh-CN"/>
        </w:rPr>
        <w:t>、反商业贿赂承诺书</w:t>
      </w:r>
      <w:bookmarkEnd w:id="800"/>
      <w:bookmarkEnd w:id="801"/>
      <w:bookmarkEnd w:id="802"/>
      <w:bookmarkEnd w:id="803"/>
      <w:bookmarkEnd w:id="804"/>
      <w:bookmarkEnd w:id="805"/>
      <w:bookmarkEnd w:id="806"/>
      <w:bookmarkEnd w:id="807"/>
      <w:bookmarkEnd w:id="808"/>
      <w:bookmarkEnd w:id="809"/>
      <w:bookmarkEnd w:id="810"/>
      <w:bookmarkEnd w:id="811"/>
    </w:p>
    <w:p w14:paraId="2669A32A">
      <w:pPr>
        <w:spacing w:line="480" w:lineRule="exact"/>
        <w:rPr>
          <w:rFonts w:ascii="宋体" w:hAnsi="宋体" w:cs="宋体"/>
        </w:rPr>
      </w:pPr>
      <w:r>
        <w:rPr>
          <w:rFonts w:hint="eastAsia" w:ascii="宋体" w:hAnsi="宋体" w:cs="宋体"/>
        </w:rPr>
        <w:t>我公司承诺：</w:t>
      </w:r>
    </w:p>
    <w:p w14:paraId="1C634FE5">
      <w:pPr>
        <w:spacing w:line="480" w:lineRule="exact"/>
        <w:ind w:firstLine="555"/>
        <w:rPr>
          <w:rFonts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14:paraId="5BF83727">
      <w:pPr>
        <w:spacing w:line="480" w:lineRule="exact"/>
        <w:ind w:firstLine="555"/>
        <w:rPr>
          <w:rFonts w:ascii="宋体" w:hAnsi="宋体" w:cs="宋体"/>
        </w:rPr>
      </w:pPr>
      <w:r>
        <w:rPr>
          <w:rFonts w:hint="eastAsia" w:ascii="宋体" w:hAnsi="宋体" w:cs="宋体"/>
        </w:rPr>
        <w:t>1. 公平竞争参加本次采购活动。</w:t>
      </w:r>
    </w:p>
    <w:p w14:paraId="11B1D1B2">
      <w:pPr>
        <w:spacing w:line="480" w:lineRule="exact"/>
        <w:ind w:firstLine="556"/>
        <w:rPr>
          <w:rFonts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B8D8ACF">
      <w:pPr>
        <w:spacing w:line="480" w:lineRule="exact"/>
        <w:ind w:firstLine="556"/>
        <w:rPr>
          <w:rFonts w:ascii="宋体" w:hAnsi="宋体" w:cs="宋体"/>
        </w:rPr>
      </w:pPr>
      <w:r>
        <w:rPr>
          <w:rFonts w:hint="eastAsia" w:ascii="宋体" w:hAnsi="宋体" w:cs="宋体"/>
        </w:rPr>
        <w:t>3. 若出现上述行为，我公司及参与投标的工作人员愿意接受按照国家法律法规等有关规定给予的处罚。</w:t>
      </w:r>
    </w:p>
    <w:p w14:paraId="59ABFD8F">
      <w:pPr>
        <w:spacing w:line="480" w:lineRule="exact"/>
        <w:ind w:firstLine="555"/>
        <w:rPr>
          <w:rFonts w:ascii="宋体" w:hAnsi="宋体" w:cs="宋体"/>
        </w:rPr>
      </w:pPr>
    </w:p>
    <w:p w14:paraId="2365FB71">
      <w:pPr>
        <w:rPr>
          <w:rFonts w:ascii="宋体" w:hAnsi="宋体" w:cs="宋体"/>
        </w:rPr>
      </w:pPr>
    </w:p>
    <w:p w14:paraId="3FA618FD">
      <w:pPr>
        <w:rPr>
          <w:rFonts w:ascii="宋体" w:hAnsi="宋体" w:cs="宋体"/>
        </w:rPr>
      </w:pPr>
    </w:p>
    <w:p w14:paraId="46823950">
      <w:pPr>
        <w:rPr>
          <w:rFonts w:ascii="宋体" w:hAnsi="宋体" w:cs="宋体"/>
        </w:rPr>
      </w:pPr>
    </w:p>
    <w:p w14:paraId="616798A4">
      <w:pPr>
        <w:rPr>
          <w:rFonts w:ascii="宋体" w:hAnsi="宋体" w:cs="宋体"/>
        </w:rPr>
      </w:pPr>
    </w:p>
    <w:p w14:paraId="5932AC09">
      <w:pPr>
        <w:rPr>
          <w:rFonts w:ascii="宋体" w:hAnsi="宋体" w:cs="宋体"/>
        </w:rPr>
      </w:pPr>
    </w:p>
    <w:p w14:paraId="38E6EE9E">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（盖章）</w:t>
      </w:r>
    </w:p>
    <w:p w14:paraId="61C1A940">
      <w:pPr>
        <w:rPr>
          <w:rFonts w:ascii="宋体" w:hAnsi="宋体" w:cs="宋体"/>
        </w:rPr>
      </w:pPr>
      <w:r>
        <w:rPr>
          <w:rFonts w:hint="eastAsia" w:ascii="宋体" w:hAnsi="宋体" w:cs="宋体"/>
        </w:rPr>
        <w:t xml:space="preserve">     </w:t>
      </w:r>
    </w:p>
    <w:p w14:paraId="2A331403">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签章</w:t>
      </w:r>
      <w:r>
        <w:rPr>
          <w:rFonts w:hint="eastAsia" w:ascii="宋体" w:hAnsi="宋体" w:cs="宋体"/>
        </w:rPr>
        <w:t>)</w:t>
      </w:r>
    </w:p>
    <w:p w14:paraId="63E83B2B">
      <w:pPr>
        <w:rPr>
          <w:rFonts w:ascii="宋体" w:hAnsi="宋体" w:cs="宋体"/>
        </w:rPr>
      </w:pPr>
    </w:p>
    <w:p w14:paraId="402A07A7">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52A1503A">
      <w:pPr>
        <w:rPr>
          <w:rFonts w:ascii="宋体" w:hAnsi="宋体" w:cs="宋体"/>
        </w:rPr>
      </w:pPr>
    </w:p>
    <w:p w14:paraId="37AB7182">
      <w:pPr>
        <w:rPr>
          <w:rFonts w:ascii="宋体" w:hAnsi="宋体" w:cs="宋体"/>
        </w:rPr>
      </w:pPr>
    </w:p>
    <w:p w14:paraId="73834DDF">
      <w:pPr>
        <w:spacing w:line="360" w:lineRule="auto"/>
        <w:rPr>
          <w:rFonts w:ascii="宋体" w:hAnsi="宋体" w:cs="宋体"/>
          <w:szCs w:val="21"/>
        </w:rPr>
      </w:pPr>
    </w:p>
    <w:p w14:paraId="716410DC">
      <w:pPr>
        <w:spacing w:line="480" w:lineRule="exact"/>
        <w:ind w:firstLine="556"/>
        <w:rPr>
          <w:rFonts w:ascii="宋体" w:hAnsi="宋体" w:cs="宋体"/>
          <w:szCs w:val="21"/>
        </w:rPr>
      </w:pPr>
    </w:p>
    <w:p w14:paraId="47C69D45">
      <w:pPr>
        <w:spacing w:line="480" w:lineRule="exact"/>
        <w:ind w:firstLine="556"/>
        <w:rPr>
          <w:rFonts w:ascii="宋体" w:hAnsi="宋体" w:cs="宋体"/>
          <w:b/>
        </w:rPr>
      </w:pPr>
    </w:p>
    <w:p w14:paraId="1794B98A">
      <w:pPr>
        <w:widowControl/>
        <w:spacing w:line="360" w:lineRule="auto"/>
        <w:rPr>
          <w:rFonts w:ascii="宋体" w:hAnsi="宋体" w:cs="宋体"/>
          <w:bCs/>
        </w:rPr>
      </w:pPr>
    </w:p>
    <w:p w14:paraId="795190C0">
      <w:pPr>
        <w:rPr>
          <w:rFonts w:ascii="宋体" w:hAnsi="宋体" w:cs="宋体"/>
          <w:b/>
          <w:spacing w:val="6"/>
        </w:rPr>
      </w:pPr>
    </w:p>
    <w:p w14:paraId="0DAD9626">
      <w:pPr>
        <w:spacing w:line="360" w:lineRule="auto"/>
        <w:rPr>
          <w:rFonts w:ascii="宋体" w:hAnsi="宋体" w:cs="宋体"/>
          <w:b/>
          <w:sz w:val="24"/>
        </w:rPr>
      </w:pPr>
    </w:p>
    <w:p w14:paraId="1CE09F33">
      <w:pPr>
        <w:pStyle w:val="9"/>
        <w:ind w:firstLine="482"/>
        <w:rPr>
          <w:rFonts w:ascii="宋体" w:hAnsi="宋体" w:eastAsia="宋体" w:cs="宋体"/>
          <w:b/>
          <w:sz w:val="24"/>
        </w:rPr>
      </w:pPr>
    </w:p>
    <w:p w14:paraId="156399F1">
      <w:pPr>
        <w:pStyle w:val="9"/>
        <w:ind w:firstLine="482"/>
        <w:rPr>
          <w:rFonts w:ascii="宋体" w:hAnsi="宋体" w:eastAsia="宋体" w:cs="宋体"/>
          <w:b/>
          <w:sz w:val="24"/>
        </w:rPr>
      </w:pPr>
    </w:p>
    <w:p w14:paraId="5889874D">
      <w:pPr>
        <w:rPr>
          <w:rFonts w:ascii="宋体" w:hAnsi="宋体" w:cs="宋体"/>
        </w:rPr>
      </w:pPr>
    </w:p>
    <w:p w14:paraId="33EBDCE3">
      <w:pPr>
        <w:pStyle w:val="39"/>
        <w:rPr>
          <w:rFonts w:hAnsi="宋体"/>
          <w:color w:val="auto"/>
        </w:rPr>
      </w:pPr>
    </w:p>
    <w:p w14:paraId="0871E0C8">
      <w:pPr>
        <w:pStyle w:val="39"/>
        <w:rPr>
          <w:rFonts w:hAnsi="宋体"/>
          <w:color w:val="auto"/>
        </w:rPr>
      </w:pPr>
    </w:p>
    <w:p w14:paraId="2E5BD757">
      <w:pPr>
        <w:pStyle w:val="39"/>
        <w:rPr>
          <w:rFonts w:hAnsi="宋体"/>
          <w:color w:val="auto"/>
        </w:rPr>
      </w:pPr>
    </w:p>
    <w:p w14:paraId="27FF44F1">
      <w:pPr>
        <w:pStyle w:val="39"/>
        <w:rPr>
          <w:rFonts w:hAnsi="宋体"/>
          <w:color w:val="auto"/>
        </w:rPr>
      </w:pPr>
    </w:p>
    <w:p w14:paraId="27D429D5">
      <w:pPr>
        <w:pStyle w:val="39"/>
        <w:rPr>
          <w:rFonts w:hAnsi="宋体"/>
          <w:color w:val="auto"/>
        </w:rPr>
      </w:pPr>
    </w:p>
    <w:p w14:paraId="69DF872C">
      <w:pPr>
        <w:pStyle w:val="39"/>
        <w:rPr>
          <w:rFonts w:hAnsi="宋体"/>
          <w:color w:val="auto"/>
        </w:rPr>
      </w:pPr>
    </w:p>
    <w:p w14:paraId="33A728A2">
      <w:pPr>
        <w:rPr>
          <w:rFonts w:ascii="宋体" w:hAnsi="宋体" w:cs="宋体"/>
        </w:rPr>
      </w:pPr>
    </w:p>
    <w:p w14:paraId="42C803F8">
      <w:pPr>
        <w:pStyle w:val="9"/>
        <w:ind w:left="0" w:leftChars="0" w:firstLine="0" w:firstLineChars="0"/>
        <w:rPr>
          <w:rFonts w:ascii="宋体" w:hAnsi="宋体" w:eastAsia="宋体" w:cs="宋体"/>
        </w:rPr>
      </w:pPr>
    </w:p>
    <w:p w14:paraId="1DC73696">
      <w:pPr>
        <w:pStyle w:val="9"/>
        <w:rPr>
          <w:rFonts w:ascii="宋体" w:hAnsi="宋体" w:eastAsia="宋体" w:cs="宋体"/>
        </w:rPr>
      </w:pPr>
    </w:p>
    <w:p w14:paraId="6DC424A0">
      <w:pPr>
        <w:pStyle w:val="3"/>
        <w:numPr>
          <w:ilvl w:val="0"/>
          <w:numId w:val="0"/>
        </w:numPr>
        <w:topLinePunct/>
        <w:spacing w:before="0" w:after="0" w:line="360" w:lineRule="auto"/>
        <w:rPr>
          <w:rFonts w:ascii="宋体" w:hAnsi="宋体" w:eastAsia="宋体" w:cs="宋体"/>
          <w:bCs/>
          <w:szCs w:val="24"/>
        </w:rPr>
      </w:pPr>
      <w:bookmarkStart w:id="812" w:name="_Toc9983"/>
      <w:bookmarkStart w:id="813" w:name="_Toc10820"/>
      <w:bookmarkStart w:id="814" w:name="_Toc28372"/>
      <w:bookmarkStart w:id="815" w:name="_Toc1580"/>
      <w:bookmarkStart w:id="816" w:name="_Toc12560"/>
      <w:bookmarkStart w:id="817" w:name="_Toc30734"/>
      <w:bookmarkStart w:id="818" w:name="_Toc4742"/>
      <w:bookmarkStart w:id="819" w:name="_Toc24573_WPSOffice_Level1"/>
      <w:bookmarkStart w:id="820" w:name="_Toc28975"/>
      <w:r>
        <w:rPr>
          <w:rFonts w:hint="eastAsia" w:ascii="宋体" w:hAnsi="宋体" w:eastAsia="宋体" w:cs="宋体"/>
          <w:bCs/>
          <w:szCs w:val="24"/>
        </w:rPr>
        <w:t>十、其他</w:t>
      </w:r>
      <w:bookmarkEnd w:id="812"/>
      <w:r>
        <w:rPr>
          <w:rFonts w:hint="eastAsia" w:ascii="宋体" w:hAnsi="宋体" w:eastAsia="宋体" w:cs="宋体"/>
          <w:bCs/>
          <w:szCs w:val="24"/>
        </w:rPr>
        <w:t>资料</w:t>
      </w:r>
      <w:bookmarkEnd w:id="813"/>
      <w:bookmarkEnd w:id="814"/>
      <w:bookmarkEnd w:id="815"/>
      <w:bookmarkEnd w:id="816"/>
      <w:bookmarkEnd w:id="817"/>
      <w:bookmarkEnd w:id="818"/>
      <w:bookmarkEnd w:id="819"/>
      <w:bookmarkEnd w:id="820"/>
    </w:p>
    <w:p w14:paraId="585DDB2B">
      <w:pPr>
        <w:rPr>
          <w:rFonts w:ascii="宋体" w:hAnsi="宋体" w:cs="宋体"/>
          <w:b/>
        </w:rPr>
      </w:pPr>
    </w:p>
    <w:p w14:paraId="79465D2C">
      <w:pPr>
        <w:jc w:val="center"/>
        <w:outlineLvl w:val="0"/>
        <w:rPr>
          <w:rFonts w:ascii="宋体" w:hAnsi="宋体" w:cs="宋体"/>
          <w:b/>
        </w:rPr>
      </w:pPr>
      <w:bookmarkStart w:id="821" w:name="_Toc14658"/>
      <w:bookmarkStart w:id="822" w:name="_Toc27763"/>
      <w:bookmarkStart w:id="823" w:name="_Toc32113_WPSOffice_Level1"/>
      <w:bookmarkStart w:id="824" w:name="_Toc5083"/>
      <w:bookmarkStart w:id="825" w:name="_Toc32640"/>
      <w:r>
        <w:rPr>
          <w:rFonts w:hint="eastAsia" w:ascii="宋体" w:hAnsi="宋体" w:cs="宋体"/>
          <w:b/>
        </w:rPr>
        <w:t>（</w:t>
      </w:r>
      <w:r>
        <w:rPr>
          <w:rFonts w:hint="eastAsia" w:ascii="宋体" w:hAnsi="宋体" w:cs="宋体"/>
          <w:b/>
          <w:lang w:val="en-US" w:eastAsia="zh-CN"/>
        </w:rPr>
        <w:t>供应商</w:t>
      </w:r>
      <w:r>
        <w:rPr>
          <w:rFonts w:hint="eastAsia" w:ascii="宋体" w:hAnsi="宋体" w:cs="宋体"/>
          <w:b/>
        </w:rPr>
        <w:t>认为有必要提供的其他资料）</w:t>
      </w:r>
      <w:bookmarkEnd w:id="774"/>
      <w:bookmarkEnd w:id="821"/>
      <w:bookmarkEnd w:id="822"/>
      <w:bookmarkEnd w:id="823"/>
      <w:bookmarkEnd w:id="824"/>
      <w:bookmarkEnd w:id="825"/>
    </w:p>
    <w:p w14:paraId="13157260">
      <w:pPr>
        <w:rPr>
          <w:rFonts w:ascii="宋体" w:hAnsi="宋体" w:cs="宋体"/>
        </w:rPr>
      </w:pPr>
      <w:r>
        <w:rPr>
          <w:rFonts w:ascii="宋体" w:hAnsi="宋体" w:cs="宋体"/>
        </w:rPr>
        <w:br w:type="page"/>
      </w:r>
    </w:p>
    <w:p w14:paraId="5B478EB2">
      <w:pPr>
        <w:rPr>
          <w:rFonts w:hint="eastAsia" w:ascii="宋体" w:hAnsi="宋体" w:eastAsia="宋体" w:cs="宋体"/>
          <w:lang w:val="en-US" w:eastAsia="zh-CN"/>
        </w:rPr>
      </w:pPr>
      <w:r>
        <w:rPr>
          <w:rFonts w:hint="eastAsia" w:ascii="宋体" w:hAnsi="宋体" w:cs="宋体"/>
          <w:lang w:val="en-US" w:eastAsia="zh-CN"/>
        </w:rPr>
        <w:t>附件：</w:t>
      </w:r>
    </w:p>
    <w:p w14:paraId="03230F3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（1）中小企业声明函</w:t>
      </w:r>
    </w:p>
    <w:p w14:paraId="60504B0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如果本企业符合《政府采购促进中小企业发展暂行办法》、《中小企业划型标准规定》条件并愿意，请按以下格式填写中小企业声明函。</w:t>
      </w:r>
    </w:p>
    <w:p w14:paraId="0F7DAF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附件1：</w:t>
      </w:r>
    </w:p>
    <w:p w14:paraId="16D805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kern w:val="0"/>
          <w:sz w:val="21"/>
          <w:szCs w:val="21"/>
        </w:rPr>
      </w:pPr>
      <w:bookmarkStart w:id="826" w:name="_Toc27377"/>
      <w:r>
        <w:rPr>
          <w:rFonts w:hint="eastAsia" w:ascii="宋体" w:hAnsi="宋体" w:eastAsia="宋体" w:cs="宋体"/>
          <w:b/>
          <w:bCs/>
          <w:color w:val="000000"/>
          <w:kern w:val="0"/>
          <w:sz w:val="21"/>
          <w:szCs w:val="21"/>
        </w:rPr>
        <w:t>中小企业声明函</w:t>
      </w:r>
      <w:bookmarkEnd w:id="826"/>
    </w:p>
    <w:p w14:paraId="5198DC5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 xml:space="preserve">采购活动，提供的货物全部由符合政策要求的中小企业制造。相关企业（含联合体中的中小企业、签订分包意向协议的中小企业） </w:t>
      </w:r>
    </w:p>
    <w:p w14:paraId="6CAC32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的具体情况如下： </w:t>
      </w:r>
    </w:p>
    <w:p w14:paraId="457CC2D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 xml:space="preserve">（采购文件中明确的所属行业） </w:t>
      </w:r>
      <w:r>
        <w:rPr>
          <w:rFonts w:hint="eastAsia" w:ascii="宋体" w:hAnsi="宋体" w:eastAsia="宋体" w:cs="宋体"/>
          <w:kern w:val="0"/>
          <w:sz w:val="21"/>
          <w:szCs w:val="21"/>
        </w:rPr>
        <w:t>行业；</w:t>
      </w:r>
      <w:r>
        <w:rPr>
          <w:rFonts w:hint="eastAsia" w:ascii="宋体" w:hAnsi="宋体" w:eastAsia="宋体" w:cs="宋体"/>
          <w:kern w:val="0"/>
          <w:sz w:val="21"/>
          <w:szCs w:val="21"/>
          <w:lang w:val="en-US" w:eastAsia="zh-CN"/>
        </w:rPr>
        <w:t>代理商</w:t>
      </w:r>
      <w:r>
        <w:rPr>
          <w:rFonts w:hint="eastAsia" w:ascii="宋体" w:hAnsi="宋体" w:eastAsia="宋体" w:cs="宋体"/>
          <w:kern w:val="0"/>
          <w:sz w:val="21"/>
          <w:szCs w:val="21"/>
        </w:rPr>
        <w:t>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万元①，属于</w:t>
      </w:r>
      <w:r>
        <w:rPr>
          <w:rFonts w:hint="eastAsia" w:ascii="宋体" w:hAnsi="宋体" w:eastAsia="宋体" w:cs="宋体"/>
          <w:kern w:val="0"/>
          <w:sz w:val="21"/>
          <w:szCs w:val="21"/>
          <w:u w:val="single"/>
        </w:rPr>
        <w:t>（中型企业、小 型企业、微型企业）</w:t>
      </w:r>
      <w:r>
        <w:rPr>
          <w:rFonts w:hint="eastAsia" w:ascii="宋体" w:hAnsi="宋体" w:eastAsia="宋体" w:cs="宋体"/>
          <w:kern w:val="0"/>
          <w:sz w:val="21"/>
          <w:szCs w:val="21"/>
        </w:rPr>
        <w:t xml:space="preserve">； </w:t>
      </w:r>
    </w:p>
    <w:p w14:paraId="136E574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 xml:space="preserve">； </w:t>
      </w:r>
    </w:p>
    <w:p w14:paraId="41C26D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p w14:paraId="759BC3F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4DC7C6E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7A8344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767D9DE4">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企业名称（盖章）： </w:t>
      </w:r>
    </w:p>
    <w:p w14:paraId="2CF15560">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日 期： </w:t>
      </w:r>
    </w:p>
    <w:p w14:paraId="7943DA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687BEC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①从业人员、营业收入、资产总额填报上一年度数据，无上一年度数据的新成立企业可不填报。</w:t>
      </w:r>
    </w:p>
    <w:p w14:paraId="41A014BB">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②</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提供的货物既有中小企业制造货物，也有大型企业制造货物的，不享受《政府采购促进中小企业发展管理办法》规定的中小企业扶持政策。</w:t>
      </w:r>
    </w:p>
    <w:p w14:paraId="2EC71F9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 xml:space="preserve">以联合体形式参加政府采购活动，联合体各方均为中小企业的，联合体视同中小企业。其中，联合体各方均为小微企业的，联合体视同小微企业。 </w:t>
      </w:r>
    </w:p>
    <w:p w14:paraId="47D1EFA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④在政府采购活动中，</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提供的所有货物由小微企业制造，即货物由小微企业生产且使用该小微企业商号或者注册商标的，才能享受《政府采购促进中小企业发展管理办法》规定的价格扣减。</w:t>
      </w:r>
    </w:p>
    <w:p w14:paraId="49DBF0D7">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2C2D2EC2">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⑥在货物采购项目中，货物应当由中小企业制造，不对其中涉及的服务的承接商作出要求。</w:t>
      </w:r>
    </w:p>
    <w:p w14:paraId="31C247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4"/>
          <w:szCs w:val="24"/>
        </w:rPr>
      </w:pPr>
      <w:bookmarkStart w:id="827" w:name="_Toc23336"/>
      <w:bookmarkStart w:id="828" w:name="OLE_LINK13"/>
      <w:bookmarkStart w:id="829" w:name="OLE_LINK14"/>
      <w:r>
        <w:rPr>
          <w:rFonts w:hint="eastAsia" w:ascii="宋体" w:hAnsi="宋体" w:eastAsia="宋体" w:cs="宋体"/>
          <w:b/>
          <w:bCs/>
          <w:color w:val="000000"/>
          <w:kern w:val="0"/>
          <w:sz w:val="24"/>
          <w:szCs w:val="24"/>
        </w:rPr>
        <w:br w:type="page"/>
      </w:r>
    </w:p>
    <w:p w14:paraId="3BF11BDC">
      <w:pPr>
        <w:keepNext/>
        <w:keepLines/>
        <w:pageBreakBefore w:val="0"/>
        <w:tabs>
          <w:tab w:val="left" w:pos="840"/>
        </w:tabs>
        <w:kinsoku/>
        <w:wordWrap/>
        <w:overflowPunct/>
        <w:topLinePunct w:val="0"/>
        <w:bidi w:val="0"/>
        <w:snapToGrid/>
        <w:spacing w:before="260" w:after="260" w:line="560" w:lineRule="exact"/>
        <w:jc w:val="left"/>
        <w:textAlignment w:val="auto"/>
        <w:outlineLvl w:val="1"/>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附件2：</w:t>
      </w:r>
    </w:p>
    <w:p w14:paraId="777D15AD">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4"/>
          <w:szCs w:val="24"/>
        </w:rPr>
      </w:pPr>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827"/>
      <w:bookmarkEnd w:id="828"/>
      <w:bookmarkEnd w:id="829"/>
    </w:p>
    <w:p w14:paraId="10AB31B1">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D6EC7D">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33F835EB">
      <w:pPr>
        <w:pageBreakBefore w:val="0"/>
        <w:kinsoku/>
        <w:wordWrap/>
        <w:overflowPunct/>
        <w:topLinePunct w:val="0"/>
        <w:bidi w:val="0"/>
        <w:snapToGrid/>
        <w:spacing w:line="560" w:lineRule="exact"/>
        <w:textAlignment w:val="auto"/>
        <w:rPr>
          <w:rFonts w:hint="eastAsia" w:ascii="宋体" w:hAnsi="宋体" w:eastAsia="宋体" w:cs="宋体"/>
          <w:spacing w:val="6"/>
          <w:sz w:val="21"/>
          <w:szCs w:val="21"/>
        </w:rPr>
      </w:pPr>
    </w:p>
    <w:p w14:paraId="555C6BD3">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单位名称（盖章）：</w:t>
      </w:r>
    </w:p>
    <w:p w14:paraId="0DE21A25">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14:paraId="15E8EEA3">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p>
    <w:p w14:paraId="05419E98">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不是残疾人福利性单位</w:t>
      </w:r>
      <w:r>
        <w:rPr>
          <w:rFonts w:hint="eastAsia" w:ascii="宋体" w:hAnsi="宋体" w:eastAsia="宋体" w:cs="宋体"/>
          <w:b/>
          <w:sz w:val="21"/>
          <w:szCs w:val="21"/>
        </w:rPr>
        <w:t>，则不需要提供《残疾人福利性单位声明函</w:t>
      </w:r>
    </w:p>
    <w:p w14:paraId="1113F3F5">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p>
    <w:p w14:paraId="224DA5BE">
      <w:pPr>
        <w:pageBreakBefore w:val="0"/>
        <w:tabs>
          <w:tab w:val="left" w:pos="840"/>
        </w:tabs>
        <w:kinsoku/>
        <w:wordWrap/>
        <w:overflowPunct/>
        <w:topLinePunct w:val="0"/>
        <w:autoSpaceDE w:val="0"/>
        <w:autoSpaceDN w:val="0"/>
        <w:bidi w:val="0"/>
        <w:adjustRightInd w:val="0"/>
        <w:snapToGrid/>
        <w:spacing w:line="560" w:lineRule="exact"/>
        <w:textAlignment w:val="auto"/>
        <w:rPr>
          <w:rFonts w:hint="eastAsia" w:ascii="宋体" w:hAnsi="宋体" w:eastAsia="宋体" w:cs="宋体"/>
          <w:b/>
          <w:sz w:val="24"/>
          <w:szCs w:val="24"/>
        </w:rPr>
      </w:pPr>
    </w:p>
    <w:p w14:paraId="76F3FA0E">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《财政部民政部中国残疾人联合会关于促进残疾人就业政府采购政策的通知》（财库（2017〔141〕号）的规定：</w:t>
      </w:r>
    </w:p>
    <w:p w14:paraId="33A324D5">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享受政府采购支持政策的残疾人福利性单位应当同时满足以下条件：</w:t>
      </w:r>
    </w:p>
    <w:p w14:paraId="39AAF383">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（1）安置的残疾人占本单位在职职工人数的比例不低于25%（含25%），并且安置的残疾人人数不少于10人（含10人）；</w:t>
      </w:r>
    </w:p>
    <w:p w14:paraId="288A1040">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（2）依法与安置的每位残疾人签订了一年以上（含一年）的劳动合同或服务协议；</w:t>
      </w:r>
    </w:p>
    <w:p w14:paraId="26B3620C">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（3）为安置的每位残疾人按月足额缴纳了基本养老保险、基本医疗保险、失业保险、工伤保险和生育保险等社会保险费；</w:t>
      </w:r>
    </w:p>
    <w:p w14:paraId="25E9B975">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（4）通过银行等金融机构向安置的每位残疾人，按月支付了不低于单位所在区县适用的经省级人民政府批准的月最低工资标准的工资；</w:t>
      </w:r>
    </w:p>
    <w:p w14:paraId="19692F06">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（5）提供本单位制造的货物、承担的工程或者服务（以下简称产品），或者提供其他残疾人福利性单位制造的货物（不包括使用非残疾人福利性单位注册商标的货物）。</w:t>
      </w:r>
    </w:p>
    <w:p w14:paraId="6E2E6B2F">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sz w:val="21"/>
          <w:szCs w:val="21"/>
        </w:rPr>
        <w:t>2. 中标人为残疾人福利性单位的，采购人或者其委托的采购代理机构应当随中标、成交结果同时公告其《残疾人福利性单位声明函》，接受社会监督。</w:t>
      </w:r>
    </w:p>
    <w:p w14:paraId="387583D9">
      <w:pPr>
        <w:pageBreakBefore w:val="0"/>
        <w:widowControl/>
        <w:kinsoku/>
        <w:wordWrap/>
        <w:overflowPunct/>
        <w:topLinePunct w:val="0"/>
        <w:bidi w:val="0"/>
        <w:snapToGrid/>
        <w:spacing w:line="560" w:lineRule="exact"/>
        <w:jc w:val="left"/>
        <w:textAlignment w:val="auto"/>
        <w:rPr>
          <w:rFonts w:hint="eastAsia" w:ascii="宋体" w:hAnsi="宋体" w:eastAsia="宋体" w:cs="宋体"/>
          <w:b/>
          <w:bCs/>
          <w:color w:val="000000"/>
          <w:kern w:val="0"/>
          <w:sz w:val="21"/>
          <w:szCs w:val="21"/>
          <w:lang w:val="en-GB"/>
        </w:rPr>
      </w:pPr>
      <w:bookmarkStart w:id="830" w:name="_Toc15900"/>
      <w:r>
        <w:rPr>
          <w:rFonts w:hint="eastAsia" w:ascii="宋体" w:hAnsi="宋体" w:eastAsia="宋体" w:cs="宋体"/>
          <w:b/>
          <w:bCs/>
          <w:color w:val="000000"/>
          <w:kern w:val="0"/>
          <w:sz w:val="21"/>
          <w:szCs w:val="21"/>
          <w:lang w:val="en-GB"/>
        </w:rPr>
        <w:br w:type="page"/>
      </w:r>
    </w:p>
    <w:p w14:paraId="0151A0F7">
      <w:pPr>
        <w:keepNext/>
        <w:keepLines/>
        <w:pageBreakBefore w:val="0"/>
        <w:tabs>
          <w:tab w:val="left" w:pos="840"/>
        </w:tabs>
        <w:kinsoku/>
        <w:wordWrap/>
        <w:overflowPunct/>
        <w:topLinePunct w:val="0"/>
        <w:bidi w:val="0"/>
        <w:snapToGrid/>
        <w:spacing w:before="260" w:after="260" w:line="560" w:lineRule="exact"/>
        <w:textAlignment w:val="auto"/>
        <w:outlineLvl w:val="1"/>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GB"/>
        </w:rPr>
        <w:t>附件</w:t>
      </w:r>
      <w:r>
        <w:rPr>
          <w:rFonts w:hint="eastAsia" w:ascii="宋体" w:hAnsi="宋体" w:eastAsia="宋体" w:cs="宋体"/>
          <w:b/>
          <w:bCs/>
          <w:color w:val="000000"/>
          <w:kern w:val="0"/>
          <w:sz w:val="21"/>
          <w:szCs w:val="21"/>
        </w:rPr>
        <w:t>3：</w:t>
      </w:r>
    </w:p>
    <w:p w14:paraId="411BA6DE">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1"/>
          <w:szCs w:val="21"/>
          <w:lang w:val="en-GB"/>
        </w:rPr>
      </w:pPr>
      <w:r>
        <w:rPr>
          <w:rFonts w:hint="eastAsia" w:ascii="宋体" w:hAnsi="宋体" w:eastAsia="宋体" w:cs="宋体"/>
          <w:b/>
          <w:kern w:val="0"/>
          <w:sz w:val="21"/>
          <w:szCs w:val="21"/>
          <w:lang w:val="en-GB"/>
        </w:rPr>
        <w:t>监狱企业证明材料</w:t>
      </w:r>
      <w:r>
        <w:rPr>
          <w:rFonts w:hint="eastAsia" w:ascii="宋体" w:hAnsi="宋体" w:eastAsia="宋体" w:cs="宋体"/>
          <w:b/>
          <w:kern w:val="0"/>
          <w:sz w:val="21"/>
          <w:szCs w:val="21"/>
        </w:rPr>
        <w:t>（如有）</w:t>
      </w:r>
      <w:bookmarkEnd w:id="830"/>
    </w:p>
    <w:p w14:paraId="0F8A1829">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7222100B">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监狱企业参加政府采购活动时，应当提供由省级以上监狱管理局、戒毒管理局（含新疆生产建设兵团）出具的属于监狱企业的证明文件。</w:t>
      </w:r>
    </w:p>
    <w:p w14:paraId="2B4E4CDF">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10C385C6">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4E00C05B">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w:t>
      </w:r>
      <w:r>
        <w:rPr>
          <w:rFonts w:hint="eastAsia" w:ascii="宋体" w:hAnsi="宋体" w:eastAsia="宋体" w:cs="宋体"/>
          <w:b/>
          <w:bCs/>
          <w:sz w:val="21"/>
          <w:szCs w:val="21"/>
          <w:lang w:val="en-GB"/>
        </w:rPr>
        <w:t>监狱企业</w:t>
      </w:r>
      <w:r>
        <w:rPr>
          <w:rFonts w:hint="eastAsia" w:ascii="宋体" w:hAnsi="宋体" w:eastAsia="宋体" w:cs="宋体"/>
          <w:b/>
          <w:sz w:val="21"/>
          <w:szCs w:val="21"/>
        </w:rPr>
        <w:t>，则不需要提供</w:t>
      </w:r>
      <w:r>
        <w:rPr>
          <w:rFonts w:hint="eastAsia" w:ascii="宋体" w:hAnsi="宋体" w:eastAsia="宋体" w:cs="宋体"/>
          <w:b/>
          <w:sz w:val="21"/>
          <w:szCs w:val="21"/>
          <w:lang w:val="en-GB"/>
        </w:rPr>
        <w:t>监狱企业证明材料</w:t>
      </w:r>
      <w:r>
        <w:rPr>
          <w:rFonts w:hint="eastAsia" w:ascii="宋体" w:hAnsi="宋体" w:eastAsia="宋体" w:cs="宋体"/>
          <w:b/>
          <w:sz w:val="21"/>
          <w:szCs w:val="21"/>
        </w:rPr>
        <w:t>）</w:t>
      </w:r>
    </w:p>
    <w:p w14:paraId="018BFF50">
      <w:pPr>
        <w:pStyle w:val="15"/>
        <w:pageBreakBefore w:val="0"/>
        <w:kinsoku/>
        <w:wordWrap/>
        <w:overflowPunct/>
        <w:topLinePunct w:val="0"/>
        <w:bidi w:val="0"/>
        <w:snapToGrid/>
        <w:spacing w:line="560" w:lineRule="exact"/>
        <w:textAlignment w:val="auto"/>
        <w:rPr>
          <w:rFonts w:hint="eastAsia" w:ascii="宋体" w:hAnsi="宋体" w:eastAsia="宋体" w:cs="宋体"/>
          <w:sz w:val="21"/>
          <w:szCs w:val="21"/>
        </w:rPr>
      </w:pPr>
    </w:p>
    <w:p w14:paraId="601B0D65">
      <w:pPr>
        <w:pageBreakBefore w:val="0"/>
        <w:kinsoku/>
        <w:wordWrap/>
        <w:overflowPunct/>
        <w:topLinePunct w:val="0"/>
        <w:bidi w:val="0"/>
        <w:snapToGrid/>
        <w:spacing w:line="560" w:lineRule="exact"/>
        <w:ind w:firstLine="630" w:firstLineChars="300"/>
        <w:jc w:val="left"/>
        <w:textAlignment w:val="auto"/>
        <w:rPr>
          <w:rFonts w:hint="eastAsia" w:ascii="宋体" w:hAnsi="宋体" w:eastAsia="宋体" w:cs="宋体"/>
          <w:bCs/>
          <w:sz w:val="21"/>
          <w:szCs w:val="21"/>
        </w:rPr>
      </w:pPr>
      <w:r>
        <w:rPr>
          <w:rFonts w:hint="eastAsia" w:ascii="宋体" w:hAnsi="宋体" w:eastAsia="宋体" w:cs="宋体"/>
          <w:bCs/>
          <w:sz w:val="21"/>
          <w:szCs w:val="21"/>
        </w:rPr>
        <w:t>注：在响应文件中附扫描件。</w:t>
      </w:r>
    </w:p>
    <w:p w14:paraId="35E0A837">
      <w:pPr>
        <w:spacing w:line="360" w:lineRule="auto"/>
        <w:ind w:firstLine="450" w:firstLineChars="225"/>
        <w:rPr>
          <w:rFonts w:ascii="宋体" w:hAnsi="宋体"/>
          <w:sz w:val="20"/>
          <w:szCs w:val="20"/>
        </w:rPr>
      </w:pPr>
    </w:p>
    <w:p w14:paraId="58D53A24">
      <w:pPr>
        <w:spacing w:line="360" w:lineRule="auto"/>
        <w:rPr>
          <w:rFonts w:ascii="宋体" w:hAnsi="宋体"/>
          <w:sz w:val="20"/>
          <w:szCs w:val="20"/>
        </w:rPr>
      </w:pPr>
    </w:p>
    <w:p w14:paraId="5C19E725">
      <w:pPr>
        <w:pStyle w:val="15"/>
        <w:jc w:val="right"/>
        <w:rPr>
          <w:rFonts w:hint="default"/>
          <w:lang w:val="en-US" w:eastAsia="zh-CN"/>
        </w:rPr>
      </w:pPr>
    </w:p>
    <w:sectPr>
      <w:headerReference r:id="rId12" w:type="default"/>
      <w:pgSz w:w="11906" w:h="16838"/>
      <w:pgMar w:top="1304" w:right="1797" w:bottom="1304" w:left="1797" w:header="777" w:footer="6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2522">
    <w:pPr>
      <w:pStyle w:val="16"/>
      <w:pBdr>
        <w:top w:val="single" w:color="auto" w:sz="4" w:space="0"/>
      </w:pBdr>
    </w:pPr>
    <w:r>
      <w:rPr>
        <w:rFonts w:hint="eastAsia"/>
      </w:rPr>
      <w:drawing>
        <wp:anchor distT="0" distB="0" distL="114300" distR="114300" simplePos="0" relativeHeight="251659264" behindDoc="0" locked="0" layoutInCell="1" allowOverlap="1">
          <wp:simplePos x="0" y="0"/>
          <wp:positionH relativeFrom="column">
            <wp:posOffset>-366395</wp:posOffset>
          </wp:positionH>
          <wp:positionV relativeFrom="paragraph">
            <wp:posOffset>-42545</wp:posOffset>
          </wp:positionV>
          <wp:extent cx="339725" cy="254635"/>
          <wp:effectExtent l="0" t="0" r="317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27"/>
        <w:rFonts w:hint="eastAsia"/>
      </w:rPr>
      <w:t xml:space="preserve">恒信咨询管理有限公司      </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F94D">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83CFE8">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83CFE8">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4AE4">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C4659">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A0C4659">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368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F1977D">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F1977D">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C96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D8683">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0FD8683">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8FD4">
    <w:pPr>
      <w:pStyle w:val="50"/>
      <w:framePr w:wrap="around" w:vAnchor="text" w:hAnchor="margin" w:xAlign="right" w:y="1"/>
      <w:rPr>
        <w:rFonts w:hint="default"/>
      </w:rPr>
    </w:pPr>
    <w:r>
      <w:fldChar w:fldCharType="begin"/>
    </w:r>
    <w:r>
      <w:instrText xml:space="preserve">PAGE  </w:instrText>
    </w:r>
    <w:r>
      <w:fldChar w:fldCharType="end"/>
    </w:r>
  </w:p>
  <w:p w14:paraId="5CEADE3B">
    <w:pPr>
      <w:pStyle w:val="50"/>
      <w:ind w:right="360"/>
      <w:rPr>
        <w:rFonts w:hint="defau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C22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1A5B">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E9A8">
    <w:pPr>
      <w:spacing w:line="360" w:lineRule="auto"/>
      <w:ind w:left="-420" w:leftChars="-200" w:firstLine="420" w:firstLineChars="2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116B">
    <w:pPr>
      <w:spacing w:line="360" w:lineRule="auto"/>
      <w:ind w:left="-420" w:leftChars="-200" w:firstLine="42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9D799C2F"/>
    <w:multiLevelType w:val="singleLevel"/>
    <w:tmpl w:val="9D799C2F"/>
    <w:lvl w:ilvl="0" w:tentative="0">
      <w:start w:val="2"/>
      <w:numFmt w:val="decimal"/>
      <w:suff w:val="nothing"/>
      <w:lvlText w:val="%1、"/>
      <w:lvlJc w:val="left"/>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D7F52C59"/>
    <w:multiLevelType w:val="singleLevel"/>
    <w:tmpl w:val="D7F52C59"/>
    <w:lvl w:ilvl="0" w:tentative="0">
      <w:start w:val="1"/>
      <w:numFmt w:val="decimal"/>
      <w:lvlText w:val="(%1)"/>
      <w:lvlJc w:val="left"/>
      <w:pPr>
        <w:ind w:left="425" w:hanging="425"/>
      </w:pPr>
      <w:rPr>
        <w:rFonts w:hint="default"/>
      </w:rPr>
    </w:lvl>
  </w:abstractNum>
  <w:abstractNum w:abstractNumId="7">
    <w:nsid w:val="E9F50827"/>
    <w:multiLevelType w:val="singleLevel"/>
    <w:tmpl w:val="E9F50827"/>
    <w:lvl w:ilvl="0" w:tentative="0">
      <w:start w:val="7"/>
      <w:numFmt w:val="chineseCounting"/>
      <w:suff w:val="nothing"/>
      <w:lvlText w:val="%1、"/>
      <w:lvlJc w:val="left"/>
      <w:rPr>
        <w:rFonts w:hint="eastAsia"/>
      </w:rPr>
    </w:lvl>
  </w:abstractNum>
  <w:abstractNum w:abstractNumId="8">
    <w:nsid w:val="F18883B4"/>
    <w:multiLevelType w:val="singleLevel"/>
    <w:tmpl w:val="F18883B4"/>
    <w:lvl w:ilvl="0" w:tentative="0">
      <w:start w:val="4"/>
      <w:numFmt w:val="chineseCounting"/>
      <w:suff w:val="nothing"/>
      <w:lvlText w:val="%1、"/>
      <w:lvlJc w:val="left"/>
      <w:rPr>
        <w:rFonts w:hint="eastAsia"/>
      </w:rPr>
    </w:lvl>
  </w:abstractNum>
  <w:abstractNum w:abstractNumId="9">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D6A2507"/>
    <w:multiLevelType w:val="singleLevel"/>
    <w:tmpl w:val="2D6A2507"/>
    <w:lvl w:ilvl="0" w:tentative="0">
      <w:start w:val="1"/>
      <w:numFmt w:val="decimal"/>
      <w:lvlText w:val="(%1)"/>
      <w:lvlJc w:val="left"/>
      <w:pPr>
        <w:ind w:left="425" w:hanging="425"/>
      </w:pPr>
      <w:rPr>
        <w:rFonts w:hint="default"/>
      </w:rPr>
    </w:lvl>
  </w:abstractNum>
  <w:abstractNum w:abstractNumId="11">
    <w:nsid w:val="4A2313DB"/>
    <w:multiLevelType w:val="singleLevel"/>
    <w:tmpl w:val="4A2313DB"/>
    <w:lvl w:ilvl="0" w:tentative="0">
      <w:start w:val="1"/>
      <w:numFmt w:val="decimal"/>
      <w:suff w:val="nothing"/>
      <w:lvlText w:val="%1、"/>
      <w:lvlJc w:val="left"/>
    </w:lvl>
  </w:abstractNum>
  <w:abstractNum w:abstractNumId="12">
    <w:nsid w:val="4B8C7480"/>
    <w:multiLevelType w:val="singleLevel"/>
    <w:tmpl w:val="4B8C7480"/>
    <w:lvl w:ilvl="0" w:tentative="0">
      <w:start w:val="7"/>
      <w:numFmt w:val="chineseCounting"/>
      <w:suff w:val="nothing"/>
      <w:lvlText w:val="%1、"/>
      <w:lvlJc w:val="left"/>
      <w:rPr>
        <w:rFonts w:hint="eastAsia"/>
      </w:rPr>
    </w:lvl>
  </w:abstractNum>
  <w:abstractNum w:abstractNumId="13">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4">
    <w:nsid w:val="52152702"/>
    <w:multiLevelType w:val="multilevel"/>
    <w:tmpl w:val="521527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4A48C29"/>
    <w:multiLevelType w:val="singleLevel"/>
    <w:tmpl w:val="54A48C29"/>
    <w:lvl w:ilvl="0" w:tentative="0">
      <w:start w:val="1"/>
      <w:numFmt w:val="decimal"/>
      <w:lvlText w:val="(%1)"/>
      <w:lvlJc w:val="left"/>
      <w:pPr>
        <w:ind w:left="425" w:hanging="425"/>
      </w:pPr>
      <w:rPr>
        <w:rFonts w:hint="default"/>
      </w:rPr>
    </w:lvl>
  </w:abstractNum>
  <w:abstractNum w:abstractNumId="16">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B48166D"/>
    <w:multiLevelType w:val="singleLevel"/>
    <w:tmpl w:val="6B48166D"/>
    <w:lvl w:ilvl="0" w:tentative="0">
      <w:start w:val="1"/>
      <w:numFmt w:val="decimal"/>
      <w:lvlText w:val="(%1)"/>
      <w:lvlJc w:val="left"/>
      <w:pPr>
        <w:ind w:left="425" w:hanging="425"/>
      </w:pPr>
      <w:rPr>
        <w:rFonts w:hint="default"/>
      </w:rPr>
    </w:lvl>
  </w:abstractNum>
  <w:abstractNum w:abstractNumId="19">
    <w:nsid w:val="7D82545E"/>
    <w:multiLevelType w:val="singleLevel"/>
    <w:tmpl w:val="7D82545E"/>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5"/>
  </w:num>
  <w:num w:numId="4">
    <w:abstractNumId w:val="4"/>
  </w:num>
  <w:num w:numId="5">
    <w:abstractNumId w:val="15"/>
  </w:num>
  <w:num w:numId="6">
    <w:abstractNumId w:val="18"/>
  </w:num>
  <w:num w:numId="7">
    <w:abstractNumId w:val="13"/>
  </w:num>
  <w:num w:numId="8">
    <w:abstractNumId w:val="7"/>
  </w:num>
  <w:num w:numId="9">
    <w:abstractNumId w:val="0"/>
  </w:num>
  <w:num w:numId="10">
    <w:abstractNumId w:val="6"/>
  </w:num>
  <w:num w:numId="11">
    <w:abstractNumId w:val="19"/>
  </w:num>
  <w:num w:numId="12">
    <w:abstractNumId w:val="14"/>
  </w:num>
  <w:num w:numId="13">
    <w:abstractNumId w:val="2"/>
  </w:num>
  <w:num w:numId="14">
    <w:abstractNumId w:val="10"/>
  </w:num>
  <w:num w:numId="15">
    <w:abstractNumId w:val="1"/>
  </w:num>
  <w:num w:numId="16">
    <w:abstractNumId w:val="17"/>
  </w:num>
  <w:num w:numId="17">
    <w:abstractNumId w:val="16"/>
  </w:num>
  <w:num w:numId="18">
    <w:abstractNumId w:val="11"/>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172A27"/>
    <w:rsid w:val="00341614"/>
    <w:rsid w:val="02301FCF"/>
    <w:rsid w:val="03160597"/>
    <w:rsid w:val="034877EC"/>
    <w:rsid w:val="036239FA"/>
    <w:rsid w:val="03795BF7"/>
    <w:rsid w:val="03963A18"/>
    <w:rsid w:val="03D270B5"/>
    <w:rsid w:val="042F1975"/>
    <w:rsid w:val="04842AA6"/>
    <w:rsid w:val="04D2022C"/>
    <w:rsid w:val="051B72F3"/>
    <w:rsid w:val="05AB5E10"/>
    <w:rsid w:val="06291443"/>
    <w:rsid w:val="062C51A3"/>
    <w:rsid w:val="06710E08"/>
    <w:rsid w:val="06933D53"/>
    <w:rsid w:val="06DA075B"/>
    <w:rsid w:val="073A028F"/>
    <w:rsid w:val="079E5B2A"/>
    <w:rsid w:val="07B159F2"/>
    <w:rsid w:val="08316AA1"/>
    <w:rsid w:val="0851320B"/>
    <w:rsid w:val="08534C69"/>
    <w:rsid w:val="089B72D4"/>
    <w:rsid w:val="08F31FA8"/>
    <w:rsid w:val="094D16B8"/>
    <w:rsid w:val="09622C8A"/>
    <w:rsid w:val="099C0818"/>
    <w:rsid w:val="09AB2883"/>
    <w:rsid w:val="09DC2A3C"/>
    <w:rsid w:val="09E87633"/>
    <w:rsid w:val="0A146C63"/>
    <w:rsid w:val="0A474359"/>
    <w:rsid w:val="0A79472F"/>
    <w:rsid w:val="0A9F5F1D"/>
    <w:rsid w:val="0A9F69B9"/>
    <w:rsid w:val="0AB0425C"/>
    <w:rsid w:val="0AE52FDA"/>
    <w:rsid w:val="0BC55E7E"/>
    <w:rsid w:val="0BCB0FBA"/>
    <w:rsid w:val="0C2F1D41"/>
    <w:rsid w:val="0C306CDD"/>
    <w:rsid w:val="0CDD0FA5"/>
    <w:rsid w:val="0CE14B1E"/>
    <w:rsid w:val="0CF307C8"/>
    <w:rsid w:val="0D5A4650"/>
    <w:rsid w:val="0D796F92"/>
    <w:rsid w:val="0DDF6F9F"/>
    <w:rsid w:val="0E41124F"/>
    <w:rsid w:val="0E6D5540"/>
    <w:rsid w:val="0F026AA1"/>
    <w:rsid w:val="0F614BD5"/>
    <w:rsid w:val="0FAE6C29"/>
    <w:rsid w:val="0FC1070A"/>
    <w:rsid w:val="0FD85A54"/>
    <w:rsid w:val="101940C3"/>
    <w:rsid w:val="10551A50"/>
    <w:rsid w:val="10804DD6"/>
    <w:rsid w:val="11906551"/>
    <w:rsid w:val="120711AA"/>
    <w:rsid w:val="12071E56"/>
    <w:rsid w:val="120A6AF5"/>
    <w:rsid w:val="120E7E53"/>
    <w:rsid w:val="12481821"/>
    <w:rsid w:val="12791770"/>
    <w:rsid w:val="12C42776"/>
    <w:rsid w:val="13196AAF"/>
    <w:rsid w:val="133A5D62"/>
    <w:rsid w:val="133B4ABA"/>
    <w:rsid w:val="133F1353"/>
    <w:rsid w:val="134E4E97"/>
    <w:rsid w:val="13800457"/>
    <w:rsid w:val="1390238F"/>
    <w:rsid w:val="139D323C"/>
    <w:rsid w:val="1422735F"/>
    <w:rsid w:val="14241A38"/>
    <w:rsid w:val="142F34C6"/>
    <w:rsid w:val="147E5329"/>
    <w:rsid w:val="14994CA6"/>
    <w:rsid w:val="14A925F1"/>
    <w:rsid w:val="14CF5677"/>
    <w:rsid w:val="14E07535"/>
    <w:rsid w:val="152C2A96"/>
    <w:rsid w:val="1578284F"/>
    <w:rsid w:val="15BC49FD"/>
    <w:rsid w:val="15F51152"/>
    <w:rsid w:val="16C62AAA"/>
    <w:rsid w:val="17013AE2"/>
    <w:rsid w:val="171E307D"/>
    <w:rsid w:val="17465999"/>
    <w:rsid w:val="17571954"/>
    <w:rsid w:val="175C3F66"/>
    <w:rsid w:val="17771FF6"/>
    <w:rsid w:val="17786A0A"/>
    <w:rsid w:val="17CA41E8"/>
    <w:rsid w:val="17FF2717"/>
    <w:rsid w:val="18133ACD"/>
    <w:rsid w:val="19921369"/>
    <w:rsid w:val="19A54BF8"/>
    <w:rsid w:val="1A002777"/>
    <w:rsid w:val="1A134D66"/>
    <w:rsid w:val="1A2501F7"/>
    <w:rsid w:val="1A964A31"/>
    <w:rsid w:val="1B8851B3"/>
    <w:rsid w:val="1B972C67"/>
    <w:rsid w:val="1B9A3ECD"/>
    <w:rsid w:val="1BB750B7"/>
    <w:rsid w:val="1C055E22"/>
    <w:rsid w:val="1C6813D2"/>
    <w:rsid w:val="1CA03D4F"/>
    <w:rsid w:val="1CDC7212"/>
    <w:rsid w:val="1DD86359"/>
    <w:rsid w:val="1DF93765"/>
    <w:rsid w:val="1E5229EE"/>
    <w:rsid w:val="1E814020"/>
    <w:rsid w:val="1E8C6387"/>
    <w:rsid w:val="1E9D0594"/>
    <w:rsid w:val="1EB61A58"/>
    <w:rsid w:val="1FF77653"/>
    <w:rsid w:val="20192D94"/>
    <w:rsid w:val="201C7BDE"/>
    <w:rsid w:val="208714FC"/>
    <w:rsid w:val="211E2BF7"/>
    <w:rsid w:val="213845A4"/>
    <w:rsid w:val="21475AF5"/>
    <w:rsid w:val="21E32762"/>
    <w:rsid w:val="22425509"/>
    <w:rsid w:val="22610ADC"/>
    <w:rsid w:val="22CE3412"/>
    <w:rsid w:val="234A5054"/>
    <w:rsid w:val="236E73CB"/>
    <w:rsid w:val="241B7307"/>
    <w:rsid w:val="241F7DA7"/>
    <w:rsid w:val="244970AC"/>
    <w:rsid w:val="248F6BD1"/>
    <w:rsid w:val="24A32186"/>
    <w:rsid w:val="24B16B47"/>
    <w:rsid w:val="24CA5E5B"/>
    <w:rsid w:val="24D90223"/>
    <w:rsid w:val="25190B88"/>
    <w:rsid w:val="2609650F"/>
    <w:rsid w:val="261C4494"/>
    <w:rsid w:val="266728D4"/>
    <w:rsid w:val="267C4F33"/>
    <w:rsid w:val="269840E0"/>
    <w:rsid w:val="26B950A1"/>
    <w:rsid w:val="27313F6F"/>
    <w:rsid w:val="27934C2A"/>
    <w:rsid w:val="28615912"/>
    <w:rsid w:val="28702875"/>
    <w:rsid w:val="288F3951"/>
    <w:rsid w:val="28D70C6A"/>
    <w:rsid w:val="28FC7DB1"/>
    <w:rsid w:val="290A2CCA"/>
    <w:rsid w:val="29186C9E"/>
    <w:rsid w:val="294F692F"/>
    <w:rsid w:val="29656152"/>
    <w:rsid w:val="297D524A"/>
    <w:rsid w:val="297E4681"/>
    <w:rsid w:val="29EA6657"/>
    <w:rsid w:val="29F554B9"/>
    <w:rsid w:val="2A100020"/>
    <w:rsid w:val="2A7E46F7"/>
    <w:rsid w:val="2AE676A9"/>
    <w:rsid w:val="2B361B54"/>
    <w:rsid w:val="2BA10D50"/>
    <w:rsid w:val="2C02340F"/>
    <w:rsid w:val="2C412EA7"/>
    <w:rsid w:val="2C5524AE"/>
    <w:rsid w:val="2CA5628F"/>
    <w:rsid w:val="2CCD473A"/>
    <w:rsid w:val="2CDF621C"/>
    <w:rsid w:val="2D0223EB"/>
    <w:rsid w:val="2D085772"/>
    <w:rsid w:val="2DB763E9"/>
    <w:rsid w:val="2E08390E"/>
    <w:rsid w:val="2E305BA5"/>
    <w:rsid w:val="2EC27BA3"/>
    <w:rsid w:val="2F04311D"/>
    <w:rsid w:val="2F470841"/>
    <w:rsid w:val="2F755A3F"/>
    <w:rsid w:val="2FD656B4"/>
    <w:rsid w:val="2FDA7375"/>
    <w:rsid w:val="2FFD0E93"/>
    <w:rsid w:val="30032221"/>
    <w:rsid w:val="30336FAA"/>
    <w:rsid w:val="307849BD"/>
    <w:rsid w:val="30D33DC3"/>
    <w:rsid w:val="30E568B7"/>
    <w:rsid w:val="31644CCC"/>
    <w:rsid w:val="31D75713"/>
    <w:rsid w:val="3253123E"/>
    <w:rsid w:val="32764F99"/>
    <w:rsid w:val="327B2543"/>
    <w:rsid w:val="327D700D"/>
    <w:rsid w:val="327E23D9"/>
    <w:rsid w:val="32864942"/>
    <w:rsid w:val="32A42A4B"/>
    <w:rsid w:val="32D0288E"/>
    <w:rsid w:val="3371642D"/>
    <w:rsid w:val="340A6556"/>
    <w:rsid w:val="35BD00A8"/>
    <w:rsid w:val="35F40F8A"/>
    <w:rsid w:val="36090959"/>
    <w:rsid w:val="365027D6"/>
    <w:rsid w:val="366A2FFA"/>
    <w:rsid w:val="36B9188B"/>
    <w:rsid w:val="36C070BE"/>
    <w:rsid w:val="36CE5337"/>
    <w:rsid w:val="37983B97"/>
    <w:rsid w:val="37B71842"/>
    <w:rsid w:val="37F17E65"/>
    <w:rsid w:val="37FE39FA"/>
    <w:rsid w:val="38F8212C"/>
    <w:rsid w:val="38FB618B"/>
    <w:rsid w:val="391D25A6"/>
    <w:rsid w:val="3922263E"/>
    <w:rsid w:val="393618B9"/>
    <w:rsid w:val="39363667"/>
    <w:rsid w:val="3961360B"/>
    <w:rsid w:val="39904B26"/>
    <w:rsid w:val="39A74BE8"/>
    <w:rsid w:val="39D8569A"/>
    <w:rsid w:val="3A156427"/>
    <w:rsid w:val="3A7A73CE"/>
    <w:rsid w:val="3AA219DC"/>
    <w:rsid w:val="3AEB2011"/>
    <w:rsid w:val="3B283915"/>
    <w:rsid w:val="3B3F71BF"/>
    <w:rsid w:val="3B6C511E"/>
    <w:rsid w:val="3B7D557D"/>
    <w:rsid w:val="3C8D7A42"/>
    <w:rsid w:val="3CB13731"/>
    <w:rsid w:val="3CB32765"/>
    <w:rsid w:val="3D564075"/>
    <w:rsid w:val="3DBB238D"/>
    <w:rsid w:val="3DC72AE0"/>
    <w:rsid w:val="3DD627DB"/>
    <w:rsid w:val="3DF37D79"/>
    <w:rsid w:val="3DF64CC6"/>
    <w:rsid w:val="3E416D36"/>
    <w:rsid w:val="3F222FE0"/>
    <w:rsid w:val="3F310B59"/>
    <w:rsid w:val="3F6470B2"/>
    <w:rsid w:val="3F6E1604"/>
    <w:rsid w:val="3F896158"/>
    <w:rsid w:val="3FB74061"/>
    <w:rsid w:val="402661E4"/>
    <w:rsid w:val="405C09BB"/>
    <w:rsid w:val="408E5B37"/>
    <w:rsid w:val="40A62E81"/>
    <w:rsid w:val="40A67324"/>
    <w:rsid w:val="42181B5C"/>
    <w:rsid w:val="422F6EA6"/>
    <w:rsid w:val="42815720"/>
    <w:rsid w:val="429F402B"/>
    <w:rsid w:val="42D926A2"/>
    <w:rsid w:val="42F474B4"/>
    <w:rsid w:val="4393488F"/>
    <w:rsid w:val="43972EFC"/>
    <w:rsid w:val="43BB4E95"/>
    <w:rsid w:val="441E71D2"/>
    <w:rsid w:val="443F7874"/>
    <w:rsid w:val="44917F97"/>
    <w:rsid w:val="44CC1A93"/>
    <w:rsid w:val="44DE19E8"/>
    <w:rsid w:val="44EF1538"/>
    <w:rsid w:val="45060392"/>
    <w:rsid w:val="45091C30"/>
    <w:rsid w:val="456841B6"/>
    <w:rsid w:val="45A57AA0"/>
    <w:rsid w:val="45E157D5"/>
    <w:rsid w:val="4662784A"/>
    <w:rsid w:val="4690085B"/>
    <w:rsid w:val="47182D87"/>
    <w:rsid w:val="472E32C5"/>
    <w:rsid w:val="47646E8B"/>
    <w:rsid w:val="479E6FA7"/>
    <w:rsid w:val="47A53E92"/>
    <w:rsid w:val="480908C5"/>
    <w:rsid w:val="48343468"/>
    <w:rsid w:val="48693111"/>
    <w:rsid w:val="49067660"/>
    <w:rsid w:val="490B569A"/>
    <w:rsid w:val="4949225C"/>
    <w:rsid w:val="49520049"/>
    <w:rsid w:val="49C66341"/>
    <w:rsid w:val="4A064990"/>
    <w:rsid w:val="4A2861A3"/>
    <w:rsid w:val="4A875AD1"/>
    <w:rsid w:val="4AB359F3"/>
    <w:rsid w:val="4AE4468E"/>
    <w:rsid w:val="4AE65F38"/>
    <w:rsid w:val="4B092A5F"/>
    <w:rsid w:val="4B095FE4"/>
    <w:rsid w:val="4B5859E8"/>
    <w:rsid w:val="4BF058F8"/>
    <w:rsid w:val="4BF87956"/>
    <w:rsid w:val="4C4719BC"/>
    <w:rsid w:val="4CBF124C"/>
    <w:rsid w:val="4CDF7E9B"/>
    <w:rsid w:val="4CE216E4"/>
    <w:rsid w:val="4CF66F3E"/>
    <w:rsid w:val="4D434EC9"/>
    <w:rsid w:val="4D5C3245"/>
    <w:rsid w:val="4E440EBE"/>
    <w:rsid w:val="4E5403C0"/>
    <w:rsid w:val="4E5B4F82"/>
    <w:rsid w:val="4E7B594C"/>
    <w:rsid w:val="4E992277"/>
    <w:rsid w:val="4ECD1AE2"/>
    <w:rsid w:val="4F3A18BA"/>
    <w:rsid w:val="4F495A4B"/>
    <w:rsid w:val="4F550905"/>
    <w:rsid w:val="4F7B197C"/>
    <w:rsid w:val="4F952A3E"/>
    <w:rsid w:val="4FBB7FCB"/>
    <w:rsid w:val="4FD507AF"/>
    <w:rsid w:val="4FD72002"/>
    <w:rsid w:val="501F400D"/>
    <w:rsid w:val="50CE26AB"/>
    <w:rsid w:val="519A433C"/>
    <w:rsid w:val="5248054A"/>
    <w:rsid w:val="52933025"/>
    <w:rsid w:val="52CD3020"/>
    <w:rsid w:val="53E126F6"/>
    <w:rsid w:val="54770964"/>
    <w:rsid w:val="5486315D"/>
    <w:rsid w:val="548F6B6C"/>
    <w:rsid w:val="54D330F9"/>
    <w:rsid w:val="55893CB7"/>
    <w:rsid w:val="55A03EEB"/>
    <w:rsid w:val="55AD272F"/>
    <w:rsid w:val="55DA3565"/>
    <w:rsid w:val="5622088D"/>
    <w:rsid w:val="567A578B"/>
    <w:rsid w:val="56C65BD3"/>
    <w:rsid w:val="570B1AB1"/>
    <w:rsid w:val="571D0F95"/>
    <w:rsid w:val="57212E09"/>
    <w:rsid w:val="572823EA"/>
    <w:rsid w:val="57323268"/>
    <w:rsid w:val="577867C7"/>
    <w:rsid w:val="57AB2569"/>
    <w:rsid w:val="57F56770"/>
    <w:rsid w:val="58395C98"/>
    <w:rsid w:val="5875340D"/>
    <w:rsid w:val="58E16CF4"/>
    <w:rsid w:val="58EE12A9"/>
    <w:rsid w:val="590F2CF4"/>
    <w:rsid w:val="59346788"/>
    <w:rsid w:val="599071DF"/>
    <w:rsid w:val="59992981"/>
    <w:rsid w:val="5A2E7D17"/>
    <w:rsid w:val="5A3B0686"/>
    <w:rsid w:val="5A6B212B"/>
    <w:rsid w:val="5A9279DD"/>
    <w:rsid w:val="5AAB75B9"/>
    <w:rsid w:val="5B7025B1"/>
    <w:rsid w:val="5B9B17F1"/>
    <w:rsid w:val="5BB406F0"/>
    <w:rsid w:val="5BB943F5"/>
    <w:rsid w:val="5BD95F6E"/>
    <w:rsid w:val="5BE66DBB"/>
    <w:rsid w:val="5C052271"/>
    <w:rsid w:val="5C4952DC"/>
    <w:rsid w:val="5C741C2D"/>
    <w:rsid w:val="5C7D2147"/>
    <w:rsid w:val="5D134F68"/>
    <w:rsid w:val="5D47221B"/>
    <w:rsid w:val="5DB76275"/>
    <w:rsid w:val="5DE2248A"/>
    <w:rsid w:val="5DEA21A7"/>
    <w:rsid w:val="5E0A1B7E"/>
    <w:rsid w:val="5E1C432A"/>
    <w:rsid w:val="5EEE216B"/>
    <w:rsid w:val="5EEF2227"/>
    <w:rsid w:val="5EFD476E"/>
    <w:rsid w:val="5F3B38D7"/>
    <w:rsid w:val="5F70492E"/>
    <w:rsid w:val="5FA36837"/>
    <w:rsid w:val="604D2EC1"/>
    <w:rsid w:val="608A7C71"/>
    <w:rsid w:val="60A95F03"/>
    <w:rsid w:val="60D40EEC"/>
    <w:rsid w:val="61001CE1"/>
    <w:rsid w:val="61684709"/>
    <w:rsid w:val="619C5EAE"/>
    <w:rsid w:val="61AF542D"/>
    <w:rsid w:val="620B282A"/>
    <w:rsid w:val="62742BFD"/>
    <w:rsid w:val="63057A83"/>
    <w:rsid w:val="631B5DAA"/>
    <w:rsid w:val="633640E0"/>
    <w:rsid w:val="63B25426"/>
    <w:rsid w:val="641D74E0"/>
    <w:rsid w:val="646627A3"/>
    <w:rsid w:val="64724767"/>
    <w:rsid w:val="64BA03AB"/>
    <w:rsid w:val="64CF20F6"/>
    <w:rsid w:val="650A5F27"/>
    <w:rsid w:val="651A66FA"/>
    <w:rsid w:val="65501E89"/>
    <w:rsid w:val="656D6699"/>
    <w:rsid w:val="657F1D6E"/>
    <w:rsid w:val="65962C14"/>
    <w:rsid w:val="65EF548E"/>
    <w:rsid w:val="660243D1"/>
    <w:rsid w:val="66377F53"/>
    <w:rsid w:val="67206D66"/>
    <w:rsid w:val="68B25FB7"/>
    <w:rsid w:val="69116466"/>
    <w:rsid w:val="696F1F2A"/>
    <w:rsid w:val="69985F69"/>
    <w:rsid w:val="69B35D3E"/>
    <w:rsid w:val="69BE7BAE"/>
    <w:rsid w:val="6A002D52"/>
    <w:rsid w:val="6A3C5547"/>
    <w:rsid w:val="6A761BF5"/>
    <w:rsid w:val="6AED1528"/>
    <w:rsid w:val="6AF24D91"/>
    <w:rsid w:val="6AF9611F"/>
    <w:rsid w:val="6B1D6E8C"/>
    <w:rsid w:val="6B252A70"/>
    <w:rsid w:val="6B5E7FBB"/>
    <w:rsid w:val="6B9F0244"/>
    <w:rsid w:val="6BA70239"/>
    <w:rsid w:val="6C2170A1"/>
    <w:rsid w:val="6C731F01"/>
    <w:rsid w:val="6CB916DC"/>
    <w:rsid w:val="6CC84395"/>
    <w:rsid w:val="6D2B458A"/>
    <w:rsid w:val="6D702BDA"/>
    <w:rsid w:val="6D8E2C9C"/>
    <w:rsid w:val="6D970EF6"/>
    <w:rsid w:val="6DAF6F69"/>
    <w:rsid w:val="6E1A18CA"/>
    <w:rsid w:val="6E81395E"/>
    <w:rsid w:val="6E8C13B8"/>
    <w:rsid w:val="6EAD2EE4"/>
    <w:rsid w:val="6EC24A7A"/>
    <w:rsid w:val="6ED206B8"/>
    <w:rsid w:val="6F2D6397"/>
    <w:rsid w:val="6FA35698"/>
    <w:rsid w:val="6FBB39A3"/>
    <w:rsid w:val="700F3CEF"/>
    <w:rsid w:val="70291255"/>
    <w:rsid w:val="705636CC"/>
    <w:rsid w:val="709D12FB"/>
    <w:rsid w:val="70B7211B"/>
    <w:rsid w:val="70B86DF1"/>
    <w:rsid w:val="70DF187A"/>
    <w:rsid w:val="70E52068"/>
    <w:rsid w:val="711F0916"/>
    <w:rsid w:val="7121131A"/>
    <w:rsid w:val="718A5D23"/>
    <w:rsid w:val="719C4943"/>
    <w:rsid w:val="71A52B5D"/>
    <w:rsid w:val="72741527"/>
    <w:rsid w:val="72812B22"/>
    <w:rsid w:val="72B56E72"/>
    <w:rsid w:val="733F0D8F"/>
    <w:rsid w:val="73726A6F"/>
    <w:rsid w:val="73BB6668"/>
    <w:rsid w:val="73E13DB3"/>
    <w:rsid w:val="742A0EEC"/>
    <w:rsid w:val="74BB1C4B"/>
    <w:rsid w:val="74E64D2D"/>
    <w:rsid w:val="75096F5F"/>
    <w:rsid w:val="751926EE"/>
    <w:rsid w:val="75404925"/>
    <w:rsid w:val="75742F72"/>
    <w:rsid w:val="757D2C20"/>
    <w:rsid w:val="7590362B"/>
    <w:rsid w:val="75BA64AB"/>
    <w:rsid w:val="76052093"/>
    <w:rsid w:val="761C46D7"/>
    <w:rsid w:val="763A3956"/>
    <w:rsid w:val="766C340E"/>
    <w:rsid w:val="76790114"/>
    <w:rsid w:val="769126D0"/>
    <w:rsid w:val="76DA48BA"/>
    <w:rsid w:val="76E73B71"/>
    <w:rsid w:val="77244524"/>
    <w:rsid w:val="772C5186"/>
    <w:rsid w:val="778F6B4C"/>
    <w:rsid w:val="77955421"/>
    <w:rsid w:val="779B731E"/>
    <w:rsid w:val="77B434E0"/>
    <w:rsid w:val="78280044"/>
    <w:rsid w:val="782C21D0"/>
    <w:rsid w:val="783F29B8"/>
    <w:rsid w:val="78414C61"/>
    <w:rsid w:val="78743F95"/>
    <w:rsid w:val="78C37D6C"/>
    <w:rsid w:val="79022643"/>
    <w:rsid w:val="79666ABE"/>
    <w:rsid w:val="79E85CDC"/>
    <w:rsid w:val="79F77CCE"/>
    <w:rsid w:val="79FF300D"/>
    <w:rsid w:val="7A212F9C"/>
    <w:rsid w:val="7A6115EB"/>
    <w:rsid w:val="7A79437C"/>
    <w:rsid w:val="7AB756AF"/>
    <w:rsid w:val="7BB00BA5"/>
    <w:rsid w:val="7BFD146B"/>
    <w:rsid w:val="7C541407"/>
    <w:rsid w:val="7C875377"/>
    <w:rsid w:val="7CB36173"/>
    <w:rsid w:val="7CB400F8"/>
    <w:rsid w:val="7D221505"/>
    <w:rsid w:val="7D7F14C3"/>
    <w:rsid w:val="7D8905A1"/>
    <w:rsid w:val="7DF05160"/>
    <w:rsid w:val="7E492AC2"/>
    <w:rsid w:val="7EA97CA8"/>
    <w:rsid w:val="7F5931D8"/>
    <w:rsid w:val="7F5B485B"/>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line="480" w:lineRule="auto"/>
      <w:jc w:val="center"/>
      <w:outlineLvl w:val="0"/>
    </w:pPr>
    <w:rPr>
      <w:b/>
      <w:kern w:val="44"/>
      <w:sz w:val="32"/>
      <w:szCs w:val="20"/>
    </w:rPr>
  </w:style>
  <w:style w:type="paragraph" w:styleId="3">
    <w:name w:val="heading 2"/>
    <w:basedOn w:val="1"/>
    <w:next w:val="1"/>
    <w:autoRedefine/>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3"/>
    <w:basedOn w:val="1"/>
    <w:next w:val="1"/>
    <w:autoRedefine/>
    <w:qFormat/>
    <w:uiPriority w:val="99"/>
    <w:pPr>
      <w:keepNext/>
      <w:keepLines/>
      <w:spacing w:before="140" w:after="140"/>
      <w:jc w:val="left"/>
      <w:outlineLvl w:val="2"/>
    </w:pPr>
    <w:rPr>
      <w:rFonts w:ascii="宋体" w:hAnsi="宋体"/>
      <w:b/>
      <w:szCs w:val="21"/>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qFormat/>
    <w:uiPriority w:val="99"/>
    <w:pPr>
      <w:ind w:firstLine="420"/>
    </w:pPr>
    <w:rPr>
      <w:szCs w:val="20"/>
    </w:rPr>
  </w:style>
  <w:style w:type="paragraph" w:styleId="6">
    <w:name w:val="annotation text"/>
    <w:basedOn w:val="1"/>
    <w:autoRedefine/>
    <w:semiHidden/>
    <w:qFormat/>
    <w:uiPriority w:val="99"/>
    <w:pPr>
      <w:jc w:val="left"/>
    </w:pPr>
  </w:style>
  <w:style w:type="paragraph" w:styleId="7">
    <w:name w:val="Body Text"/>
    <w:basedOn w:val="1"/>
    <w:autoRedefine/>
    <w:qFormat/>
    <w:uiPriority w:val="0"/>
    <w:rPr>
      <w:szCs w:val="21"/>
    </w:rPr>
  </w:style>
  <w:style w:type="paragraph" w:styleId="8">
    <w:name w:val="Body Text Indent"/>
    <w:basedOn w:val="1"/>
    <w:next w:val="9"/>
    <w:autoRedefine/>
    <w:qFormat/>
    <w:uiPriority w:val="0"/>
    <w:rPr>
      <w:rFonts w:ascii="黑体" w:eastAsia="黑体"/>
    </w:rPr>
  </w:style>
  <w:style w:type="paragraph" w:styleId="9">
    <w:name w:val="Body Text First Indent 2"/>
    <w:basedOn w:val="8"/>
    <w:next w:val="10"/>
    <w:autoRedefine/>
    <w:qFormat/>
    <w:uiPriority w:val="0"/>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paragraph" w:styleId="11">
    <w:name w:val="List 2"/>
    <w:basedOn w:val="1"/>
    <w:autoRedefine/>
    <w:qFormat/>
    <w:uiPriority w:val="0"/>
    <w:pPr>
      <w:ind w:left="100" w:leftChars="200" w:hanging="200" w:hangingChars="200"/>
    </w:pPr>
  </w:style>
  <w:style w:type="paragraph" w:styleId="12">
    <w:name w:val="List Continue"/>
    <w:basedOn w:val="1"/>
    <w:autoRedefine/>
    <w:qFormat/>
    <w:uiPriority w:val="0"/>
    <w:pPr>
      <w:spacing w:after="120"/>
      <w:ind w:left="420"/>
    </w:pPr>
    <w:rPr>
      <w:rFonts w:eastAsia="楷体_GB2312"/>
      <w:sz w:val="32"/>
      <w:szCs w:val="20"/>
    </w:rPr>
  </w:style>
  <w:style w:type="paragraph" w:styleId="13">
    <w:name w:val="Plain Text"/>
    <w:basedOn w:val="1"/>
    <w:next w:val="1"/>
    <w:autoRedefine/>
    <w:qFormat/>
    <w:uiPriority w:val="0"/>
    <w:rPr>
      <w:rFonts w:ascii="宋体" w:hAnsi="Courier New" w:cs="Courier New"/>
      <w:szCs w:val="21"/>
    </w:rPr>
  </w:style>
  <w:style w:type="paragraph" w:styleId="14">
    <w:name w:val="Date"/>
    <w:basedOn w:val="1"/>
    <w:next w:val="1"/>
    <w:autoRedefine/>
    <w:qFormat/>
    <w:uiPriority w:val="0"/>
    <w:pPr>
      <w:adjustRightInd w:val="0"/>
      <w:spacing w:line="360" w:lineRule="atLeast"/>
      <w:textAlignment w:val="baseline"/>
    </w:pPr>
    <w:rPr>
      <w:kern w:val="0"/>
      <w:sz w:val="28"/>
      <w:szCs w:val="20"/>
    </w:rPr>
  </w:style>
  <w:style w:type="paragraph" w:styleId="15">
    <w:name w:val="Body Text Indent 2"/>
    <w:basedOn w:val="1"/>
    <w:autoRedefine/>
    <w:qFormat/>
    <w:uiPriority w:val="0"/>
    <w:pPr>
      <w:spacing w:after="120" w:afterLines="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List 5"/>
    <w:basedOn w:val="1"/>
    <w:autoRedefine/>
    <w:qFormat/>
    <w:uiPriority w:val="0"/>
    <w:pPr>
      <w:ind w:left="2100" w:hanging="420"/>
    </w:pPr>
    <w:rPr>
      <w:rFonts w:eastAsia="楷体_GB2312"/>
      <w:sz w:val="32"/>
      <w:szCs w:val="20"/>
    </w:rPr>
  </w:style>
  <w:style w:type="paragraph" w:styleId="20">
    <w:name w:val="Body Text 2"/>
    <w:basedOn w:val="1"/>
    <w:autoRedefine/>
    <w:qFormat/>
    <w:uiPriority w:val="0"/>
    <w:pPr>
      <w:widowControl/>
      <w:spacing w:before="100" w:beforeAutospacing="1" w:after="100" w:afterAutospacing="1"/>
      <w:jc w:val="left"/>
    </w:pPr>
    <w:rPr>
      <w:rFonts w:ascii="宋体" w:hAnsi="宋体"/>
      <w:kern w:val="0"/>
      <w:sz w:val="24"/>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2">
    <w:name w:val="Body Text First Indent"/>
    <w:basedOn w:val="7"/>
    <w:autoRedefine/>
    <w:unhideWhenUsed/>
    <w:qFormat/>
    <w:uiPriority w:val="99"/>
    <w:pPr>
      <w:spacing w:after="120"/>
      <w:ind w:firstLine="420" w:firstLineChars="1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autoRedefine/>
    <w:qFormat/>
    <w:uiPriority w:val="22"/>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u w:val="none"/>
    </w:rPr>
  </w:style>
  <w:style w:type="character" w:styleId="29">
    <w:name w:val="Emphasis"/>
    <w:basedOn w:val="25"/>
    <w:autoRedefine/>
    <w:qFormat/>
    <w:uiPriority w:val="0"/>
    <w:rPr>
      <w:b/>
      <w:bCs/>
    </w:rPr>
  </w:style>
  <w:style w:type="character" w:styleId="30">
    <w:name w:val="HTML Definition"/>
    <w:basedOn w:val="25"/>
    <w:autoRedefine/>
    <w:qFormat/>
    <w:uiPriority w:val="0"/>
  </w:style>
  <w:style w:type="character" w:styleId="31">
    <w:name w:val="HTML Typewriter"/>
    <w:basedOn w:val="25"/>
    <w:autoRedefine/>
    <w:qFormat/>
    <w:uiPriority w:val="0"/>
    <w:rPr>
      <w:rFonts w:hint="default" w:ascii="monospace" w:hAnsi="monospace" w:eastAsia="monospace" w:cs="monospace"/>
      <w:sz w:val="20"/>
    </w:rPr>
  </w:style>
  <w:style w:type="character" w:styleId="32">
    <w:name w:val="HTML Acronym"/>
    <w:basedOn w:val="25"/>
    <w:autoRedefine/>
    <w:qFormat/>
    <w:uiPriority w:val="0"/>
  </w:style>
  <w:style w:type="character" w:styleId="33">
    <w:name w:val="HTML Variable"/>
    <w:basedOn w:val="25"/>
    <w:autoRedefine/>
    <w:qFormat/>
    <w:uiPriority w:val="0"/>
  </w:style>
  <w:style w:type="character" w:styleId="34">
    <w:name w:val="Hyperlink"/>
    <w:basedOn w:val="25"/>
    <w:autoRedefine/>
    <w:qFormat/>
    <w:uiPriority w:val="0"/>
    <w:rPr>
      <w:color w:val="0000FF"/>
      <w:u w:val="none"/>
    </w:rPr>
  </w:style>
  <w:style w:type="character" w:styleId="35">
    <w:name w:val="HTML Code"/>
    <w:basedOn w:val="25"/>
    <w:autoRedefine/>
    <w:qFormat/>
    <w:uiPriority w:val="0"/>
    <w:rPr>
      <w:rFonts w:ascii="monospace" w:hAnsi="monospace" w:eastAsia="monospace" w:cs="monospace"/>
      <w:sz w:val="20"/>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character" w:customStyle="1" w:styleId="41">
    <w:name w:val="标题 1 Char"/>
    <w:link w:val="2"/>
    <w:autoRedefine/>
    <w:qFormat/>
    <w:locked/>
    <w:uiPriority w:val="0"/>
    <w:rPr>
      <w:b/>
      <w:kern w:val="44"/>
      <w:sz w:val="32"/>
      <w:szCs w:val="20"/>
    </w:rPr>
  </w:style>
  <w:style w:type="character" w:customStyle="1" w:styleId="42">
    <w:name w:val="font41"/>
    <w:basedOn w:val="25"/>
    <w:autoRedefine/>
    <w:qFormat/>
    <w:uiPriority w:val="0"/>
    <w:rPr>
      <w:rFonts w:hint="eastAsia" w:ascii="宋体" w:hAnsi="宋体" w:eastAsia="宋体" w:cs="宋体"/>
      <w:color w:val="000000"/>
      <w:sz w:val="20"/>
      <w:szCs w:val="20"/>
      <w:u w:val="none"/>
    </w:rPr>
  </w:style>
  <w:style w:type="character" w:customStyle="1" w:styleId="43">
    <w:name w:val="font51"/>
    <w:basedOn w:val="25"/>
    <w:autoRedefine/>
    <w:qFormat/>
    <w:uiPriority w:val="0"/>
    <w:rPr>
      <w:rFonts w:hint="eastAsia" w:ascii="宋体" w:hAnsi="宋体" w:eastAsia="宋体" w:cs="宋体"/>
      <w:b/>
      <w:bCs/>
      <w:color w:val="000000"/>
      <w:sz w:val="20"/>
      <w:szCs w:val="20"/>
      <w:u w:val="none"/>
    </w:rPr>
  </w:style>
  <w:style w:type="character" w:customStyle="1" w:styleId="44">
    <w:name w:val="font01"/>
    <w:basedOn w:val="25"/>
    <w:autoRedefine/>
    <w:qFormat/>
    <w:uiPriority w:val="0"/>
    <w:rPr>
      <w:rFonts w:hint="eastAsia" w:ascii="宋体" w:hAnsi="宋体" w:eastAsia="宋体" w:cs="宋体"/>
      <w:b/>
      <w:bCs/>
      <w:color w:val="000000"/>
      <w:sz w:val="20"/>
      <w:szCs w:val="20"/>
      <w:u w:val="single"/>
    </w:rPr>
  </w:style>
  <w:style w:type="character" w:customStyle="1" w:styleId="45">
    <w:name w:val="font21"/>
    <w:basedOn w:val="25"/>
    <w:autoRedefine/>
    <w:qFormat/>
    <w:uiPriority w:val="0"/>
    <w:rPr>
      <w:rFonts w:hint="eastAsia" w:ascii="宋体" w:hAnsi="宋体" w:eastAsia="宋体" w:cs="宋体"/>
      <w:color w:val="000000"/>
      <w:sz w:val="20"/>
      <w:szCs w:val="20"/>
      <w:u w:val="single"/>
    </w:rPr>
  </w:style>
  <w:style w:type="character" w:customStyle="1" w:styleId="46">
    <w:name w:val="NormalCharacter"/>
    <w:autoRedefine/>
    <w:qFormat/>
    <w:uiPriority w:val="0"/>
    <w:rPr>
      <w:kern w:val="2"/>
      <w:sz w:val="21"/>
      <w:szCs w:val="24"/>
      <w:lang w:val="en-US" w:eastAsia="zh-CN" w:bidi="ar-SA"/>
    </w:rPr>
  </w:style>
  <w:style w:type="paragraph" w:customStyle="1" w:styleId="47">
    <w:name w:val="Normal_0_1"/>
    <w:autoRedefine/>
    <w:qFormat/>
    <w:uiPriority w:val="0"/>
    <w:rPr>
      <w:rFonts w:ascii="Times New Roman" w:hAnsi="Times New Roman" w:eastAsia="Times New Roman" w:cs="Times New Roman"/>
      <w:sz w:val="24"/>
      <w:szCs w:val="24"/>
      <w:lang w:val="en-US" w:eastAsia="zh-CN" w:bidi="ar-SA"/>
    </w:rPr>
  </w:style>
  <w:style w:type="paragraph" w:customStyle="1" w:styleId="48">
    <w:name w:val="Normal_0_2"/>
    <w:autoRedefine/>
    <w:qFormat/>
    <w:uiPriority w:val="0"/>
    <w:rPr>
      <w:rFonts w:ascii="Times New Roman" w:hAnsi="Times New Roman" w:eastAsia="Times New Roman" w:cs="Times New Roman"/>
      <w:sz w:val="24"/>
      <w:szCs w:val="24"/>
      <w:lang w:val="en-US" w:eastAsia="zh-CN" w:bidi="ar-SA"/>
    </w:rPr>
  </w:style>
  <w:style w:type="paragraph" w:customStyle="1" w:styleId="49">
    <w:name w:val="列出段落1"/>
    <w:basedOn w:val="1"/>
    <w:autoRedefine/>
    <w:qFormat/>
    <w:uiPriority w:val="99"/>
    <w:pPr>
      <w:ind w:firstLine="420" w:firstLineChars="200"/>
    </w:pPr>
    <w:rPr>
      <w:rFonts w:ascii="Calibri" w:hAnsi="Calibri"/>
      <w:szCs w:val="22"/>
    </w:rPr>
  </w:style>
  <w:style w:type="paragraph" w:customStyle="1" w:styleId="5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fill="FFFFFF"/>
    </w:rPr>
  </w:style>
  <w:style w:type="character" w:customStyle="1" w:styleId="53">
    <w:name w:val="fr"/>
    <w:basedOn w:val="25"/>
    <w:autoRedefine/>
    <w:qFormat/>
    <w:uiPriority w:val="0"/>
  </w:style>
  <w:style w:type="character" w:customStyle="1" w:styleId="54">
    <w:name w:val="icon_ds"/>
    <w:basedOn w:val="25"/>
    <w:autoRedefine/>
    <w:qFormat/>
    <w:uiPriority w:val="0"/>
  </w:style>
  <w:style w:type="character" w:customStyle="1" w:styleId="55">
    <w:name w:val="icon_ds1"/>
    <w:basedOn w:val="25"/>
    <w:autoRedefine/>
    <w:qFormat/>
    <w:uiPriority w:val="0"/>
    <w:rPr>
      <w:sz w:val="21"/>
      <w:szCs w:val="21"/>
    </w:rPr>
  </w:style>
  <w:style w:type="character" w:customStyle="1" w:styleId="56">
    <w:name w:val="xiadan"/>
    <w:basedOn w:val="25"/>
    <w:autoRedefine/>
    <w:qFormat/>
    <w:uiPriority w:val="0"/>
    <w:rPr>
      <w:shd w:val="clear" w:fill="E4393C"/>
    </w:rPr>
  </w:style>
  <w:style w:type="character" w:customStyle="1" w:styleId="57">
    <w:name w:val="first-child1"/>
    <w:basedOn w:val="25"/>
    <w:autoRedefine/>
    <w:qFormat/>
    <w:uiPriority w:val="0"/>
    <w:rPr>
      <w:color w:val="1F3149"/>
      <w:sz w:val="24"/>
      <w:szCs w:val="24"/>
    </w:rPr>
  </w:style>
  <w:style w:type="character" w:customStyle="1" w:styleId="58">
    <w:name w:val="icon_gys"/>
    <w:basedOn w:val="25"/>
    <w:autoRedefine/>
    <w:qFormat/>
    <w:uiPriority w:val="0"/>
    <w:rPr>
      <w:sz w:val="21"/>
      <w:szCs w:val="21"/>
    </w:rPr>
  </w:style>
  <w:style w:type="character" w:customStyle="1" w:styleId="59">
    <w:name w:val="hover18"/>
    <w:basedOn w:val="25"/>
    <w:autoRedefine/>
    <w:qFormat/>
    <w:uiPriority w:val="0"/>
  </w:style>
  <w:style w:type="character" w:customStyle="1" w:styleId="60">
    <w:name w:val="font71"/>
    <w:basedOn w:val="25"/>
    <w:autoRedefine/>
    <w:qFormat/>
    <w:uiPriority w:val="0"/>
    <w:rPr>
      <w:rFonts w:hint="eastAsia" w:ascii="宋体" w:hAnsi="宋体" w:eastAsia="宋体" w:cs="宋体"/>
      <w:color w:val="000000"/>
      <w:sz w:val="21"/>
      <w:szCs w:val="21"/>
      <w:u w:val="none"/>
    </w:rPr>
  </w:style>
  <w:style w:type="character" w:customStyle="1" w:styleId="61">
    <w:name w:val="font81"/>
    <w:basedOn w:val="25"/>
    <w:autoRedefine/>
    <w:qFormat/>
    <w:uiPriority w:val="0"/>
    <w:rPr>
      <w:rFonts w:hint="eastAsia" w:ascii="宋体" w:hAnsi="宋体" w:eastAsia="宋体" w:cs="宋体"/>
      <w:color w:val="000000"/>
      <w:sz w:val="21"/>
      <w:szCs w:val="21"/>
      <w:u w:val="none"/>
    </w:rPr>
  </w:style>
  <w:style w:type="character" w:customStyle="1" w:styleId="62">
    <w:name w:val="font101"/>
    <w:basedOn w:val="25"/>
    <w:autoRedefine/>
    <w:qFormat/>
    <w:uiPriority w:val="0"/>
    <w:rPr>
      <w:rFonts w:hint="default" w:ascii="Times New Roman" w:hAnsi="Times New Roman" w:cs="Times New Roman"/>
      <w:color w:val="000000"/>
      <w:sz w:val="22"/>
      <w:szCs w:val="22"/>
      <w:u w:val="none"/>
    </w:rPr>
  </w:style>
  <w:style w:type="character" w:customStyle="1" w:styleId="63">
    <w:name w:val="font31"/>
    <w:basedOn w:val="25"/>
    <w:autoRedefine/>
    <w:qFormat/>
    <w:uiPriority w:val="0"/>
    <w:rPr>
      <w:rFonts w:hint="eastAsia" w:ascii="宋体" w:hAnsi="宋体" w:eastAsia="宋体" w:cs="宋体"/>
      <w:color w:val="000000"/>
      <w:sz w:val="21"/>
      <w:szCs w:val="21"/>
      <w:u w:val="none"/>
    </w:rPr>
  </w:style>
  <w:style w:type="character" w:customStyle="1" w:styleId="64">
    <w:name w:val="font61"/>
    <w:basedOn w:val="25"/>
    <w:autoRedefine/>
    <w:qFormat/>
    <w:uiPriority w:val="0"/>
    <w:rPr>
      <w:rFonts w:hint="default" w:ascii="Times New Roman" w:hAnsi="Times New Roman" w:cs="Times New Roman"/>
      <w:color w:val="000000"/>
      <w:sz w:val="22"/>
      <w:szCs w:val="22"/>
      <w:u w:val="none"/>
    </w:rPr>
  </w:style>
  <w:style w:type="character" w:customStyle="1" w:styleId="65">
    <w:name w:val="hover1"/>
    <w:basedOn w:val="25"/>
    <w:qFormat/>
    <w:uiPriority w:val="0"/>
    <w:rPr>
      <w:color w:val="2590EB"/>
    </w:rPr>
  </w:style>
  <w:style w:type="character" w:customStyle="1" w:styleId="66">
    <w:name w:val="hover2"/>
    <w:basedOn w:val="25"/>
    <w:qFormat/>
    <w:uiPriority w:val="0"/>
    <w:rPr>
      <w:color w:val="2590EB"/>
    </w:rPr>
  </w:style>
  <w:style w:type="character" w:customStyle="1" w:styleId="67">
    <w:name w:val="hover3"/>
    <w:basedOn w:val="25"/>
    <w:qFormat/>
    <w:uiPriority w:val="0"/>
  </w:style>
  <w:style w:type="character" w:customStyle="1" w:styleId="68">
    <w:name w:val="mini-outputtext1"/>
    <w:basedOn w:val="25"/>
    <w:qFormat/>
    <w:uiPriority w:val="0"/>
  </w:style>
  <w:style w:type="paragraph" w:customStyle="1" w:styleId="69">
    <w:name w:val="List Paragraph"/>
    <w:basedOn w:val="1"/>
    <w:autoRedefine/>
    <w:qFormat/>
    <w:uiPriority w:val="0"/>
    <w:pPr>
      <w:ind w:firstLine="420" w:firstLineChars="200"/>
    </w:pPr>
  </w:style>
  <w:style w:type="paragraph" w:customStyle="1" w:styleId="70">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11871</Words>
  <Characters>12898</Characters>
  <Lines>0</Lines>
  <Paragraphs>0</Paragraphs>
  <TotalTime>96</TotalTime>
  <ScaleCrop>false</ScaleCrop>
  <LinksUpToDate>false</LinksUpToDate>
  <CharactersWithSpaces>13006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2022-08-05T00:04:00Z</dcterms:created>
  <dc:creator>联想</dc:creator>
  <cp:lastModifiedBy>日久见人心。</cp:lastModifiedBy>
  <cp:lastPrinted>2022-09-28T01:21:00Z</cp:lastPrinted>
  <dcterms:modified xsi:type="dcterms:W3CDTF">2025-11-03T06:01:45Z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8A3CD07CD7AE4D8FAFFA27351CC4FE99</vt:lpwstr>
  </property>
  <property fmtid="{D5CDD505-2E9C-101B-9397-08002B2CF9AE}" pid="4" name="KSOTemplateDocerSaveRecord">
    <vt:lpwstr>eyJoZGlkIjoiZGFkMzQ5Yjk2ZGI3MjFhZGM1NzkyOTg2MDVkN2IyYjMiLCJ1c2VySWQiOiIzNjgzNTc2NjEifQ==</vt:lpwstr>
  </property>
</Properties>
</file>